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873B1" w:rsidR="00C835D4" w:rsidP="00371D96" w:rsidRDefault="00C835D4" w14:paraId="676C3052" w14:textId="77777777">
      <w:pPr>
        <w:rPr>
          <w:rFonts w:ascii="Times New Roman" w:hAnsi="Times New Roman" w:cs="Times New Roman"/>
        </w:rPr>
      </w:pPr>
    </w:p>
    <w:p w:rsidR="003B7CD1" w:rsidP="00DC4033" w:rsidRDefault="003B7CD1" w14:paraId="758AFD77" w14:textId="77777777">
      <w:pPr>
        <w:tabs>
          <w:tab w:val="left" w:pos="5529"/>
        </w:tabs>
        <w:jc w:val="center"/>
        <w:rPr>
          <w:rFonts w:ascii="Times New Roman" w:hAnsi="Times New Roman" w:cs="Times New Roman"/>
        </w:rPr>
      </w:pPr>
    </w:p>
    <w:p w:rsidRPr="008873B1" w:rsidR="00DC4033" w:rsidP="00DC4033" w:rsidRDefault="00DC4033" w14:paraId="13E3763F" w14:textId="60FD6EA8">
      <w:pPr>
        <w:tabs>
          <w:tab w:val="left" w:pos="5529"/>
        </w:tabs>
        <w:jc w:val="center"/>
        <w:rPr>
          <w:rFonts w:ascii="Times New Roman" w:hAnsi="Times New Roman" w:cs="Times New Roman"/>
        </w:rPr>
      </w:pPr>
      <w:r w:rsidRPr="008873B1">
        <w:rPr>
          <w:rFonts w:ascii="Times New Roman" w:hAnsi="Times New Roman" w:cs="Times New Roman"/>
        </w:rPr>
        <w:t>GRAND CHAMBER</w:t>
      </w:r>
    </w:p>
    <w:p w:rsidRPr="008873B1" w:rsidR="00DC4033" w:rsidP="003B7CD1" w:rsidRDefault="00DC4033" w14:paraId="183BFFAB" w14:textId="77777777">
      <w:pPr>
        <w:pStyle w:val="JuTitle"/>
        <w:spacing w:before="1080"/>
      </w:pPr>
      <w:bookmarkStart w:name="To" w:id="0"/>
      <w:r w:rsidRPr="008873B1">
        <w:t xml:space="preserve">CASE OF </w:t>
      </w:r>
      <w:bookmarkEnd w:id="0"/>
      <w:r w:rsidRPr="008873B1" w:rsidR="004D0549">
        <w:t>CENTRUM FÖR RÄTTVISA v. SWEDEN</w:t>
      </w:r>
    </w:p>
    <w:p w:rsidRPr="008873B1" w:rsidR="00DC4033" w:rsidP="004A42C4" w:rsidRDefault="00EB01E6" w14:paraId="50CC001D" w14:textId="77777777">
      <w:pPr>
        <w:jc w:val="center"/>
        <w:rPr>
          <w:rFonts w:ascii="Times New Roman" w:hAnsi="Times New Roman" w:cs="Times New Roman"/>
          <w:i/>
        </w:rPr>
      </w:pPr>
      <w:r w:rsidRPr="003B7CD1">
        <w:rPr>
          <w:i/>
          <w:iCs/>
        </w:rPr>
        <w:t>(</w:t>
      </w:r>
      <w:r w:rsidRPr="003B7CD1" w:rsidR="004D0549">
        <w:rPr>
          <w:i/>
          <w:iCs/>
        </w:rPr>
        <w:t>Application no.</w:t>
      </w:r>
      <w:r w:rsidRPr="003B7CD1" w:rsidR="004A42C4">
        <w:rPr>
          <w:i/>
          <w:iCs/>
        </w:rPr>
        <w:t xml:space="preserve"> </w:t>
      </w:r>
      <w:r w:rsidRPr="003B7CD1" w:rsidR="004D0549">
        <w:rPr>
          <w:i/>
          <w:iCs/>
        </w:rPr>
        <w:t>35252/08</w:t>
      </w:r>
      <w:r w:rsidRPr="008873B1" w:rsidR="00DC4033">
        <w:rPr>
          <w:rFonts w:ascii="Times New Roman" w:hAnsi="Times New Roman" w:cs="Times New Roman"/>
          <w:i/>
        </w:rPr>
        <w:t>)</w:t>
      </w:r>
    </w:p>
    <w:p w:rsidRPr="008873B1" w:rsidR="00DC4033" w:rsidP="00135C37" w:rsidRDefault="00DC4033" w14:paraId="3D2D2CD4" w14:textId="77777777">
      <w:pPr>
        <w:pStyle w:val="DecHCase"/>
      </w:pPr>
    </w:p>
    <w:p w:rsidRPr="008873B1" w:rsidR="00DC4033" w:rsidP="00135C37" w:rsidRDefault="00DC4033" w14:paraId="091DA81F" w14:textId="77777777">
      <w:pPr>
        <w:pStyle w:val="DecHCase"/>
      </w:pPr>
    </w:p>
    <w:p w:rsidR="00DC4033" w:rsidP="00135C37" w:rsidRDefault="00DC4033" w14:paraId="760B6830" w14:textId="343A0A3D">
      <w:pPr>
        <w:pStyle w:val="DecHCase"/>
        <w:rPr>
          <w:rFonts w:cstheme="majorHAnsi"/>
          <w:i/>
        </w:rPr>
      </w:pPr>
      <w:r w:rsidRPr="008873B1">
        <w:t>JUDGMENT</w:t>
      </w:r>
      <w:r w:rsidRPr="008873B1" w:rsidR="00135C37">
        <w:br/>
      </w:r>
    </w:p>
    <w:p w:rsidR="003B7CD1" w:rsidP="003B7CD1" w:rsidRDefault="003B7CD1" w14:paraId="6E23D9CC" w14:textId="63838D9B">
      <w:pPr>
        <w:pBdr>
          <w:top w:val="single" w:color="auto" w:sz="4" w:space="1"/>
          <w:left w:val="single" w:color="auto" w:sz="4" w:space="4"/>
          <w:bottom w:val="single" w:color="auto" w:sz="4" w:space="1"/>
          <w:right w:val="single" w:color="auto" w:sz="4" w:space="4"/>
        </w:pBdr>
        <w:jc w:val="both"/>
        <w:rPr>
          <w:sz w:val="22"/>
          <w:szCs w:val="22"/>
        </w:rPr>
      </w:pPr>
      <w:r>
        <w:t xml:space="preserve">Art 8 • Private life • Convention compliance of secret surveillance regime including bulk interception of communications and intelligence sharing • Need to develop case-law in light of important differences between targeted interception and bulk interception • Adapted test for examining bulk interception regimes through global assessment • Focus on “end-to-end safeguards” to take into account the increasing degree of intrusion with privacy rights as the bulk interception process moves through different stages • Shortcomings through: absence of clear rule on destroying intercepted material not containing personal data; absence of a requirement to consider privacy of individuals when deciding whether to transmit intelligence material to foreign partners; dual role of Foreign Intelligence Inspectorate and absence of reasoned decisions in </w:t>
      </w:r>
      <w:r>
        <w:rPr>
          <w:i/>
          <w:iCs/>
        </w:rPr>
        <w:t>ex post facto</w:t>
      </w:r>
      <w:r>
        <w:t xml:space="preserve"> control, not sufficiently compensated by safeguards </w:t>
      </w:r>
    </w:p>
    <w:p w:rsidR="003B7CD1" w:rsidP="003B7CD1" w:rsidRDefault="003B7CD1" w14:paraId="31A7A565" w14:textId="0780E85D">
      <w:pPr>
        <w:pStyle w:val="JuPara"/>
      </w:pPr>
    </w:p>
    <w:p w:rsidRPr="008873B1" w:rsidR="00DC4033" w:rsidP="00135C37" w:rsidRDefault="00DC4033" w14:paraId="2EA8F2F9" w14:textId="77777777">
      <w:pPr>
        <w:pStyle w:val="DecHCase"/>
      </w:pPr>
      <w:r w:rsidRPr="008873B1">
        <w:t>STRASBOURG</w:t>
      </w:r>
    </w:p>
    <w:p w:rsidRPr="008873B1" w:rsidR="00DC4033" w:rsidP="00135C37" w:rsidRDefault="004D0549" w14:paraId="227E05E9" w14:textId="77777777">
      <w:pPr>
        <w:pStyle w:val="DecHCase"/>
      </w:pPr>
      <w:r w:rsidRPr="008873B1">
        <w:t>25 May 2021</w:t>
      </w:r>
    </w:p>
    <w:p w:rsidRPr="008873B1" w:rsidR="00DC4033" w:rsidP="00135C37" w:rsidRDefault="00DC4033" w14:paraId="57B5921C" w14:textId="77777777">
      <w:pPr>
        <w:pStyle w:val="DecHCase"/>
      </w:pPr>
    </w:p>
    <w:p w:rsidR="00A713D9" w:rsidP="00121D46" w:rsidRDefault="00DC4033" w14:paraId="7ACA5689" w14:textId="435A8A9D">
      <w:pPr>
        <w:jc w:val="center"/>
        <w:rPr>
          <w:rFonts w:ascii="Times New Roman" w:hAnsi="Times New Roman" w:cs="Times New Roman"/>
          <w:i/>
          <w:sz w:val="22"/>
        </w:rPr>
      </w:pPr>
      <w:r w:rsidRPr="008873B1">
        <w:rPr>
          <w:rFonts w:ascii="Times New Roman" w:hAnsi="Times New Roman" w:cs="Times New Roman"/>
          <w:i/>
          <w:sz w:val="22"/>
        </w:rPr>
        <w:t xml:space="preserve">This judgment is </w:t>
      </w:r>
      <w:proofErr w:type="gramStart"/>
      <w:r w:rsidRPr="008873B1">
        <w:rPr>
          <w:rFonts w:ascii="Times New Roman" w:hAnsi="Times New Roman" w:cs="Times New Roman"/>
          <w:i/>
          <w:sz w:val="22"/>
        </w:rPr>
        <w:t>final</w:t>
      </w:r>
      <w:proofErr w:type="gramEnd"/>
      <w:r w:rsidRPr="008873B1">
        <w:rPr>
          <w:rFonts w:ascii="Times New Roman" w:hAnsi="Times New Roman" w:cs="Times New Roman"/>
          <w:i/>
          <w:sz w:val="22"/>
        </w:rPr>
        <w:t xml:space="preserve"> but it may be subject to editorial revision.</w:t>
      </w:r>
    </w:p>
    <w:p w:rsidRPr="00A713D9" w:rsidR="00A713D9" w:rsidP="00A713D9" w:rsidRDefault="00A713D9" w14:paraId="53E6DA27" w14:textId="51CE84D2">
      <w:pPr>
        <w:rPr>
          <w:rFonts w:ascii="Times New Roman" w:hAnsi="Times New Roman" w:cs="Times New Roman"/>
          <w:sz w:val="22"/>
        </w:rPr>
        <w:sectPr w:rsidRPr="00A713D9" w:rsidR="00A713D9" w:rsidSect="00ED67C1">
          <w:headerReference w:type="default"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1"/>
          <w:cols w:space="720"/>
          <w:noEndnote/>
          <w:titlePg/>
        </w:sectPr>
      </w:pPr>
    </w:p>
    <w:p w:rsidRPr="008873B1" w:rsidR="00C835D4" w:rsidP="00C835D4" w:rsidRDefault="00C835D4" w14:paraId="5A4BEDE5" w14:textId="77777777">
      <w:pPr>
        <w:pStyle w:val="JuCase"/>
      </w:pPr>
      <w:r w:rsidRPr="008873B1">
        <w:t xml:space="preserve">In the case of </w:t>
      </w:r>
      <w:r w:rsidRPr="008873B1" w:rsidR="004D0549">
        <w:t xml:space="preserve">Centrum </w:t>
      </w:r>
      <w:proofErr w:type="spellStart"/>
      <w:r w:rsidRPr="008873B1" w:rsidR="004D0549">
        <w:t>för</w:t>
      </w:r>
      <w:proofErr w:type="spellEnd"/>
      <w:r w:rsidRPr="008873B1" w:rsidR="004D0549">
        <w:t xml:space="preserve"> </w:t>
      </w:r>
      <w:proofErr w:type="spellStart"/>
      <w:r w:rsidRPr="008873B1" w:rsidR="004D0549">
        <w:t>rättvisa</w:t>
      </w:r>
      <w:proofErr w:type="spellEnd"/>
      <w:r w:rsidRPr="008873B1" w:rsidR="004D0549">
        <w:t xml:space="preserve"> v. Sweden</w:t>
      </w:r>
      <w:r w:rsidRPr="008873B1">
        <w:t>,</w:t>
      </w:r>
    </w:p>
    <w:p w:rsidRPr="008873B1" w:rsidR="00C835D4" w:rsidP="00C835D4" w:rsidRDefault="00C835D4" w14:paraId="2DF26154" w14:textId="77777777">
      <w:pPr>
        <w:pStyle w:val="JuPara"/>
      </w:pPr>
      <w:r w:rsidRPr="008873B1">
        <w:t xml:space="preserve">The European Court of Human Rights, sitting as a </w:t>
      </w:r>
      <w:r w:rsidRPr="008873B1" w:rsidR="004D0549">
        <w:t>Grand Chamber</w:t>
      </w:r>
      <w:r w:rsidRPr="008873B1">
        <w:t xml:space="preserve"> composed of:</w:t>
      </w:r>
    </w:p>
    <w:p w:rsidRPr="008873B1" w:rsidR="00C835D4" w:rsidP="00C835D4" w:rsidRDefault="007960B0" w14:paraId="468CA603" w14:textId="77777777">
      <w:pPr>
        <w:pStyle w:val="JuJudges"/>
      </w:pPr>
      <w:r w:rsidRPr="008873B1">
        <w:tab/>
        <w:t>Robert Spano,</w:t>
      </w:r>
      <w:r w:rsidRPr="008873B1">
        <w:rPr>
          <w:i/>
        </w:rPr>
        <w:t xml:space="preserve"> President,</w:t>
      </w:r>
      <w:r w:rsidRPr="008873B1">
        <w:rPr>
          <w:i/>
        </w:rPr>
        <w:br/>
      </w:r>
      <w:r w:rsidRPr="008873B1">
        <w:tab/>
        <w:t xml:space="preserve">Jon </w:t>
      </w:r>
      <w:proofErr w:type="spellStart"/>
      <w:r w:rsidRPr="008873B1">
        <w:t>Fridrik</w:t>
      </w:r>
      <w:proofErr w:type="spellEnd"/>
      <w:r w:rsidRPr="008873B1">
        <w:t xml:space="preserve"> </w:t>
      </w:r>
      <w:proofErr w:type="spellStart"/>
      <w:r w:rsidRPr="008873B1">
        <w:t>Kjølbro</w:t>
      </w:r>
      <w:proofErr w:type="spellEnd"/>
      <w:r w:rsidRPr="008873B1">
        <w:t>,</w:t>
      </w:r>
      <w:r w:rsidRPr="008873B1">
        <w:rPr>
          <w:i/>
        </w:rPr>
        <w:br/>
      </w:r>
      <w:r w:rsidRPr="008873B1">
        <w:tab/>
        <w:t xml:space="preserve">Angelika </w:t>
      </w:r>
      <w:proofErr w:type="spellStart"/>
      <w:r w:rsidRPr="008873B1">
        <w:t>Nußberger</w:t>
      </w:r>
      <w:proofErr w:type="spellEnd"/>
      <w:r w:rsidRPr="008873B1">
        <w:t>,</w:t>
      </w:r>
      <w:r w:rsidRPr="008873B1">
        <w:rPr>
          <w:i/>
        </w:rPr>
        <w:br/>
      </w:r>
      <w:r w:rsidRPr="008873B1">
        <w:tab/>
        <w:t>Paul Lemmens,</w:t>
      </w:r>
      <w:r w:rsidRPr="008873B1">
        <w:rPr>
          <w:i/>
        </w:rPr>
        <w:br/>
      </w:r>
      <w:r w:rsidRPr="008873B1">
        <w:tab/>
      </w:r>
      <w:proofErr w:type="spellStart"/>
      <w:r w:rsidRPr="008873B1">
        <w:t>Yonko</w:t>
      </w:r>
      <w:proofErr w:type="spellEnd"/>
      <w:r w:rsidRPr="008873B1">
        <w:t xml:space="preserve"> </w:t>
      </w:r>
      <w:proofErr w:type="spellStart"/>
      <w:r w:rsidRPr="008873B1">
        <w:t>Grozev</w:t>
      </w:r>
      <w:proofErr w:type="spellEnd"/>
      <w:r w:rsidRPr="008873B1">
        <w:t>,</w:t>
      </w:r>
      <w:r w:rsidRPr="008873B1">
        <w:rPr>
          <w:i/>
        </w:rPr>
        <w:br/>
      </w:r>
      <w:r w:rsidRPr="008873B1">
        <w:tab/>
        <w:t>Vincent A. De Gaetano,</w:t>
      </w:r>
      <w:r w:rsidRPr="008873B1">
        <w:rPr>
          <w:i/>
        </w:rPr>
        <w:br/>
      </w:r>
      <w:r w:rsidRPr="008873B1">
        <w:tab/>
        <w:t>Paulo Pinto de Albuquerque,</w:t>
      </w:r>
      <w:r w:rsidRPr="008873B1">
        <w:rPr>
          <w:i/>
        </w:rPr>
        <w:br/>
      </w:r>
      <w:r w:rsidRPr="008873B1">
        <w:tab/>
        <w:t xml:space="preserve">Faris </w:t>
      </w:r>
      <w:proofErr w:type="spellStart"/>
      <w:r w:rsidRPr="008873B1">
        <w:t>Vehabović</w:t>
      </w:r>
      <w:proofErr w:type="spellEnd"/>
      <w:r w:rsidRPr="008873B1">
        <w:t>,</w:t>
      </w:r>
      <w:r w:rsidRPr="008873B1">
        <w:rPr>
          <w:i/>
        </w:rPr>
        <w:br/>
      </w:r>
      <w:r w:rsidRPr="008873B1">
        <w:tab/>
        <w:t xml:space="preserve">Iulia </w:t>
      </w:r>
      <w:proofErr w:type="spellStart"/>
      <w:r w:rsidRPr="008873B1">
        <w:t>Antoanella</w:t>
      </w:r>
      <w:proofErr w:type="spellEnd"/>
      <w:r w:rsidRPr="008873B1">
        <w:t xml:space="preserve"> Motoc,</w:t>
      </w:r>
      <w:r w:rsidRPr="008873B1">
        <w:rPr>
          <w:i/>
        </w:rPr>
        <w:br/>
      </w:r>
      <w:r w:rsidRPr="008873B1">
        <w:tab/>
        <w:t>Carlo Ranzoni,</w:t>
      </w:r>
      <w:r w:rsidRPr="008873B1">
        <w:rPr>
          <w:i/>
        </w:rPr>
        <w:br/>
      </w:r>
      <w:r w:rsidRPr="008873B1">
        <w:tab/>
      </w:r>
      <w:proofErr w:type="spellStart"/>
      <w:r w:rsidRPr="008873B1">
        <w:t>Mārtiņš</w:t>
      </w:r>
      <w:proofErr w:type="spellEnd"/>
      <w:r w:rsidRPr="008873B1">
        <w:t xml:space="preserve"> Mits,</w:t>
      </w:r>
      <w:r w:rsidRPr="008873B1">
        <w:rPr>
          <w:i/>
        </w:rPr>
        <w:br/>
      </w:r>
      <w:r w:rsidRPr="008873B1">
        <w:tab/>
        <w:t xml:space="preserve">Gabriele </w:t>
      </w:r>
      <w:proofErr w:type="spellStart"/>
      <w:r w:rsidRPr="008873B1">
        <w:t>Kucsko-Stadlmayer</w:t>
      </w:r>
      <w:proofErr w:type="spellEnd"/>
      <w:r w:rsidRPr="008873B1">
        <w:t>,</w:t>
      </w:r>
      <w:r w:rsidRPr="008873B1">
        <w:rPr>
          <w:i/>
        </w:rPr>
        <w:br/>
      </w:r>
      <w:r w:rsidRPr="008873B1">
        <w:tab/>
        <w:t xml:space="preserve">Marko </w:t>
      </w:r>
      <w:proofErr w:type="spellStart"/>
      <w:r w:rsidRPr="008873B1">
        <w:t>Bošnjak</w:t>
      </w:r>
      <w:proofErr w:type="spellEnd"/>
      <w:r w:rsidRPr="008873B1">
        <w:t>,</w:t>
      </w:r>
      <w:r w:rsidRPr="008873B1">
        <w:rPr>
          <w:i/>
        </w:rPr>
        <w:br/>
      </w:r>
      <w:r w:rsidRPr="008873B1">
        <w:tab/>
        <w:t>Tim Eicke,</w:t>
      </w:r>
      <w:r w:rsidRPr="008873B1">
        <w:rPr>
          <w:i/>
        </w:rPr>
        <w:br/>
      </w:r>
      <w:r w:rsidRPr="008873B1">
        <w:tab/>
        <w:t>Darian Pavli,</w:t>
      </w:r>
      <w:r w:rsidRPr="008873B1">
        <w:rPr>
          <w:i/>
        </w:rPr>
        <w:br/>
      </w:r>
      <w:r w:rsidRPr="008873B1">
        <w:tab/>
        <w:t xml:space="preserve">Erik </w:t>
      </w:r>
      <w:proofErr w:type="spellStart"/>
      <w:r w:rsidRPr="008873B1">
        <w:t>Wennerström</w:t>
      </w:r>
      <w:proofErr w:type="spellEnd"/>
      <w:r w:rsidRPr="008873B1">
        <w:t>,</w:t>
      </w:r>
      <w:r w:rsidRPr="008873B1">
        <w:rPr>
          <w:i/>
        </w:rPr>
        <w:br/>
      </w:r>
      <w:r w:rsidRPr="008873B1">
        <w:tab/>
      </w:r>
      <w:proofErr w:type="spellStart"/>
      <w:r w:rsidRPr="008873B1">
        <w:t>Saadet</w:t>
      </w:r>
      <w:proofErr w:type="spellEnd"/>
      <w:r w:rsidRPr="008873B1">
        <w:t xml:space="preserve"> </w:t>
      </w:r>
      <w:proofErr w:type="spellStart"/>
      <w:r w:rsidRPr="008873B1">
        <w:t>Yüksel</w:t>
      </w:r>
      <w:proofErr w:type="spellEnd"/>
      <w:r w:rsidRPr="008873B1">
        <w:t>,</w:t>
      </w:r>
      <w:r w:rsidRPr="008873B1">
        <w:rPr>
          <w:i/>
        </w:rPr>
        <w:t xml:space="preserve"> judges,</w:t>
      </w:r>
      <w:r w:rsidRPr="008873B1" w:rsidR="00C835D4">
        <w:br/>
        <w:t xml:space="preserve">and </w:t>
      </w:r>
      <w:proofErr w:type="spellStart"/>
      <w:r w:rsidRPr="008873B1" w:rsidR="004D0549">
        <w:t>Søren</w:t>
      </w:r>
      <w:proofErr w:type="spellEnd"/>
      <w:r w:rsidRPr="008873B1" w:rsidR="004D0549">
        <w:t xml:space="preserve"> Prebensen</w:t>
      </w:r>
      <w:r w:rsidRPr="008873B1" w:rsidR="00C835D4">
        <w:t xml:space="preserve">, </w:t>
      </w:r>
      <w:r w:rsidRPr="008873B1" w:rsidR="004D0549">
        <w:rPr>
          <w:i/>
        </w:rPr>
        <w:t>Deputy Grand Chamber Registrar</w:t>
      </w:r>
      <w:r w:rsidRPr="008873B1" w:rsidR="00C835D4">
        <w:rPr>
          <w:i/>
        </w:rPr>
        <w:t>,</w:t>
      </w:r>
    </w:p>
    <w:p w:rsidRPr="008873B1" w:rsidR="00C835D4" w:rsidP="00C835D4" w:rsidRDefault="00C835D4" w14:paraId="1CC99A68" w14:textId="77777777">
      <w:pPr>
        <w:pStyle w:val="JuPara"/>
      </w:pPr>
      <w:r w:rsidRPr="008873B1">
        <w:t>Having deliberated in private on</w:t>
      </w:r>
      <w:r w:rsidRPr="008873B1" w:rsidR="007960B0">
        <w:t xml:space="preserve"> 11 July, 4 and 6 September 2019 and on</w:t>
      </w:r>
      <w:r w:rsidRPr="008873B1">
        <w:t xml:space="preserve"> </w:t>
      </w:r>
      <w:r w:rsidRPr="008873B1" w:rsidR="004D0549">
        <w:t>17 February 2021</w:t>
      </w:r>
      <w:r w:rsidRPr="008873B1">
        <w:t>,</w:t>
      </w:r>
    </w:p>
    <w:p w:rsidRPr="008873B1" w:rsidR="00C835D4" w:rsidP="00C835D4" w:rsidRDefault="00C835D4" w14:paraId="7D354F09" w14:textId="33F08997">
      <w:pPr>
        <w:pStyle w:val="JuPara"/>
      </w:pPr>
      <w:r w:rsidRPr="008873B1">
        <w:t>Delivers the following judgment, which was adopted on t</w:t>
      </w:r>
      <w:r w:rsidRPr="008873B1" w:rsidR="00805CF8">
        <w:t>he</w:t>
      </w:r>
      <w:r w:rsidRPr="008873B1">
        <w:t xml:space="preserve"> </w:t>
      </w:r>
      <w:r w:rsidR="00035CD4">
        <w:t xml:space="preserve">last-mentioned </w:t>
      </w:r>
      <w:r w:rsidRPr="008873B1">
        <w:t>date:</w:t>
      </w:r>
    </w:p>
    <w:p w:rsidRPr="008873B1" w:rsidR="004D0549" w:rsidP="008873B1" w:rsidRDefault="004D0549" w14:paraId="01260283" w14:textId="77777777">
      <w:pPr>
        <w:pStyle w:val="JuHHead"/>
        <w:numPr>
          <w:ilvl w:val="0"/>
          <w:numId w:val="1"/>
        </w:numPr>
      </w:pPr>
      <w:r w:rsidRPr="008873B1">
        <w:t>PROCEDURE</w:t>
      </w:r>
    </w:p>
    <w:p w:rsidRPr="008873B1" w:rsidR="004D0549" w:rsidP="004D0549" w:rsidRDefault="004D0549" w14:paraId="2A3B00FB" w14:textId="0E331795">
      <w:pPr>
        <w:pStyle w:val="JuPara"/>
      </w:pPr>
      <w:r w:rsidRPr="008873B1">
        <w:fldChar w:fldCharType="begin"/>
      </w:r>
      <w:r w:rsidRPr="008873B1">
        <w:instrText xml:space="preserve"> SEQ level0 \*arabic </w:instrText>
      </w:r>
      <w:r w:rsidRPr="008873B1">
        <w:fldChar w:fldCharType="separate"/>
      </w:r>
      <w:r w:rsidR="004F11CA">
        <w:rPr>
          <w:noProof/>
        </w:rPr>
        <w:t>1</w:t>
      </w:r>
      <w:r w:rsidRPr="008873B1">
        <w:fldChar w:fldCharType="end"/>
      </w:r>
      <w:r w:rsidRPr="008873B1">
        <w:t xml:space="preserve">.  The case originated in an application (no. 35252/08) against the Kingdom of Sweden lodged with the Court under Article 34 of the Convention for the Protection of Human Rights and Fundamental Freedoms (“the Convention”) by a Swedish foundation, Centrum </w:t>
      </w:r>
      <w:proofErr w:type="spellStart"/>
      <w:r w:rsidRPr="008873B1">
        <w:t>för</w:t>
      </w:r>
      <w:proofErr w:type="spellEnd"/>
      <w:r w:rsidRPr="008873B1">
        <w:t xml:space="preserve"> </w:t>
      </w:r>
      <w:proofErr w:type="spellStart"/>
      <w:r w:rsidRPr="008873B1">
        <w:t>rättvisa</w:t>
      </w:r>
      <w:proofErr w:type="spellEnd"/>
      <w:r w:rsidRPr="008873B1">
        <w:t xml:space="preserve"> (“the applicant”), on 14 July 2008.</w:t>
      </w:r>
    </w:p>
    <w:p w:rsidRPr="008873B1" w:rsidR="004D0549" w:rsidP="004D0549" w:rsidRDefault="004D0549" w14:paraId="34A1692A" w14:textId="448CD821">
      <w:pPr>
        <w:pStyle w:val="JuPara"/>
      </w:pPr>
      <w:r w:rsidRPr="008873B1">
        <w:fldChar w:fldCharType="begin"/>
      </w:r>
      <w:r w:rsidRPr="008873B1">
        <w:instrText xml:space="preserve"> SEQ level0 \*arabic </w:instrText>
      </w:r>
      <w:r w:rsidRPr="008873B1">
        <w:fldChar w:fldCharType="separate"/>
      </w:r>
      <w:r w:rsidR="004F11CA">
        <w:rPr>
          <w:noProof/>
        </w:rPr>
        <w:t>2</w:t>
      </w:r>
      <w:r w:rsidRPr="008873B1">
        <w:fldChar w:fldCharType="end"/>
      </w:r>
      <w:r w:rsidRPr="008873B1">
        <w:t xml:space="preserve">.  The applicant was represented by Mr F. Bergman and Ms A. Evans, lawyers practising in Stockholm. The Swedish Government (“the Government”) were represented by their Agent, Ms E. Hammarskjöld, Director General for </w:t>
      </w:r>
      <w:r w:rsidR="00A22A66">
        <w:t>L</w:t>
      </w:r>
      <w:r w:rsidRPr="008873B1">
        <w:t xml:space="preserve">egal </w:t>
      </w:r>
      <w:r w:rsidR="00A22A66">
        <w:t>A</w:t>
      </w:r>
      <w:r w:rsidRPr="008873B1">
        <w:t>ffairs, Ministry for Foreign Affairs.</w:t>
      </w:r>
    </w:p>
    <w:p w:rsidRPr="008873B1" w:rsidR="004D0549" w:rsidP="004D0549" w:rsidRDefault="004D0549" w14:paraId="2F4C3648" w14:textId="65761746">
      <w:pPr>
        <w:pStyle w:val="JuPara"/>
      </w:pPr>
      <w:r w:rsidRPr="008873B1">
        <w:fldChar w:fldCharType="begin"/>
      </w:r>
      <w:r w:rsidRPr="008873B1">
        <w:instrText xml:space="preserve"> SEQ level0 \*arabic </w:instrText>
      </w:r>
      <w:r w:rsidRPr="008873B1">
        <w:fldChar w:fldCharType="separate"/>
      </w:r>
      <w:r w:rsidR="004F11CA">
        <w:rPr>
          <w:noProof/>
        </w:rPr>
        <w:t>3</w:t>
      </w:r>
      <w:r w:rsidRPr="008873B1">
        <w:fldChar w:fldCharType="end"/>
      </w:r>
      <w:r w:rsidRPr="008873B1">
        <w:t>.  The applicant alleged that the Swedish legislation and practice in the field of signals intelligence violated its rights under Article 8 of the Convention and that it did not have an effective remedy in this regard</w:t>
      </w:r>
      <w:r w:rsidR="00982469">
        <w:t>,</w:t>
      </w:r>
      <w:r w:rsidRPr="008873B1">
        <w:t xml:space="preserve"> contrary to Article 13 of the Convention.</w:t>
      </w:r>
    </w:p>
    <w:p w:rsidRPr="008873B1" w:rsidR="004D0549" w:rsidP="004D0549" w:rsidRDefault="004D0549" w14:paraId="19CB24F7" w14:textId="76D535C4">
      <w:pPr>
        <w:pStyle w:val="JuPara"/>
      </w:pPr>
      <w:r w:rsidRPr="008873B1">
        <w:fldChar w:fldCharType="begin"/>
      </w:r>
      <w:r w:rsidRPr="008873B1">
        <w:instrText xml:space="preserve"> SEQ level0 \*arabic </w:instrText>
      </w:r>
      <w:r w:rsidRPr="008873B1">
        <w:fldChar w:fldCharType="separate"/>
      </w:r>
      <w:r w:rsidR="004F11CA">
        <w:rPr>
          <w:noProof/>
        </w:rPr>
        <w:t>4</w:t>
      </w:r>
      <w:r w:rsidRPr="008873B1">
        <w:fldChar w:fldCharType="end"/>
      </w:r>
      <w:r w:rsidRPr="008873B1">
        <w:t xml:space="preserve">.  The application was allocated to the Third Section of the Court (Rule 52 § 1 of the Rules of Court). On 1 November 2011 (admissibility) and 14 October 2014 (admissibility and merits) the application was communicated to the respondent Government. On 19 June 2018 a Chamber of that Section, composed of </w:t>
      </w:r>
      <w:proofErr w:type="spellStart"/>
      <w:r w:rsidRPr="008873B1">
        <w:t>Branko</w:t>
      </w:r>
      <w:proofErr w:type="spellEnd"/>
      <w:r w:rsidRPr="008873B1">
        <w:t xml:space="preserve"> </w:t>
      </w:r>
      <w:proofErr w:type="spellStart"/>
      <w:r w:rsidRPr="008873B1">
        <w:t>Lubarda</w:t>
      </w:r>
      <w:proofErr w:type="spellEnd"/>
      <w:r w:rsidRPr="008873B1">
        <w:t xml:space="preserve">, President, Helena </w:t>
      </w:r>
      <w:proofErr w:type="spellStart"/>
      <w:r w:rsidRPr="008873B1">
        <w:t>Jäderblom</w:t>
      </w:r>
      <w:proofErr w:type="spellEnd"/>
      <w:r w:rsidRPr="008873B1">
        <w:t xml:space="preserve">, Helen Keller, Pere Pastor </w:t>
      </w:r>
      <w:proofErr w:type="spellStart"/>
      <w:r w:rsidRPr="008873B1">
        <w:t>Vilanova</w:t>
      </w:r>
      <w:proofErr w:type="spellEnd"/>
      <w:r w:rsidRPr="008873B1">
        <w:t xml:space="preserve">, Alena </w:t>
      </w:r>
      <w:proofErr w:type="spellStart"/>
      <w:r w:rsidRPr="008873B1">
        <w:t>Poláčková</w:t>
      </w:r>
      <w:proofErr w:type="spellEnd"/>
      <w:r w:rsidRPr="008873B1">
        <w:t xml:space="preserve">, Georgios A. </w:t>
      </w:r>
      <w:proofErr w:type="spellStart"/>
      <w:r w:rsidRPr="008873B1">
        <w:t>Serghides</w:t>
      </w:r>
      <w:proofErr w:type="spellEnd"/>
      <w:r w:rsidRPr="008873B1">
        <w:t>, Jolien Schukking, judges, and Stephen Phillips, Section Registrar, gave judgment. The Chamber unanimously declared the application admissible and held that there had been no violation of Article 8 of the Convention and that there was no need to examine separately the complaint under Article 13.</w:t>
      </w:r>
    </w:p>
    <w:p w:rsidRPr="008873B1" w:rsidR="004D0549" w:rsidP="004D0549" w:rsidRDefault="004D0549" w14:paraId="2155C76D" w14:textId="75AE0452">
      <w:pPr>
        <w:pStyle w:val="JuPara"/>
      </w:pPr>
      <w:r w:rsidRPr="008873B1">
        <w:fldChar w:fldCharType="begin"/>
      </w:r>
      <w:r w:rsidRPr="008873B1">
        <w:instrText xml:space="preserve"> SEQ level0 \*arabic </w:instrText>
      </w:r>
      <w:r w:rsidRPr="008873B1">
        <w:fldChar w:fldCharType="separate"/>
      </w:r>
      <w:r w:rsidR="004F11CA">
        <w:rPr>
          <w:noProof/>
        </w:rPr>
        <w:t>5</w:t>
      </w:r>
      <w:r w:rsidRPr="008873B1">
        <w:fldChar w:fldCharType="end"/>
      </w:r>
      <w:r w:rsidRPr="008873B1">
        <w:t>.  On 19 September 2018 the applicant requested the referral of the case to the Grand Chamber in accordance with Article 43 of the Convention. On 4 February 2019 the panel of the Grand Chamber granted that request.</w:t>
      </w:r>
    </w:p>
    <w:p w:rsidRPr="008873B1" w:rsidR="004D0549" w:rsidP="004D0549" w:rsidRDefault="004D0549" w14:paraId="72D05874" w14:textId="246ABCE4">
      <w:pPr>
        <w:pStyle w:val="JuPara"/>
        <w:rPr>
          <w:i/>
        </w:rPr>
      </w:pPr>
      <w:r w:rsidRPr="008873B1">
        <w:fldChar w:fldCharType="begin"/>
      </w:r>
      <w:r w:rsidRPr="008873B1">
        <w:instrText xml:space="preserve"> SEQ level0 \*arabic </w:instrText>
      </w:r>
      <w:r w:rsidRPr="008873B1">
        <w:fldChar w:fldCharType="separate"/>
      </w:r>
      <w:r w:rsidR="004F11CA">
        <w:rPr>
          <w:noProof/>
        </w:rPr>
        <w:t>6</w:t>
      </w:r>
      <w:r w:rsidRPr="008873B1">
        <w:fldChar w:fldCharType="end"/>
      </w:r>
      <w:r w:rsidRPr="008873B1">
        <w:t xml:space="preserve">.  The composition of the Grand Chamber was determined according to the provisions of Article 26 §§ 4 and 5 of the Convention and Rule 24. The President of the Grand Chamber decided that in the interests of the proper administration of justice, the case should be assigned to the same Grand Chamber as the case of </w:t>
      </w:r>
      <w:r w:rsidRPr="008873B1">
        <w:rPr>
          <w:i/>
          <w:iCs/>
        </w:rPr>
        <w:t>Big Brother Watch and Others v. the United Kingdom</w:t>
      </w:r>
      <w:r w:rsidRPr="008873B1">
        <w:t xml:space="preserve"> (nos.</w:t>
      </w:r>
      <w:r w:rsidRPr="008873B1">
        <w:rPr>
          <w:lang w:eastAsia="en-GB"/>
        </w:rPr>
        <w:t xml:space="preserve"> </w:t>
      </w:r>
      <w:r w:rsidRPr="008873B1">
        <w:t>58170/13 and 2 others) (Rules 24, 42 § 2 and 71).</w:t>
      </w:r>
    </w:p>
    <w:p w:rsidRPr="008873B1" w:rsidR="004D0549" w:rsidP="004D0549" w:rsidRDefault="004D0549" w14:paraId="3DDE5702" w14:textId="7A01FCC8">
      <w:pPr>
        <w:pStyle w:val="JuPara"/>
      </w:pPr>
      <w:r w:rsidRPr="008873B1">
        <w:fldChar w:fldCharType="begin"/>
      </w:r>
      <w:r w:rsidRPr="008873B1">
        <w:instrText xml:space="preserve"> SEQ level0 \*arabic </w:instrText>
      </w:r>
      <w:r w:rsidRPr="008873B1">
        <w:fldChar w:fldCharType="separate"/>
      </w:r>
      <w:r w:rsidR="004F11CA">
        <w:rPr>
          <w:noProof/>
        </w:rPr>
        <w:t>7</w:t>
      </w:r>
      <w:r w:rsidRPr="008873B1">
        <w:fldChar w:fldCharType="end"/>
      </w:r>
      <w:r w:rsidRPr="008873B1">
        <w:t>.  The applicant and the Government each filed observations (Rule</w:t>
      </w:r>
      <w:r w:rsidRPr="008873B1" w:rsidR="00913A9A">
        <w:t> </w:t>
      </w:r>
      <w:r w:rsidRPr="008873B1">
        <w:t>59</w:t>
      </w:r>
      <w:r w:rsidRPr="008873B1" w:rsidR="00913A9A">
        <w:t> </w:t>
      </w:r>
      <w:r w:rsidRPr="008873B1">
        <w:t>§</w:t>
      </w:r>
      <w:r w:rsidRPr="008873B1" w:rsidR="00913A9A">
        <w:t> </w:t>
      </w:r>
      <w:r w:rsidRPr="008873B1">
        <w:t>1) on the merits of the case.</w:t>
      </w:r>
    </w:p>
    <w:p w:rsidRPr="008873B1" w:rsidR="004D0549" w:rsidP="004D0549" w:rsidRDefault="004D0549" w14:paraId="15BCC983" w14:textId="2B234123">
      <w:pPr>
        <w:pStyle w:val="JuPara"/>
      </w:pPr>
      <w:r w:rsidRPr="008873B1">
        <w:fldChar w:fldCharType="begin"/>
      </w:r>
      <w:r w:rsidRPr="008873B1">
        <w:instrText xml:space="preserve"> SEQ level0 \*arabic </w:instrText>
      </w:r>
      <w:r w:rsidRPr="008873B1">
        <w:fldChar w:fldCharType="separate"/>
      </w:r>
      <w:r w:rsidR="004F11CA">
        <w:rPr>
          <w:noProof/>
        </w:rPr>
        <w:t>8</w:t>
      </w:r>
      <w:r w:rsidRPr="008873B1">
        <w:fldChar w:fldCharType="end"/>
      </w:r>
      <w:r w:rsidRPr="008873B1">
        <w:t>.  The President of the Grand Chamber granted leave to the Governments of Estonia, France, the Netherlands and Norway to intervene in the written procedure, in accordance with Article 36 § 2 of the Convention and Rule 44 § 3.</w:t>
      </w:r>
    </w:p>
    <w:p w:rsidRPr="008873B1" w:rsidR="004D0549" w:rsidP="004D0549" w:rsidRDefault="004D0549" w14:paraId="068B5BA5" w14:textId="1BD2DA72">
      <w:pPr>
        <w:pStyle w:val="JuPara"/>
      </w:pPr>
      <w:r w:rsidRPr="008873B1">
        <w:fldChar w:fldCharType="begin"/>
      </w:r>
      <w:r w:rsidRPr="008873B1">
        <w:instrText xml:space="preserve"> SEQ level0 \*arabic </w:instrText>
      </w:r>
      <w:r w:rsidRPr="008873B1">
        <w:fldChar w:fldCharType="separate"/>
      </w:r>
      <w:r w:rsidR="004F11CA">
        <w:rPr>
          <w:noProof/>
        </w:rPr>
        <w:t>9</w:t>
      </w:r>
      <w:r w:rsidRPr="008873B1">
        <w:fldChar w:fldCharType="end"/>
      </w:r>
      <w:r w:rsidRPr="008873B1">
        <w:t>.  A hearing took place in public in the Human Rights Building, Strasbourg, on 10 July 2019.</w:t>
      </w:r>
    </w:p>
    <w:p w:rsidRPr="008873B1" w:rsidR="004D0549" w:rsidP="004D0549" w:rsidRDefault="004D0549" w14:paraId="2B476D22" w14:textId="77777777">
      <w:pPr>
        <w:pStyle w:val="JuPara"/>
      </w:pPr>
      <w:r w:rsidRPr="008873B1">
        <w:t>There appeared before the Court:</w:t>
      </w:r>
    </w:p>
    <w:p w:rsidRPr="008873B1" w:rsidR="004D0549" w:rsidP="004D0549" w:rsidRDefault="004D0549" w14:paraId="6E3280EC" w14:textId="323BBC5D">
      <w:pPr>
        <w:pStyle w:val="JuCourt"/>
      </w:pPr>
      <w:r w:rsidRPr="008873B1">
        <w:t>(a)  </w:t>
      </w:r>
      <w:r w:rsidRPr="008873B1">
        <w:rPr>
          <w:i/>
        </w:rPr>
        <w:t>for the respondent Government</w:t>
      </w:r>
      <w:r w:rsidRPr="008873B1">
        <w:br/>
        <w:t>Mrs</w:t>
      </w:r>
      <w:r w:rsidRPr="008873B1">
        <w:tab/>
      </w:r>
      <w:r w:rsidRPr="008873B1">
        <w:rPr>
          <w:rStyle w:val="JuNames0"/>
        </w:rPr>
        <w:t xml:space="preserve">E. Hammarskjöld, </w:t>
      </w:r>
      <w:r w:rsidRPr="008873B1">
        <w:t>Director General for Legal Affairs, Ministry for Foreign Affairs,</w:t>
      </w:r>
      <w:r w:rsidRPr="008873B1">
        <w:tab/>
      </w:r>
      <w:r w:rsidRPr="008873B1">
        <w:rPr>
          <w:i/>
        </w:rPr>
        <w:t>Agent</w:t>
      </w:r>
      <w:r w:rsidRPr="008873B1">
        <w:t>,</w:t>
      </w:r>
      <w:r w:rsidRPr="008873B1">
        <w:br/>
        <w:t>Mrs</w:t>
      </w:r>
      <w:r w:rsidRPr="008873B1">
        <w:tab/>
      </w:r>
      <w:r w:rsidRPr="008873B1">
        <w:rPr>
          <w:rStyle w:val="JuNames0"/>
        </w:rPr>
        <w:t>G. Isaksson</w:t>
      </w:r>
      <w:r w:rsidRPr="008873B1">
        <w:t>, Deputy Director, Ministry for Foreign Affairs,</w:t>
      </w:r>
      <w:r w:rsidRPr="008873B1">
        <w:tab/>
      </w:r>
      <w:r w:rsidRPr="008873B1">
        <w:br/>
        <w:t>Mrs</w:t>
      </w:r>
      <w:r w:rsidRPr="008873B1">
        <w:tab/>
      </w:r>
      <w:r w:rsidRPr="008873B1">
        <w:rPr>
          <w:rStyle w:val="JuNames0"/>
        </w:rPr>
        <w:t xml:space="preserve">J. </w:t>
      </w:r>
      <w:proofErr w:type="spellStart"/>
      <w:r w:rsidRPr="008873B1">
        <w:rPr>
          <w:rStyle w:val="JuNames0"/>
        </w:rPr>
        <w:t>Sjöstrand</w:t>
      </w:r>
      <w:proofErr w:type="spellEnd"/>
      <w:r w:rsidRPr="008873B1">
        <w:t>, Senior Legal Adviser, Ministry for Foreign Affairs,</w:t>
      </w:r>
      <w:r w:rsidRPr="008873B1">
        <w:br/>
        <w:t>Mr</w:t>
      </w:r>
      <w:r w:rsidRPr="008873B1">
        <w:tab/>
      </w:r>
      <w:proofErr w:type="spellStart"/>
      <w:r w:rsidRPr="008873B1">
        <w:rPr>
          <w:rStyle w:val="JuNames0"/>
        </w:rPr>
        <w:t>J.Garton</w:t>
      </w:r>
      <w:proofErr w:type="spellEnd"/>
      <w:r w:rsidRPr="008873B1">
        <w:t>, Deputy Director-General, Ministry of Defence,</w:t>
      </w:r>
      <w:r w:rsidRPr="008873B1">
        <w:tab/>
      </w:r>
      <w:r w:rsidRPr="008873B1">
        <w:br/>
        <w:t>Mr</w:t>
      </w:r>
      <w:r w:rsidRPr="008873B1">
        <w:tab/>
      </w:r>
      <w:r w:rsidRPr="008873B1">
        <w:rPr>
          <w:rStyle w:val="JuNames0"/>
        </w:rPr>
        <w:t>M. Andersson</w:t>
      </w:r>
      <w:r w:rsidRPr="008873B1">
        <w:t>, Senior Legal Adviser, Ministry of Defence</w:t>
      </w:r>
      <w:r w:rsidRPr="008873B1">
        <w:tab/>
      </w:r>
      <w:r w:rsidRPr="008873B1">
        <w:br/>
        <w:t>Mr</w:t>
      </w:r>
      <w:r w:rsidRPr="008873B1">
        <w:tab/>
        <w:t xml:space="preserve">H. </w:t>
      </w:r>
      <w:proofErr w:type="spellStart"/>
      <w:r w:rsidRPr="008873B1">
        <w:rPr>
          <w:rStyle w:val="JuNames0"/>
        </w:rPr>
        <w:t>Sellman</w:t>
      </w:r>
      <w:proofErr w:type="spellEnd"/>
      <w:r w:rsidRPr="008873B1">
        <w:t>, Deputy Director, Ministry of Justice,</w:t>
      </w:r>
      <w:r w:rsidRPr="008873B1">
        <w:br/>
        <w:t>Ms</w:t>
      </w:r>
      <w:r w:rsidRPr="008873B1">
        <w:tab/>
      </w:r>
      <w:r w:rsidRPr="008873B1">
        <w:rPr>
          <w:rStyle w:val="JuNames0"/>
        </w:rPr>
        <w:t xml:space="preserve">F. </w:t>
      </w:r>
      <w:proofErr w:type="spellStart"/>
      <w:r w:rsidRPr="008873B1">
        <w:rPr>
          <w:rStyle w:val="JuNames0"/>
        </w:rPr>
        <w:t>Krzyzanski</w:t>
      </w:r>
      <w:proofErr w:type="spellEnd"/>
      <w:r w:rsidRPr="008873B1">
        <w:t>, Legal Adviser, Ministry of Infrastructure,</w:t>
      </w:r>
      <w:r w:rsidRPr="008873B1">
        <w:br/>
        <w:t>Ms</w:t>
      </w:r>
      <w:r w:rsidRPr="008873B1">
        <w:tab/>
      </w:r>
      <w:r w:rsidRPr="008873B1">
        <w:rPr>
          <w:rStyle w:val="JuNames0"/>
        </w:rPr>
        <w:t xml:space="preserve">M. </w:t>
      </w:r>
      <w:proofErr w:type="spellStart"/>
      <w:r w:rsidRPr="008873B1">
        <w:rPr>
          <w:rStyle w:val="JuNames0"/>
        </w:rPr>
        <w:t>Dráb</w:t>
      </w:r>
      <w:proofErr w:type="spellEnd"/>
      <w:r w:rsidRPr="008873B1">
        <w:t>, Chief Legal Adviser, National Defence Radio Establishment,</w:t>
      </w:r>
      <w:r w:rsidRPr="008873B1">
        <w:br/>
        <w:t>Mr</w:t>
      </w:r>
      <w:r w:rsidRPr="008873B1">
        <w:tab/>
      </w:r>
      <w:r w:rsidRPr="008873B1">
        <w:rPr>
          <w:rStyle w:val="JuNames0"/>
        </w:rPr>
        <w:t xml:space="preserve">C. </w:t>
      </w:r>
      <w:proofErr w:type="spellStart"/>
      <w:r w:rsidRPr="008873B1">
        <w:rPr>
          <w:rStyle w:val="JuNames0"/>
        </w:rPr>
        <w:t>Hellsten</w:t>
      </w:r>
      <w:proofErr w:type="spellEnd"/>
      <w:r w:rsidRPr="008873B1">
        <w:t xml:space="preserve">, Senior Adviser, National Defence </w:t>
      </w:r>
      <w:r w:rsidR="002B291B">
        <w:t>R</w:t>
      </w:r>
      <w:r w:rsidRPr="008873B1" w:rsidR="002B291B">
        <w:t xml:space="preserve">adio </w:t>
      </w:r>
      <w:r w:rsidRPr="008873B1">
        <w:t>Establishment,</w:t>
      </w:r>
      <w:r w:rsidRPr="008873B1">
        <w:tab/>
      </w:r>
      <w:r w:rsidRPr="008873B1">
        <w:rPr>
          <w:i/>
        </w:rPr>
        <w:t>Advisers</w:t>
      </w:r>
      <w:r w:rsidRPr="008873B1">
        <w:t>.</w:t>
      </w:r>
    </w:p>
    <w:p w:rsidRPr="008873B1" w:rsidR="007701CC" w:rsidP="007701CC" w:rsidRDefault="007701CC" w14:paraId="2288DA31" w14:textId="77777777">
      <w:pPr>
        <w:rPr>
          <w:lang w:bidi="en-US"/>
        </w:rPr>
      </w:pPr>
    </w:p>
    <w:p w:rsidRPr="008873B1" w:rsidR="007701CC" w:rsidP="007701CC" w:rsidRDefault="007701CC" w14:paraId="77275866" w14:textId="77777777">
      <w:pPr>
        <w:rPr>
          <w:lang w:bidi="en-US"/>
        </w:rPr>
      </w:pPr>
    </w:p>
    <w:p w:rsidRPr="008873B1" w:rsidR="007701CC" w:rsidP="007701CC" w:rsidRDefault="007701CC" w14:paraId="3B772FA6" w14:textId="77777777">
      <w:pPr>
        <w:rPr>
          <w:lang w:bidi="en-US"/>
        </w:rPr>
      </w:pPr>
    </w:p>
    <w:p w:rsidRPr="008873B1" w:rsidR="004D0549" w:rsidP="004D0549" w:rsidRDefault="004D0549" w14:paraId="666BD10A" w14:textId="77777777">
      <w:pPr>
        <w:pStyle w:val="JuCourt"/>
      </w:pPr>
      <w:r w:rsidRPr="008873B1">
        <w:t>(b)  for the applicant</w:t>
      </w:r>
      <w:r w:rsidRPr="008873B1">
        <w:br/>
        <w:t>Mr</w:t>
      </w:r>
      <w:r w:rsidRPr="008873B1">
        <w:tab/>
      </w:r>
      <w:r w:rsidRPr="008873B1">
        <w:rPr>
          <w:rStyle w:val="JuNames0"/>
        </w:rPr>
        <w:t>F. Bergman</w:t>
      </w:r>
      <w:r w:rsidRPr="008873B1">
        <w:t>,</w:t>
      </w:r>
      <w:r w:rsidRPr="008873B1">
        <w:tab/>
      </w:r>
      <w:r w:rsidRPr="008873B1">
        <w:rPr>
          <w:i/>
        </w:rPr>
        <w:t>Counsel</w:t>
      </w:r>
      <w:r w:rsidRPr="008873B1">
        <w:t>,</w:t>
      </w:r>
      <w:r w:rsidRPr="008873B1">
        <w:br/>
        <w:t>Mrs</w:t>
      </w:r>
      <w:r w:rsidRPr="008873B1">
        <w:tab/>
      </w:r>
      <w:r w:rsidRPr="008873B1">
        <w:rPr>
          <w:rStyle w:val="JuNames0"/>
        </w:rPr>
        <w:t>A. Evans</w:t>
      </w:r>
      <w:r w:rsidRPr="008873B1">
        <w:t>,</w:t>
      </w:r>
      <w:r w:rsidRPr="008873B1">
        <w:tab/>
      </w:r>
      <w:r w:rsidRPr="008873B1">
        <w:rPr>
          <w:i/>
        </w:rPr>
        <w:t>Counsel</w:t>
      </w:r>
      <w:r w:rsidRPr="008873B1">
        <w:t>,</w:t>
      </w:r>
      <w:r w:rsidRPr="008873B1">
        <w:br/>
        <w:t>Mr</w:t>
      </w:r>
      <w:r w:rsidRPr="008873B1">
        <w:tab/>
      </w:r>
      <w:r w:rsidRPr="008873B1">
        <w:rPr>
          <w:rStyle w:val="JuNames0"/>
        </w:rPr>
        <w:t xml:space="preserve">A. </w:t>
      </w:r>
      <w:proofErr w:type="spellStart"/>
      <w:r w:rsidRPr="008873B1">
        <w:rPr>
          <w:rStyle w:val="JuNames0"/>
        </w:rPr>
        <w:t>Ottosson</w:t>
      </w:r>
      <w:proofErr w:type="spellEnd"/>
      <w:r w:rsidRPr="008873B1">
        <w:rPr>
          <w:rStyle w:val="JuNames0"/>
        </w:rPr>
        <w:t>,</w:t>
      </w:r>
      <w:r w:rsidRPr="008873B1">
        <w:tab/>
      </w:r>
      <w:r w:rsidRPr="008873B1">
        <w:rPr>
          <w:i/>
        </w:rPr>
        <w:t>Counsel</w:t>
      </w:r>
      <w:r w:rsidRPr="008873B1">
        <w:t>,</w:t>
      </w:r>
      <w:r w:rsidRPr="008873B1">
        <w:br/>
        <w:t>Mrs</w:t>
      </w:r>
      <w:r w:rsidRPr="008873B1">
        <w:tab/>
      </w:r>
      <w:r w:rsidRPr="008873B1">
        <w:rPr>
          <w:rStyle w:val="JuNames0"/>
        </w:rPr>
        <w:t>E. Palm</w:t>
      </w:r>
      <w:r w:rsidRPr="008873B1">
        <w:t xml:space="preserve">, </w:t>
      </w:r>
      <w:r w:rsidRPr="008873B1">
        <w:tab/>
      </w:r>
      <w:r w:rsidRPr="008873B1">
        <w:rPr>
          <w:i/>
        </w:rPr>
        <w:t>Adviser</w:t>
      </w:r>
      <w:r w:rsidRPr="008873B1">
        <w:t>.</w:t>
      </w:r>
    </w:p>
    <w:p w:rsidRPr="008873B1" w:rsidR="004D0549" w:rsidP="004D0549" w:rsidRDefault="004D0549" w14:paraId="513F4F63" w14:textId="77777777">
      <w:pPr>
        <w:pStyle w:val="JuPara"/>
      </w:pPr>
    </w:p>
    <w:p w:rsidRPr="008873B1" w:rsidR="004D0549" w:rsidP="004D0549" w:rsidRDefault="004D0549" w14:paraId="04D5723E" w14:textId="77777777">
      <w:pPr>
        <w:pStyle w:val="JuPara"/>
      </w:pPr>
      <w:r w:rsidRPr="008873B1">
        <w:t>The Court heard addresses by Ms Evans, Mr Bergman and Ms Hammarskjöld.</w:t>
      </w:r>
    </w:p>
    <w:p w:rsidRPr="008873B1" w:rsidR="004D0549" w:rsidP="008873B1" w:rsidRDefault="004D0549" w14:paraId="0B8C6FDF" w14:textId="77777777">
      <w:pPr>
        <w:pStyle w:val="JuHHead"/>
        <w:numPr>
          <w:ilvl w:val="0"/>
          <w:numId w:val="1"/>
        </w:numPr>
      </w:pPr>
      <w:r w:rsidRPr="008873B1">
        <w:t>THE FACTS</w:t>
      </w:r>
    </w:p>
    <w:p w:rsidRPr="008873B1" w:rsidR="004D0549" w:rsidP="004D0549" w:rsidRDefault="004D0549" w14:paraId="25AC6C18" w14:textId="3C18847A">
      <w:pPr>
        <w:pStyle w:val="JuPara"/>
      </w:pPr>
      <w:r w:rsidRPr="008873B1">
        <w:fldChar w:fldCharType="begin"/>
      </w:r>
      <w:r w:rsidRPr="008873B1">
        <w:instrText xml:space="preserve"> SEQ level0 \*arabic </w:instrText>
      </w:r>
      <w:r w:rsidRPr="008873B1">
        <w:fldChar w:fldCharType="separate"/>
      </w:r>
      <w:r w:rsidR="004F11CA">
        <w:rPr>
          <w:noProof/>
        </w:rPr>
        <w:t>10</w:t>
      </w:r>
      <w:r w:rsidRPr="008873B1">
        <w:fldChar w:fldCharType="end"/>
      </w:r>
      <w:r w:rsidRPr="008873B1">
        <w:t xml:space="preserve">. The applicant, Centrum </w:t>
      </w:r>
      <w:proofErr w:type="spellStart"/>
      <w:r w:rsidRPr="008873B1">
        <w:t>för</w:t>
      </w:r>
      <w:proofErr w:type="spellEnd"/>
      <w:r w:rsidRPr="008873B1">
        <w:t xml:space="preserve"> </w:t>
      </w:r>
      <w:proofErr w:type="spellStart"/>
      <w:r w:rsidRPr="008873B1">
        <w:t>rättvisa</w:t>
      </w:r>
      <w:proofErr w:type="spellEnd"/>
      <w:r w:rsidRPr="008873B1">
        <w:t xml:space="preserve">, is a foundation established in 2002. It has </w:t>
      </w:r>
      <w:proofErr w:type="gramStart"/>
      <w:r w:rsidRPr="008873B1">
        <w:t>its</w:t>
      </w:r>
      <w:proofErr w:type="gramEnd"/>
      <w:r w:rsidRPr="008873B1">
        <w:t xml:space="preserve"> </w:t>
      </w:r>
      <w:r w:rsidR="001C2E6B">
        <w:t>headquarters</w:t>
      </w:r>
      <w:r w:rsidRPr="008873B1">
        <w:t xml:space="preserve"> in Stockholm.</w:t>
      </w:r>
    </w:p>
    <w:p w:rsidRPr="008873B1" w:rsidR="004D0549" w:rsidP="004D0549" w:rsidRDefault="004D0549" w14:paraId="62BBA364" w14:textId="53CCB244">
      <w:pPr>
        <w:pStyle w:val="JuPara"/>
      </w:pPr>
      <w:r w:rsidRPr="008873B1">
        <w:fldChar w:fldCharType="begin"/>
      </w:r>
      <w:r w:rsidRPr="008873B1">
        <w:instrText xml:space="preserve"> SEQ level0 \*arabic </w:instrText>
      </w:r>
      <w:r w:rsidRPr="008873B1">
        <w:fldChar w:fldCharType="separate"/>
      </w:r>
      <w:r w:rsidR="004F11CA">
        <w:rPr>
          <w:noProof/>
        </w:rPr>
        <w:t>11</w:t>
      </w:r>
      <w:r w:rsidRPr="008873B1">
        <w:fldChar w:fldCharType="end"/>
      </w:r>
      <w:r w:rsidRPr="008873B1">
        <w:t xml:space="preserve">.  The applicant represents clients in proceedings concerning rights and freedoms under the Convention or related proceedings under Swedish law. It is also involved in education and research projects and participates in the general </w:t>
      </w:r>
      <w:r w:rsidR="0007370E">
        <w:t xml:space="preserve">public </w:t>
      </w:r>
      <w:r w:rsidRPr="008873B1">
        <w:t>debate on issues concerning individuals’ rights and freedoms.</w:t>
      </w:r>
    </w:p>
    <w:p w:rsidRPr="008873B1" w:rsidR="004D0549" w:rsidP="004D0549" w:rsidRDefault="004D0549" w14:paraId="537828E4" w14:textId="476AF44E">
      <w:pPr>
        <w:pStyle w:val="JuPara"/>
      </w:pPr>
      <w:r w:rsidRPr="008873B1">
        <w:fldChar w:fldCharType="begin"/>
      </w:r>
      <w:r w:rsidRPr="008873B1">
        <w:instrText xml:space="preserve"> SEQ level0 \*arabic </w:instrText>
      </w:r>
      <w:r w:rsidRPr="008873B1">
        <w:fldChar w:fldCharType="separate"/>
      </w:r>
      <w:r w:rsidR="004F11CA">
        <w:rPr>
          <w:noProof/>
        </w:rPr>
        <w:t>12</w:t>
      </w:r>
      <w:r w:rsidRPr="008873B1">
        <w:fldChar w:fldCharType="end"/>
      </w:r>
      <w:r w:rsidRPr="008873B1">
        <w:t xml:space="preserve">.  The applicant communicates </w:t>
      </w:r>
      <w:proofErr w:type="gramStart"/>
      <w:r w:rsidRPr="008873B1">
        <w:t>on a daily basis</w:t>
      </w:r>
      <w:proofErr w:type="gramEnd"/>
      <w:r w:rsidRPr="008873B1">
        <w:t xml:space="preserve"> with individuals, organisations and companies in Sweden and abroad by email, telephone and fax. It asserts that a large part of that communication is particularly sensitive from a privacy perspective. Due to the nature of its function as a non-governmental organisation scrutinising the activities of State actors, it believes that there is a risk that its communications have been or will be intercepted and examined by way of signals intelligence.</w:t>
      </w:r>
    </w:p>
    <w:p w:rsidRPr="008873B1" w:rsidR="004D0549" w:rsidP="004D0549" w:rsidRDefault="004D0549" w14:paraId="43C58C71" w14:textId="5F0411D0">
      <w:pPr>
        <w:pStyle w:val="JuPara"/>
      </w:pPr>
      <w:r w:rsidRPr="008873B1">
        <w:fldChar w:fldCharType="begin"/>
      </w:r>
      <w:r w:rsidRPr="008873B1">
        <w:instrText xml:space="preserve"> SEQ level0 \*arabic </w:instrText>
      </w:r>
      <w:r w:rsidRPr="008873B1">
        <w:fldChar w:fldCharType="separate"/>
      </w:r>
      <w:r w:rsidR="004F11CA">
        <w:rPr>
          <w:noProof/>
        </w:rPr>
        <w:t>13</w:t>
      </w:r>
      <w:r w:rsidRPr="008873B1">
        <w:fldChar w:fldCharType="end"/>
      </w:r>
      <w:r w:rsidRPr="008873B1">
        <w:t>.  The applicant has not brought any domestic proceedings, contending that there is no effective remedy for its Convention complaints.</w:t>
      </w:r>
    </w:p>
    <w:p w:rsidRPr="008873B1" w:rsidR="004D0549" w:rsidP="008873B1" w:rsidRDefault="004D0549" w14:paraId="0CA9AE2F" w14:textId="77777777">
      <w:pPr>
        <w:pStyle w:val="JuHHead"/>
        <w:numPr>
          <w:ilvl w:val="0"/>
          <w:numId w:val="1"/>
        </w:numPr>
      </w:pPr>
      <w:r w:rsidRPr="008873B1">
        <w:t>RELEVANT LEGAL FRAMEWORK AND PRACTICE</w:t>
      </w:r>
    </w:p>
    <w:p w:rsidRPr="008873B1" w:rsidR="004D0549" w:rsidP="008873B1" w:rsidRDefault="004D0549" w14:paraId="648C0076" w14:textId="77777777">
      <w:pPr>
        <w:pStyle w:val="JuHIRoman"/>
        <w:numPr>
          <w:ilvl w:val="1"/>
          <w:numId w:val="1"/>
        </w:numPr>
        <w:tabs>
          <w:tab w:val="clear" w:pos="454"/>
          <w:tab w:val="clear" w:pos="567"/>
          <w:tab w:val="clear" w:pos="680"/>
        </w:tabs>
      </w:pPr>
      <w:r w:rsidRPr="008873B1">
        <w:t>DOMESTIC LAW AND PRACTICE</w:t>
      </w:r>
    </w:p>
    <w:p w:rsidRPr="008873B1" w:rsidR="004D0549" w:rsidP="008873B1" w:rsidRDefault="004D0549" w14:paraId="69FAA254" w14:textId="77777777">
      <w:pPr>
        <w:pStyle w:val="JuHA"/>
        <w:numPr>
          <w:ilvl w:val="2"/>
          <w:numId w:val="1"/>
        </w:numPr>
        <w:ind w:left="584"/>
        <w:rPr>
          <w:bCs w:val="0"/>
          <w:szCs w:val="26"/>
        </w:rPr>
      </w:pPr>
      <w:proofErr w:type="gramStart"/>
      <w:r w:rsidRPr="008873B1">
        <w:rPr>
          <w:szCs w:val="26"/>
        </w:rPr>
        <w:t>Generally</w:t>
      </w:r>
      <w:proofErr w:type="gramEnd"/>
      <w:r w:rsidRPr="008873B1">
        <w:rPr>
          <w:szCs w:val="26"/>
        </w:rPr>
        <w:t xml:space="preserve"> on signals intelligence</w:t>
      </w:r>
    </w:p>
    <w:bookmarkStart w:name="Rel_Dom_law_begin" w:id="1"/>
    <w:p w:rsidRPr="008873B1" w:rsidR="004D0549" w:rsidP="004D0549" w:rsidRDefault="004D0549" w14:paraId="4F326D32" w14:textId="4F1BE52E">
      <w:pPr>
        <w:pStyle w:val="JuPara"/>
      </w:pPr>
      <w:r w:rsidRPr="008873B1">
        <w:fldChar w:fldCharType="begin"/>
      </w:r>
      <w:r w:rsidRPr="008873B1">
        <w:instrText xml:space="preserve"> SEQ level0 \*arabic </w:instrText>
      </w:r>
      <w:r w:rsidRPr="008873B1">
        <w:fldChar w:fldCharType="separate"/>
      </w:r>
      <w:r w:rsidR="004F11CA">
        <w:rPr>
          <w:noProof/>
        </w:rPr>
        <w:t>14</w:t>
      </w:r>
      <w:r w:rsidRPr="008873B1">
        <w:fldChar w:fldCharType="end"/>
      </w:r>
      <w:bookmarkEnd w:id="1"/>
      <w:r w:rsidRPr="008873B1">
        <w:t xml:space="preserve">.  Signals intelligence can be defined as intercepting, processing, analysing and reporting intelligence from electronic signals. These signals may be processed to text, images and sound. The intelligence collected through these procedures may concern both the content of a communication and its related communications data (the data describing, for instance, how, when and between which addresses the electronic communication is conducted). The intelligence may be intercepted over the airways – usually from radio links and satellites – and from cables. Whether a signal is transmitted over the airways or through cables is controlled by the communications service providers, that is, the telecom, internet, cable and other such companies </w:t>
      </w:r>
      <w:r w:rsidR="00827F8B">
        <w:t>which</w:t>
      </w:r>
      <w:r w:rsidRPr="008873B1">
        <w:t xml:space="preserve"> provide various forms of electronic transfer of information. A great majority of the traffic relevant for signals intelligence is cable-based. The term “communications bearers” (or “signal carriers”) refers to the medium used for transmitting one or more signals. Unless indicated </w:t>
      </w:r>
      <w:r w:rsidR="006D2EE8">
        <w:t>below</w:t>
      </w:r>
      <w:r w:rsidRPr="008873B1">
        <w:t>, the regulation of Swedish signals intelligence does not distinguish between the content of communications and their communications data or between airborne and cable-based traffic.</w:t>
      </w:r>
    </w:p>
    <w:p w:rsidRPr="008873B1" w:rsidR="004D0549" w:rsidP="008C6418" w:rsidRDefault="004D0549" w14:paraId="5C93FA98" w14:textId="3FD3D913">
      <w:pPr>
        <w:pStyle w:val="JuPara"/>
        <w:rPr>
          <w:rFonts w:cstheme="minorHAnsi"/>
        </w:rPr>
      </w:pPr>
      <w:r w:rsidRPr="008873B1">
        <w:fldChar w:fldCharType="begin"/>
      </w:r>
      <w:r w:rsidRPr="008873B1">
        <w:instrText xml:space="preserve"> SEQ level0 \*arabic </w:instrText>
      </w:r>
      <w:r w:rsidRPr="008873B1">
        <w:fldChar w:fldCharType="separate"/>
      </w:r>
      <w:r w:rsidR="004F11CA">
        <w:rPr>
          <w:noProof/>
        </w:rPr>
        <w:t>15</w:t>
      </w:r>
      <w:r w:rsidRPr="008873B1">
        <w:fldChar w:fldCharType="end"/>
      </w:r>
      <w:r w:rsidRPr="008873B1">
        <w:t>.  Foreign intelligence is, according to the Foreign Intelligence Act (</w:t>
      </w:r>
      <w:proofErr w:type="spellStart"/>
      <w:r w:rsidRPr="008873B1">
        <w:rPr>
          <w:i/>
        </w:rPr>
        <w:t>Lagen</w:t>
      </w:r>
      <w:proofErr w:type="spellEnd"/>
      <w:r w:rsidRPr="008873B1">
        <w:rPr>
          <w:i/>
        </w:rPr>
        <w:t xml:space="preserve"> om </w:t>
      </w:r>
      <w:proofErr w:type="spellStart"/>
      <w:r w:rsidRPr="008873B1">
        <w:rPr>
          <w:i/>
        </w:rPr>
        <w:t>försvarsunderrättelseverksamhet</w:t>
      </w:r>
      <w:proofErr w:type="spellEnd"/>
      <w:r w:rsidRPr="008873B1">
        <w:t>; 2000:130), conducted in support of Swedish foreign, defence and security policy, and in order to identify external threats to the country. The activities should also assist in Sweden’s participation in international security cooperation. Intelligence under the Act may only be conducted in relation to foreign circumstances (section 1(1)). This does not preclude that some of the foreign circumstances may have ramifications in Sweden, for example, when following the espionage operations of a foreign power targeting Sweden (</w:t>
      </w:r>
      <w:r w:rsidRPr="008873B1">
        <w:rPr>
          <w:rFonts w:cstheme="minorHAnsi"/>
        </w:rPr>
        <w:t>preparatory works to amended legislation on foreign intelligence, prop. 2006/07:63, p. 43).</w:t>
      </w:r>
    </w:p>
    <w:p w:rsidRPr="008873B1" w:rsidR="004D0549" w:rsidP="008C6418" w:rsidRDefault="004D0549" w14:paraId="3401747C" w14:textId="15535E76">
      <w:pPr>
        <w:pStyle w:val="JuPara"/>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16</w:t>
      </w:r>
      <w:r w:rsidRPr="008873B1">
        <w:rPr>
          <w:rFonts w:cstheme="minorHAnsi"/>
        </w:rPr>
        <w:fldChar w:fldCharType="end"/>
      </w:r>
      <w:r w:rsidRPr="008873B1">
        <w:rPr>
          <w:rFonts w:cstheme="minorHAnsi"/>
        </w:rPr>
        <w:t>.  </w:t>
      </w:r>
      <w:r w:rsidRPr="008873B1">
        <w:t xml:space="preserve">The Government determines the direction of the activities; it also decides which authorities may issue more detailed directives and which authority is to conduct the intelligence activities (section 1(2) and 1(3)). The Government issues general tasking directives annually. Foreign intelligence may not be conducted for the purpose of solving tasks in the area of law enforcement or crime prevention, which come under the mandate of the Police Authority, the Security Police and other authorities and which are regulated by different legislation. However, authorities that conduct foreign intelligence may support authorities dealing with law enforcement or crime prevention (section 4). Examples of such support are cryptanalysis and technical help on information security </w:t>
      </w:r>
      <w:r w:rsidRPr="008873B1">
        <w:rPr>
          <w:rFonts w:cstheme="minorHAnsi"/>
        </w:rPr>
        <w:t>(preparatory works to amended legislation on foreign intelligence, prop. 2006/07:63, p. 136)</w:t>
      </w:r>
      <w:r w:rsidRPr="008873B1">
        <w:t>.</w:t>
      </w:r>
    </w:p>
    <w:p w:rsidRPr="008873B1" w:rsidR="004D0549" w:rsidP="008C6418" w:rsidRDefault="004D0549" w14:paraId="36DE75AA" w14:textId="798C1C73">
      <w:pPr>
        <w:pStyle w:val="JuPara"/>
      </w:pPr>
      <w:r w:rsidRPr="008873B1">
        <w:fldChar w:fldCharType="begin"/>
      </w:r>
      <w:r w:rsidRPr="008873B1">
        <w:instrText xml:space="preserve"> SEQ level0 \*arabic </w:instrText>
      </w:r>
      <w:r w:rsidRPr="008873B1">
        <w:fldChar w:fldCharType="separate"/>
      </w:r>
      <w:r w:rsidR="004F11CA">
        <w:rPr>
          <w:noProof/>
        </w:rPr>
        <w:t>17</w:t>
      </w:r>
      <w:r w:rsidRPr="008873B1">
        <w:fldChar w:fldCharType="end"/>
      </w:r>
      <w:r w:rsidRPr="008873B1">
        <w:t>.  The collection of electronic signals is one form of foreign intelligence. It is regulated by the Signals Intelligence Act (</w:t>
      </w:r>
      <w:proofErr w:type="spellStart"/>
      <w:r w:rsidRPr="008873B1">
        <w:rPr>
          <w:i/>
        </w:rPr>
        <w:t>Lagen</w:t>
      </w:r>
      <w:proofErr w:type="spellEnd"/>
      <w:r w:rsidRPr="008873B1">
        <w:rPr>
          <w:i/>
        </w:rPr>
        <w:t xml:space="preserve"> om </w:t>
      </w:r>
      <w:proofErr w:type="spellStart"/>
      <w:r w:rsidRPr="008873B1">
        <w:rPr>
          <w:i/>
        </w:rPr>
        <w:t>signalspaning</w:t>
      </w:r>
      <w:proofErr w:type="spellEnd"/>
      <w:r w:rsidRPr="008873B1">
        <w:rPr>
          <w:i/>
        </w:rPr>
        <w:t xml:space="preserve"> </w:t>
      </w:r>
      <w:proofErr w:type="spellStart"/>
      <w:r w:rsidRPr="008873B1">
        <w:rPr>
          <w:i/>
        </w:rPr>
        <w:t>i</w:t>
      </w:r>
      <w:proofErr w:type="spellEnd"/>
      <w:r w:rsidRPr="008873B1">
        <w:rPr>
          <w:i/>
        </w:rPr>
        <w:t xml:space="preserve"> </w:t>
      </w:r>
      <w:proofErr w:type="spellStart"/>
      <w:r w:rsidRPr="008873B1">
        <w:rPr>
          <w:i/>
        </w:rPr>
        <w:t>försvarsunderrättelseverksamhet</w:t>
      </w:r>
      <w:proofErr w:type="spellEnd"/>
      <w:r w:rsidRPr="008873B1">
        <w:t>; 2008:717), which entered into force on 1 January 2009. Several amendments were made to the Act on 1 December 2009, 1 January 2013, 1 January 2015 and 15 July 2016. Supplementary provisions are found in the Signals Intelligence Ordinance (</w:t>
      </w:r>
      <w:proofErr w:type="spellStart"/>
      <w:r w:rsidRPr="008873B1">
        <w:rPr>
          <w:i/>
        </w:rPr>
        <w:t>Förordningen</w:t>
      </w:r>
      <w:proofErr w:type="spellEnd"/>
      <w:r w:rsidRPr="008873B1">
        <w:rPr>
          <w:i/>
        </w:rPr>
        <w:t xml:space="preserve"> om </w:t>
      </w:r>
      <w:proofErr w:type="spellStart"/>
      <w:r w:rsidRPr="008873B1">
        <w:rPr>
          <w:i/>
        </w:rPr>
        <w:t>signalspaning</w:t>
      </w:r>
      <w:proofErr w:type="spellEnd"/>
      <w:r w:rsidRPr="008873B1">
        <w:rPr>
          <w:i/>
        </w:rPr>
        <w:t xml:space="preserve"> </w:t>
      </w:r>
      <w:proofErr w:type="spellStart"/>
      <w:r w:rsidRPr="008873B1">
        <w:rPr>
          <w:i/>
        </w:rPr>
        <w:t>i</w:t>
      </w:r>
      <w:proofErr w:type="spellEnd"/>
      <w:r w:rsidRPr="008873B1">
        <w:rPr>
          <w:i/>
        </w:rPr>
        <w:t xml:space="preserve"> </w:t>
      </w:r>
      <w:proofErr w:type="spellStart"/>
      <w:r w:rsidRPr="008873B1">
        <w:rPr>
          <w:i/>
        </w:rPr>
        <w:t>försvarsunderrättelseverksamhet</w:t>
      </w:r>
      <w:proofErr w:type="spellEnd"/>
      <w:r w:rsidRPr="008873B1">
        <w:t>; 2008:923). The legislation authorises the National Defence Radio Establishment (</w:t>
      </w:r>
      <w:proofErr w:type="spellStart"/>
      <w:r w:rsidRPr="008873B1">
        <w:rPr>
          <w:i/>
        </w:rPr>
        <w:t>Försvarets</w:t>
      </w:r>
      <w:proofErr w:type="spellEnd"/>
      <w:r w:rsidRPr="008873B1">
        <w:rPr>
          <w:i/>
        </w:rPr>
        <w:t xml:space="preserve"> </w:t>
      </w:r>
      <w:proofErr w:type="spellStart"/>
      <w:r w:rsidRPr="008873B1">
        <w:rPr>
          <w:i/>
        </w:rPr>
        <w:t>radioanstalt</w:t>
      </w:r>
      <w:proofErr w:type="spellEnd"/>
      <w:r w:rsidRPr="008873B1">
        <w:t>; henceforth “the FRA”) to conduct signals intelligence (section 2 of the Ordinance compared to section 1 of the Act).</w:t>
      </w:r>
    </w:p>
    <w:bookmarkStart w:name="initial_interception" w:id="2"/>
    <w:p w:rsidRPr="008873B1" w:rsidR="004D0549" w:rsidP="008C6418" w:rsidRDefault="004D0549" w14:paraId="0F54D294" w14:textId="3D56E2C9">
      <w:pPr>
        <w:pStyle w:val="JuPara"/>
      </w:pPr>
      <w:r w:rsidRPr="008873B1">
        <w:fldChar w:fldCharType="begin"/>
      </w:r>
      <w:r w:rsidRPr="008873B1">
        <w:instrText xml:space="preserve"> SEQ level0 \*arabic </w:instrText>
      </w:r>
      <w:r w:rsidRPr="008873B1">
        <w:fldChar w:fldCharType="separate"/>
      </w:r>
      <w:r w:rsidR="004F11CA">
        <w:rPr>
          <w:noProof/>
        </w:rPr>
        <w:t>18</w:t>
      </w:r>
      <w:r w:rsidRPr="008873B1">
        <w:fldChar w:fldCharType="end"/>
      </w:r>
      <w:bookmarkEnd w:id="2"/>
      <w:r w:rsidRPr="008873B1">
        <w:t>.  During signals intelligence all cable-based cross-border communications are transferred to certain points of collection. No information is stored at these points and a limited amount of data traffic is transferred to the FRA by communications bearers (parliamentary committee report SOU 2016:45, p. 107).</w:t>
      </w:r>
    </w:p>
    <w:p w:rsidRPr="008873B1" w:rsidR="004D0549" w:rsidP="008C6418" w:rsidRDefault="004D0549" w14:paraId="441F26BF" w14:textId="367C0FE9">
      <w:pPr>
        <w:pStyle w:val="JuPara"/>
      </w:pPr>
      <w:r w:rsidRPr="008873B1">
        <w:fldChar w:fldCharType="begin"/>
      </w:r>
      <w:r w:rsidRPr="008873B1">
        <w:instrText xml:space="preserve"> SEQ level0 \*arabic </w:instrText>
      </w:r>
      <w:r w:rsidRPr="008873B1">
        <w:fldChar w:fldCharType="separate"/>
      </w:r>
      <w:r w:rsidR="004F11CA">
        <w:rPr>
          <w:noProof/>
        </w:rPr>
        <w:t>19</w:t>
      </w:r>
      <w:r w:rsidRPr="008873B1">
        <w:fldChar w:fldCharType="end"/>
      </w:r>
      <w:r w:rsidRPr="008873B1">
        <w:t>.  The FRA may conduct signals intelligence within the area of foreign intelligence only as a result of a detailed tasking directive issued by the Government, the Government Offices, the Armed Forces or, as from January 2013, the Security Police and the National Operative Department of the Police Authority (</w:t>
      </w:r>
      <w:proofErr w:type="spellStart"/>
      <w:r w:rsidRPr="008873B1">
        <w:rPr>
          <w:rFonts w:cstheme="minorHAnsi"/>
          <w:i/>
        </w:rPr>
        <w:t>Nationella</w:t>
      </w:r>
      <w:proofErr w:type="spellEnd"/>
      <w:r w:rsidRPr="008873B1">
        <w:rPr>
          <w:rFonts w:cstheme="minorHAnsi"/>
          <w:i/>
        </w:rPr>
        <w:t xml:space="preserve"> </w:t>
      </w:r>
      <w:proofErr w:type="spellStart"/>
      <w:r w:rsidRPr="008873B1">
        <w:rPr>
          <w:rFonts w:cstheme="minorHAnsi"/>
          <w:i/>
        </w:rPr>
        <w:t>operativa</w:t>
      </w:r>
      <w:proofErr w:type="spellEnd"/>
      <w:r w:rsidRPr="008873B1">
        <w:rPr>
          <w:rFonts w:cstheme="minorHAnsi"/>
          <w:i/>
        </w:rPr>
        <w:t xml:space="preserve"> </w:t>
      </w:r>
      <w:proofErr w:type="spellStart"/>
      <w:r w:rsidRPr="008873B1">
        <w:rPr>
          <w:rFonts w:cstheme="minorHAnsi"/>
          <w:i/>
        </w:rPr>
        <w:t>avdelningen</w:t>
      </w:r>
      <w:proofErr w:type="spellEnd"/>
      <w:r w:rsidRPr="008873B1">
        <w:rPr>
          <w:rFonts w:cstheme="minorHAnsi"/>
          <w:i/>
        </w:rPr>
        <w:t xml:space="preserve"> </w:t>
      </w:r>
      <w:proofErr w:type="spellStart"/>
      <w:r w:rsidRPr="008873B1">
        <w:rPr>
          <w:rFonts w:cstheme="minorHAnsi"/>
          <w:i/>
        </w:rPr>
        <w:t>i</w:t>
      </w:r>
      <w:proofErr w:type="spellEnd"/>
      <w:r w:rsidRPr="008873B1">
        <w:rPr>
          <w:rFonts w:cstheme="minorHAnsi"/>
          <w:i/>
        </w:rPr>
        <w:t xml:space="preserve"> </w:t>
      </w:r>
      <w:proofErr w:type="spellStart"/>
      <w:r w:rsidRPr="008873B1">
        <w:rPr>
          <w:rFonts w:cstheme="minorHAnsi"/>
          <w:i/>
        </w:rPr>
        <w:t>Polismyndigheten</w:t>
      </w:r>
      <w:proofErr w:type="spellEnd"/>
      <w:r w:rsidRPr="008873B1">
        <w:rPr>
          <w:rFonts w:cstheme="minorHAnsi"/>
        </w:rPr>
        <w:t>; hereafter “NOA”) (sections 1(1) and 4(1)</w:t>
      </w:r>
      <w:r w:rsidRPr="008873B1">
        <w:t xml:space="preserve"> of the Act) in accordance with the issuer’s precise intelligence requirements. However, the direction of the FRA’s “development activities” may be determined solely by the Government (section 4(2)). A detailed tasking directive determines the direction of the intelligence activities and may concern a certain phenomenon or situation, but it may not solely target a specific natural person (section 4(3)).</w:t>
      </w:r>
    </w:p>
    <w:p w:rsidRPr="008873B1" w:rsidR="004D0549" w:rsidP="008C6418" w:rsidRDefault="004D0549" w14:paraId="7A1E42F4" w14:textId="0FB9A741">
      <w:pPr>
        <w:pStyle w:val="JuPara"/>
      </w:pPr>
      <w:r w:rsidRPr="008873B1">
        <w:fldChar w:fldCharType="begin"/>
      </w:r>
      <w:r w:rsidRPr="008873B1">
        <w:instrText xml:space="preserve"> SEQ level0 \*arabic </w:instrText>
      </w:r>
      <w:r w:rsidRPr="008873B1">
        <w:fldChar w:fldCharType="separate"/>
      </w:r>
      <w:r w:rsidR="004F11CA">
        <w:rPr>
          <w:noProof/>
        </w:rPr>
        <w:t>20</w:t>
      </w:r>
      <w:r w:rsidRPr="008873B1">
        <w:fldChar w:fldCharType="end"/>
      </w:r>
      <w:r w:rsidRPr="008873B1">
        <w:t>.  The mandate of the Security Police and the NOA to issue detailed tasking directives aims to improve these authorities’ ability to obtain data about foreign circumstances at a strategic level concerning international terrorism and other serious international crime that may threaten essential national interests. At the time of introduction of the new rules, the Government stated in the preparatory works (prop. 2011/12:179, p. 19) that the mandate is in accordance with the prohibition on conducting signals intelligence for the purpose of solving tasks in the area of law enforcement or crime prevention.</w:t>
      </w:r>
    </w:p>
    <w:p w:rsidRPr="008873B1" w:rsidR="004D0549" w:rsidP="008C6418" w:rsidRDefault="004D0549" w14:paraId="75FB751C" w14:textId="2D8DD86B">
      <w:pPr>
        <w:pStyle w:val="JuPara"/>
      </w:pPr>
      <w:r w:rsidRPr="008873B1">
        <w:fldChar w:fldCharType="begin"/>
      </w:r>
      <w:r w:rsidRPr="008873B1">
        <w:instrText xml:space="preserve"> SEQ level0 \*arabic </w:instrText>
      </w:r>
      <w:r w:rsidRPr="008873B1">
        <w:fldChar w:fldCharType="separate"/>
      </w:r>
      <w:r w:rsidR="004F11CA">
        <w:rPr>
          <w:noProof/>
        </w:rPr>
        <w:t>21</w:t>
      </w:r>
      <w:r w:rsidRPr="008873B1">
        <w:fldChar w:fldCharType="end"/>
      </w:r>
      <w:r w:rsidRPr="008873B1">
        <w:t>.  According to the Foreign Intelligence Ordinance (</w:t>
      </w:r>
      <w:proofErr w:type="spellStart"/>
      <w:r w:rsidRPr="008873B1">
        <w:rPr>
          <w:i/>
        </w:rPr>
        <w:t>Förordningen</w:t>
      </w:r>
      <w:proofErr w:type="spellEnd"/>
      <w:r w:rsidRPr="008873B1">
        <w:rPr>
          <w:i/>
        </w:rPr>
        <w:t xml:space="preserve"> om </w:t>
      </w:r>
      <w:proofErr w:type="spellStart"/>
      <w:r w:rsidRPr="008873B1">
        <w:rPr>
          <w:i/>
        </w:rPr>
        <w:t>försvarsunderrättelseverksamhet</w:t>
      </w:r>
      <w:proofErr w:type="spellEnd"/>
      <w:r w:rsidRPr="008873B1">
        <w:t xml:space="preserve">; 2000:131), a detailed tasking directive shall include information about </w:t>
      </w:r>
      <w:r w:rsidR="002A3208">
        <w:t>(</w:t>
      </w:r>
      <w:proofErr w:type="spellStart"/>
      <w:r w:rsidR="002A3208">
        <w:t>i</w:t>
      </w:r>
      <w:proofErr w:type="spellEnd"/>
      <w:r w:rsidRPr="008873B1">
        <w:t xml:space="preserve">) the issuing authority, </w:t>
      </w:r>
      <w:r w:rsidR="002A3208">
        <w:t>(ii</w:t>
      </w:r>
      <w:r w:rsidRPr="008873B1">
        <w:t xml:space="preserve">) the part of the Government’s annual tasking directive it concerns, </w:t>
      </w:r>
      <w:r w:rsidR="002A3208">
        <w:t>(iii</w:t>
      </w:r>
      <w:r w:rsidRPr="008873B1">
        <w:t xml:space="preserve">) the phenomenon or situation intended to be covered, and </w:t>
      </w:r>
      <w:r w:rsidR="002A3208">
        <w:t>(iv</w:t>
      </w:r>
      <w:r w:rsidRPr="008873B1">
        <w:t>) the need for intelligence on that phenomenon or situation (section 2a).</w:t>
      </w:r>
    </w:p>
    <w:p w:rsidRPr="00E31657" w:rsidR="004D0549" w:rsidP="00E31657" w:rsidRDefault="004D0549" w14:paraId="4AC8B7B8" w14:textId="77777777">
      <w:pPr>
        <w:pStyle w:val="JuHA"/>
        <w:numPr>
          <w:ilvl w:val="0"/>
          <w:numId w:val="0"/>
        </w:numPr>
        <w:ind w:left="510"/>
      </w:pPr>
      <w:r w:rsidRPr="00E31657">
        <w:t>B.  Scope of application of signals intelligence</w:t>
      </w:r>
    </w:p>
    <w:p w:rsidRPr="008873B1" w:rsidR="004D0549" w:rsidP="008C6418" w:rsidRDefault="004D0549" w14:paraId="113CF420" w14:textId="54DD5CEA">
      <w:pPr>
        <w:pStyle w:val="Jupara0"/>
      </w:pPr>
      <w:r w:rsidRPr="008873B1">
        <w:fldChar w:fldCharType="begin"/>
      </w:r>
      <w:r w:rsidRPr="008873B1">
        <w:instrText xml:space="preserve"> SEQ level0 \*arabic </w:instrText>
      </w:r>
      <w:r w:rsidRPr="008873B1">
        <w:fldChar w:fldCharType="separate"/>
      </w:r>
      <w:r w:rsidR="004F11CA">
        <w:rPr>
          <w:noProof/>
        </w:rPr>
        <w:t>22</w:t>
      </w:r>
      <w:r w:rsidRPr="008873B1">
        <w:fldChar w:fldCharType="end"/>
      </w:r>
      <w:r w:rsidRPr="008873B1">
        <w:t>.  The purposes for which electronic signals may be collected as part of foreign intelligence are specified in the Signals Intelligence Act (section 1 (2)) which provides that signals intelligence may be conducted only to survey:</w:t>
      </w:r>
    </w:p>
    <w:p w:rsidRPr="008873B1" w:rsidR="004D0549" w:rsidP="004D0549" w:rsidRDefault="004D0549" w14:paraId="6A6E20C7" w14:textId="77777777">
      <w:pPr>
        <w:pStyle w:val="JuPara"/>
        <w:ind w:left="709" w:hanging="283"/>
      </w:pPr>
      <w:r w:rsidRPr="008873B1">
        <w:t>1.</w:t>
      </w:r>
      <w:r w:rsidRPr="008873B1">
        <w:tab/>
        <w:t>external military threats to the country;</w:t>
      </w:r>
    </w:p>
    <w:p w:rsidRPr="008873B1" w:rsidR="004D0549" w:rsidP="004D0549" w:rsidRDefault="004D0549" w14:paraId="1DEC5221" w14:textId="77777777">
      <w:pPr>
        <w:pStyle w:val="JuPara"/>
        <w:ind w:left="709" w:hanging="283"/>
      </w:pPr>
      <w:r w:rsidRPr="008873B1">
        <w:t>2.</w:t>
      </w:r>
      <w:r w:rsidRPr="008873B1">
        <w:tab/>
        <w:t>conditions for Swedish participation in international peacekeeping or humanitarian missions or threats to the safety of Swedish interests in the performance of such operations;</w:t>
      </w:r>
    </w:p>
    <w:p w:rsidRPr="008873B1" w:rsidR="004D0549" w:rsidP="004D0549" w:rsidRDefault="004D0549" w14:paraId="0E177BAE" w14:textId="77777777">
      <w:pPr>
        <w:pStyle w:val="JuPara"/>
        <w:ind w:left="709" w:hanging="283"/>
      </w:pPr>
      <w:r w:rsidRPr="008873B1">
        <w:t>3.</w:t>
      </w:r>
      <w:r w:rsidRPr="008873B1">
        <w:tab/>
        <w:t>strategic circumstances concerning international terrorism or other serious cross-border crime that may threaten essential national interests;</w:t>
      </w:r>
    </w:p>
    <w:p w:rsidRPr="008873B1" w:rsidR="004D0549" w:rsidP="004D0549" w:rsidRDefault="004D0549" w14:paraId="35F084D3" w14:textId="77777777">
      <w:pPr>
        <w:pStyle w:val="JuPara"/>
        <w:ind w:left="709" w:hanging="283"/>
      </w:pPr>
      <w:r w:rsidRPr="008873B1">
        <w:t>4.</w:t>
      </w:r>
      <w:r w:rsidRPr="008873B1">
        <w:tab/>
        <w:t>the development and proliferation of weapons of mass destruction, military equipment and other similar specified products;</w:t>
      </w:r>
    </w:p>
    <w:p w:rsidRPr="008873B1" w:rsidR="004D0549" w:rsidP="004D0549" w:rsidRDefault="004D0549" w14:paraId="6724587C" w14:textId="77777777">
      <w:pPr>
        <w:pStyle w:val="JuPara"/>
        <w:ind w:left="709" w:hanging="283"/>
      </w:pPr>
      <w:r w:rsidRPr="008873B1">
        <w:t>5.</w:t>
      </w:r>
      <w:r w:rsidRPr="008873B1">
        <w:tab/>
        <w:t>serious external threats to society’s infrastructure;</w:t>
      </w:r>
    </w:p>
    <w:p w:rsidRPr="008873B1" w:rsidR="004D0549" w:rsidP="004D0549" w:rsidRDefault="004D0549" w14:paraId="786371F9" w14:textId="77777777">
      <w:pPr>
        <w:pStyle w:val="JuPara"/>
        <w:ind w:left="709" w:hanging="283"/>
      </w:pPr>
      <w:r w:rsidRPr="008873B1">
        <w:t>6.</w:t>
      </w:r>
      <w:r w:rsidRPr="008873B1">
        <w:tab/>
        <w:t>foreign conflicts with consequences for international security;</w:t>
      </w:r>
    </w:p>
    <w:p w:rsidRPr="008873B1" w:rsidR="004D0549" w:rsidP="004D0549" w:rsidRDefault="004D0549" w14:paraId="1A185100" w14:textId="77777777">
      <w:pPr>
        <w:pStyle w:val="JuPara"/>
        <w:ind w:left="709" w:hanging="283"/>
      </w:pPr>
      <w:r w:rsidRPr="008873B1">
        <w:t>7.</w:t>
      </w:r>
      <w:r w:rsidRPr="008873B1">
        <w:tab/>
        <w:t>foreign intelligence operations against Swedish interests; and</w:t>
      </w:r>
    </w:p>
    <w:p w:rsidRPr="008873B1" w:rsidR="004D0549" w:rsidP="004D0549" w:rsidRDefault="004D0549" w14:paraId="31E82413" w14:textId="77777777">
      <w:pPr>
        <w:pStyle w:val="JuPara"/>
        <w:ind w:left="709" w:hanging="283"/>
      </w:pPr>
      <w:r w:rsidRPr="008873B1">
        <w:t>8.</w:t>
      </w:r>
      <w:r w:rsidRPr="008873B1">
        <w:tab/>
        <w:t>the actions or intentions of a foreign power that are of substantial importance for Swedish foreign, security or defence policy.</w:t>
      </w:r>
    </w:p>
    <w:bookmarkStart w:name="preparatory_works_to_Sign_Int_Act" w:id="3"/>
    <w:p w:rsidRPr="008873B1" w:rsidR="004D0549" w:rsidP="008C6418" w:rsidRDefault="004D0549" w14:paraId="31BCB3C9" w14:textId="6C46F5E0">
      <w:pPr>
        <w:pStyle w:val="JuPara"/>
      </w:pPr>
      <w:r w:rsidRPr="008873B1">
        <w:fldChar w:fldCharType="begin"/>
      </w:r>
      <w:r w:rsidRPr="008873B1">
        <w:instrText xml:space="preserve"> SEQ level0 \*arabic </w:instrText>
      </w:r>
      <w:r w:rsidRPr="008873B1">
        <w:fldChar w:fldCharType="separate"/>
      </w:r>
      <w:r w:rsidR="004F11CA">
        <w:rPr>
          <w:noProof/>
        </w:rPr>
        <w:t>23</w:t>
      </w:r>
      <w:r w:rsidRPr="008873B1">
        <w:fldChar w:fldCharType="end"/>
      </w:r>
      <w:bookmarkEnd w:id="3"/>
      <w:r w:rsidRPr="008873B1">
        <w:t>.  These eight purposes are further elaborated upon in the preparatory works to the legislation (prop. 2008/09:201, pp. 108-109):</w:t>
      </w:r>
    </w:p>
    <w:p w:rsidRPr="008873B1" w:rsidR="004D0549" w:rsidP="008C6418" w:rsidRDefault="004D0549" w14:paraId="2F49F96B" w14:textId="77777777">
      <w:pPr>
        <w:pStyle w:val="JuQuot"/>
      </w:pPr>
      <w:r w:rsidRPr="008873B1">
        <w:t>“The purposes for which permits to conduct signals intelligence may be granted are listed in eight points. The first point concerns external military threats to the country. Military threats include not only imminent threats, such as threats of invasion, but also phenomena that may in the long term develop into security threats. Consequently, the wording covers the surveying of military capabilities and capacities in our vicinity.</w:t>
      </w:r>
    </w:p>
    <w:p w:rsidRPr="008873B1" w:rsidR="004D0549" w:rsidP="008C6418" w:rsidRDefault="004D0549" w14:paraId="43F237B7" w14:textId="77777777">
      <w:pPr>
        <w:pStyle w:val="JuQuot"/>
      </w:pPr>
      <w:r w:rsidRPr="008873B1">
        <w:t>The second point comprises both surveying necessary to provide an adequate basis for a decision whether to participate in international peacekeeping or humanitarian missions and surveying performed during ongoing missions concerning threats to Swedish personnel or other Swedish interests.</w:t>
      </w:r>
    </w:p>
    <w:p w:rsidRPr="008873B1" w:rsidR="004D0549" w:rsidP="008C6418" w:rsidRDefault="004D0549" w14:paraId="3E504A03" w14:textId="77777777">
      <w:pPr>
        <w:pStyle w:val="JuQuot"/>
      </w:pPr>
      <w:r w:rsidRPr="008873B1">
        <w:t>The third point refers to strategic surveying of international terrorism or other serious cross-border crime, such as drug or human trafficking of such severity that it may threaten significant national interests. The task of signals intelligence in relation to such activities is to survey them from a foreign and security policy perspective; the intelligence needed to combat the criminal activity operatively is primarily the responsibility of the police.</w:t>
      </w:r>
    </w:p>
    <w:p w:rsidRPr="008873B1" w:rsidR="004D0549" w:rsidP="008C6418" w:rsidRDefault="004D0549" w14:paraId="29342976" w14:textId="77777777">
      <w:pPr>
        <w:pStyle w:val="JuQuot"/>
      </w:pPr>
      <w:r w:rsidRPr="008873B1">
        <w:t xml:space="preserve">The fourth point addresses the need to use signals intelligence to follow, among other things, activities relevant to Sweden’s commitments </w:t>
      </w:r>
      <w:proofErr w:type="gramStart"/>
      <w:r w:rsidRPr="008873B1">
        <w:t>in regard to</w:t>
      </w:r>
      <w:proofErr w:type="gramEnd"/>
      <w:r w:rsidRPr="008873B1">
        <w:t xml:space="preserve"> non-proliferation and export control, even in cases where the activity does not constitute a crime or contravenes international conventions.</w:t>
      </w:r>
    </w:p>
    <w:p w:rsidRPr="008873B1" w:rsidR="004D0549" w:rsidP="008C6418" w:rsidRDefault="004D0549" w14:paraId="51275B93" w14:textId="77777777">
      <w:pPr>
        <w:pStyle w:val="JuQuot"/>
      </w:pPr>
      <w:r w:rsidRPr="008873B1">
        <w:t>The fifth point includes, among other things, serious IT-related threats emanating from abroad. That the threats should be of a serious nature means that they, for example, should be directed towards vital societal systems for energy and water supply, communication or monetary services.</w:t>
      </w:r>
    </w:p>
    <w:p w:rsidRPr="008873B1" w:rsidR="004D0549" w:rsidP="008C6418" w:rsidRDefault="004D0549" w14:paraId="6DF0E9B8" w14:textId="3130B1D5">
      <w:pPr>
        <w:pStyle w:val="JuQuot"/>
      </w:pPr>
      <w:r w:rsidRPr="008873B1">
        <w:t xml:space="preserve">The sixth point refers to the surveying of such conflicts between and in other countries that may have consequences for international security. It may concern regular acts of war between </w:t>
      </w:r>
      <w:r w:rsidR="005141D6">
        <w:t>S</w:t>
      </w:r>
      <w:r w:rsidRPr="008873B1">
        <w:t>tates but also internal or cross-border conflicts between different ethnic, religious or political groups. The surveying of the conflicts includes examining their causes and consequences.</w:t>
      </w:r>
    </w:p>
    <w:p w:rsidRPr="008873B1" w:rsidR="004D0549" w:rsidP="008C6418" w:rsidRDefault="004D0549" w14:paraId="4E433772" w14:textId="77777777">
      <w:pPr>
        <w:pStyle w:val="JuQuot"/>
      </w:pPr>
      <w:r w:rsidRPr="008873B1">
        <w:t>The seventh point signifies that intelligence activities conducted against Swedish interests can be surveyed through signals intelligence.</w:t>
      </w:r>
    </w:p>
    <w:p w:rsidRPr="008873B1" w:rsidR="004D0549" w:rsidP="008C6418" w:rsidRDefault="004D0549" w14:paraId="03B2F725" w14:textId="77777777">
      <w:pPr>
        <w:pStyle w:val="JuQuot"/>
      </w:pPr>
      <w:r w:rsidRPr="008873B1">
        <w:t xml:space="preserve">The eighth point provides the opportunity to conduct signals intelligence against foreign powers and their representatives in order to survey their intentions or actions that are of substantial importance to Swedish foreign, security or defence policy. Such activities may relate only to those who represent a foreign power. Through the condition “substantial importance” it is emphasised that it is not </w:t>
      </w:r>
      <w:proofErr w:type="gramStart"/>
      <w:r w:rsidRPr="008873B1">
        <w:t>sufficient</w:t>
      </w:r>
      <w:proofErr w:type="gramEnd"/>
      <w:r w:rsidRPr="008873B1">
        <w:t xml:space="preserve"> that the phenomenon is of general interest but that the intelligence should have a direct impact on Swedish actions or positions in various foreign, security or defence policy matters. ...”</w:t>
      </w:r>
    </w:p>
    <w:bookmarkStart w:name="development_activities" w:id="4"/>
    <w:bookmarkStart w:name="para24" w:id="5"/>
    <w:p w:rsidRPr="008873B1" w:rsidR="004D0549" w:rsidP="008C6418" w:rsidRDefault="004D0549" w14:paraId="03BFFB0C" w14:textId="189862A5">
      <w:pPr>
        <w:pStyle w:val="JuPara"/>
      </w:pPr>
      <w:r w:rsidRPr="008873B1">
        <w:fldChar w:fldCharType="begin"/>
      </w:r>
      <w:r w:rsidRPr="008873B1">
        <w:instrText xml:space="preserve"> SEQ level0 \*arabic </w:instrText>
      </w:r>
      <w:r w:rsidRPr="008873B1">
        <w:fldChar w:fldCharType="separate"/>
      </w:r>
      <w:r w:rsidR="004F11CA">
        <w:rPr>
          <w:noProof/>
        </w:rPr>
        <w:t>24</w:t>
      </w:r>
      <w:r w:rsidRPr="008873B1">
        <w:fldChar w:fldCharType="end"/>
      </w:r>
      <w:bookmarkEnd w:id="4"/>
      <w:bookmarkEnd w:id="5"/>
      <w:r w:rsidRPr="008873B1">
        <w:t xml:space="preserve">.  The FRA may collect electronic signals also in order to monitor changes in the international </w:t>
      </w:r>
      <w:proofErr w:type="gramStart"/>
      <w:r w:rsidRPr="008873B1">
        <w:t>signals</w:t>
      </w:r>
      <w:proofErr w:type="gramEnd"/>
      <w:r w:rsidRPr="008873B1">
        <w:t xml:space="preserve"> environment, technical advances and signals protection and to develop the technology needed for signals intelligence (section 1(3)). This is regarded as “development activities” and, according to the relevant preparatory works (prop. 2006/07:63, p. 72), they do not generate any intelligence reports. Signals intercepted in the context of </w:t>
      </w:r>
      <w:r w:rsidR="002B4CD8">
        <w:t xml:space="preserve">the </w:t>
      </w:r>
      <w:r w:rsidRPr="008873B1">
        <w:t xml:space="preserve">FRA’s development activities do not interest the authorities for the data they might contain but only for the possibility to analyse the systems and routes through which information is transmitted. The FRA may share experiences gained on technological issues with other authorities. Development activities usually do not focus on communications between individuals, </w:t>
      </w:r>
      <w:r w:rsidR="002B4CD8">
        <w:t>al</w:t>
      </w:r>
      <w:r w:rsidRPr="008873B1">
        <w:t>though information on individuals’ identities may be intercepted.</w:t>
      </w:r>
    </w:p>
    <w:bookmarkStart w:name="cables_interception" w:id="6"/>
    <w:p w:rsidRPr="008873B1" w:rsidR="004D0549" w:rsidP="008C6418" w:rsidRDefault="004D0549" w14:paraId="770E9C1A" w14:textId="06D0E62F">
      <w:pPr>
        <w:pStyle w:val="JuPara"/>
      </w:pPr>
      <w:r w:rsidRPr="008873B1">
        <w:fldChar w:fldCharType="begin"/>
      </w:r>
      <w:r w:rsidRPr="008873B1">
        <w:instrText xml:space="preserve"> SEQ level0 \*arabic </w:instrText>
      </w:r>
      <w:r w:rsidRPr="008873B1">
        <w:fldChar w:fldCharType="separate"/>
      </w:r>
      <w:r w:rsidR="004F11CA">
        <w:rPr>
          <w:noProof/>
        </w:rPr>
        <w:t>25</w:t>
      </w:r>
      <w:r w:rsidRPr="008873B1">
        <w:fldChar w:fldCharType="end"/>
      </w:r>
      <w:bookmarkEnd w:id="6"/>
      <w:r w:rsidRPr="008873B1">
        <w:t xml:space="preserve">.  Signals intelligence conducted on cables may only concern signals crossing the Swedish border in cables owned by a communications service provider (section 2). Communications between a sender and receiver within Sweden may not be intercepted, regardless of whether the source is airborne or </w:t>
      </w:r>
      <w:proofErr w:type="gramStart"/>
      <w:r w:rsidRPr="008873B1">
        <w:t>cable-based</w:t>
      </w:r>
      <w:proofErr w:type="gramEnd"/>
      <w:r w:rsidRPr="008873B1">
        <w:t>. If such signals cannot be separated at the point of collection, the recording of or notes about them shall be destroyed as soon as it becomes clear that such signals have been collected (section 2a).</w:t>
      </w:r>
    </w:p>
    <w:bookmarkStart w:name="search_terms" w:id="7"/>
    <w:p w:rsidRPr="008873B1" w:rsidR="004D0549" w:rsidP="008C6418" w:rsidRDefault="004D0549" w14:paraId="068779C0" w14:textId="2A874A8F">
      <w:pPr>
        <w:pStyle w:val="JuPara"/>
      </w:pPr>
      <w:r w:rsidRPr="008873B1">
        <w:fldChar w:fldCharType="begin"/>
      </w:r>
      <w:r w:rsidRPr="008873B1">
        <w:instrText xml:space="preserve"> SEQ level0 \*arabic </w:instrText>
      </w:r>
      <w:r w:rsidRPr="008873B1">
        <w:fldChar w:fldCharType="separate"/>
      </w:r>
      <w:r w:rsidR="004F11CA">
        <w:rPr>
          <w:noProof/>
        </w:rPr>
        <w:t>26</w:t>
      </w:r>
      <w:r w:rsidRPr="008873B1">
        <w:fldChar w:fldCharType="end"/>
      </w:r>
      <w:bookmarkEnd w:id="7"/>
      <w:r w:rsidRPr="008873B1">
        <w:t xml:space="preserve">.  Interception of cable-based signals is automated and must only concern signals that have been identified </w:t>
      </w:r>
      <w:proofErr w:type="gramStart"/>
      <w:r w:rsidRPr="008873B1">
        <w:t>through the use of</w:t>
      </w:r>
      <w:proofErr w:type="gramEnd"/>
      <w:r w:rsidRPr="008873B1">
        <w:t xml:space="preserve"> selectors (or “search terms”). Such selectors are also used to identify signals over the airways, if the procedure is automated. The selectors must be formulated in such a way that the interference with personal integrity is limited as far as possible. Selectors directly relating to a specific natural person may only be used if this is of exceptional importance for the intelligence activities (section 3).</w:t>
      </w:r>
    </w:p>
    <w:p w:rsidRPr="008873B1" w:rsidR="004D0549" w:rsidP="008C6418" w:rsidRDefault="004D0549" w14:paraId="1656683C" w14:textId="30810546">
      <w:pPr>
        <w:pStyle w:val="JuPara"/>
      </w:pPr>
      <w:r w:rsidRPr="008873B1">
        <w:fldChar w:fldCharType="begin"/>
      </w:r>
      <w:r w:rsidRPr="008873B1">
        <w:instrText xml:space="preserve"> SEQ level0 \*arabic </w:instrText>
      </w:r>
      <w:r w:rsidRPr="008873B1">
        <w:fldChar w:fldCharType="separate"/>
      </w:r>
      <w:r w:rsidR="004F11CA">
        <w:rPr>
          <w:noProof/>
        </w:rPr>
        <w:t>27</w:t>
      </w:r>
      <w:r w:rsidRPr="008873B1">
        <w:fldChar w:fldCharType="end"/>
      </w:r>
      <w:r w:rsidRPr="008873B1">
        <w:t>.  The preparatory works to the Signals Intelligence Act (prop. 2006/07:63, p. 90) clarify that the exceptional importance requirement under section 3 is needed in view of the fact that the use of search terms that are attributable to a particular individual, such as personal names, telephone numbers, email or IP addresses, involves special risks from a privacy protection perspective. The use of such search terms should only be considered under special conditions and should be preceded by a thorough necessity assessment, notably, as to whether the information which can thereby be obtained is of such importance that it justifies the measure. As an example, the text refers to the following hypothetical situation: a national crisis caused by an IT attack against systems of crucial importance to society where immediate action needs to be taken to identify the individual actors.</w:t>
      </w:r>
    </w:p>
    <w:p w:rsidRPr="008873B1" w:rsidR="004D0549" w:rsidP="008C6418" w:rsidRDefault="004D0549" w14:paraId="0BE98317" w14:textId="4E5083B2">
      <w:pPr>
        <w:pStyle w:val="JuPara"/>
      </w:pPr>
      <w:r w:rsidRPr="008873B1">
        <w:fldChar w:fldCharType="begin"/>
      </w:r>
      <w:r w:rsidRPr="008873B1">
        <w:instrText xml:space="preserve"> SEQ level0 \*arabic </w:instrText>
      </w:r>
      <w:r w:rsidRPr="008873B1">
        <w:fldChar w:fldCharType="separate"/>
      </w:r>
      <w:r w:rsidR="004F11CA">
        <w:rPr>
          <w:noProof/>
        </w:rPr>
        <w:t>28</w:t>
      </w:r>
      <w:r w:rsidRPr="008873B1">
        <w:fldChar w:fldCharType="end"/>
      </w:r>
      <w:r w:rsidRPr="008873B1">
        <w:t xml:space="preserve">.  After the signals have been </w:t>
      </w:r>
      <w:proofErr w:type="gramStart"/>
      <w:r w:rsidRPr="008873B1">
        <w:t>intercepted</w:t>
      </w:r>
      <w:proofErr w:type="gramEnd"/>
      <w:r w:rsidRPr="008873B1">
        <w:t xml:space="preserve"> they are processed, which means that they are, for example, subjected to cryptanalysis or translation. Then the information is analysed and reported to the authority that gave the FRA the mission to collect the intelligence in question.</w:t>
      </w:r>
    </w:p>
    <w:bookmarkStart w:name="six_stages" w:id="8"/>
    <w:p w:rsidRPr="008873B1" w:rsidR="004D0549" w:rsidP="008C6418" w:rsidRDefault="004D0549" w14:paraId="1856D32A" w14:textId="1A74A1F9">
      <w:pPr>
        <w:pStyle w:val="JuPara"/>
      </w:pPr>
      <w:r w:rsidRPr="008873B1">
        <w:fldChar w:fldCharType="begin"/>
      </w:r>
      <w:r w:rsidRPr="008873B1">
        <w:instrText xml:space="preserve"> SEQ level0 \*arabic </w:instrText>
      </w:r>
      <w:r w:rsidRPr="008873B1">
        <w:fldChar w:fldCharType="separate"/>
      </w:r>
      <w:r w:rsidR="004F11CA">
        <w:rPr>
          <w:noProof/>
        </w:rPr>
        <w:t>29</w:t>
      </w:r>
      <w:r w:rsidRPr="008873B1">
        <w:fldChar w:fldCharType="end"/>
      </w:r>
      <w:bookmarkEnd w:id="8"/>
      <w:r w:rsidRPr="008873B1">
        <w:t>.  The process has been described by the respondent Government as comprising six stages, as follows:</w:t>
      </w:r>
    </w:p>
    <w:p w:rsidRPr="008873B1" w:rsidR="004D0549" w:rsidP="00EE4995" w:rsidRDefault="004D0549" w14:paraId="55EFA283" w14:textId="77777777">
      <w:pPr>
        <w:pStyle w:val="JuPara"/>
      </w:pPr>
      <w:r w:rsidRPr="008873B1">
        <w:t>1.</w:t>
      </w:r>
      <w:r w:rsidRPr="008873B1">
        <w:tab/>
        <w:t>a choice is made of segments of the signals intelligence environment that are most relevant;</w:t>
      </w:r>
    </w:p>
    <w:p w:rsidRPr="008873B1" w:rsidR="004D0549" w:rsidP="00EE4995" w:rsidRDefault="004D0549" w14:paraId="653A5487" w14:textId="77777777">
      <w:pPr>
        <w:pStyle w:val="JuPara"/>
      </w:pPr>
      <w:r w:rsidRPr="008873B1">
        <w:t>2.</w:t>
      </w:r>
      <w:r w:rsidRPr="008873B1">
        <w:tab/>
        <w:t>selectors are applied automatically to signals in the chosen segments in order to intercept and gradually reduce what is collected;</w:t>
      </w:r>
    </w:p>
    <w:p w:rsidRPr="008873B1" w:rsidR="004D0549" w:rsidP="00EE4995" w:rsidRDefault="004D0549" w14:paraId="09C9B030" w14:textId="77777777">
      <w:pPr>
        <w:pStyle w:val="JuPara"/>
      </w:pPr>
      <w:r w:rsidRPr="008873B1">
        <w:t>3.</w:t>
      </w:r>
      <w:r w:rsidRPr="008873B1">
        <w:tab/>
        <w:t>the data is further processed through automatic and manual means using, among others, cryptoanalysis, structuring and language translation;</w:t>
      </w:r>
    </w:p>
    <w:p w:rsidRPr="008873B1" w:rsidR="004D0549" w:rsidP="00EE4995" w:rsidRDefault="004D0549" w14:paraId="1978DF8E" w14:textId="77777777">
      <w:pPr>
        <w:pStyle w:val="JuPara"/>
      </w:pPr>
      <w:r w:rsidRPr="008873B1">
        <w:t>4.</w:t>
      </w:r>
      <w:r w:rsidRPr="008873B1">
        <w:tab/>
        <w:t>the processed information is analysed by an analyst in order to identify intelligence within;</w:t>
      </w:r>
    </w:p>
    <w:p w:rsidRPr="008873B1" w:rsidR="004D0549" w:rsidP="00EE4995" w:rsidRDefault="004D0549" w14:paraId="4D251451" w14:textId="77777777">
      <w:pPr>
        <w:pStyle w:val="JuPara"/>
      </w:pPr>
      <w:r w:rsidRPr="008873B1">
        <w:t>5.</w:t>
      </w:r>
      <w:r w:rsidRPr="008873B1">
        <w:tab/>
        <w:t>a report is written and disseminated to selected recipients of foreign intelligence; and</w:t>
      </w:r>
    </w:p>
    <w:p w:rsidRPr="008873B1" w:rsidR="004D0549" w:rsidP="00EE4995" w:rsidRDefault="004D0549" w14:paraId="22893714" w14:textId="77777777">
      <w:pPr>
        <w:pStyle w:val="JuPara"/>
      </w:pPr>
      <w:r w:rsidRPr="008873B1">
        <w:t>6.</w:t>
      </w:r>
      <w:r w:rsidRPr="008873B1">
        <w:tab/>
        <w:t>feedback on the use and effects of the intelligence provided is requested and shared with those involved in the process.</w:t>
      </w:r>
    </w:p>
    <w:p w:rsidRPr="00E31657" w:rsidR="004D0549" w:rsidP="00E31657" w:rsidRDefault="004D0549" w14:paraId="0512B0F8" w14:textId="77777777">
      <w:pPr>
        <w:pStyle w:val="JuHA"/>
        <w:numPr>
          <w:ilvl w:val="0"/>
          <w:numId w:val="0"/>
        </w:numPr>
        <w:ind w:left="510"/>
      </w:pPr>
      <w:r w:rsidRPr="00E31657">
        <w:t>C.  Authorisation of signals intelligence</w:t>
      </w:r>
    </w:p>
    <w:bookmarkStart w:name="authorisation" w:id="9"/>
    <w:bookmarkStart w:name="authorisation_begin" w:id="10"/>
    <w:bookmarkStart w:name="para29" w:id="11"/>
    <w:p w:rsidRPr="008873B1" w:rsidR="004D0549" w:rsidP="00EE4995" w:rsidRDefault="004D0549" w14:paraId="391BBE23" w14:textId="70CBBEE1">
      <w:pPr>
        <w:pStyle w:val="JuPara"/>
      </w:pPr>
      <w:r w:rsidRPr="008873B1">
        <w:fldChar w:fldCharType="begin"/>
      </w:r>
      <w:r w:rsidRPr="008873B1">
        <w:instrText xml:space="preserve"> SEQ level0 \*arabic </w:instrText>
      </w:r>
      <w:r w:rsidRPr="008873B1">
        <w:fldChar w:fldCharType="separate"/>
      </w:r>
      <w:r w:rsidR="004F11CA">
        <w:rPr>
          <w:noProof/>
        </w:rPr>
        <w:t>30</w:t>
      </w:r>
      <w:r w:rsidRPr="008873B1">
        <w:fldChar w:fldCharType="end"/>
      </w:r>
      <w:bookmarkEnd w:id="9"/>
      <w:bookmarkEnd w:id="10"/>
      <w:bookmarkEnd w:id="11"/>
      <w:r w:rsidRPr="008873B1">
        <w:t>.  For all signals intelligence, including the development activities, the FRA must apply for a permit to the Foreign Intelligence Court (</w:t>
      </w:r>
      <w:proofErr w:type="spellStart"/>
      <w:r w:rsidRPr="008873B1">
        <w:rPr>
          <w:i/>
        </w:rPr>
        <w:t>Försvarsunderrättelsedomstolen</w:t>
      </w:r>
      <w:proofErr w:type="spellEnd"/>
      <w:r w:rsidRPr="008873B1">
        <w:t xml:space="preserve">). The application shall contain the mission request that the FRA has received, with information on the relevant detailed tasking directive and the need for the intelligence sought. Also, the communications bearers to which the FRA requires access </w:t>
      </w:r>
      <w:proofErr w:type="gramStart"/>
      <w:r w:rsidRPr="008873B1">
        <w:t>have to</w:t>
      </w:r>
      <w:proofErr w:type="gramEnd"/>
      <w:r w:rsidRPr="008873B1">
        <w:t xml:space="preserve"> be specified, along with the selectors or categories of selectors that will be used. Finally, the application must state the duration for which the permit is requested (section 4a).</w:t>
      </w:r>
    </w:p>
    <w:p w:rsidRPr="008873B1" w:rsidR="004D0549" w:rsidP="00EE4995" w:rsidRDefault="004D0549" w14:paraId="785A0659" w14:textId="73B791FD">
      <w:pPr>
        <w:pStyle w:val="JuPara"/>
      </w:pPr>
      <w:r w:rsidRPr="008873B1">
        <w:fldChar w:fldCharType="begin"/>
      </w:r>
      <w:r w:rsidRPr="008873B1">
        <w:instrText xml:space="preserve"> SEQ level0 \*arabic </w:instrText>
      </w:r>
      <w:r w:rsidRPr="008873B1">
        <w:fldChar w:fldCharType="separate"/>
      </w:r>
      <w:r w:rsidR="004F11CA">
        <w:rPr>
          <w:noProof/>
        </w:rPr>
        <w:t>31</w:t>
      </w:r>
      <w:r w:rsidRPr="008873B1">
        <w:fldChar w:fldCharType="end"/>
      </w:r>
      <w:r w:rsidRPr="008873B1">
        <w:t>.  A permit may only be granted if the mission is in accordance with the provisions of the Foreign Intelligence Act and the Signals Intelligence Act, if the purpose of the interception of signals cannot be met in a less interfering manner, if the mission can be expected to yield information whose value is clearly greater than the possible interference with personal integrity, if the selectors or categories of selectors are in accordance with the Signals Intelligence Act and if the application does not concern solely a specific natural person (section 5).</w:t>
      </w:r>
    </w:p>
    <w:p w:rsidRPr="008873B1" w:rsidR="004D0549" w:rsidP="00EE4995" w:rsidRDefault="004D0549" w14:paraId="30B28908" w14:textId="28C6FE97">
      <w:pPr>
        <w:pStyle w:val="JuPara"/>
      </w:pPr>
      <w:r w:rsidRPr="008873B1">
        <w:fldChar w:fldCharType="begin"/>
      </w:r>
      <w:r w:rsidRPr="008873B1">
        <w:instrText xml:space="preserve"> SEQ level0 \*arabic </w:instrText>
      </w:r>
      <w:r w:rsidRPr="008873B1">
        <w:fldChar w:fldCharType="separate"/>
      </w:r>
      <w:r w:rsidR="004F11CA">
        <w:rPr>
          <w:noProof/>
        </w:rPr>
        <w:t>32</w:t>
      </w:r>
      <w:r w:rsidRPr="008873B1">
        <w:fldChar w:fldCharType="end"/>
      </w:r>
      <w:r w:rsidRPr="008873B1">
        <w:t>.  If granted, the permit shall specify the mission for which signals intelligence may be conducted, the bearers to which the FRA will have access, the selectors or categories of selectors that may be used, the duration of the permit and other conditions necessary to limit the interference with personal integrity (section 5a).</w:t>
      </w:r>
    </w:p>
    <w:bookmarkStart w:name="Authorisation_end" w:id="12"/>
    <w:p w:rsidRPr="008873B1" w:rsidR="004D0549" w:rsidP="00EE4995" w:rsidRDefault="004D0549" w14:paraId="4C3FC5C2" w14:textId="36A480F5">
      <w:pPr>
        <w:pStyle w:val="JuPara"/>
      </w:pPr>
      <w:r w:rsidRPr="008873B1">
        <w:fldChar w:fldCharType="begin"/>
      </w:r>
      <w:r w:rsidRPr="008873B1">
        <w:instrText xml:space="preserve"> SEQ level0 \*arabic </w:instrText>
      </w:r>
      <w:r w:rsidRPr="008873B1">
        <w:fldChar w:fldCharType="separate"/>
      </w:r>
      <w:r w:rsidR="004F11CA">
        <w:rPr>
          <w:noProof/>
        </w:rPr>
        <w:t>33</w:t>
      </w:r>
      <w:r w:rsidRPr="008873B1">
        <w:fldChar w:fldCharType="end"/>
      </w:r>
      <w:bookmarkEnd w:id="12"/>
      <w:r w:rsidRPr="008873B1">
        <w:t xml:space="preserve">.  The FRA itself may decide to grant a permit, if the application for a permit from the Foreign Intelligence Court might cause delay or other inconveniences of essential importance for one of the specified purposes of the </w:t>
      </w:r>
      <w:proofErr w:type="gramStart"/>
      <w:r w:rsidRPr="008873B1">
        <w:t>signals</w:t>
      </w:r>
      <w:proofErr w:type="gramEnd"/>
      <w:r w:rsidRPr="008873B1">
        <w:t xml:space="preserve"> intelligence. If the FRA grants a permit, it </w:t>
      </w:r>
      <w:proofErr w:type="gramStart"/>
      <w:r w:rsidRPr="008873B1">
        <w:t>has to</w:t>
      </w:r>
      <w:proofErr w:type="gramEnd"/>
      <w:r w:rsidRPr="008873B1">
        <w:t xml:space="preserve"> report to the court immediately and the court shall without delay decide in the matter. The court may revoke or amend the permit (section 5b).</w:t>
      </w:r>
    </w:p>
    <w:bookmarkStart w:name="proceedure_FICourt" w:id="13"/>
    <w:bookmarkStart w:name="para33" w:id="14"/>
    <w:p w:rsidRPr="008873B1" w:rsidR="004D0549" w:rsidP="00EE4995" w:rsidRDefault="004D0549" w14:paraId="459272C0" w14:textId="3C58029A">
      <w:pPr>
        <w:pStyle w:val="JuPara"/>
      </w:pPr>
      <w:r w:rsidRPr="008873B1">
        <w:fldChar w:fldCharType="begin"/>
      </w:r>
      <w:r w:rsidRPr="008873B1">
        <w:instrText xml:space="preserve"> SEQ level0 \*arabic </w:instrText>
      </w:r>
      <w:r w:rsidRPr="008873B1">
        <w:fldChar w:fldCharType="separate"/>
      </w:r>
      <w:r w:rsidR="004F11CA">
        <w:rPr>
          <w:noProof/>
        </w:rPr>
        <w:t>34</w:t>
      </w:r>
      <w:r w:rsidRPr="008873B1">
        <w:fldChar w:fldCharType="end"/>
      </w:r>
      <w:bookmarkEnd w:id="13"/>
      <w:bookmarkEnd w:id="14"/>
      <w:r w:rsidRPr="008873B1">
        <w:t>.  The composition of the Foreign Intelligence Court and its activities are regulated by the Foreign Intelligence Court Act (</w:t>
      </w:r>
      <w:proofErr w:type="spellStart"/>
      <w:r w:rsidRPr="008873B1">
        <w:rPr>
          <w:i/>
        </w:rPr>
        <w:t>Lagen</w:t>
      </w:r>
      <w:proofErr w:type="spellEnd"/>
      <w:r w:rsidRPr="008873B1">
        <w:rPr>
          <w:i/>
        </w:rPr>
        <w:t xml:space="preserve"> om</w:t>
      </w:r>
      <w:r w:rsidRPr="008873B1">
        <w:t xml:space="preserve"> </w:t>
      </w:r>
      <w:proofErr w:type="spellStart"/>
      <w:r w:rsidRPr="008873B1">
        <w:rPr>
          <w:i/>
        </w:rPr>
        <w:t>Försvarsunderrättelsedomstol</w:t>
      </w:r>
      <w:proofErr w:type="spellEnd"/>
      <w:r w:rsidRPr="008873B1">
        <w:t>; 2009:966). The court consists of one president, one or two vice-presidents and two to six other members. The president is a permanent judge, nominated by the Judges Proposals Board (</w:t>
      </w:r>
      <w:proofErr w:type="spellStart"/>
      <w:r w:rsidRPr="008873B1">
        <w:rPr>
          <w:i/>
        </w:rPr>
        <w:t>Domarnämnden</w:t>
      </w:r>
      <w:proofErr w:type="spellEnd"/>
      <w:r w:rsidRPr="008873B1">
        <w:t xml:space="preserve">) and appointed by the Government. The vice-presidents, who must be legally trained and have previous experience as judges, and the other members, who are required to have special expertise of relevance for the court’s work, are appointed by the Government on four-year terms. The applications for signals intelligence permits are discussed during hearings, which may be held behind closed doors, if </w:t>
      </w:r>
      <w:proofErr w:type="gramStart"/>
      <w:r w:rsidRPr="008873B1">
        <w:t>it is clear that information</w:t>
      </w:r>
      <w:proofErr w:type="gramEnd"/>
      <w:r w:rsidRPr="008873B1">
        <w:t xml:space="preserve"> classified as secret would be exposed as a result of a public hearing. During the court’s examination, the FRA as well as a privacy protection representative (</w:t>
      </w:r>
      <w:proofErr w:type="spellStart"/>
      <w:r w:rsidRPr="008873B1">
        <w:rPr>
          <w:i/>
        </w:rPr>
        <w:t>integritetsskyddsombud</w:t>
      </w:r>
      <w:proofErr w:type="spellEnd"/>
      <w:r w:rsidRPr="008873B1">
        <w:t xml:space="preserve">) are present. The representative, who does not represent any </w:t>
      </w:r>
      <w:proofErr w:type="gramStart"/>
      <w:r w:rsidRPr="008873B1">
        <w:t>particular person</w:t>
      </w:r>
      <w:proofErr w:type="gramEnd"/>
      <w:r w:rsidRPr="008873B1">
        <w:t xml:space="preserve"> but the interests of individuals in general, monitors integrity issues and has access to the case file and may make statements. Privacy protection representatives are appointed by the Government for a period of four years and must be or have been permanent judges or attorneys. The court may hold a hearing and decide on an application without the presence of a representative only if the case is of such urgency that a delay would severely compromise the purpose of the application. The court’s decisions are final.</w:t>
      </w:r>
    </w:p>
    <w:p w:rsidRPr="008873B1" w:rsidR="004D0549" w:rsidP="00E31657" w:rsidRDefault="004D0549" w14:paraId="1E491056" w14:textId="77777777">
      <w:pPr>
        <w:pStyle w:val="JuHA"/>
        <w:numPr>
          <w:ilvl w:val="0"/>
          <w:numId w:val="0"/>
        </w:numPr>
        <w:ind w:left="510"/>
      </w:pPr>
      <w:r w:rsidRPr="008873B1">
        <w:t>D.  The duration of signals intelligence</w:t>
      </w:r>
    </w:p>
    <w:p w:rsidRPr="008873B1" w:rsidR="004D0549" w:rsidP="00EE4995" w:rsidRDefault="004D0549" w14:paraId="74046BE3" w14:textId="1CE9D7F2">
      <w:pPr>
        <w:pStyle w:val="JuPara"/>
      </w:pPr>
      <w:r w:rsidRPr="008873B1">
        <w:fldChar w:fldCharType="begin"/>
      </w:r>
      <w:r w:rsidRPr="008873B1">
        <w:instrText xml:space="preserve"> SEQ level0 \*arabic </w:instrText>
      </w:r>
      <w:r w:rsidRPr="008873B1">
        <w:fldChar w:fldCharType="separate"/>
      </w:r>
      <w:r w:rsidR="004F11CA">
        <w:rPr>
          <w:noProof/>
        </w:rPr>
        <w:t>35</w:t>
      </w:r>
      <w:r w:rsidRPr="008873B1">
        <w:fldChar w:fldCharType="end"/>
      </w:r>
      <w:r w:rsidRPr="008873B1">
        <w:t xml:space="preserve">.  A permit may be granted for a specific </w:t>
      </w:r>
      <w:proofErr w:type="gramStart"/>
      <w:r w:rsidRPr="008873B1">
        <w:t>period of time</w:t>
      </w:r>
      <w:proofErr w:type="gramEnd"/>
      <w:r w:rsidRPr="008873B1">
        <w:t>, maximum six months. An extension may, after a renewed examination, be granted for six months at a time (Signals Intelligence Act, section 5a).</w:t>
      </w:r>
    </w:p>
    <w:p w:rsidRPr="008873B1" w:rsidR="004D0549" w:rsidP="00E31657" w:rsidRDefault="004D0549" w14:paraId="68ABC997" w14:textId="77777777">
      <w:pPr>
        <w:pStyle w:val="JuHA"/>
        <w:numPr>
          <w:ilvl w:val="0"/>
          <w:numId w:val="0"/>
        </w:numPr>
        <w:ind w:left="510"/>
      </w:pPr>
      <w:r w:rsidRPr="008873B1">
        <w:t>E.  Procedures to be followed for storing, accessing, examining, using and destroying the intercepted data</w:t>
      </w:r>
    </w:p>
    <w:bookmarkStart w:name="para35" w:id="15"/>
    <w:p w:rsidRPr="008873B1" w:rsidR="004D0549" w:rsidP="00EE4995" w:rsidRDefault="004D0549" w14:paraId="216195E0" w14:textId="4531D72B">
      <w:pPr>
        <w:pStyle w:val="JuPara"/>
      </w:pPr>
      <w:r w:rsidRPr="008873B1">
        <w:fldChar w:fldCharType="begin"/>
      </w:r>
      <w:r w:rsidRPr="008873B1">
        <w:instrText xml:space="preserve"> SEQ level0 \*arabic </w:instrText>
      </w:r>
      <w:r w:rsidRPr="008873B1">
        <w:fldChar w:fldCharType="separate"/>
      </w:r>
      <w:r w:rsidR="004F11CA">
        <w:rPr>
          <w:noProof/>
        </w:rPr>
        <w:t>36</w:t>
      </w:r>
      <w:r w:rsidRPr="008873B1">
        <w:fldChar w:fldCharType="end"/>
      </w:r>
      <w:bookmarkEnd w:id="15"/>
      <w:r w:rsidRPr="008873B1">
        <w:t>.  The Foreign Intelligence Inspectorate (</w:t>
      </w:r>
      <w:proofErr w:type="spellStart"/>
      <w:r w:rsidRPr="008873B1">
        <w:rPr>
          <w:i/>
        </w:rPr>
        <w:t>Statens</w:t>
      </w:r>
      <w:proofErr w:type="spellEnd"/>
      <w:r w:rsidRPr="008873B1">
        <w:rPr>
          <w:i/>
        </w:rPr>
        <w:t xml:space="preserve"> </w:t>
      </w:r>
      <w:proofErr w:type="spellStart"/>
      <w:r w:rsidRPr="008873B1">
        <w:rPr>
          <w:i/>
        </w:rPr>
        <w:t>inspektion</w:t>
      </w:r>
      <w:proofErr w:type="spellEnd"/>
      <w:r w:rsidRPr="008873B1">
        <w:rPr>
          <w:i/>
        </w:rPr>
        <w:t xml:space="preserve"> </w:t>
      </w:r>
      <w:proofErr w:type="spellStart"/>
      <w:r w:rsidRPr="008873B1">
        <w:rPr>
          <w:i/>
        </w:rPr>
        <w:t>för</w:t>
      </w:r>
      <w:proofErr w:type="spellEnd"/>
      <w:r w:rsidRPr="008873B1">
        <w:rPr>
          <w:i/>
        </w:rPr>
        <w:t xml:space="preserve"> </w:t>
      </w:r>
      <w:proofErr w:type="spellStart"/>
      <w:r w:rsidRPr="008873B1">
        <w:rPr>
          <w:i/>
        </w:rPr>
        <w:t>försvarsunderrättelseverksamheten</w:t>
      </w:r>
      <w:proofErr w:type="spellEnd"/>
      <w:r w:rsidRPr="008873B1">
        <w:rPr>
          <w:i/>
        </w:rPr>
        <w:t xml:space="preserve"> </w:t>
      </w:r>
      <w:r w:rsidRPr="008873B1">
        <w:t>(SIUN); see further paragraphs 50-54 below) oversees access to the communications bearers. Communications service providers are obliged to transfer cable-based signals crossing the Swedish borders to “collaboration points” agreed upon with the Inspectorate. The Inspectorate, in turn, provides the FRA with access to bearers in so far as such access is covered by a signals intelligence permit and, in so doing, implements the permits issued by the Foreign Intelligence Court (Chapter 6, section 19a of the Electronic Communications Act (</w:t>
      </w:r>
      <w:proofErr w:type="spellStart"/>
      <w:r w:rsidRPr="008873B1">
        <w:rPr>
          <w:i/>
        </w:rPr>
        <w:t>Lagen</w:t>
      </w:r>
      <w:proofErr w:type="spellEnd"/>
      <w:r w:rsidRPr="008873B1">
        <w:rPr>
          <w:i/>
        </w:rPr>
        <w:t xml:space="preserve"> om </w:t>
      </w:r>
      <w:proofErr w:type="spellStart"/>
      <w:r w:rsidRPr="008873B1">
        <w:rPr>
          <w:i/>
        </w:rPr>
        <w:t>elektronisk</w:t>
      </w:r>
      <w:proofErr w:type="spellEnd"/>
      <w:r w:rsidRPr="008873B1">
        <w:rPr>
          <w:i/>
        </w:rPr>
        <w:t xml:space="preserve"> </w:t>
      </w:r>
      <w:proofErr w:type="spellStart"/>
      <w:r w:rsidRPr="008873B1">
        <w:rPr>
          <w:i/>
        </w:rPr>
        <w:t>kommunikation</w:t>
      </w:r>
      <w:proofErr w:type="spellEnd"/>
      <w:r w:rsidRPr="008873B1">
        <w:t>; 2003:389)). The Council on Legislation (</w:t>
      </w:r>
      <w:proofErr w:type="spellStart"/>
      <w:r w:rsidRPr="008873B1">
        <w:rPr>
          <w:i/>
        </w:rPr>
        <w:t>Lagrådet</w:t>
      </w:r>
      <w:proofErr w:type="spellEnd"/>
      <w:r w:rsidRPr="008873B1">
        <w:t xml:space="preserve">), the body giving opinions on request by the Government or a Parliamentary committee on certain draft bills, has expressed the view that an interference with private life and correspondence already </w:t>
      </w:r>
      <w:r w:rsidR="002B4CD8">
        <w:t xml:space="preserve">arises </w:t>
      </w:r>
      <w:r w:rsidRPr="008873B1">
        <w:t>at this point, because of the State obtaining access to the telecommunications (prop. 2006/07:63, p. 172).</w:t>
      </w:r>
    </w:p>
    <w:bookmarkStart w:name="destroy_data_beguin" w:id="16"/>
    <w:p w:rsidRPr="008873B1" w:rsidR="004D0549" w:rsidP="00EE4995" w:rsidRDefault="004D0549" w14:paraId="37BF7B0E" w14:textId="19B3BCA1">
      <w:pPr>
        <w:pStyle w:val="JuPara"/>
      </w:pPr>
      <w:r w:rsidRPr="008873B1">
        <w:fldChar w:fldCharType="begin"/>
      </w:r>
      <w:r w:rsidRPr="008873B1">
        <w:instrText xml:space="preserve"> SEQ level0 \*arabic </w:instrText>
      </w:r>
      <w:r w:rsidRPr="008873B1">
        <w:fldChar w:fldCharType="separate"/>
      </w:r>
      <w:r w:rsidR="004F11CA">
        <w:rPr>
          <w:noProof/>
        </w:rPr>
        <w:t>37</w:t>
      </w:r>
      <w:r w:rsidRPr="008873B1">
        <w:fldChar w:fldCharType="end"/>
      </w:r>
      <w:bookmarkEnd w:id="16"/>
      <w:r w:rsidRPr="008873B1">
        <w:t xml:space="preserve">.  According to the Signals Intelligence Act, intercepted data must be destroyed immediately by the FRA if it </w:t>
      </w:r>
      <w:r w:rsidR="00284706">
        <w:t>(</w:t>
      </w:r>
      <w:proofErr w:type="spellStart"/>
      <w:r w:rsidR="00284706">
        <w:t>i</w:t>
      </w:r>
      <w:proofErr w:type="spellEnd"/>
      <w:r w:rsidRPr="008873B1">
        <w:t xml:space="preserve">) concerns a specific natural person and lacks importance for the signals intelligence, </w:t>
      </w:r>
      <w:r w:rsidR="00284706">
        <w:t>(ii</w:t>
      </w:r>
      <w:r w:rsidRPr="008873B1">
        <w:t xml:space="preserve">) is protected by constitutional provisions on secrecy for the protection of anonymous authors and media sources, </w:t>
      </w:r>
      <w:r w:rsidR="00284706">
        <w:t>(iii</w:t>
      </w:r>
      <w:r w:rsidRPr="008873B1">
        <w:t xml:space="preserve">) contains information shared between a suspect and his or her legal counsel and is thus protected by attorney-client privilege, or </w:t>
      </w:r>
      <w:r w:rsidR="00284706">
        <w:t>(iv</w:t>
      </w:r>
      <w:r w:rsidRPr="008873B1">
        <w:t>) involves information given in a religious context of confession or individual counselling, unless there are exceptional reasons for examining the information (section 7).</w:t>
      </w:r>
    </w:p>
    <w:bookmarkStart w:name="discard_domestic" w:id="17"/>
    <w:p w:rsidRPr="008873B1" w:rsidR="004D0549" w:rsidP="00EE4995" w:rsidRDefault="004D0549" w14:paraId="47E0A945" w14:textId="661565AB">
      <w:pPr>
        <w:pStyle w:val="JuPara"/>
      </w:pPr>
      <w:r w:rsidRPr="008873B1">
        <w:fldChar w:fldCharType="begin"/>
      </w:r>
      <w:r w:rsidRPr="008873B1">
        <w:instrText xml:space="preserve"> SEQ level0 \*arabic </w:instrText>
      </w:r>
      <w:r w:rsidRPr="008873B1">
        <w:fldChar w:fldCharType="separate"/>
      </w:r>
      <w:r w:rsidR="004F11CA">
        <w:rPr>
          <w:noProof/>
        </w:rPr>
        <w:t>38</w:t>
      </w:r>
      <w:r w:rsidRPr="008873B1">
        <w:fldChar w:fldCharType="end"/>
      </w:r>
      <w:bookmarkEnd w:id="17"/>
      <w:r w:rsidRPr="008873B1">
        <w:t>.  If communications have been intercepted between a sender and receiver who are both in Sweden, despite the prohibition on such interception, they shall be destroyed as soon as the domestic nature of the communications has become evident (section 2a).</w:t>
      </w:r>
    </w:p>
    <w:bookmarkStart w:name="destroy_data_end" w:id="18"/>
    <w:p w:rsidRPr="008873B1" w:rsidR="004D0549" w:rsidP="00EE4995" w:rsidRDefault="004D0549" w14:paraId="10CA8619" w14:textId="14A95B44">
      <w:pPr>
        <w:pStyle w:val="JuPara"/>
      </w:pPr>
      <w:r w:rsidRPr="008873B1">
        <w:fldChar w:fldCharType="begin"/>
      </w:r>
      <w:r w:rsidRPr="008873B1">
        <w:instrText xml:space="preserve"> SEQ level0 \*arabic </w:instrText>
      </w:r>
      <w:r w:rsidRPr="008873B1">
        <w:fldChar w:fldCharType="separate"/>
      </w:r>
      <w:r w:rsidR="004F11CA">
        <w:rPr>
          <w:noProof/>
        </w:rPr>
        <w:t>39</w:t>
      </w:r>
      <w:r w:rsidRPr="008873B1">
        <w:fldChar w:fldCharType="end"/>
      </w:r>
      <w:bookmarkEnd w:id="18"/>
      <w:r w:rsidRPr="008873B1">
        <w:t>.  If a permit urgently granted by the FRA (see paragraph 21 above) is revoked or amended by the Foreign Intelligence Court, all intelligence collected which is thereby no longer authorised must be immediately destroyed (section 5</w:t>
      </w:r>
      <w:proofErr w:type="gramStart"/>
      <w:r w:rsidRPr="008873B1">
        <w:t>b(</w:t>
      </w:r>
      <w:proofErr w:type="gramEnd"/>
      <w:r w:rsidRPr="008873B1">
        <w:t>3)).</w:t>
      </w:r>
    </w:p>
    <w:bookmarkStart w:name="Personal_data_process_act" w:id="19"/>
    <w:p w:rsidRPr="008873B1" w:rsidR="004D0549" w:rsidP="00EE4995" w:rsidRDefault="004D0549" w14:paraId="4487323E" w14:textId="099E05F3">
      <w:pPr>
        <w:pStyle w:val="JuPara"/>
      </w:pPr>
      <w:r w:rsidRPr="008873B1">
        <w:fldChar w:fldCharType="begin"/>
      </w:r>
      <w:r w:rsidRPr="008873B1">
        <w:instrText xml:space="preserve"> SEQ level0 \*arabic </w:instrText>
      </w:r>
      <w:r w:rsidRPr="008873B1">
        <w:fldChar w:fldCharType="separate"/>
      </w:r>
      <w:r w:rsidR="004F11CA">
        <w:rPr>
          <w:noProof/>
        </w:rPr>
        <w:t>40</w:t>
      </w:r>
      <w:r w:rsidRPr="008873B1">
        <w:fldChar w:fldCharType="end"/>
      </w:r>
      <w:bookmarkEnd w:id="19"/>
      <w:r w:rsidRPr="008873B1">
        <w:t>.  The FRA Personal Data Processing Act (</w:t>
      </w:r>
      <w:proofErr w:type="spellStart"/>
      <w:r w:rsidRPr="008873B1">
        <w:rPr>
          <w:i/>
        </w:rPr>
        <w:t>Lagen</w:t>
      </w:r>
      <w:proofErr w:type="spellEnd"/>
      <w:r w:rsidRPr="008873B1">
        <w:rPr>
          <w:i/>
        </w:rPr>
        <w:t xml:space="preserve"> om </w:t>
      </w:r>
      <w:proofErr w:type="spellStart"/>
      <w:r w:rsidRPr="008873B1">
        <w:rPr>
          <w:i/>
        </w:rPr>
        <w:t>behandling</w:t>
      </w:r>
      <w:proofErr w:type="spellEnd"/>
      <w:r w:rsidRPr="008873B1">
        <w:rPr>
          <w:i/>
        </w:rPr>
        <w:t xml:space="preserve"> </w:t>
      </w:r>
      <w:proofErr w:type="spellStart"/>
      <w:r w:rsidRPr="008873B1">
        <w:rPr>
          <w:i/>
        </w:rPr>
        <w:t>av</w:t>
      </w:r>
      <w:proofErr w:type="spellEnd"/>
      <w:r w:rsidRPr="008873B1">
        <w:rPr>
          <w:i/>
        </w:rPr>
        <w:t xml:space="preserve"> </w:t>
      </w:r>
      <w:proofErr w:type="spellStart"/>
      <w:r w:rsidRPr="008873B1">
        <w:rPr>
          <w:i/>
        </w:rPr>
        <w:t>personuppgifter</w:t>
      </w:r>
      <w:proofErr w:type="spellEnd"/>
      <w:r w:rsidRPr="008873B1">
        <w:rPr>
          <w:i/>
        </w:rPr>
        <w:t xml:space="preserve"> </w:t>
      </w:r>
      <w:proofErr w:type="spellStart"/>
      <w:r w:rsidRPr="008873B1">
        <w:rPr>
          <w:i/>
        </w:rPr>
        <w:t>i</w:t>
      </w:r>
      <w:proofErr w:type="spellEnd"/>
      <w:r w:rsidRPr="008873B1">
        <w:rPr>
          <w:i/>
        </w:rPr>
        <w:t xml:space="preserve"> </w:t>
      </w:r>
      <w:proofErr w:type="spellStart"/>
      <w:r w:rsidRPr="008873B1">
        <w:rPr>
          <w:i/>
        </w:rPr>
        <w:t>Försvarets</w:t>
      </w:r>
      <w:proofErr w:type="spellEnd"/>
      <w:r w:rsidRPr="008873B1">
        <w:rPr>
          <w:i/>
        </w:rPr>
        <w:t xml:space="preserve"> </w:t>
      </w:r>
      <w:proofErr w:type="spellStart"/>
      <w:r w:rsidRPr="008873B1">
        <w:rPr>
          <w:i/>
        </w:rPr>
        <w:t>radioanstalts</w:t>
      </w:r>
      <w:proofErr w:type="spellEnd"/>
      <w:r w:rsidRPr="008873B1">
        <w:rPr>
          <w:i/>
        </w:rPr>
        <w:t xml:space="preserve"> </w:t>
      </w:r>
      <w:proofErr w:type="spellStart"/>
      <w:r w:rsidRPr="008873B1">
        <w:rPr>
          <w:i/>
        </w:rPr>
        <w:t>försvarsunderrättelse</w:t>
      </w:r>
      <w:proofErr w:type="spellEnd"/>
      <w:r w:rsidRPr="008873B1">
        <w:rPr>
          <w:i/>
        </w:rPr>
        <w:t xml:space="preserve">- </w:t>
      </w:r>
      <w:proofErr w:type="spellStart"/>
      <w:r w:rsidRPr="008873B1">
        <w:rPr>
          <w:i/>
        </w:rPr>
        <w:t>och</w:t>
      </w:r>
      <w:proofErr w:type="spellEnd"/>
      <w:r w:rsidRPr="008873B1">
        <w:rPr>
          <w:i/>
        </w:rPr>
        <w:t xml:space="preserve"> </w:t>
      </w:r>
      <w:proofErr w:type="spellStart"/>
      <w:r w:rsidRPr="008873B1">
        <w:rPr>
          <w:i/>
        </w:rPr>
        <w:t>utvecklingsverksamhet</w:t>
      </w:r>
      <w:proofErr w:type="spellEnd"/>
      <w:r w:rsidRPr="008873B1">
        <w:t xml:space="preserve">; 2007:259) contains provisions on the treatment of personal data within the area of signals intelligence. The Act entered into force on 1 July 2007, with amendments effective from 30 June 2009, 15 February 2010 and 1 March 2018. The purpose of the Act is to protect against violations of personal integrity (Chapter 1, section 2). The FRA shall ensure, </w:t>
      </w:r>
      <w:r w:rsidRPr="008873B1">
        <w:rPr>
          <w:i/>
        </w:rPr>
        <w:t>inter alia</w:t>
      </w:r>
      <w:r w:rsidRPr="008873B1">
        <w:t xml:space="preserve">, that personal data is collected only for certain expressly stated and justified purposes. Such purpose is either determined by the direction of the foreign intelligence activities through a detailed tasking directive or by what is necessary in order to follow changes in the </w:t>
      </w:r>
      <w:proofErr w:type="gramStart"/>
      <w:r w:rsidRPr="008873B1">
        <w:t>signals</w:t>
      </w:r>
      <w:proofErr w:type="gramEnd"/>
      <w:r w:rsidRPr="008873B1">
        <w:t xml:space="preserve"> environment, technical advances and signals protection. Also, the personal data treated </w:t>
      </w:r>
      <w:proofErr w:type="gramStart"/>
      <w:r w:rsidRPr="008873B1">
        <w:t>has to</w:t>
      </w:r>
      <w:proofErr w:type="gramEnd"/>
      <w:r w:rsidRPr="008873B1">
        <w:t xml:space="preserve"> be adequate and relevant in relation to the purpose of the treatment. No more personal data than what is necessary for that purpose may be processed. All reasonable efforts </w:t>
      </w:r>
      <w:proofErr w:type="gramStart"/>
      <w:r w:rsidRPr="008873B1">
        <w:t>have to</w:t>
      </w:r>
      <w:proofErr w:type="gramEnd"/>
      <w:r w:rsidRPr="008873B1">
        <w:t xml:space="preserve"> be made to correct, block and obliterate personal data that is incorrect or incomplete (Chapter 1, sections 6, 8 and 9).</w:t>
      </w:r>
    </w:p>
    <w:p w:rsidRPr="008873B1" w:rsidR="004D0549" w:rsidP="00EE4995" w:rsidRDefault="004D0549" w14:paraId="119F411A" w14:textId="5C9087F9">
      <w:pPr>
        <w:pStyle w:val="JuPara"/>
      </w:pPr>
      <w:r w:rsidRPr="008873B1">
        <w:fldChar w:fldCharType="begin"/>
      </w:r>
      <w:r w:rsidRPr="008873B1">
        <w:instrText xml:space="preserve"> SEQ level0 \*arabic </w:instrText>
      </w:r>
      <w:r w:rsidRPr="008873B1">
        <w:fldChar w:fldCharType="separate"/>
      </w:r>
      <w:r w:rsidR="004F11CA">
        <w:rPr>
          <w:noProof/>
        </w:rPr>
        <w:t>41</w:t>
      </w:r>
      <w:r w:rsidRPr="008873B1">
        <w:fldChar w:fldCharType="end"/>
      </w:r>
      <w:r w:rsidRPr="008873B1">
        <w:t xml:space="preserve">.  Personal data may not be processed solely because of what is known of a person’s race or ethnicity, political, religious or philosophical views, membership </w:t>
      </w:r>
      <w:r w:rsidR="00D26311">
        <w:t>of</w:t>
      </w:r>
      <w:r w:rsidRPr="008873B1">
        <w:t xml:space="preserve"> a union, health or sexual life. If, however, personal data is treated for a different reason, this type of information may be used if it is </w:t>
      </w:r>
      <w:proofErr w:type="gramStart"/>
      <w:r w:rsidRPr="008873B1">
        <w:t>absolutely necessary</w:t>
      </w:r>
      <w:proofErr w:type="gramEnd"/>
      <w:r w:rsidRPr="008873B1">
        <w:t xml:space="preserve"> for the treatment. Information about a person’s physical appearance must always be formulated in an objective way with respect for human dignity. Intelligence searches may only use the </w:t>
      </w:r>
      <w:r w:rsidR="00D26311">
        <w:t>above-</w:t>
      </w:r>
      <w:r w:rsidRPr="008873B1">
        <w:t xml:space="preserve">mentioned personal indicators as selectors if this is </w:t>
      </w:r>
      <w:proofErr w:type="gramStart"/>
      <w:r w:rsidRPr="008873B1">
        <w:t>absolutely necessary</w:t>
      </w:r>
      <w:proofErr w:type="gramEnd"/>
      <w:r w:rsidRPr="008873B1">
        <w:t xml:space="preserve"> for the purpose of the search (Chapter 1, section 11).</w:t>
      </w:r>
    </w:p>
    <w:bookmarkStart w:name="FRA_staff" w:id="20"/>
    <w:p w:rsidRPr="008873B1" w:rsidR="004D0549" w:rsidP="00EE4995" w:rsidRDefault="004D0549" w14:paraId="25914E5A" w14:textId="2905BE75">
      <w:pPr>
        <w:pStyle w:val="JuPara"/>
      </w:pPr>
      <w:r w:rsidRPr="008873B1">
        <w:fldChar w:fldCharType="begin"/>
      </w:r>
      <w:r w:rsidRPr="008873B1">
        <w:instrText xml:space="preserve"> SEQ level0 \*arabic </w:instrText>
      </w:r>
      <w:r w:rsidRPr="008873B1">
        <w:fldChar w:fldCharType="separate"/>
      </w:r>
      <w:r w:rsidR="004F11CA">
        <w:rPr>
          <w:noProof/>
        </w:rPr>
        <w:t>42</w:t>
      </w:r>
      <w:r w:rsidRPr="008873B1">
        <w:fldChar w:fldCharType="end"/>
      </w:r>
      <w:bookmarkEnd w:id="20"/>
      <w:r w:rsidRPr="008873B1">
        <w:t xml:space="preserve">.  Personnel at the FRA who process personal data go through an official security clearance procedure and are subject to confidentiality </w:t>
      </w:r>
      <w:proofErr w:type="gramStart"/>
      <w:r w:rsidR="00D26311">
        <w:t>with</w:t>
      </w:r>
      <w:r w:rsidRPr="008873B1">
        <w:t xml:space="preserve"> regard to</w:t>
      </w:r>
      <w:proofErr w:type="gramEnd"/>
      <w:r w:rsidRPr="008873B1">
        <w:t xml:space="preserve"> data to which secrecy applies. They could face criminal sanctions if tasks relating to the processing of personal data are mismanaged (Chapter 6, section 2).</w:t>
      </w:r>
    </w:p>
    <w:p w:rsidRPr="008873B1" w:rsidR="004D0549" w:rsidP="00EE4995" w:rsidRDefault="004D0549" w14:paraId="5277863F" w14:textId="6A15F928">
      <w:pPr>
        <w:pStyle w:val="JuPara"/>
      </w:pPr>
      <w:r w:rsidRPr="008873B1">
        <w:fldChar w:fldCharType="begin"/>
      </w:r>
      <w:r w:rsidRPr="008873B1">
        <w:instrText xml:space="preserve"> SEQ level0 \*arabic </w:instrText>
      </w:r>
      <w:r w:rsidRPr="008873B1">
        <w:fldChar w:fldCharType="separate"/>
      </w:r>
      <w:r w:rsidR="004F11CA">
        <w:rPr>
          <w:noProof/>
        </w:rPr>
        <w:t>43</w:t>
      </w:r>
      <w:r w:rsidRPr="008873B1">
        <w:fldChar w:fldCharType="end"/>
      </w:r>
      <w:r w:rsidRPr="008873B1">
        <w:t xml:space="preserve">.  Personal data that has been subjected to automated processing </w:t>
      </w:r>
      <w:r w:rsidR="00D26311">
        <w:t>is to</w:t>
      </w:r>
      <w:r w:rsidRPr="008873B1">
        <w:t xml:space="preserve"> be destroyed as soon as it is no longer needed (Chapter 6, section 1).</w:t>
      </w:r>
    </w:p>
    <w:bookmarkStart w:name="Pers_Data_Proc_Ordinance_raw_material" w:id="21"/>
    <w:p w:rsidRPr="008873B1" w:rsidR="004D0549" w:rsidP="00EE4995" w:rsidRDefault="004D0549" w14:paraId="4E65F787" w14:textId="4DAEA3D6">
      <w:pPr>
        <w:pStyle w:val="JuPara"/>
      </w:pPr>
      <w:r w:rsidRPr="008873B1">
        <w:fldChar w:fldCharType="begin"/>
      </w:r>
      <w:r w:rsidRPr="008873B1">
        <w:instrText xml:space="preserve"> SEQ level0 \*arabic </w:instrText>
      </w:r>
      <w:r w:rsidRPr="008873B1">
        <w:fldChar w:fldCharType="separate"/>
      </w:r>
      <w:r w:rsidR="004F11CA">
        <w:rPr>
          <w:noProof/>
        </w:rPr>
        <w:t>44</w:t>
      </w:r>
      <w:r w:rsidRPr="008873B1">
        <w:fldChar w:fldCharType="end"/>
      </w:r>
      <w:bookmarkEnd w:id="21"/>
      <w:r w:rsidRPr="008873B1">
        <w:t>.  Further provisions on the treatment of personal data are laid down in the FRA Personal Data Processing Ordinance (</w:t>
      </w:r>
      <w:proofErr w:type="spellStart"/>
      <w:r w:rsidRPr="008873B1">
        <w:rPr>
          <w:i/>
        </w:rPr>
        <w:t>Förordningen</w:t>
      </w:r>
      <w:proofErr w:type="spellEnd"/>
      <w:r w:rsidRPr="008873B1">
        <w:rPr>
          <w:i/>
        </w:rPr>
        <w:t xml:space="preserve"> om </w:t>
      </w:r>
      <w:proofErr w:type="spellStart"/>
      <w:r w:rsidRPr="008873B1">
        <w:rPr>
          <w:i/>
        </w:rPr>
        <w:t>behandling</w:t>
      </w:r>
      <w:proofErr w:type="spellEnd"/>
      <w:r w:rsidRPr="008873B1">
        <w:rPr>
          <w:i/>
        </w:rPr>
        <w:t xml:space="preserve"> </w:t>
      </w:r>
      <w:proofErr w:type="spellStart"/>
      <w:r w:rsidRPr="008873B1">
        <w:rPr>
          <w:i/>
        </w:rPr>
        <w:t>av</w:t>
      </w:r>
      <w:proofErr w:type="spellEnd"/>
      <w:r w:rsidRPr="008873B1">
        <w:rPr>
          <w:i/>
        </w:rPr>
        <w:t xml:space="preserve"> </w:t>
      </w:r>
      <w:proofErr w:type="spellStart"/>
      <w:r w:rsidRPr="008873B1">
        <w:rPr>
          <w:i/>
        </w:rPr>
        <w:t>personuppgifter</w:t>
      </w:r>
      <w:proofErr w:type="spellEnd"/>
      <w:r w:rsidRPr="008873B1">
        <w:rPr>
          <w:i/>
        </w:rPr>
        <w:t xml:space="preserve"> </w:t>
      </w:r>
      <w:proofErr w:type="spellStart"/>
      <w:r w:rsidRPr="008873B1">
        <w:rPr>
          <w:i/>
        </w:rPr>
        <w:t>i</w:t>
      </w:r>
      <w:proofErr w:type="spellEnd"/>
      <w:r w:rsidRPr="008873B1">
        <w:rPr>
          <w:i/>
        </w:rPr>
        <w:t xml:space="preserve"> </w:t>
      </w:r>
      <w:proofErr w:type="spellStart"/>
      <w:r w:rsidRPr="008873B1">
        <w:rPr>
          <w:i/>
        </w:rPr>
        <w:t>Försvarets</w:t>
      </w:r>
      <w:proofErr w:type="spellEnd"/>
      <w:r w:rsidRPr="008873B1">
        <w:rPr>
          <w:i/>
        </w:rPr>
        <w:t xml:space="preserve"> </w:t>
      </w:r>
      <w:proofErr w:type="spellStart"/>
      <w:r w:rsidRPr="008873B1">
        <w:rPr>
          <w:i/>
        </w:rPr>
        <w:t>radioanstalts</w:t>
      </w:r>
      <w:proofErr w:type="spellEnd"/>
      <w:r w:rsidR="00C44985">
        <w:rPr>
          <w:i/>
        </w:rPr>
        <w:t xml:space="preserve"> </w:t>
      </w:r>
      <w:proofErr w:type="spellStart"/>
      <w:r w:rsidRPr="008873B1">
        <w:rPr>
          <w:i/>
        </w:rPr>
        <w:t>försvars</w:t>
      </w:r>
      <w:r w:rsidR="00C44985">
        <w:rPr>
          <w:i/>
        </w:rPr>
        <w:softHyphen/>
      </w:r>
      <w:r w:rsidRPr="008873B1">
        <w:rPr>
          <w:i/>
        </w:rPr>
        <w:t>underrättelse</w:t>
      </w:r>
      <w:proofErr w:type="spellEnd"/>
      <w:r w:rsidRPr="008873B1">
        <w:rPr>
          <w:i/>
        </w:rPr>
        <w:t xml:space="preserve">- </w:t>
      </w:r>
      <w:proofErr w:type="spellStart"/>
      <w:r w:rsidRPr="008873B1">
        <w:rPr>
          <w:i/>
        </w:rPr>
        <w:t>och</w:t>
      </w:r>
      <w:proofErr w:type="spellEnd"/>
      <w:r w:rsidRPr="008873B1">
        <w:rPr>
          <w:i/>
        </w:rPr>
        <w:t xml:space="preserve"> </w:t>
      </w:r>
      <w:proofErr w:type="spellStart"/>
      <w:r w:rsidRPr="008873B1">
        <w:rPr>
          <w:i/>
        </w:rPr>
        <w:t>utvecklingsverksamhet</w:t>
      </w:r>
      <w:proofErr w:type="spellEnd"/>
      <w:r w:rsidRPr="008873B1">
        <w:t xml:space="preserve">; 2007:261). It provides, </w:t>
      </w:r>
      <w:r w:rsidRPr="008873B1">
        <w:rPr>
          <w:i/>
        </w:rPr>
        <w:t>inter alia</w:t>
      </w:r>
      <w:r w:rsidRPr="008873B1">
        <w:t>, that the FRA may keep databases for raw material containing personal data. Raw material is unprocessed information which has been collected through automated treatment. Personal data in such databases shall be destroyed within one year from when it was collected (section 2).</w:t>
      </w:r>
    </w:p>
    <w:p w:rsidRPr="008873B1" w:rsidR="004D0549" w:rsidP="00E31657" w:rsidRDefault="004D0549" w14:paraId="38D5CB50" w14:textId="77777777">
      <w:pPr>
        <w:pStyle w:val="JuHA"/>
        <w:numPr>
          <w:ilvl w:val="0"/>
          <w:numId w:val="0"/>
        </w:numPr>
        <w:ind w:left="510"/>
      </w:pPr>
      <w:r w:rsidRPr="008873B1">
        <w:t>F.  Conditions for communicating the intercepted data to other parties</w:t>
      </w:r>
    </w:p>
    <w:p w:rsidRPr="008873B1" w:rsidR="004D0549" w:rsidP="00EE4995" w:rsidRDefault="004D0549" w14:paraId="7CE58AA9" w14:textId="210EA052">
      <w:pPr>
        <w:pStyle w:val="JuPara"/>
      </w:pPr>
      <w:r w:rsidRPr="008873B1">
        <w:fldChar w:fldCharType="begin"/>
      </w:r>
      <w:r w:rsidRPr="008873B1">
        <w:instrText xml:space="preserve"> SEQ level0 \*arabic </w:instrText>
      </w:r>
      <w:r w:rsidRPr="008873B1">
        <w:fldChar w:fldCharType="separate"/>
      </w:r>
      <w:r w:rsidR="004F11CA">
        <w:rPr>
          <w:noProof/>
        </w:rPr>
        <w:t>45</w:t>
      </w:r>
      <w:r w:rsidRPr="008873B1">
        <w:fldChar w:fldCharType="end"/>
      </w:r>
      <w:r w:rsidRPr="008873B1">
        <w:t xml:space="preserve">.  The intelligence collected </w:t>
      </w:r>
      <w:r w:rsidR="000D137E">
        <w:t>is to</w:t>
      </w:r>
      <w:r w:rsidRPr="008873B1">
        <w:t xml:space="preserve"> be reported to the authorities concerned, as determined under the Foreign Intelligence Act (Signals Intelligence Act, section 8).</w:t>
      </w:r>
    </w:p>
    <w:p w:rsidRPr="008873B1" w:rsidR="004D0549" w:rsidP="00EE4995" w:rsidRDefault="004D0549" w14:paraId="0D0563FE" w14:textId="4D86DF5E">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46</w:t>
      </w:r>
      <w:r w:rsidRPr="008873B1">
        <w:rPr>
          <w:rFonts w:cstheme="minorHAnsi"/>
        </w:rPr>
        <w:fldChar w:fldCharType="end"/>
      </w:r>
      <w:r w:rsidRPr="008873B1">
        <w:rPr>
          <w:rFonts w:cstheme="minorHAnsi"/>
        </w:rPr>
        <w:t>.  The Government Offices, the Armed Forces, the Security Police, the NOA, the Inspectorate of Strategic Products (</w:t>
      </w:r>
      <w:proofErr w:type="spellStart"/>
      <w:r w:rsidRPr="008873B1">
        <w:rPr>
          <w:rFonts w:cstheme="minorHAnsi"/>
          <w:i/>
        </w:rPr>
        <w:t>Inspektionen</w:t>
      </w:r>
      <w:proofErr w:type="spellEnd"/>
      <w:r w:rsidRPr="008873B1">
        <w:rPr>
          <w:rFonts w:cstheme="minorHAnsi"/>
          <w:i/>
        </w:rPr>
        <w:t xml:space="preserve"> </w:t>
      </w:r>
      <w:proofErr w:type="spellStart"/>
      <w:r w:rsidRPr="008873B1">
        <w:rPr>
          <w:rFonts w:cstheme="minorHAnsi"/>
          <w:i/>
        </w:rPr>
        <w:t>för</w:t>
      </w:r>
      <w:proofErr w:type="spellEnd"/>
      <w:r w:rsidRPr="008873B1">
        <w:rPr>
          <w:rFonts w:cstheme="minorHAnsi"/>
          <w:i/>
        </w:rPr>
        <w:t xml:space="preserve"> </w:t>
      </w:r>
      <w:proofErr w:type="spellStart"/>
      <w:r w:rsidRPr="008873B1">
        <w:rPr>
          <w:rFonts w:cstheme="minorHAnsi"/>
          <w:i/>
        </w:rPr>
        <w:t>strategiska</w:t>
      </w:r>
      <w:proofErr w:type="spellEnd"/>
      <w:r w:rsidRPr="008873B1">
        <w:rPr>
          <w:rFonts w:cstheme="minorHAnsi"/>
          <w:i/>
        </w:rPr>
        <w:t xml:space="preserve"> </w:t>
      </w:r>
      <w:proofErr w:type="spellStart"/>
      <w:r w:rsidRPr="008873B1">
        <w:rPr>
          <w:rFonts w:cstheme="minorHAnsi"/>
          <w:i/>
        </w:rPr>
        <w:t>produkter</w:t>
      </w:r>
      <w:proofErr w:type="spellEnd"/>
      <w:r w:rsidRPr="008873B1">
        <w:rPr>
          <w:rFonts w:cstheme="minorHAnsi"/>
        </w:rPr>
        <w:t>), the Defence Material Administration (</w:t>
      </w:r>
      <w:proofErr w:type="spellStart"/>
      <w:r w:rsidRPr="008873B1">
        <w:rPr>
          <w:rFonts w:cstheme="minorHAnsi"/>
          <w:i/>
        </w:rPr>
        <w:t>Försvarets</w:t>
      </w:r>
      <w:proofErr w:type="spellEnd"/>
      <w:r w:rsidRPr="008873B1">
        <w:rPr>
          <w:rFonts w:cstheme="minorHAnsi"/>
          <w:i/>
        </w:rPr>
        <w:t xml:space="preserve"> </w:t>
      </w:r>
      <w:proofErr w:type="spellStart"/>
      <w:r w:rsidRPr="008873B1">
        <w:rPr>
          <w:rFonts w:cstheme="minorHAnsi"/>
          <w:i/>
        </w:rPr>
        <w:t>materialverk</w:t>
      </w:r>
      <w:proofErr w:type="spellEnd"/>
      <w:r w:rsidRPr="008873B1">
        <w:rPr>
          <w:rFonts w:cstheme="minorHAnsi"/>
        </w:rPr>
        <w:t>), the Defence Research Agency (</w:t>
      </w:r>
      <w:proofErr w:type="spellStart"/>
      <w:r w:rsidRPr="008873B1">
        <w:rPr>
          <w:rFonts w:cstheme="minorHAnsi"/>
          <w:i/>
        </w:rPr>
        <w:t>Totalförsvarets</w:t>
      </w:r>
      <w:proofErr w:type="spellEnd"/>
      <w:r w:rsidRPr="008873B1">
        <w:rPr>
          <w:rFonts w:cstheme="minorHAnsi"/>
          <w:i/>
        </w:rPr>
        <w:t xml:space="preserve"> </w:t>
      </w:r>
      <w:proofErr w:type="spellStart"/>
      <w:r w:rsidRPr="008873B1">
        <w:rPr>
          <w:rFonts w:cstheme="minorHAnsi"/>
          <w:i/>
        </w:rPr>
        <w:t>forskningsinstitut</w:t>
      </w:r>
      <w:proofErr w:type="spellEnd"/>
      <w:r w:rsidRPr="008873B1">
        <w:rPr>
          <w:rFonts w:cstheme="minorHAnsi"/>
        </w:rPr>
        <w:t>), the Civil Contingencies Agency (</w:t>
      </w:r>
      <w:proofErr w:type="spellStart"/>
      <w:r w:rsidRPr="008873B1">
        <w:rPr>
          <w:rFonts w:cstheme="minorHAnsi"/>
          <w:i/>
        </w:rPr>
        <w:t>Myndigheten</w:t>
      </w:r>
      <w:proofErr w:type="spellEnd"/>
      <w:r w:rsidRPr="008873B1">
        <w:rPr>
          <w:rFonts w:cstheme="minorHAnsi"/>
          <w:i/>
        </w:rPr>
        <w:t xml:space="preserve"> </w:t>
      </w:r>
      <w:proofErr w:type="spellStart"/>
      <w:r w:rsidRPr="008873B1">
        <w:rPr>
          <w:rFonts w:cstheme="minorHAnsi"/>
          <w:i/>
        </w:rPr>
        <w:t>för</w:t>
      </w:r>
      <w:proofErr w:type="spellEnd"/>
      <w:r w:rsidRPr="008873B1">
        <w:rPr>
          <w:rFonts w:cstheme="minorHAnsi"/>
          <w:i/>
        </w:rPr>
        <w:t xml:space="preserve"> </w:t>
      </w:r>
      <w:proofErr w:type="spellStart"/>
      <w:r w:rsidRPr="008873B1">
        <w:rPr>
          <w:rFonts w:cstheme="minorHAnsi"/>
          <w:i/>
        </w:rPr>
        <w:t>samhällsskydd</w:t>
      </w:r>
      <w:proofErr w:type="spellEnd"/>
      <w:r w:rsidRPr="008873B1">
        <w:rPr>
          <w:rFonts w:cstheme="minorHAnsi"/>
          <w:i/>
        </w:rPr>
        <w:t xml:space="preserve"> </w:t>
      </w:r>
      <w:proofErr w:type="spellStart"/>
      <w:r w:rsidRPr="008873B1">
        <w:rPr>
          <w:rFonts w:cstheme="minorHAnsi"/>
          <w:i/>
        </w:rPr>
        <w:t>och</w:t>
      </w:r>
      <w:proofErr w:type="spellEnd"/>
      <w:r w:rsidRPr="008873B1">
        <w:rPr>
          <w:rFonts w:cstheme="minorHAnsi"/>
          <w:i/>
        </w:rPr>
        <w:t xml:space="preserve"> </w:t>
      </w:r>
      <w:proofErr w:type="spellStart"/>
      <w:r w:rsidRPr="008873B1">
        <w:rPr>
          <w:rFonts w:cstheme="minorHAnsi"/>
          <w:i/>
        </w:rPr>
        <w:t>beredskap</w:t>
      </w:r>
      <w:proofErr w:type="spellEnd"/>
      <w:r w:rsidRPr="008873B1">
        <w:rPr>
          <w:rFonts w:cstheme="minorHAnsi"/>
        </w:rPr>
        <w:t>) and the Swedish Customs (</w:t>
      </w:r>
      <w:proofErr w:type="spellStart"/>
      <w:r w:rsidRPr="008873B1">
        <w:rPr>
          <w:rFonts w:cstheme="minorHAnsi"/>
          <w:i/>
        </w:rPr>
        <w:t>Tullverket</w:t>
      </w:r>
      <w:proofErr w:type="spellEnd"/>
      <w:r w:rsidRPr="008873B1">
        <w:rPr>
          <w:rFonts w:cstheme="minorHAnsi"/>
        </w:rPr>
        <w:t>) may have direct access to completed intelligence reports to the extent the FRA so decides (section 9 of the FRA Personal Data Processing Ordinance). However, to date, no decisions permitting direct access have been taken by the FRA.</w:t>
      </w:r>
    </w:p>
    <w:p w:rsidRPr="008873B1" w:rsidR="004D0549" w:rsidP="00EE4995" w:rsidRDefault="004D0549" w14:paraId="22D9BEA6" w14:textId="479BA75F">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47</w:t>
      </w:r>
      <w:r w:rsidRPr="008873B1">
        <w:rPr>
          <w:rFonts w:cstheme="minorHAnsi"/>
        </w:rPr>
        <w:fldChar w:fldCharType="end"/>
      </w:r>
      <w:r w:rsidRPr="008873B1">
        <w:rPr>
          <w:rFonts w:cstheme="minorHAnsi"/>
        </w:rPr>
        <w:t>.  The FRA may also grant the Security Police and the Armed Forces direct access to data which constitute analysis results in a data collection for analyses and which is needed for the authorities to be able to make strategic assessments of the terrorist threat against Sweden and Swedish interests (Chapter 1, section 15 of the FRA Personal Data Processing Act, and section 13a of the Ordinance).</w:t>
      </w:r>
    </w:p>
    <w:p w:rsidRPr="008873B1" w:rsidR="004D0549" w:rsidP="00EE4995" w:rsidRDefault="004D0549" w14:paraId="1673A2B3" w14:textId="38134BDF">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48</w:t>
      </w:r>
      <w:r w:rsidRPr="008873B1">
        <w:rPr>
          <w:rFonts w:cstheme="minorHAnsi"/>
        </w:rPr>
        <w:fldChar w:fldCharType="end"/>
      </w:r>
      <w:r w:rsidRPr="008873B1">
        <w:rPr>
          <w:rFonts w:cstheme="minorHAnsi"/>
        </w:rPr>
        <w:t xml:space="preserve">.  According to the preparatory works (prop 2017/18:36), the </w:t>
      </w:r>
      <w:r w:rsidR="00662E48">
        <w:rPr>
          <w:rFonts w:cstheme="minorHAnsi"/>
        </w:rPr>
        <w:t>above-mentioned</w:t>
      </w:r>
      <w:r w:rsidRPr="008873B1">
        <w:rPr>
          <w:rFonts w:cstheme="minorHAnsi"/>
        </w:rPr>
        <w:t xml:space="preserve"> access is given within the framework of cooperation between the FRA, the Security Police and the Armed Forces in a working group called the National Centre for Assessment of Terrorist Threats (</w:t>
      </w:r>
      <w:proofErr w:type="spellStart"/>
      <w:r w:rsidRPr="008873B1">
        <w:rPr>
          <w:rFonts w:cstheme="minorHAnsi"/>
          <w:i/>
        </w:rPr>
        <w:t>Nationellt</w:t>
      </w:r>
      <w:proofErr w:type="spellEnd"/>
      <w:r w:rsidRPr="008873B1">
        <w:rPr>
          <w:rFonts w:cstheme="minorHAnsi"/>
          <w:i/>
        </w:rPr>
        <w:t xml:space="preserve"> centrum </w:t>
      </w:r>
      <w:proofErr w:type="spellStart"/>
      <w:r w:rsidRPr="008873B1">
        <w:rPr>
          <w:rFonts w:cstheme="minorHAnsi"/>
          <w:i/>
        </w:rPr>
        <w:t>för</w:t>
      </w:r>
      <w:proofErr w:type="spellEnd"/>
      <w:r w:rsidRPr="008873B1">
        <w:rPr>
          <w:rFonts w:cstheme="minorHAnsi"/>
          <w:i/>
        </w:rPr>
        <w:t xml:space="preserve"> </w:t>
      </w:r>
      <w:proofErr w:type="spellStart"/>
      <w:r w:rsidRPr="008873B1">
        <w:rPr>
          <w:rFonts w:cstheme="minorHAnsi"/>
          <w:i/>
        </w:rPr>
        <w:t>terrorhotbedömning</w:t>
      </w:r>
      <w:proofErr w:type="spellEnd"/>
      <w:r w:rsidRPr="008873B1">
        <w:rPr>
          <w:rFonts w:cstheme="minorHAnsi"/>
        </w:rPr>
        <w:t xml:space="preserve">; “NCT”) where a number of analysts from the three authorities work together and write reports containing strategic assessments of terrorist threats. With the FRA’s permission and </w:t>
      </w:r>
      <w:proofErr w:type="gramStart"/>
      <w:r w:rsidRPr="008873B1">
        <w:rPr>
          <w:rFonts w:cstheme="minorHAnsi"/>
        </w:rPr>
        <w:t>as long as</w:t>
      </w:r>
      <w:proofErr w:type="gramEnd"/>
      <w:r w:rsidRPr="008873B1">
        <w:rPr>
          <w:rFonts w:cstheme="minorHAnsi"/>
        </w:rPr>
        <w:t xml:space="preserve"> the data is relevant for such terrorist threat assessments, the NCT analysts have direct access to “analysis results” contained in the FRA databases. The analysts do not, however, have direct access to </w:t>
      </w:r>
      <w:r w:rsidR="00F822E2">
        <w:rPr>
          <w:rFonts w:cstheme="minorHAnsi"/>
        </w:rPr>
        <w:t xml:space="preserve">the </w:t>
      </w:r>
      <w:r w:rsidRPr="008873B1">
        <w:rPr>
          <w:rFonts w:cstheme="minorHAnsi"/>
        </w:rPr>
        <w:t xml:space="preserve">FRA’s databases to </w:t>
      </w:r>
      <w:r w:rsidR="00F822E2">
        <w:rPr>
          <w:rFonts w:cstheme="minorHAnsi"/>
        </w:rPr>
        <w:t>conduct</w:t>
      </w:r>
      <w:r w:rsidRPr="008873B1">
        <w:rPr>
          <w:rFonts w:cstheme="minorHAnsi"/>
        </w:rPr>
        <w:t xml:space="preserve"> their own free searches. Furthermore, while the information made available to the analysts through direct access may contain personal data, the assessments made by the NCT are of a strategic, general nature and are not, as such, directed at individual persons.</w:t>
      </w:r>
    </w:p>
    <w:bookmarkStart w:name="criteria_sending_foreign" w:id="22"/>
    <w:p w:rsidRPr="008873B1" w:rsidR="004D0549" w:rsidP="00EE4995" w:rsidRDefault="004D0549" w14:paraId="6D356FF0" w14:textId="10E53241">
      <w:pPr>
        <w:pStyle w:val="JuPara"/>
      </w:pPr>
      <w:r w:rsidRPr="008873B1">
        <w:fldChar w:fldCharType="begin"/>
      </w:r>
      <w:r w:rsidRPr="008873B1">
        <w:instrText xml:space="preserve"> SEQ level0 \*arabic </w:instrText>
      </w:r>
      <w:r w:rsidRPr="008873B1">
        <w:fldChar w:fldCharType="separate"/>
      </w:r>
      <w:r w:rsidR="004F11CA">
        <w:rPr>
          <w:noProof/>
        </w:rPr>
        <w:t>49</w:t>
      </w:r>
      <w:r w:rsidRPr="008873B1">
        <w:fldChar w:fldCharType="end"/>
      </w:r>
      <w:bookmarkEnd w:id="22"/>
      <w:r w:rsidRPr="008873B1">
        <w:t xml:space="preserve">.  Personal data may be communicated to other </w:t>
      </w:r>
      <w:r w:rsidR="00C0551A">
        <w:t>S</w:t>
      </w:r>
      <w:r w:rsidRPr="008873B1">
        <w:t xml:space="preserve">tates or international organisations only if </w:t>
      </w:r>
      <w:r w:rsidR="00C0551A">
        <w:t xml:space="preserve">this is </w:t>
      </w:r>
      <w:r w:rsidRPr="008873B1">
        <w:t xml:space="preserve">not prevented by secrecy and if </w:t>
      </w:r>
      <w:proofErr w:type="gramStart"/>
      <w:r w:rsidRPr="008873B1">
        <w:t>necessary</w:t>
      </w:r>
      <w:proofErr w:type="gramEnd"/>
      <w:r w:rsidRPr="008873B1">
        <w:t xml:space="preserve"> for the FRA to perform its activities within international defence and security cooperation. The Government may adopt rules or decide in a specific case to allow such communication of personal data also in other cases</w:t>
      </w:r>
      <w:r w:rsidR="00C0551A">
        <w:t>,</w:t>
      </w:r>
      <w:r w:rsidRPr="008873B1">
        <w:t xml:space="preserve"> whe</w:t>
      </w:r>
      <w:r w:rsidR="00C0551A">
        <w:t>re</w:t>
      </w:r>
      <w:r w:rsidRPr="008873B1">
        <w:t xml:space="preserve"> necessary for the activities of the FRA (Chapter 1, section 17 of the FRA Personal Data Processing Act). The FRA may disclose personal data to a foreign authority or an international organisation if it is beneficial for the Swedish government (</w:t>
      </w:r>
      <w:proofErr w:type="spellStart"/>
      <w:r w:rsidRPr="008873B1">
        <w:rPr>
          <w:i/>
        </w:rPr>
        <w:t>statsledningen</w:t>
      </w:r>
      <w:proofErr w:type="spellEnd"/>
      <w:r w:rsidRPr="008873B1">
        <w:t>) or Sweden’s comprehensive defence strategy (</w:t>
      </w:r>
      <w:proofErr w:type="spellStart"/>
      <w:r w:rsidRPr="008873B1">
        <w:rPr>
          <w:i/>
        </w:rPr>
        <w:t>totalförsvaret</w:t>
      </w:r>
      <w:proofErr w:type="spellEnd"/>
      <w:r w:rsidRPr="008873B1">
        <w:t xml:space="preserve">); information so communicated must not harm Swedish interests (section 7 of the </w:t>
      </w:r>
      <w:r w:rsidRPr="008873B1">
        <w:rPr>
          <w:rFonts w:cstheme="minorHAnsi"/>
        </w:rPr>
        <w:t>FRA Personal Data Processing Ordinance</w:t>
      </w:r>
      <w:r w:rsidRPr="008873B1">
        <w:t>).</w:t>
      </w:r>
    </w:p>
    <w:p w:rsidRPr="008873B1" w:rsidR="004D0549" w:rsidP="00E31657" w:rsidRDefault="004D0549" w14:paraId="36142BE5" w14:textId="77777777">
      <w:pPr>
        <w:pStyle w:val="JuHA"/>
        <w:numPr>
          <w:ilvl w:val="0"/>
          <w:numId w:val="0"/>
        </w:numPr>
        <w:ind w:left="510"/>
      </w:pPr>
      <w:r w:rsidRPr="008873B1">
        <w:t>G.  Supervision of the implementation of signals intelligence</w:t>
      </w:r>
    </w:p>
    <w:bookmarkStart w:name="Inspectorate_begin" w:id="23"/>
    <w:p w:rsidRPr="008873B1" w:rsidR="004D0549" w:rsidP="00EE4995" w:rsidRDefault="004D0549" w14:paraId="3EE4C4A3" w14:textId="511E8E0F">
      <w:pPr>
        <w:pStyle w:val="JuPara"/>
      </w:pPr>
      <w:r w:rsidRPr="008873B1">
        <w:fldChar w:fldCharType="begin"/>
      </w:r>
      <w:r w:rsidRPr="008873B1">
        <w:instrText xml:space="preserve"> SEQ level0 \*arabic </w:instrText>
      </w:r>
      <w:r w:rsidRPr="008873B1">
        <w:fldChar w:fldCharType="separate"/>
      </w:r>
      <w:r w:rsidR="004F11CA">
        <w:rPr>
          <w:noProof/>
        </w:rPr>
        <w:t>50</w:t>
      </w:r>
      <w:r w:rsidRPr="008873B1">
        <w:fldChar w:fldCharType="end"/>
      </w:r>
      <w:bookmarkEnd w:id="23"/>
      <w:r w:rsidRPr="008873B1">
        <w:t>.  The Foreign Intelligence Act (section 5) and the Signals Intelligence Act (section 10) pr</w:t>
      </w:r>
      <w:r w:rsidR="007241AB">
        <w:t>ovide</w:t>
      </w:r>
      <w:r w:rsidRPr="008873B1">
        <w:t xml:space="preserve"> that an authority is to oversee the foreign intelligence activities in Sweden and verify that the FRA’s activities </w:t>
      </w:r>
      <w:proofErr w:type="gramStart"/>
      <w:r w:rsidRPr="008873B1">
        <w:t>are in compliance with</w:t>
      </w:r>
      <w:proofErr w:type="gramEnd"/>
      <w:r w:rsidRPr="008873B1">
        <w:t xml:space="preserve"> the provisions of the Signals Intelligence Act. The supervisory authority – the Foreign Intelligence Inspectorate – is, among other things, tasked with monitoring the implementation of the Foreign Intelligence Act and the associated Ordinance and reviewing whether foreign intelligence activities are performed in compliance with the applicable directives (section 4 of the Foreign Intelligence Inspectorate Instructions Ordinance (</w:t>
      </w:r>
      <w:proofErr w:type="spellStart"/>
      <w:r w:rsidRPr="008873B1">
        <w:rPr>
          <w:i/>
        </w:rPr>
        <w:t>Förordningen</w:t>
      </w:r>
      <w:proofErr w:type="spellEnd"/>
      <w:r w:rsidRPr="008873B1">
        <w:rPr>
          <w:i/>
        </w:rPr>
        <w:t xml:space="preserve"> med </w:t>
      </w:r>
      <w:proofErr w:type="spellStart"/>
      <w:r w:rsidRPr="008873B1">
        <w:rPr>
          <w:i/>
        </w:rPr>
        <w:t>instruktion</w:t>
      </w:r>
      <w:proofErr w:type="spellEnd"/>
      <w:r w:rsidRPr="008873B1">
        <w:rPr>
          <w:i/>
        </w:rPr>
        <w:t xml:space="preserve"> </w:t>
      </w:r>
      <w:proofErr w:type="spellStart"/>
      <w:r w:rsidRPr="008873B1">
        <w:rPr>
          <w:i/>
        </w:rPr>
        <w:t>för</w:t>
      </w:r>
      <w:proofErr w:type="spellEnd"/>
      <w:r w:rsidRPr="008873B1">
        <w:rPr>
          <w:i/>
        </w:rPr>
        <w:t xml:space="preserve"> </w:t>
      </w:r>
      <w:proofErr w:type="spellStart"/>
      <w:r w:rsidRPr="008873B1">
        <w:rPr>
          <w:i/>
        </w:rPr>
        <w:t>Statens</w:t>
      </w:r>
      <w:proofErr w:type="spellEnd"/>
      <w:r w:rsidRPr="008873B1">
        <w:rPr>
          <w:i/>
        </w:rPr>
        <w:t xml:space="preserve"> </w:t>
      </w:r>
      <w:proofErr w:type="spellStart"/>
      <w:r w:rsidRPr="008873B1">
        <w:rPr>
          <w:i/>
        </w:rPr>
        <w:t>inspektion</w:t>
      </w:r>
      <w:proofErr w:type="spellEnd"/>
      <w:r w:rsidRPr="008873B1">
        <w:rPr>
          <w:i/>
        </w:rPr>
        <w:t xml:space="preserve"> </w:t>
      </w:r>
      <w:proofErr w:type="spellStart"/>
      <w:r w:rsidRPr="008873B1">
        <w:rPr>
          <w:i/>
        </w:rPr>
        <w:t>för</w:t>
      </w:r>
      <w:proofErr w:type="spellEnd"/>
      <w:r w:rsidRPr="008873B1">
        <w:rPr>
          <w:i/>
        </w:rPr>
        <w:t xml:space="preserve"> </w:t>
      </w:r>
      <w:proofErr w:type="spellStart"/>
      <w:r w:rsidRPr="008873B1">
        <w:rPr>
          <w:i/>
        </w:rPr>
        <w:t>försvarsunderrättelseverksamheten</w:t>
      </w:r>
      <w:proofErr w:type="spellEnd"/>
      <w:r w:rsidRPr="008873B1">
        <w:t>;</w:t>
      </w:r>
      <w:r w:rsidRPr="008873B1">
        <w:rPr>
          <w:i/>
        </w:rPr>
        <w:t xml:space="preserve"> </w:t>
      </w:r>
      <w:r w:rsidRPr="008873B1">
        <w:t>2009:969)). It also review</w:t>
      </w:r>
      <w:r w:rsidR="007241AB">
        <w:t>s</w:t>
      </w:r>
      <w:r w:rsidRPr="008873B1">
        <w:t xml:space="preserve"> compliance with the Signals Intelligence Act by examining in particular the selectors used, the destruction of intelligence and the communication of reports; if an inspection reveals that a particular intelligence collection is incompatible with a permit, the Inspectorate may decide that the operation shall cease or that the intelligence shall be destroyed (section 10 of the Signals Intelligence Act). The FRA shall report to the Inspectorate the selectors which directly relate to a specific natural person (section 3 of the Signals Intelligence Ordinance).</w:t>
      </w:r>
    </w:p>
    <w:p w:rsidRPr="008873B1" w:rsidR="004D0549" w:rsidP="00EE4995" w:rsidRDefault="004D0549" w14:paraId="69586FE3" w14:textId="3AE3CB9B">
      <w:pPr>
        <w:pStyle w:val="JuPara"/>
      </w:pPr>
      <w:r w:rsidRPr="008873B1">
        <w:fldChar w:fldCharType="begin"/>
      </w:r>
      <w:r w:rsidRPr="008873B1">
        <w:instrText xml:space="preserve"> SEQ level0 \*arabic </w:instrText>
      </w:r>
      <w:r w:rsidRPr="008873B1">
        <w:fldChar w:fldCharType="separate"/>
      </w:r>
      <w:r w:rsidR="004F11CA">
        <w:rPr>
          <w:noProof/>
        </w:rPr>
        <w:t>51</w:t>
      </w:r>
      <w:r w:rsidRPr="008873B1">
        <w:fldChar w:fldCharType="end"/>
      </w:r>
      <w:r w:rsidRPr="008873B1">
        <w:t xml:space="preserve">.  The Foreign Intelligence Inspectorate is led by a board whose members are appointed by the Government </w:t>
      </w:r>
      <w:r w:rsidR="00F36844">
        <w:t>for</w:t>
      </w:r>
      <w:r w:rsidRPr="008873B1">
        <w:t xml:space="preserve"> terms of at least four years. The president and the vice-president shall be or have been permanent judges. Other members are selected from candidates proposed by the party groups in the Parliament (section 10 (3) of the Signals Intelligence Act).</w:t>
      </w:r>
    </w:p>
    <w:bookmarkStart w:name="Inspectorate_Ordinance" w:id="24"/>
    <w:p w:rsidRPr="008873B1" w:rsidR="004D0549" w:rsidP="00EE4995" w:rsidRDefault="004D0549" w14:paraId="00C94D08" w14:textId="597E2064">
      <w:pPr>
        <w:pStyle w:val="JuPara"/>
      </w:pPr>
      <w:r w:rsidRPr="008873B1">
        <w:fldChar w:fldCharType="begin"/>
      </w:r>
      <w:r w:rsidRPr="008873B1">
        <w:instrText xml:space="preserve"> SEQ level0 \*arabic </w:instrText>
      </w:r>
      <w:r w:rsidRPr="008873B1">
        <w:fldChar w:fldCharType="separate"/>
      </w:r>
      <w:r w:rsidR="004F11CA">
        <w:rPr>
          <w:noProof/>
        </w:rPr>
        <w:t>52</w:t>
      </w:r>
      <w:r w:rsidRPr="008873B1">
        <w:fldChar w:fldCharType="end"/>
      </w:r>
      <w:bookmarkEnd w:id="24"/>
      <w:r w:rsidRPr="008873B1">
        <w:t xml:space="preserve">.  Any opinions or suggestions for measures arising from the Inspectorate’s inspections shall be forwarded to the FRA, and if </w:t>
      </w:r>
      <w:proofErr w:type="gramStart"/>
      <w:r w:rsidRPr="008873B1">
        <w:t>necessary</w:t>
      </w:r>
      <w:proofErr w:type="gramEnd"/>
      <w:r w:rsidRPr="008873B1">
        <w:t xml:space="preserve"> also to the Government. The Inspectorate also submits annual reports on its inspections to the Government (section 5 of the Foreign Intelligence Inspectorate Instructions Ordinance), which are made available to the public. Furthermore, if the Inspectorate notices potential crimes, it shall report the matter to the Prosecution Authority (</w:t>
      </w:r>
      <w:proofErr w:type="spellStart"/>
      <w:r w:rsidRPr="008873B1">
        <w:rPr>
          <w:i/>
        </w:rPr>
        <w:t>Åklagarmyndigheten</w:t>
      </w:r>
      <w:proofErr w:type="spellEnd"/>
      <w:r w:rsidRPr="008873B1">
        <w:t>), and, if deficiencies are discovered that may incur liability for damages for the State, a report shall be submitted to the Chancellor of Justice (</w:t>
      </w:r>
      <w:proofErr w:type="spellStart"/>
      <w:r w:rsidRPr="008873B1">
        <w:rPr>
          <w:i/>
        </w:rPr>
        <w:t>Justitiekanslern</w:t>
      </w:r>
      <w:proofErr w:type="spellEnd"/>
      <w:r w:rsidRPr="008873B1">
        <w:t>). A report may also be submitted to the Data Protection Authority (</w:t>
      </w:r>
      <w:proofErr w:type="spellStart"/>
      <w:r w:rsidRPr="008873B1">
        <w:rPr>
          <w:i/>
        </w:rPr>
        <w:t>Datainspektionen</w:t>
      </w:r>
      <w:proofErr w:type="spellEnd"/>
      <w:r w:rsidRPr="008873B1">
        <w:t>), which is the supervisory authority on the treatment of personal data by the FRA (section 15).</w:t>
      </w:r>
    </w:p>
    <w:bookmarkStart w:name="Inspectorate_reports" w:id="25"/>
    <w:p w:rsidRPr="008873B1" w:rsidR="004D0549" w:rsidP="00EE4995" w:rsidRDefault="004D0549" w14:paraId="459CDF28" w14:textId="02A022B7">
      <w:pPr>
        <w:pStyle w:val="JuPara"/>
      </w:pPr>
      <w:r w:rsidRPr="008873B1">
        <w:fldChar w:fldCharType="begin"/>
      </w:r>
      <w:r w:rsidRPr="008873B1">
        <w:instrText xml:space="preserve"> SEQ level0 \*arabic </w:instrText>
      </w:r>
      <w:r w:rsidRPr="008873B1">
        <w:fldChar w:fldCharType="separate"/>
      </w:r>
      <w:r w:rsidR="004F11CA">
        <w:rPr>
          <w:noProof/>
        </w:rPr>
        <w:t>53</w:t>
      </w:r>
      <w:r w:rsidRPr="008873B1">
        <w:fldChar w:fldCharType="end"/>
      </w:r>
      <w:bookmarkEnd w:id="25"/>
      <w:r w:rsidRPr="008873B1">
        <w:t xml:space="preserve">.  From the establishment of the Inspectorate in 2009 until 2017 the Inspectorate conducted 102 inspections in total. Those resulted in 15 opinions </w:t>
      </w:r>
      <w:r w:rsidR="00F36844">
        <w:t xml:space="preserve">submitted </w:t>
      </w:r>
      <w:r w:rsidRPr="008873B1">
        <w:t>to the FRA and one to the Government. No inspections have revealed reasons to cease an intelligence collection or to destroy the results. According to the Inspectorate’s annual reports, which contain brief descriptions of the inspections, those have included numerous detailed examinations of the selectors used, the destruction of intelligence, the communication of reports, the treatment of personal data and the overall compliance with the legislation, directives and permits relevant to the signals intelligence activities. For instance, between 2010 and 2014 the use of selectors was inspected on seventeen occasions</w:t>
      </w:r>
      <w:r w:rsidR="00F36844">
        <w:t>,</w:t>
      </w:r>
      <w:r w:rsidRPr="008873B1">
        <w:t xml:space="preserve"> which led to one opinion and a proposal for changes to the FRA’s processing routines. During the same period the destruction of data related to signals intelligence was audited on nine occasions. Those also resulted in one opinion, in 2011, inviting the FRA to amend its internal regulations, which it did the same year. During 2011 the Inspectorate also </w:t>
      </w:r>
      <w:r w:rsidR="00F36844">
        <w:t>verified</w:t>
      </w:r>
      <w:r w:rsidRPr="008873B1">
        <w:t xml:space="preserve"> whether the FRA was conducting data collection for other countries in accordance with the law, which did not lead to any opinion being issued. An inspection in 2014 concerned a general review of the FRA’s cooperation with other </w:t>
      </w:r>
      <w:r w:rsidR="00846214">
        <w:t>S</w:t>
      </w:r>
      <w:r w:rsidRPr="008873B1">
        <w:t xml:space="preserve">tates and international organisations in intelligence matters. It did not give rise to any opinion or suggestion to the FRA. In 2015 and 2016 an overall review to </w:t>
      </w:r>
      <w:r w:rsidR="00846214">
        <w:t>assess compliance with</w:t>
      </w:r>
      <w:r w:rsidRPr="008873B1">
        <w:t xml:space="preserve"> the limitations stated in permits issued by the Foreign Intelligence Court resulted in one observation. In 2016 and 2017 the Inspectorate carried out a detailed inspection of the treatment by the FRA of personal data. The inspection concerned </w:t>
      </w:r>
      <w:r w:rsidR="00846214">
        <w:t>the processing</w:t>
      </w:r>
      <w:r w:rsidRPr="008873B1">
        <w:t xml:space="preserve"> of sensitive personal data in connection with strategic circumstances </w:t>
      </w:r>
      <w:r w:rsidR="00846214">
        <w:t>relating</w:t>
      </w:r>
      <w:r w:rsidRPr="008873B1">
        <w:t xml:space="preserve"> to international terrorism and other serious cross-border crime threatening significant national interests. The inspection did not give rise to any opinion or suggestion. However, during that year, one opinion was submitted to the Government following an inspection of whether the FRA’s intelligence activities </w:t>
      </w:r>
      <w:r w:rsidR="005C048A">
        <w:t>complied with</w:t>
      </w:r>
      <w:r w:rsidRPr="008873B1">
        <w:t xml:space="preserve"> the tasking directives given. During the years 2009-2017 the Inspectorate found reason to make a report to another authority – the Data Protection Authority – on one occasion, concerning the interpretation of a legal provision. In its annual reports, the Inspectorate has noted that it has been given access to all the information necessary for its inspections.</w:t>
      </w:r>
    </w:p>
    <w:bookmarkStart w:name="Inspectorate_audited" w:id="26"/>
    <w:p w:rsidRPr="008873B1" w:rsidR="004D0549" w:rsidP="00EE4995" w:rsidRDefault="004D0549" w14:paraId="2E29E4AA" w14:textId="55C33719">
      <w:pPr>
        <w:pStyle w:val="JuPara"/>
      </w:pPr>
      <w:r w:rsidRPr="008873B1">
        <w:fldChar w:fldCharType="begin"/>
      </w:r>
      <w:r w:rsidRPr="008873B1">
        <w:instrText xml:space="preserve"> SEQ level0 \*arabic </w:instrText>
      </w:r>
      <w:r w:rsidRPr="008873B1">
        <w:fldChar w:fldCharType="separate"/>
      </w:r>
      <w:r w:rsidR="004F11CA">
        <w:rPr>
          <w:noProof/>
        </w:rPr>
        <w:t>54</w:t>
      </w:r>
      <w:r w:rsidRPr="008873B1">
        <w:fldChar w:fldCharType="end"/>
      </w:r>
      <w:bookmarkEnd w:id="26"/>
      <w:r w:rsidRPr="008873B1">
        <w:t>.  The supervisory activities of the Foreign Intelligence Inspectorate have been audited by the National Audit Office (</w:t>
      </w:r>
      <w:proofErr w:type="spellStart"/>
      <w:r w:rsidRPr="008873B1">
        <w:rPr>
          <w:i/>
        </w:rPr>
        <w:t>Riksrevisionen</w:t>
      </w:r>
      <w:proofErr w:type="spellEnd"/>
      <w:proofErr w:type="gramStart"/>
      <w:r w:rsidRPr="008873B1">
        <w:t>),</w:t>
      </w:r>
      <w:proofErr w:type="gramEnd"/>
      <w:r w:rsidRPr="008873B1">
        <w:t xml:space="preserve"> a</w:t>
      </w:r>
      <w:r w:rsidR="008614EF">
        <w:t xml:space="preserve"> body answerable to</w:t>
      </w:r>
      <w:r w:rsidRPr="008873B1">
        <w:t xml:space="preserve"> Parliament. In a report published in 2015 the Office noted that the FRA had routines in place for handling the Inspectorate’s opinions and that the supervision helped develop the activities of the FRA. Suggestions were dealt with in a serious manner and, when called for, gave rise to reforms. </w:t>
      </w:r>
      <w:proofErr w:type="gramStart"/>
      <w:r w:rsidRPr="008873B1">
        <w:t>With the exception of</w:t>
      </w:r>
      <w:proofErr w:type="gramEnd"/>
      <w:r w:rsidRPr="008873B1">
        <w:t xml:space="preserve"> one case when the FRA referred the matter to the </w:t>
      </w:r>
      <w:r w:rsidR="008614EF">
        <w:t>G</w:t>
      </w:r>
      <w:r w:rsidRPr="008873B1">
        <w:t xml:space="preserve">overnment, the FRA took the action decided by Inspectorate. At the same time the Office criticised the Inspectorate’s lack of documentation of inspections and </w:t>
      </w:r>
      <w:r w:rsidR="00B72B49">
        <w:t xml:space="preserve">the fact </w:t>
      </w:r>
      <w:r w:rsidRPr="008873B1">
        <w:t>that there were no clearly specified goals for the inspections.</w:t>
      </w:r>
    </w:p>
    <w:p w:rsidRPr="008873B1" w:rsidR="004D0549" w:rsidP="00EE4995" w:rsidRDefault="004D0549" w14:paraId="1836189D" w14:textId="37CFFA8A">
      <w:pPr>
        <w:pStyle w:val="JuPara"/>
      </w:pPr>
      <w:r w:rsidRPr="008873B1">
        <w:fldChar w:fldCharType="begin"/>
      </w:r>
      <w:r w:rsidRPr="008873B1">
        <w:instrText xml:space="preserve"> SEQ level0 \*arabic </w:instrText>
      </w:r>
      <w:r w:rsidRPr="008873B1">
        <w:fldChar w:fldCharType="separate"/>
      </w:r>
      <w:r w:rsidR="004F11CA">
        <w:rPr>
          <w:noProof/>
        </w:rPr>
        <w:t>55</w:t>
      </w:r>
      <w:r w:rsidRPr="008873B1">
        <w:fldChar w:fldCharType="end"/>
      </w:r>
      <w:r w:rsidRPr="008873B1">
        <w:t>.  Within the FRA there is a Privacy Protection Council tasked with continuously monitoring measures taken to ensure protection of personal integrity. The members are appointed by the Government. The Council report</w:t>
      </w:r>
      <w:r w:rsidR="00B72B49">
        <w:t>s</w:t>
      </w:r>
      <w:r w:rsidRPr="008873B1">
        <w:t xml:space="preserve"> its observations to the FRA management or, if the Council finds reasons for it, to the Inspectorate (section 11 of the Signals Intelligence Act).</w:t>
      </w:r>
    </w:p>
    <w:bookmarkStart w:name="data_protection_officer" w:id="27"/>
    <w:p w:rsidRPr="008873B1" w:rsidR="004D0549" w:rsidP="00EE4995" w:rsidRDefault="004D0549" w14:paraId="6E5B041E" w14:textId="67D977A8">
      <w:pPr>
        <w:pStyle w:val="JuPara"/>
      </w:pPr>
      <w:r w:rsidRPr="008873B1">
        <w:fldChar w:fldCharType="begin"/>
      </w:r>
      <w:r w:rsidRPr="008873B1">
        <w:instrText xml:space="preserve"> SEQ level0 \*arabic </w:instrText>
      </w:r>
      <w:r w:rsidRPr="008873B1">
        <w:fldChar w:fldCharType="separate"/>
      </w:r>
      <w:r w:rsidR="004F11CA">
        <w:rPr>
          <w:noProof/>
        </w:rPr>
        <w:t>56</w:t>
      </w:r>
      <w:r w:rsidRPr="008873B1">
        <w:fldChar w:fldCharType="end"/>
      </w:r>
      <w:bookmarkEnd w:id="27"/>
      <w:r w:rsidRPr="008873B1">
        <w:t>.  Further provisions on supervision are found in the FRA Personal Data Processing Act. The FRA shall appoint one or several data protection officers and report the appointment to the Data Protection Authority (Chapter 4, section 1). The data protection officer is tasked with independently monitoring that the FRA treats personal data in a legal and correct manner and point out any deficiencies. If deficiencies are suspected and no correction is made, a report shall be submitted to the Data Protection Authority (Chapter 4, section 2).</w:t>
      </w:r>
    </w:p>
    <w:bookmarkStart w:name="data_protect_authority" w:id="28"/>
    <w:p w:rsidRPr="008873B1" w:rsidR="004D0549" w:rsidP="00EE4995" w:rsidRDefault="004D0549" w14:paraId="34B9DEDF" w14:textId="5157947D">
      <w:pPr>
        <w:pStyle w:val="JuPara"/>
      </w:pPr>
      <w:r w:rsidRPr="008873B1">
        <w:fldChar w:fldCharType="begin"/>
      </w:r>
      <w:r w:rsidRPr="008873B1">
        <w:instrText xml:space="preserve"> SEQ level0 \*arabic </w:instrText>
      </w:r>
      <w:r w:rsidRPr="008873B1">
        <w:fldChar w:fldCharType="separate"/>
      </w:r>
      <w:r w:rsidR="004F11CA">
        <w:rPr>
          <w:noProof/>
        </w:rPr>
        <w:t>57</w:t>
      </w:r>
      <w:r w:rsidRPr="008873B1">
        <w:fldChar w:fldCharType="end"/>
      </w:r>
      <w:bookmarkEnd w:id="28"/>
      <w:r w:rsidRPr="008873B1">
        <w:t>.  The Data Protection Authority, which is an authority under the Government, has</w:t>
      </w:r>
      <w:r w:rsidR="00F8644C">
        <w:t>,</w:t>
      </w:r>
      <w:r w:rsidRPr="008873B1">
        <w:t xml:space="preserve"> on request</w:t>
      </w:r>
      <w:r w:rsidR="00F8644C">
        <w:t>,</w:t>
      </w:r>
      <w:r w:rsidRPr="008873B1">
        <w:t xml:space="preserve"> access to the personal data that is processed by the FRA and </w:t>
      </w:r>
      <w:r w:rsidR="00F8644C">
        <w:t xml:space="preserve">to </w:t>
      </w:r>
      <w:r w:rsidRPr="008873B1">
        <w:t>documentation on the treatment of personal data along with the security measures taken in this regard as well as access to the facilities where personal data is processed (Chapter 5, section 2). If the Authority finds that personal data is or could be processed illegally, it shall try to remedy the situation by communicating its observations to the FRA (Chapter 5, section 3). It may also apply to the Administrative Court (</w:t>
      </w:r>
      <w:proofErr w:type="spellStart"/>
      <w:r w:rsidRPr="008873B1">
        <w:rPr>
          <w:i/>
        </w:rPr>
        <w:t>förvaltningsrätten</w:t>
      </w:r>
      <w:proofErr w:type="spellEnd"/>
      <w:r w:rsidRPr="008873B1">
        <w:t xml:space="preserve">) in Stockholm to have illegally processed personal data destroyed (Chapter 5, section 4). According to copies of an email exchange of April 2019 between the applicant and the Administrative Court, there was no trace in that court’s electronic records of the latter possibility having been used by the Data Protection Authority. </w:t>
      </w:r>
    </w:p>
    <w:p w:rsidRPr="008873B1" w:rsidR="004D0549" w:rsidP="00E31657" w:rsidRDefault="004D0549" w14:paraId="59A7E11C" w14:textId="77777777">
      <w:pPr>
        <w:pStyle w:val="JuHA"/>
        <w:numPr>
          <w:ilvl w:val="0"/>
          <w:numId w:val="0"/>
        </w:numPr>
        <w:ind w:left="510"/>
      </w:pPr>
      <w:r w:rsidRPr="008873B1">
        <w:t>H.  Notification of secret surveillance measures</w:t>
      </w:r>
    </w:p>
    <w:bookmarkStart w:name="notification_begin" w:id="29"/>
    <w:p w:rsidRPr="008873B1" w:rsidR="004D0549" w:rsidP="00EE4995" w:rsidRDefault="004D0549" w14:paraId="1873CFAF" w14:textId="66F04510">
      <w:pPr>
        <w:pStyle w:val="JuPara"/>
      </w:pPr>
      <w:r w:rsidRPr="008873B1">
        <w:fldChar w:fldCharType="begin"/>
      </w:r>
      <w:r w:rsidRPr="008873B1">
        <w:instrText xml:space="preserve"> SEQ level0 \*arabic </w:instrText>
      </w:r>
      <w:r w:rsidRPr="008873B1">
        <w:fldChar w:fldCharType="separate"/>
      </w:r>
      <w:r w:rsidR="004F11CA">
        <w:rPr>
          <w:noProof/>
        </w:rPr>
        <w:t>58</w:t>
      </w:r>
      <w:r w:rsidRPr="008873B1">
        <w:fldChar w:fldCharType="end"/>
      </w:r>
      <w:bookmarkEnd w:id="29"/>
      <w:r w:rsidRPr="008873B1">
        <w:t xml:space="preserve">.  If selectors directly related to a specific natural person have been used, he or she is to be notified by the FRA, according to the Signals Intelligence Act. The notification shall contain information on the date and purpose of the measures. Such notification shall be given as soon as </w:t>
      </w:r>
      <w:r w:rsidR="00B23364">
        <w:t>this</w:t>
      </w:r>
      <w:r w:rsidRPr="008873B1">
        <w:t xml:space="preserve"> can be done without detriment to the foreign intelligence activities, but no later than one month after the </w:t>
      </w:r>
      <w:proofErr w:type="gramStart"/>
      <w:r w:rsidRPr="008873B1">
        <w:t>signals</w:t>
      </w:r>
      <w:proofErr w:type="gramEnd"/>
      <w:r w:rsidRPr="008873B1">
        <w:t xml:space="preserve"> intelligence mission has been concluded (section 11a).</w:t>
      </w:r>
    </w:p>
    <w:bookmarkStart w:name="notification_end" w:id="30"/>
    <w:p w:rsidRPr="008873B1" w:rsidR="004D0549" w:rsidP="00EE4995" w:rsidRDefault="004D0549" w14:paraId="2DF31E41" w14:textId="552B52CB">
      <w:pPr>
        <w:pStyle w:val="JuPara"/>
      </w:pPr>
      <w:r w:rsidRPr="008873B1">
        <w:fldChar w:fldCharType="begin"/>
      </w:r>
      <w:r w:rsidRPr="008873B1">
        <w:instrText xml:space="preserve"> SEQ level0 \*arabic </w:instrText>
      </w:r>
      <w:r w:rsidRPr="008873B1">
        <w:fldChar w:fldCharType="separate"/>
      </w:r>
      <w:r w:rsidR="004F11CA">
        <w:rPr>
          <w:noProof/>
        </w:rPr>
        <w:t>59</w:t>
      </w:r>
      <w:r w:rsidRPr="008873B1">
        <w:fldChar w:fldCharType="end"/>
      </w:r>
      <w:bookmarkEnd w:id="30"/>
      <w:r w:rsidRPr="008873B1">
        <w:t xml:space="preserve">.  However, the notification may be delayed if secrecy so demands, </w:t>
      </w:r>
      <w:proofErr w:type="gramStart"/>
      <w:r w:rsidRPr="008873B1">
        <w:t>in particular defence</w:t>
      </w:r>
      <w:proofErr w:type="gramEnd"/>
      <w:r w:rsidRPr="008873B1">
        <w:t xml:space="preserve"> secrecy or secrecy for the protection of international relations. If, due to secrecy</w:t>
      </w:r>
      <w:r w:rsidR="00B23364">
        <w:t xml:space="preserve"> considerations</w:t>
      </w:r>
      <w:r w:rsidRPr="008873B1">
        <w:t>, no notification has been given within a year from the conclusion of the mission, the person does not have to be notified. Furthermore, notification shall not be given if the measures solely concern the conditions of a foreign power or the relationship between foreign powers (section 11b).</w:t>
      </w:r>
    </w:p>
    <w:bookmarkStart w:name="notific_end" w:id="31"/>
    <w:p w:rsidRPr="008873B1" w:rsidR="004D0549" w:rsidP="00EE4995" w:rsidRDefault="004D0549" w14:paraId="62DC677F" w14:textId="2357DD52">
      <w:pPr>
        <w:pStyle w:val="JuPara"/>
      </w:pPr>
      <w:r w:rsidRPr="008873B1">
        <w:fldChar w:fldCharType="begin"/>
      </w:r>
      <w:r w:rsidRPr="008873B1">
        <w:instrText xml:space="preserve"> SEQ level0 \*arabic </w:instrText>
      </w:r>
      <w:r w:rsidRPr="008873B1">
        <w:fldChar w:fldCharType="separate"/>
      </w:r>
      <w:r w:rsidR="004F11CA">
        <w:rPr>
          <w:noProof/>
        </w:rPr>
        <w:t>60</w:t>
      </w:r>
      <w:r w:rsidRPr="008873B1">
        <w:fldChar w:fldCharType="end"/>
      </w:r>
      <w:bookmarkEnd w:id="31"/>
      <w:r w:rsidRPr="008873B1">
        <w:t xml:space="preserve">.  In its 2010 report, the Data Protection Authority noted, </w:t>
      </w:r>
      <w:r w:rsidRPr="008873B1">
        <w:rPr>
          <w:i/>
        </w:rPr>
        <w:t>inter alia</w:t>
      </w:r>
      <w:r w:rsidRPr="008873B1">
        <w:t xml:space="preserve">, that the procedure for notification to individuals had never been used by the FRA, due to secrecy </w:t>
      </w:r>
      <w:r w:rsidR="00E817AB">
        <w:t xml:space="preserve">considerations </w:t>
      </w:r>
      <w:r w:rsidRPr="008873B1">
        <w:t xml:space="preserve">(see paragraph </w:t>
      </w:r>
      <w:r w:rsidRPr="008873B1">
        <w:fldChar w:fldCharType="begin"/>
      </w:r>
      <w:r w:rsidRPr="008873B1">
        <w:instrText xml:space="preserve"> REF report_DataProtAuth_6Dec2010 \h </w:instrText>
      </w:r>
      <w:r w:rsidRPr="008873B1" w:rsidR="008873B1">
        <w:instrText xml:space="preserve"> \* MERGEFORMAT </w:instrText>
      </w:r>
      <w:r w:rsidRPr="008873B1">
        <w:fldChar w:fldCharType="separate"/>
      </w:r>
      <w:r w:rsidR="004F11CA">
        <w:t>75</w:t>
      </w:r>
      <w:r w:rsidRPr="008873B1">
        <w:fldChar w:fldCharType="end"/>
      </w:r>
      <w:r w:rsidRPr="008873B1">
        <w:t xml:space="preserve"> below).</w:t>
      </w:r>
    </w:p>
    <w:p w:rsidRPr="008873B1" w:rsidR="004D0549" w:rsidP="00E31657" w:rsidRDefault="004D0549" w14:paraId="3C7B62B5" w14:textId="77777777">
      <w:pPr>
        <w:pStyle w:val="JuHA"/>
        <w:numPr>
          <w:ilvl w:val="0"/>
          <w:numId w:val="0"/>
        </w:numPr>
        <w:ind w:left="510"/>
      </w:pPr>
      <w:r w:rsidRPr="008873B1">
        <w:t>I.  Remedies</w:t>
      </w:r>
    </w:p>
    <w:bookmarkStart w:name="remedies_request_to_Inspectorate" w:id="32"/>
    <w:p w:rsidRPr="008873B1" w:rsidR="004D0549" w:rsidP="00EE4995" w:rsidRDefault="004D0549" w14:paraId="64867EFC" w14:textId="414B8AF7">
      <w:pPr>
        <w:pStyle w:val="JuPara"/>
      </w:pPr>
      <w:r w:rsidRPr="008873B1">
        <w:fldChar w:fldCharType="begin"/>
      </w:r>
      <w:r w:rsidRPr="008873B1">
        <w:instrText xml:space="preserve"> SEQ level0 \*arabic </w:instrText>
      </w:r>
      <w:r w:rsidRPr="008873B1">
        <w:fldChar w:fldCharType="separate"/>
      </w:r>
      <w:r w:rsidR="004F11CA">
        <w:rPr>
          <w:noProof/>
        </w:rPr>
        <w:t>61</w:t>
      </w:r>
      <w:r w:rsidRPr="008873B1">
        <w:fldChar w:fldCharType="end"/>
      </w:r>
      <w:bookmarkEnd w:id="32"/>
      <w:r w:rsidRPr="008873B1">
        <w:t xml:space="preserve">.   The Signals Intelligence Act provides that the Foreign Intelligence Inspectorate, at the request of an individual, must investigate if his or her communications have been intercepted through signals intelligence and, if so, verify whether the interception and treatment of the information have been in accordance with </w:t>
      </w:r>
      <w:r w:rsidR="003356D0">
        <w:t xml:space="preserve">the </w:t>
      </w:r>
      <w:r w:rsidRPr="008873B1">
        <w:t xml:space="preserve">law. The Inspectorate shall notify the individual that such an investigation has been carried out (section 10a). A request can be made by legal and natural persons regardless of nationality and residence. During the period 2010-2017, 132 requests were </w:t>
      </w:r>
      <w:proofErr w:type="gramStart"/>
      <w:r w:rsidRPr="008873B1">
        <w:t>handled</w:t>
      </w:r>
      <w:proofErr w:type="gramEnd"/>
      <w:r w:rsidRPr="008873B1">
        <w:t xml:space="preserve"> and no unlawfulness was established. In 2017, ten such requests were processed; in 2016 the number was 14. The Inspectorate’s decision following a request is final.</w:t>
      </w:r>
    </w:p>
    <w:p w:rsidRPr="008873B1" w:rsidR="004D0549" w:rsidP="00EE4995" w:rsidRDefault="004D0549" w14:paraId="16C28375" w14:textId="2DEAF059">
      <w:pPr>
        <w:pStyle w:val="JuPara"/>
      </w:pPr>
      <w:r w:rsidRPr="008873B1">
        <w:fldChar w:fldCharType="begin"/>
      </w:r>
      <w:r w:rsidRPr="008873B1">
        <w:instrText xml:space="preserve"> SEQ level0 \*arabic </w:instrText>
      </w:r>
      <w:r w:rsidRPr="008873B1">
        <w:fldChar w:fldCharType="separate"/>
      </w:r>
      <w:r w:rsidR="004F11CA">
        <w:rPr>
          <w:noProof/>
        </w:rPr>
        <w:t>62</w:t>
      </w:r>
      <w:r w:rsidRPr="008873B1">
        <w:fldChar w:fldCharType="end"/>
      </w:r>
      <w:r w:rsidRPr="008873B1">
        <w:t xml:space="preserve">.  Under the FRA Personal Data Processing Act, the FRA is also required to provide information upon request. Once per calendar year, an individual may demand information on whether personal data concerning him or her is being or has been processed. If so, the FRA must specify what information on the individual is concerned, from where it was collected, the purpose of the treatment and to which recipients or categories of recipients the personal data is or was reported. The information is normally to be given within one month from the request (Chapter 2, section 1). However, this right to information does not apply if disclosure is prevented by secrecy </w:t>
      </w:r>
      <w:r w:rsidR="003356D0">
        <w:t xml:space="preserve">considerations </w:t>
      </w:r>
      <w:r w:rsidRPr="008873B1">
        <w:t>(Chapter 2, section 3).</w:t>
      </w:r>
    </w:p>
    <w:p w:rsidRPr="008873B1" w:rsidR="004D0549" w:rsidP="00EE4995" w:rsidRDefault="004D0549" w14:paraId="3F39E749" w14:textId="626E29C4">
      <w:pPr>
        <w:pStyle w:val="JuPara"/>
      </w:pPr>
      <w:r w:rsidRPr="008873B1">
        <w:fldChar w:fldCharType="begin"/>
      </w:r>
      <w:r w:rsidRPr="008873B1">
        <w:instrText xml:space="preserve"> SEQ level0 \*arabic </w:instrText>
      </w:r>
      <w:r w:rsidRPr="008873B1">
        <w:fldChar w:fldCharType="separate"/>
      </w:r>
      <w:r w:rsidR="004F11CA">
        <w:rPr>
          <w:noProof/>
        </w:rPr>
        <w:t>63</w:t>
      </w:r>
      <w:r w:rsidRPr="008873B1">
        <w:fldChar w:fldCharType="end"/>
      </w:r>
      <w:r w:rsidRPr="008873B1">
        <w:t xml:space="preserve">.  Following a request from </w:t>
      </w:r>
      <w:r w:rsidR="00372F24">
        <w:t>an</w:t>
      </w:r>
      <w:r w:rsidRPr="008873B1">
        <w:t xml:space="preserve"> individual who has had personal data registered, the FRA shall promptly correct, block or destroy such data that has not been processed in accordance with law. The FRA shall also notify any third party who has received the data, if the individual so requests or if substantial harm or inconvenience could be avoided through a notification. No such notification </w:t>
      </w:r>
      <w:proofErr w:type="gramStart"/>
      <w:r w:rsidRPr="008873B1">
        <w:t>has to</w:t>
      </w:r>
      <w:proofErr w:type="gramEnd"/>
      <w:r w:rsidRPr="008873B1">
        <w:t xml:space="preserve"> be given if it is impossible or would involve a disproportionate effort (Chapter 2, section 4).</w:t>
      </w:r>
    </w:p>
    <w:p w:rsidRPr="008873B1" w:rsidR="004D0549" w:rsidP="00EE4995" w:rsidRDefault="004D0549" w14:paraId="2B6AB5CF" w14:textId="07E5C651">
      <w:pPr>
        <w:pStyle w:val="JuPara"/>
      </w:pPr>
      <w:r w:rsidRPr="008873B1">
        <w:fldChar w:fldCharType="begin"/>
      </w:r>
      <w:r w:rsidRPr="008873B1">
        <w:instrText xml:space="preserve"> SEQ level0 \*arabic </w:instrText>
      </w:r>
      <w:r w:rsidRPr="008873B1">
        <w:fldChar w:fldCharType="separate"/>
      </w:r>
      <w:r w:rsidR="004F11CA">
        <w:rPr>
          <w:noProof/>
        </w:rPr>
        <w:t>64</w:t>
      </w:r>
      <w:r w:rsidRPr="008873B1">
        <w:fldChar w:fldCharType="end"/>
      </w:r>
      <w:r w:rsidRPr="008873B1">
        <w:t xml:space="preserve">.  The FRA’s decisions on disclosure and corrective measures </w:t>
      </w:r>
      <w:proofErr w:type="gramStart"/>
      <w:r w:rsidRPr="008873B1">
        <w:t>in regard to</w:t>
      </w:r>
      <w:proofErr w:type="gramEnd"/>
      <w:r w:rsidRPr="008873B1">
        <w:t xml:space="preserve"> personal data may be appealed against to the Administrative Court in Stockholm (Chapter 6, section 3). According to copies of an email exchange of April 2019 between the applicant and the Administrative Court, there was no trace in that court’s electronic records of that possibility having been used.</w:t>
      </w:r>
    </w:p>
    <w:p w:rsidRPr="008873B1" w:rsidR="004D0549" w:rsidP="00EE4995" w:rsidRDefault="004D0549" w14:paraId="37CD9B52" w14:textId="66412BC3">
      <w:pPr>
        <w:pStyle w:val="JuPara"/>
      </w:pPr>
      <w:r w:rsidRPr="008873B1">
        <w:fldChar w:fldCharType="begin"/>
      </w:r>
      <w:r w:rsidRPr="008873B1">
        <w:instrText xml:space="preserve"> SEQ level0 \*arabic </w:instrText>
      </w:r>
      <w:r w:rsidRPr="008873B1">
        <w:fldChar w:fldCharType="separate"/>
      </w:r>
      <w:r w:rsidR="004F11CA">
        <w:rPr>
          <w:noProof/>
        </w:rPr>
        <w:t>65</w:t>
      </w:r>
      <w:r w:rsidRPr="008873B1">
        <w:fldChar w:fldCharType="end"/>
      </w:r>
      <w:r w:rsidRPr="008873B1">
        <w:t>.  The State is liable for damages following a violation of personal integrity caused by treatment of personal data not in accordance with the FRA Personal Data Processing Act (Chapter 2, section 5). A request for damages shall be submitted to the Chancellor of Justice.</w:t>
      </w:r>
    </w:p>
    <w:p w:rsidRPr="008873B1" w:rsidR="004D0549" w:rsidP="00EE4995" w:rsidRDefault="004D0549" w14:paraId="65CC5973" w14:textId="43C33A28">
      <w:pPr>
        <w:pStyle w:val="JuPara"/>
      </w:pPr>
      <w:r w:rsidRPr="008873B1">
        <w:fldChar w:fldCharType="begin"/>
      </w:r>
      <w:r w:rsidRPr="008873B1">
        <w:instrText xml:space="preserve"> SEQ level0 \*arabic </w:instrText>
      </w:r>
      <w:r w:rsidRPr="008873B1">
        <w:fldChar w:fldCharType="separate"/>
      </w:r>
      <w:bookmarkStart w:name="Ombuds_Chancellor_beguin" w:id="33"/>
      <w:r w:rsidR="004F11CA">
        <w:rPr>
          <w:noProof/>
        </w:rPr>
        <w:t>66</w:t>
      </w:r>
      <w:bookmarkEnd w:id="33"/>
      <w:r w:rsidRPr="008873B1">
        <w:fldChar w:fldCharType="end"/>
      </w:r>
      <w:r w:rsidRPr="008873B1">
        <w:t xml:space="preserve">.  In addition to the above remedies, laid down in the legislation relating to signals intelligence, Swedish law provides for </w:t>
      </w:r>
      <w:proofErr w:type="gramStart"/>
      <w:r w:rsidRPr="008873B1">
        <w:t>a number of</w:t>
      </w:r>
      <w:proofErr w:type="gramEnd"/>
      <w:r w:rsidRPr="008873B1">
        <w:t xml:space="preserve"> other means of scrutiny and complaints mechanisms. The Parliamentary Ombudsmen (</w:t>
      </w:r>
      <w:proofErr w:type="spellStart"/>
      <w:r w:rsidRPr="008873B1">
        <w:rPr>
          <w:i/>
        </w:rPr>
        <w:t>Justititeombudsmannen</w:t>
      </w:r>
      <w:proofErr w:type="spellEnd"/>
      <w:r w:rsidRPr="008873B1">
        <w:t xml:space="preserve">) supervise the application of laws and regulations in public activities; courts and authorities are obliged to provide information and opinions at the request of the Ombudsmen (Chapter 13, section 6 of the Instrument of Government – </w:t>
      </w:r>
      <w:proofErr w:type="spellStart"/>
      <w:r w:rsidRPr="008873B1">
        <w:rPr>
          <w:i/>
        </w:rPr>
        <w:t>Regeringsformen</w:t>
      </w:r>
      <w:proofErr w:type="spellEnd"/>
      <w:r w:rsidRPr="008873B1">
        <w:t xml:space="preserve">), including access to minutes and other documents. The Ombudsmen shall ensure, in particular, that the courts and authorities observe the provisions of the Instrument of Government on objectivity and impartiality and that citizens’ fundamental rights and freedoms are not encroached upon in public activities (section 3 of the Parliamentary Ombudsmen Instructions Act – </w:t>
      </w:r>
      <w:proofErr w:type="spellStart"/>
      <w:r w:rsidRPr="008873B1">
        <w:rPr>
          <w:i/>
        </w:rPr>
        <w:t>Lagen</w:t>
      </w:r>
      <w:proofErr w:type="spellEnd"/>
      <w:r w:rsidRPr="008873B1">
        <w:rPr>
          <w:i/>
        </w:rPr>
        <w:t xml:space="preserve"> med </w:t>
      </w:r>
      <w:proofErr w:type="spellStart"/>
      <w:r w:rsidRPr="008873B1">
        <w:rPr>
          <w:i/>
        </w:rPr>
        <w:t>instruktion</w:t>
      </w:r>
      <w:proofErr w:type="spellEnd"/>
      <w:r w:rsidRPr="008873B1">
        <w:rPr>
          <w:i/>
        </w:rPr>
        <w:t xml:space="preserve"> </w:t>
      </w:r>
      <w:proofErr w:type="spellStart"/>
      <w:r w:rsidRPr="008873B1">
        <w:rPr>
          <w:i/>
        </w:rPr>
        <w:t>för</w:t>
      </w:r>
      <w:proofErr w:type="spellEnd"/>
      <w:r w:rsidRPr="008873B1">
        <w:rPr>
          <w:i/>
        </w:rPr>
        <w:t xml:space="preserve"> </w:t>
      </w:r>
      <w:proofErr w:type="spellStart"/>
      <w:r w:rsidRPr="008873B1">
        <w:rPr>
          <w:i/>
        </w:rPr>
        <w:t>Riksdagens</w:t>
      </w:r>
      <w:proofErr w:type="spellEnd"/>
      <w:r w:rsidRPr="008873B1">
        <w:rPr>
          <w:i/>
        </w:rPr>
        <w:t xml:space="preserve"> </w:t>
      </w:r>
      <w:proofErr w:type="spellStart"/>
      <w:r w:rsidRPr="008873B1">
        <w:rPr>
          <w:i/>
        </w:rPr>
        <w:t>ombudsmän</w:t>
      </w:r>
      <w:proofErr w:type="spellEnd"/>
      <w:r w:rsidRPr="008873B1">
        <w:t>; 1986:765). The supervision, under which the Foreign Intelligence Court and the FRA come, is conducted by means of examining complaints from the public and through inspections and other investigations (section 5). The examination is concluded by a decision in which, although not legally binding, the opinion of the Ombudsman is given as to whether the court or authority has contravened the law or otherwise taken a wrongful or inappropriate action; the Ombudsman may also initiate criminal or disciplinary proceedings against a public official who has committed a criminal offence or neglected his or her duty in disregarding the obligations of the office (section 6).</w:t>
      </w:r>
    </w:p>
    <w:p w:rsidRPr="008873B1" w:rsidR="004D0549" w:rsidP="00EE4995" w:rsidRDefault="004D0549" w14:paraId="6B90879C" w14:textId="62B7A633">
      <w:pPr>
        <w:pStyle w:val="JuPara"/>
      </w:pPr>
      <w:r w:rsidRPr="008873B1">
        <w:fldChar w:fldCharType="begin"/>
      </w:r>
      <w:r w:rsidRPr="008873B1">
        <w:instrText xml:space="preserve"> SEQ level0 \*arabic </w:instrText>
      </w:r>
      <w:r w:rsidRPr="008873B1">
        <w:fldChar w:fldCharType="separate"/>
      </w:r>
      <w:bookmarkStart w:name="how_many_compl_Chancellor" w:id="34"/>
      <w:r w:rsidR="004F11CA">
        <w:rPr>
          <w:noProof/>
        </w:rPr>
        <w:t>67</w:t>
      </w:r>
      <w:bookmarkEnd w:id="34"/>
      <w:r w:rsidRPr="008873B1">
        <w:fldChar w:fldCharType="end"/>
      </w:r>
      <w:r w:rsidRPr="008873B1">
        <w:t xml:space="preserve">.  With a mandate </w:t>
      </w:r>
      <w:proofErr w:type="gramStart"/>
      <w:r w:rsidRPr="008873B1">
        <w:t>similar to</w:t>
      </w:r>
      <w:proofErr w:type="gramEnd"/>
      <w:r w:rsidRPr="008873B1">
        <w:t xml:space="preserve"> the Parliamentary Ombudsmen, the Chancellor of Justice scrutinises whether officials in public administration comply with laws and regulations and otherwise fulfil their obligations (section 1 of the Chancellor of Justice Supervision Act – </w:t>
      </w:r>
      <w:proofErr w:type="spellStart"/>
      <w:r w:rsidRPr="008873B1">
        <w:rPr>
          <w:i/>
        </w:rPr>
        <w:t>Lagen</w:t>
      </w:r>
      <w:proofErr w:type="spellEnd"/>
      <w:r w:rsidRPr="008873B1">
        <w:rPr>
          <w:i/>
        </w:rPr>
        <w:t xml:space="preserve"> om </w:t>
      </w:r>
      <w:proofErr w:type="spellStart"/>
      <w:r w:rsidRPr="008873B1">
        <w:rPr>
          <w:i/>
        </w:rPr>
        <w:t>justitiekanslerns</w:t>
      </w:r>
      <w:proofErr w:type="spellEnd"/>
      <w:r w:rsidRPr="008873B1">
        <w:rPr>
          <w:i/>
        </w:rPr>
        <w:t xml:space="preserve"> </w:t>
      </w:r>
      <w:proofErr w:type="spellStart"/>
      <w:r w:rsidRPr="008873B1">
        <w:rPr>
          <w:i/>
        </w:rPr>
        <w:t>tillsyn</w:t>
      </w:r>
      <w:proofErr w:type="spellEnd"/>
      <w:r w:rsidRPr="008873B1">
        <w:t>; 1975:1339). The Chancellor does so by examining individual complaints or conducting inspections and other investigations, which could be directed at, for instance, the Foreign Intelligence Court and the FRA. According to copies of an email exchange of April 2019 between the applicant and the office of the Chancellor of Justice, twelve such complaints were received in 2008 and one in 2013. Following examination, none of those had been judged to require action.</w:t>
      </w:r>
    </w:p>
    <w:bookmarkStart w:name="Chancellor_initiate_crim_proc" w:id="35"/>
    <w:p w:rsidRPr="008873B1" w:rsidR="004D0549" w:rsidP="00EE4995" w:rsidRDefault="004D0549" w14:paraId="22AF6F06" w14:textId="346DF0E3">
      <w:pPr>
        <w:pStyle w:val="JuPara"/>
      </w:pPr>
      <w:r w:rsidRPr="008873B1">
        <w:fldChar w:fldCharType="begin"/>
      </w:r>
      <w:r w:rsidRPr="008873B1">
        <w:instrText xml:space="preserve"> SEQ level0 \*arabic </w:instrText>
      </w:r>
      <w:r w:rsidRPr="008873B1">
        <w:fldChar w:fldCharType="separate"/>
      </w:r>
      <w:r w:rsidR="004F11CA">
        <w:rPr>
          <w:noProof/>
        </w:rPr>
        <w:t>68</w:t>
      </w:r>
      <w:r w:rsidRPr="008873B1">
        <w:fldChar w:fldCharType="end"/>
      </w:r>
      <w:bookmarkEnd w:id="35"/>
      <w:r w:rsidRPr="008873B1">
        <w:t xml:space="preserve">.  At the request of the Chancellor, courts and authorities are obliged to provide information and opinions as well as access to minutes and other documents (sections 9 and 10). The decisions of the Chancellor of Justice are similar in nature to the decisions of the Parliamentary Ombudsmen, including their lack of legally binding power. By tradition, however, the opinions of the Chancellor and the Ombudsmen command great respect in Swedish society and are usually followed (see </w:t>
      </w:r>
      <w:proofErr w:type="spellStart"/>
      <w:r w:rsidRPr="008873B1">
        <w:rPr>
          <w:i/>
        </w:rPr>
        <w:t>Segerstedt-Wiberg</w:t>
      </w:r>
      <w:proofErr w:type="spellEnd"/>
      <w:r w:rsidRPr="008873B1">
        <w:rPr>
          <w:i/>
        </w:rPr>
        <w:t xml:space="preserve"> and Others v. Sweden</w:t>
      </w:r>
      <w:r w:rsidRPr="008873B1">
        <w:t>, no. 62332/00, § 118, ECHR 2006-VII). The Chancellor has the same power as the Ombudsmen to initiate criminal or disciplinary proceedings (sections 5 and 6).</w:t>
      </w:r>
    </w:p>
    <w:p w:rsidRPr="008873B1" w:rsidR="004D0549" w:rsidP="00EE4995" w:rsidRDefault="004D0549" w14:paraId="3F42FCB1" w14:textId="1E5E6F4B">
      <w:pPr>
        <w:pStyle w:val="JuPara"/>
      </w:pPr>
      <w:r w:rsidRPr="008873B1">
        <w:fldChar w:fldCharType="begin"/>
      </w:r>
      <w:r w:rsidRPr="008873B1">
        <w:instrText xml:space="preserve"> SEQ level0 \*arabic </w:instrText>
      </w:r>
      <w:r w:rsidRPr="008873B1">
        <w:fldChar w:fldCharType="separate"/>
      </w:r>
      <w:r w:rsidR="004F11CA">
        <w:rPr>
          <w:noProof/>
        </w:rPr>
        <w:t>69</w:t>
      </w:r>
      <w:r w:rsidRPr="008873B1">
        <w:fldChar w:fldCharType="end"/>
      </w:r>
      <w:r w:rsidRPr="008873B1">
        <w:t xml:space="preserve">.  The Chancellor of Justice is also authorised to determine complaints and claims for damages directed against the State, including compensation claims for alleged violations of the Convention. The Supreme Court and the Chancellor of Justice have developed precedents in recent years, affirming that it is a general principle of law that compensation for Convention violations can be ordered without direct support in Swedish statute to the extent that Sweden has a duty to provide redress to victims of Convention violations through a right to compensation for damages (see </w:t>
      </w:r>
      <w:proofErr w:type="spellStart"/>
      <w:r w:rsidRPr="008873B1">
        <w:rPr>
          <w:i/>
        </w:rPr>
        <w:t>Lindstrand</w:t>
      </w:r>
      <w:proofErr w:type="spellEnd"/>
      <w:r w:rsidRPr="008873B1">
        <w:rPr>
          <w:i/>
        </w:rPr>
        <w:t xml:space="preserve"> Partners </w:t>
      </w:r>
      <w:proofErr w:type="spellStart"/>
      <w:r w:rsidRPr="008873B1">
        <w:rPr>
          <w:i/>
        </w:rPr>
        <w:t>Advokatbyrå</w:t>
      </w:r>
      <w:proofErr w:type="spellEnd"/>
      <w:r w:rsidRPr="008873B1">
        <w:rPr>
          <w:i/>
        </w:rPr>
        <w:t xml:space="preserve"> AB v. Sweden</w:t>
      </w:r>
      <w:r w:rsidRPr="008873B1">
        <w:t>, no. 18700/09, §§ 58-62 and 67, 20 December 2016, with further references). On 1 April 2018, through the enactment of a new provision – Chapter 3, section 4 – of the Tort Liability Act (</w:t>
      </w:r>
      <w:proofErr w:type="spellStart"/>
      <w:r w:rsidRPr="008873B1">
        <w:rPr>
          <w:i/>
        </w:rPr>
        <w:t>Skadeståndslagen</w:t>
      </w:r>
      <w:proofErr w:type="spellEnd"/>
      <w:r w:rsidRPr="008873B1">
        <w:t>; 1972:207), the right to compensation for violations of the Convention was codified.</w:t>
      </w:r>
    </w:p>
    <w:p w:rsidRPr="008873B1" w:rsidR="004D0549" w:rsidP="00EE4995" w:rsidRDefault="004D0549" w14:paraId="07E4DF08" w14:textId="4F331C5B">
      <w:pPr>
        <w:pStyle w:val="JuPara"/>
      </w:pPr>
      <w:r w:rsidRPr="008873B1">
        <w:fldChar w:fldCharType="begin"/>
      </w:r>
      <w:r w:rsidRPr="008873B1">
        <w:instrText xml:space="preserve"> SEQ level0 \*arabic </w:instrText>
      </w:r>
      <w:r w:rsidRPr="008873B1">
        <w:fldChar w:fldCharType="separate"/>
      </w:r>
      <w:r w:rsidR="004F11CA">
        <w:rPr>
          <w:noProof/>
        </w:rPr>
        <w:t>70</w:t>
      </w:r>
      <w:r w:rsidRPr="008873B1">
        <w:fldChar w:fldCharType="end"/>
      </w:r>
      <w:r w:rsidRPr="008873B1">
        <w:t xml:space="preserve">.  In addition to its above-mentioned supervisory functions under the Foreign Intelligence Inspectorate Instructions Ordinance and the FRA Personal Data Processing Act (see paragraphs </w:t>
      </w:r>
      <w:r w:rsidRPr="008873B1">
        <w:fldChar w:fldCharType="begin"/>
      </w:r>
      <w:r w:rsidRPr="008873B1">
        <w:instrText xml:space="preserve"> REF Inspectorate_Ordinance \h </w:instrText>
      </w:r>
      <w:r w:rsidRPr="008873B1" w:rsidR="008873B1">
        <w:instrText xml:space="preserve"> \* MERGEFORMAT </w:instrText>
      </w:r>
      <w:r w:rsidRPr="008873B1">
        <w:fldChar w:fldCharType="separate"/>
      </w:r>
      <w:r w:rsidR="004F11CA">
        <w:t>52</w:t>
      </w:r>
      <w:r w:rsidRPr="008873B1">
        <w:fldChar w:fldCharType="end"/>
      </w:r>
      <w:r w:rsidRPr="008873B1">
        <w:t xml:space="preserve">, </w:t>
      </w:r>
      <w:r w:rsidRPr="008873B1">
        <w:fldChar w:fldCharType="begin"/>
      </w:r>
      <w:r w:rsidRPr="008873B1">
        <w:instrText xml:space="preserve"> REF data_protection_officer \h </w:instrText>
      </w:r>
      <w:r w:rsidRPr="008873B1" w:rsidR="008873B1">
        <w:instrText xml:space="preserve"> \* MERGEFORMAT </w:instrText>
      </w:r>
      <w:r w:rsidRPr="008873B1">
        <w:fldChar w:fldCharType="separate"/>
      </w:r>
      <w:r w:rsidR="004F11CA">
        <w:t>56</w:t>
      </w:r>
      <w:r w:rsidRPr="008873B1">
        <w:fldChar w:fldCharType="end"/>
      </w:r>
      <w:r w:rsidRPr="008873B1">
        <w:t xml:space="preserve"> and </w:t>
      </w:r>
      <w:r w:rsidRPr="008873B1">
        <w:fldChar w:fldCharType="begin"/>
      </w:r>
      <w:r w:rsidRPr="008873B1">
        <w:instrText xml:space="preserve"> REF data_protect_authority \h </w:instrText>
      </w:r>
      <w:r w:rsidRPr="008873B1" w:rsidR="008873B1">
        <w:instrText xml:space="preserve"> \* MERGEFORMAT </w:instrText>
      </w:r>
      <w:r w:rsidRPr="008873B1">
        <w:fldChar w:fldCharType="separate"/>
      </w:r>
      <w:r w:rsidR="004F11CA">
        <w:t>57</w:t>
      </w:r>
      <w:r w:rsidRPr="008873B1">
        <w:fldChar w:fldCharType="end"/>
      </w:r>
      <w:r w:rsidRPr="008873B1">
        <w:t xml:space="preserve"> </w:t>
      </w:r>
      <w:r w:rsidRPr="008873B1">
        <w:fldChar w:fldCharType="begin"/>
      </w:r>
      <w:r w:rsidRPr="008873B1">
        <w:instrText xml:space="preserve"> REF data_protection_authority \h </w:instrText>
      </w:r>
      <w:r w:rsidRPr="008873B1" w:rsidR="008873B1">
        <w:instrText xml:space="preserve"> \* MERGEFORMAT </w:instrText>
      </w:r>
      <w:r w:rsidRPr="008873B1">
        <w:fldChar w:fldCharType="end"/>
      </w:r>
      <w:r w:rsidRPr="008873B1">
        <w:fldChar w:fldCharType="begin"/>
      </w:r>
      <w:r w:rsidRPr="008873B1">
        <w:instrText xml:space="preserve"> REF data_protection_authority \h </w:instrText>
      </w:r>
      <w:r w:rsidRPr="008873B1" w:rsidR="008873B1">
        <w:instrText xml:space="preserve"> \* MERGEFORMAT </w:instrText>
      </w:r>
      <w:r w:rsidRPr="008873B1">
        <w:fldChar w:fldCharType="end"/>
      </w:r>
      <w:r w:rsidRPr="008873B1">
        <w:fldChar w:fldCharType="begin"/>
      </w:r>
      <w:r w:rsidRPr="008873B1">
        <w:instrText xml:space="preserve"> REF data_protection_authority \h </w:instrText>
      </w:r>
      <w:r w:rsidRPr="008873B1" w:rsidR="008873B1">
        <w:instrText xml:space="preserve"> \* MERGEFORMAT </w:instrText>
      </w:r>
      <w:r w:rsidRPr="008873B1">
        <w:fldChar w:fldCharType="end"/>
      </w:r>
      <w:r w:rsidRPr="008873B1">
        <w:fldChar w:fldCharType="begin"/>
      </w:r>
      <w:r w:rsidRPr="008873B1">
        <w:instrText xml:space="preserve"> REF data_protection_authority \h </w:instrText>
      </w:r>
      <w:r w:rsidRPr="008873B1" w:rsidR="008873B1">
        <w:instrText xml:space="preserve"> \* MERGEFORMAT </w:instrText>
      </w:r>
      <w:r w:rsidRPr="008873B1">
        <w:fldChar w:fldCharType="end"/>
      </w:r>
      <w:r w:rsidRPr="008873B1">
        <w:fldChar w:fldCharType="begin"/>
      </w:r>
      <w:r w:rsidRPr="008873B1">
        <w:instrText xml:space="preserve"> REF data_protection_authority \h </w:instrText>
      </w:r>
      <w:r w:rsidRPr="008873B1" w:rsidR="008873B1">
        <w:instrText xml:space="preserve"> \* MERGEFORMAT </w:instrText>
      </w:r>
      <w:r w:rsidRPr="008873B1">
        <w:fldChar w:fldCharType="end"/>
      </w:r>
      <w:r w:rsidRPr="008873B1">
        <w:t>above), the Data Protection Authority is generally entrusted with protecting individuals against violations of their personal integrity through the processing of personal data, under the Act with Supplementary Provisions to the EU General Data Protection Regulation (</w:t>
      </w:r>
      <w:proofErr w:type="spellStart"/>
      <w:r w:rsidRPr="008873B1">
        <w:rPr>
          <w:i/>
        </w:rPr>
        <w:t>Lagen</w:t>
      </w:r>
      <w:proofErr w:type="spellEnd"/>
      <w:r w:rsidRPr="008873B1">
        <w:rPr>
          <w:i/>
        </w:rPr>
        <w:t xml:space="preserve"> med </w:t>
      </w:r>
      <w:proofErr w:type="spellStart"/>
      <w:r w:rsidRPr="008873B1">
        <w:rPr>
          <w:i/>
        </w:rPr>
        <w:t>kompletterande</w:t>
      </w:r>
      <w:proofErr w:type="spellEnd"/>
      <w:r w:rsidRPr="008873B1">
        <w:rPr>
          <w:i/>
        </w:rPr>
        <w:t xml:space="preserve"> </w:t>
      </w:r>
      <w:proofErr w:type="spellStart"/>
      <w:r w:rsidRPr="008873B1">
        <w:rPr>
          <w:i/>
        </w:rPr>
        <w:t>bestämmelser</w:t>
      </w:r>
      <w:proofErr w:type="spellEnd"/>
      <w:r w:rsidRPr="008873B1">
        <w:rPr>
          <w:i/>
        </w:rPr>
        <w:t xml:space="preserve"> till EU:s </w:t>
      </w:r>
      <w:proofErr w:type="spellStart"/>
      <w:r w:rsidRPr="008873B1">
        <w:rPr>
          <w:i/>
        </w:rPr>
        <w:t>dataskyddsförordning</w:t>
      </w:r>
      <w:proofErr w:type="spellEnd"/>
      <w:r w:rsidRPr="008873B1">
        <w:t>) which entered into force on 25 May 2018, the same day as the new EU regulation it supplements (</w:t>
      </w:r>
      <w:r w:rsidR="002518A2">
        <w:t xml:space="preserve">see </w:t>
      </w:r>
      <w:r w:rsidRPr="008873B1">
        <w:t xml:space="preserve">paragraph </w:t>
      </w:r>
      <w:r w:rsidRPr="008873B1">
        <w:fldChar w:fldCharType="begin"/>
      </w:r>
      <w:r w:rsidRPr="008873B1">
        <w:instrText xml:space="preserve"> REF Data_protect_regulation_EU \h </w:instrText>
      </w:r>
      <w:r w:rsidRPr="008873B1" w:rsidR="008873B1">
        <w:instrText xml:space="preserve"> \* MERGEFORMAT </w:instrText>
      </w:r>
      <w:r w:rsidRPr="008873B1">
        <w:fldChar w:fldCharType="separate"/>
      </w:r>
      <w:r w:rsidR="004F11CA">
        <w:t>94</w:t>
      </w:r>
      <w:r w:rsidRPr="008873B1">
        <w:fldChar w:fldCharType="end"/>
      </w:r>
      <w:r w:rsidRPr="008873B1">
        <w:t xml:space="preserve"> below). In regard to the </w:t>
      </w:r>
      <w:proofErr w:type="gramStart"/>
      <w:r w:rsidRPr="008873B1">
        <w:t>signals</w:t>
      </w:r>
      <w:proofErr w:type="gramEnd"/>
      <w:r w:rsidRPr="008873B1">
        <w:t xml:space="preserve"> intelligence conducted by the FRA, the Personal Data Act (</w:t>
      </w:r>
      <w:proofErr w:type="spellStart"/>
      <w:r w:rsidRPr="008873B1">
        <w:rPr>
          <w:i/>
        </w:rPr>
        <w:t>Personuppgiftslagen</w:t>
      </w:r>
      <w:proofErr w:type="spellEnd"/>
      <w:r w:rsidRPr="008873B1">
        <w:rPr>
          <w:i/>
        </w:rPr>
        <w:t xml:space="preserve">; </w:t>
      </w:r>
      <w:r w:rsidRPr="008873B1">
        <w:t>1998:204) continues to apply, although it is otherwise replaced by the new EU Regulation and the supplementary act. It gives the Data Protection Authority the same general supervisory task. In performing this task, the Authority may receive and examine individual complaints.</w:t>
      </w:r>
    </w:p>
    <w:p w:rsidRPr="008873B1" w:rsidR="004D0549" w:rsidP="00E31657" w:rsidRDefault="004D0549" w14:paraId="724CE961" w14:textId="77777777">
      <w:pPr>
        <w:pStyle w:val="JuHA"/>
        <w:numPr>
          <w:ilvl w:val="0"/>
          <w:numId w:val="0"/>
        </w:numPr>
        <w:ind w:left="510"/>
      </w:pPr>
      <w:r w:rsidRPr="008873B1">
        <w:t>J.  Secrecy at the FRA</w:t>
      </w:r>
    </w:p>
    <w:p w:rsidRPr="008873B1" w:rsidR="004D0549" w:rsidP="00EE4995" w:rsidRDefault="004D0549" w14:paraId="0BA22647" w14:textId="27D21963">
      <w:pPr>
        <w:pStyle w:val="JuPara"/>
      </w:pPr>
      <w:r w:rsidRPr="008873B1">
        <w:fldChar w:fldCharType="begin"/>
      </w:r>
      <w:r w:rsidRPr="008873B1">
        <w:instrText xml:space="preserve"> SEQ level0 \*arabic </w:instrText>
      </w:r>
      <w:r w:rsidRPr="008873B1">
        <w:fldChar w:fldCharType="separate"/>
      </w:r>
      <w:r w:rsidR="004F11CA">
        <w:rPr>
          <w:noProof/>
        </w:rPr>
        <w:t>71</w:t>
      </w:r>
      <w:r w:rsidRPr="008873B1">
        <w:fldChar w:fldCharType="end"/>
      </w:r>
      <w:r w:rsidRPr="008873B1">
        <w:t>.  The Public Access to Information and Secrecy Act (</w:t>
      </w:r>
      <w:proofErr w:type="spellStart"/>
      <w:r w:rsidRPr="008873B1">
        <w:rPr>
          <w:i/>
        </w:rPr>
        <w:t>Offentlighets</w:t>
      </w:r>
      <w:proofErr w:type="spellEnd"/>
      <w:r w:rsidRPr="008873B1">
        <w:rPr>
          <w:i/>
        </w:rPr>
        <w:noBreakHyphen/>
        <w:t xml:space="preserve"> </w:t>
      </w:r>
      <w:proofErr w:type="spellStart"/>
      <w:r w:rsidRPr="008873B1">
        <w:rPr>
          <w:i/>
        </w:rPr>
        <w:t>och</w:t>
      </w:r>
      <w:proofErr w:type="spellEnd"/>
      <w:r w:rsidRPr="008873B1">
        <w:rPr>
          <w:i/>
        </w:rPr>
        <w:t xml:space="preserve"> </w:t>
      </w:r>
      <w:proofErr w:type="spellStart"/>
      <w:r w:rsidRPr="008873B1">
        <w:rPr>
          <w:i/>
        </w:rPr>
        <w:t>sekretesslagen</w:t>
      </w:r>
      <w:proofErr w:type="spellEnd"/>
      <w:r w:rsidRPr="008873B1">
        <w:t>; 2009:400) contains a specific provision on the FRA’s signals intelligence activities. Secrecy applies to information on an individual’s personal or economic circumstances, unless it is evident that the information can be disclosed without the individual concerned or any other person closely related to him or her being harmed. The presumption is for secrecy (Chapter 38, section 4).</w:t>
      </w:r>
    </w:p>
    <w:p w:rsidRPr="008873B1" w:rsidR="004D0549" w:rsidP="00EE4995" w:rsidRDefault="004D0549" w14:paraId="66A324F8" w14:textId="1D238384">
      <w:pPr>
        <w:pStyle w:val="JuPara"/>
      </w:pPr>
      <w:r w:rsidRPr="008873B1">
        <w:fldChar w:fldCharType="begin"/>
      </w:r>
      <w:r w:rsidRPr="008873B1">
        <w:instrText xml:space="preserve"> SEQ level0 \*arabic </w:instrText>
      </w:r>
      <w:r w:rsidRPr="008873B1">
        <w:fldChar w:fldCharType="separate"/>
      </w:r>
      <w:r w:rsidR="004F11CA">
        <w:rPr>
          <w:noProof/>
        </w:rPr>
        <w:t>72</w:t>
      </w:r>
      <w:r w:rsidRPr="008873B1">
        <w:fldChar w:fldCharType="end"/>
      </w:r>
      <w:r w:rsidRPr="008873B1">
        <w:t>.  According to the Act, secrecy also generally applies to foreign intelligence activities in regard to information concerning another State, international organisation, authority, citizen or legal person in another State, if it can be presumed that a disclosure will interfere with Sweden’s international relations or otherwise harm the country (Chapter 15, section 1).</w:t>
      </w:r>
    </w:p>
    <w:p w:rsidRPr="008873B1" w:rsidR="004D0549" w:rsidP="00EE4995" w:rsidRDefault="004D0549" w14:paraId="1BCE1A42" w14:textId="09A9B6C2">
      <w:pPr>
        <w:pStyle w:val="JuPara"/>
      </w:pPr>
      <w:r w:rsidRPr="008873B1">
        <w:fldChar w:fldCharType="begin"/>
      </w:r>
      <w:r w:rsidRPr="008873B1">
        <w:instrText xml:space="preserve"> SEQ level0 \*arabic </w:instrText>
      </w:r>
      <w:r w:rsidRPr="008873B1">
        <w:fldChar w:fldCharType="separate"/>
      </w:r>
      <w:r w:rsidR="004F11CA">
        <w:rPr>
          <w:noProof/>
        </w:rPr>
        <w:t>73</w:t>
      </w:r>
      <w:r w:rsidRPr="008873B1">
        <w:fldChar w:fldCharType="end"/>
      </w:r>
      <w:r w:rsidRPr="008873B1">
        <w:t>.  Secrecy further applies to information on activities related to the defence of the country or the planning of such activities or to information that is otherwise related to the country’s comprehensive defence strategy, if it can be presumed that a disclosure will harm the country’s defence or otherwise endanger national security (Chapter 15, section 2).</w:t>
      </w:r>
    </w:p>
    <w:bookmarkStart w:name="criteria_sending_foreign_2" w:id="36"/>
    <w:bookmarkStart w:name="Rel_Dom_law_end_of_statutes" w:id="37"/>
    <w:p w:rsidRPr="008873B1" w:rsidR="004D0549" w:rsidP="00EE4995" w:rsidRDefault="004D0549" w14:paraId="4CD2197D" w14:textId="76169EBC">
      <w:pPr>
        <w:pStyle w:val="JuPara"/>
      </w:pPr>
      <w:r w:rsidRPr="008873B1">
        <w:fldChar w:fldCharType="begin"/>
      </w:r>
      <w:r w:rsidRPr="008873B1">
        <w:instrText xml:space="preserve"> SEQ level0 \*arabic </w:instrText>
      </w:r>
      <w:r w:rsidRPr="008873B1">
        <w:fldChar w:fldCharType="separate"/>
      </w:r>
      <w:r w:rsidR="004F11CA">
        <w:rPr>
          <w:noProof/>
        </w:rPr>
        <w:t>74</w:t>
      </w:r>
      <w:r w:rsidRPr="008873B1">
        <w:fldChar w:fldCharType="end"/>
      </w:r>
      <w:bookmarkEnd w:id="36"/>
      <w:bookmarkEnd w:id="37"/>
      <w:r w:rsidRPr="008873B1">
        <w:t xml:space="preserve">.  Information which is protected by secrecy under the Public Access to Information and Secrecy Act may not be disclosed to a foreign authority or an international organisation unless </w:t>
      </w:r>
      <w:r w:rsidR="009B1C9C">
        <w:t>(</w:t>
      </w:r>
      <w:proofErr w:type="spellStart"/>
      <w:r w:rsidR="009B1C9C">
        <w:t>i</w:t>
      </w:r>
      <w:proofErr w:type="spellEnd"/>
      <w:r w:rsidRPr="008873B1">
        <w:t xml:space="preserve">) such disclosure is permitted by an express legal provision (cf. section 7 of the FRA Personal Data Processing Ordinance, paragraph 34 above), or </w:t>
      </w:r>
      <w:r w:rsidR="009B1C9C">
        <w:t>(ii</w:t>
      </w:r>
      <w:r w:rsidRPr="008873B1">
        <w:t>) the information in an analogous situation may be communicated to a Swedish authority and the disclosing authority finds it evident that the communication of the information to the foreign authority or the international organisation is consistent with Swedish interests (Chapter 8, section 3 of the Act).</w:t>
      </w:r>
    </w:p>
    <w:p w:rsidRPr="008873B1" w:rsidR="004D0549" w:rsidP="00E31657" w:rsidRDefault="004D0549" w14:paraId="33289D23" w14:textId="77777777">
      <w:pPr>
        <w:pStyle w:val="JuHA"/>
        <w:numPr>
          <w:ilvl w:val="0"/>
          <w:numId w:val="0"/>
        </w:numPr>
        <w:ind w:left="510"/>
      </w:pPr>
      <w:r w:rsidRPr="008873B1">
        <w:t>K.  The reports of the Data Protection Authority</w:t>
      </w:r>
    </w:p>
    <w:bookmarkStart w:name="report_DataProtAuth_6Dec2010" w:id="38"/>
    <w:p w:rsidRPr="008873B1" w:rsidR="004D0549" w:rsidP="00EE4995" w:rsidRDefault="004D0549" w14:paraId="3821218E" w14:textId="64D28781">
      <w:pPr>
        <w:pStyle w:val="JuPara"/>
      </w:pPr>
      <w:r w:rsidRPr="008873B1">
        <w:fldChar w:fldCharType="begin"/>
      </w:r>
      <w:r w:rsidRPr="008873B1">
        <w:instrText xml:space="preserve"> SEQ level0 \*arabic </w:instrText>
      </w:r>
      <w:r w:rsidRPr="008873B1">
        <w:fldChar w:fldCharType="separate"/>
      </w:r>
      <w:r w:rsidR="004F11CA">
        <w:rPr>
          <w:noProof/>
        </w:rPr>
        <w:t>75</w:t>
      </w:r>
      <w:r w:rsidRPr="008873B1">
        <w:fldChar w:fldCharType="end"/>
      </w:r>
      <w:bookmarkEnd w:id="38"/>
      <w:r w:rsidRPr="008873B1">
        <w:t xml:space="preserve">.  On 12 February 2009 the Government ordered the Data Protection Authority to examine the handling of personal data at the FRA from an integrity perspective. In its report, published on 6 December 2010, the Authority stated that its conclusions were overall positive. Issues relating to the processing of personal data and to personal integrity were given serious consideration by the FRA and a considerable amount of time and resources were spent on creating routines and educating its personnel in order to minimise the risk of unwarranted interferences with personal integrity. Moreover, no evidence had been found which indicated that the FRA was handling personal data for purposes not authorised by the legislation in force. However, the Authority noted, </w:t>
      </w:r>
      <w:r w:rsidRPr="008873B1">
        <w:rPr>
          <w:i/>
        </w:rPr>
        <w:t>inter alia</w:t>
      </w:r>
      <w:r w:rsidRPr="008873B1">
        <w:t xml:space="preserve">, that there was a need to improve the methods for separating domestic and cross-border communications. Even if the FRA had implemented mechanisms in that area, there was no guarantee that domestic communications were never intercepted, and, although the occasions had been very few, such communications had in fact been intercepted. The Authority further noted that the procedure for notification to individuals (paragraphs </w:t>
      </w:r>
      <w:r w:rsidRPr="008873B1">
        <w:fldChar w:fldCharType="begin"/>
      </w:r>
      <w:r w:rsidRPr="008873B1">
        <w:instrText xml:space="preserve"> REF notification_begin \h </w:instrText>
      </w:r>
      <w:r w:rsidRPr="008873B1" w:rsidR="008873B1">
        <w:instrText xml:space="preserve"> \* MERGEFORMAT </w:instrText>
      </w:r>
      <w:r w:rsidRPr="008873B1">
        <w:fldChar w:fldCharType="separate"/>
      </w:r>
      <w:r w:rsidR="004F11CA">
        <w:t>58</w:t>
      </w:r>
      <w:r w:rsidRPr="008873B1">
        <w:fldChar w:fldCharType="end"/>
      </w:r>
      <w:r w:rsidRPr="008873B1">
        <w:t>-</w:t>
      </w:r>
      <w:r w:rsidRPr="008873B1">
        <w:fldChar w:fldCharType="begin"/>
      </w:r>
      <w:r w:rsidRPr="008873B1">
        <w:instrText xml:space="preserve"> REF notific_end \h </w:instrText>
      </w:r>
      <w:r w:rsidRPr="008873B1" w:rsidR="008873B1">
        <w:instrText xml:space="preserve"> \* MERGEFORMAT </w:instrText>
      </w:r>
      <w:r w:rsidRPr="008873B1">
        <w:fldChar w:fldCharType="separate"/>
      </w:r>
      <w:r w:rsidR="004F11CA">
        <w:t>60</w:t>
      </w:r>
      <w:r w:rsidRPr="008873B1">
        <w:fldChar w:fldCharType="end"/>
      </w:r>
      <w:r w:rsidRPr="008873B1">
        <w:t xml:space="preserve"> above) had never been used by the FRA, due to secrecy</w:t>
      </w:r>
      <w:r w:rsidR="009B1C9C">
        <w:t xml:space="preserve"> considerations</w:t>
      </w:r>
      <w:r w:rsidRPr="008873B1">
        <w:t>.</w:t>
      </w:r>
    </w:p>
    <w:bookmarkStart w:name="report_DataProtAuth_2016" w:id="39"/>
    <w:p w:rsidRPr="008873B1" w:rsidR="004D0549" w:rsidP="00EE4995" w:rsidRDefault="004D0549" w14:paraId="6A111641" w14:textId="1B6B10D0">
      <w:pPr>
        <w:pStyle w:val="JuPara"/>
      </w:pPr>
      <w:r w:rsidRPr="008873B1">
        <w:fldChar w:fldCharType="begin"/>
      </w:r>
      <w:r w:rsidRPr="008873B1">
        <w:instrText xml:space="preserve"> SEQ level0 \*arabic </w:instrText>
      </w:r>
      <w:r w:rsidRPr="008873B1">
        <w:fldChar w:fldCharType="separate"/>
      </w:r>
      <w:r w:rsidR="004F11CA">
        <w:rPr>
          <w:noProof/>
        </w:rPr>
        <w:t>76</w:t>
      </w:r>
      <w:r w:rsidRPr="008873B1">
        <w:fldChar w:fldCharType="end"/>
      </w:r>
      <w:bookmarkEnd w:id="39"/>
      <w:r w:rsidRPr="008873B1">
        <w:t xml:space="preserve">.  A second report was issued by the Authority on 24 October 2016. Again, the Authority found no evidence that personal data had been collected for other purposes than those stipulated for the </w:t>
      </w:r>
      <w:proofErr w:type="gramStart"/>
      <w:r w:rsidRPr="008873B1">
        <w:t>signals</w:t>
      </w:r>
      <w:proofErr w:type="gramEnd"/>
      <w:r w:rsidRPr="008873B1">
        <w:t xml:space="preserve"> intelligence activities. It also noted that the FRA continuously reviewed whether data intercepted was still needed for those purposes. A similar review was made concerning the communications bearers from which the FRA obtained intelligence. Moreover, there was nothing to indicate that the provisions on destruction of personal data had been disregarded (see paragraphs </w:t>
      </w:r>
      <w:r w:rsidRPr="008873B1">
        <w:fldChar w:fldCharType="begin"/>
      </w:r>
      <w:r w:rsidRPr="008873B1">
        <w:instrText xml:space="preserve"> REF destroy_data_beguin \h </w:instrText>
      </w:r>
      <w:r w:rsidRPr="008873B1" w:rsidR="008873B1">
        <w:instrText xml:space="preserve"> \* MERGEFORMAT </w:instrText>
      </w:r>
      <w:r w:rsidRPr="008873B1">
        <w:fldChar w:fldCharType="separate"/>
      </w:r>
      <w:r w:rsidR="004F11CA">
        <w:t>37</w:t>
      </w:r>
      <w:r w:rsidRPr="008873B1">
        <w:fldChar w:fldCharType="end"/>
      </w:r>
      <w:r w:rsidRPr="008873B1">
        <w:t>-</w:t>
      </w:r>
      <w:r w:rsidRPr="008873B1">
        <w:fldChar w:fldCharType="begin"/>
      </w:r>
      <w:r w:rsidRPr="008873B1">
        <w:instrText xml:space="preserve"> REF destroy_data_end \h </w:instrText>
      </w:r>
      <w:r w:rsidRPr="008873B1" w:rsidR="008873B1">
        <w:instrText xml:space="preserve"> \* MERGEFORMAT </w:instrText>
      </w:r>
      <w:r w:rsidRPr="008873B1">
        <w:fldChar w:fldCharType="separate"/>
      </w:r>
      <w:r w:rsidR="004F11CA">
        <w:t>39</w:t>
      </w:r>
      <w:r w:rsidRPr="008873B1">
        <w:fldChar w:fldCharType="end"/>
      </w:r>
      <w:r w:rsidRPr="008873B1">
        <w:t xml:space="preserve"> above). However, the FRA was criticised for not adequately monitoring logs used to detect unwarranted use of personal data, a shortcoming that had been pointed out already in 2010.</w:t>
      </w:r>
    </w:p>
    <w:p w:rsidRPr="008873B1" w:rsidR="004D0549" w:rsidP="00E31657" w:rsidRDefault="004D0549" w14:paraId="2C8FBB5E" w14:textId="77777777">
      <w:pPr>
        <w:pStyle w:val="JuHA"/>
        <w:numPr>
          <w:ilvl w:val="0"/>
          <w:numId w:val="0"/>
        </w:numPr>
        <w:ind w:left="510"/>
      </w:pPr>
      <w:r w:rsidRPr="008873B1">
        <w:t>L.  The report of the Signals Intelligence Committee</w:t>
      </w:r>
    </w:p>
    <w:bookmarkStart w:name="report_Signals_int_CTE_begin" w:id="40"/>
    <w:p w:rsidRPr="008873B1" w:rsidR="004D0549" w:rsidP="00EE4995" w:rsidRDefault="004D0549" w14:paraId="2113D360" w14:textId="689EE6AF">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77</w:t>
      </w:r>
      <w:r w:rsidRPr="008873B1">
        <w:rPr>
          <w:rFonts w:cstheme="minorHAnsi"/>
        </w:rPr>
        <w:fldChar w:fldCharType="end"/>
      </w:r>
      <w:bookmarkEnd w:id="40"/>
      <w:r w:rsidRPr="008873B1">
        <w:rPr>
          <w:rFonts w:cstheme="minorHAnsi"/>
        </w:rPr>
        <w:t>.  </w:t>
      </w:r>
      <w:r w:rsidRPr="008873B1">
        <w:t>On 12 February 2009 the Government also decided to appoint a committee predominantly composed of members of parliament, the Signals Intelligence Committee (</w:t>
      </w:r>
      <w:proofErr w:type="spellStart"/>
      <w:r w:rsidRPr="008873B1">
        <w:rPr>
          <w:i/>
        </w:rPr>
        <w:t>Signalspaningskommittén</w:t>
      </w:r>
      <w:proofErr w:type="spellEnd"/>
      <w:r w:rsidRPr="008873B1">
        <w:t>),</w:t>
      </w:r>
      <w:r w:rsidRPr="008873B1">
        <w:rPr>
          <w:rFonts w:cstheme="minorHAnsi"/>
        </w:rPr>
        <w:t xml:space="preserve"> with the task of monitoring the signals intelligence conducted </w:t>
      </w:r>
      <w:r w:rsidR="0093404F">
        <w:rPr>
          <w:rFonts w:cstheme="minorHAnsi"/>
        </w:rPr>
        <w:t>by</w:t>
      </w:r>
      <w:r w:rsidRPr="008873B1">
        <w:rPr>
          <w:rFonts w:cstheme="minorHAnsi"/>
        </w:rPr>
        <w:t xml:space="preserve"> the FRA in order to examine the implications for personal integrity. The report was presented on 11 February 2011 (</w:t>
      </w:r>
      <w:proofErr w:type="spellStart"/>
      <w:r w:rsidRPr="008873B1">
        <w:rPr>
          <w:rFonts w:cstheme="minorHAnsi"/>
          <w:i/>
        </w:rPr>
        <w:t>Uppföljning</w:t>
      </w:r>
      <w:proofErr w:type="spellEnd"/>
      <w:r w:rsidRPr="008873B1">
        <w:rPr>
          <w:rFonts w:cstheme="minorHAnsi"/>
          <w:i/>
        </w:rPr>
        <w:t xml:space="preserve"> </w:t>
      </w:r>
      <w:proofErr w:type="spellStart"/>
      <w:r w:rsidRPr="008873B1">
        <w:rPr>
          <w:rFonts w:cstheme="minorHAnsi"/>
          <w:i/>
        </w:rPr>
        <w:t>av</w:t>
      </w:r>
      <w:proofErr w:type="spellEnd"/>
      <w:r w:rsidRPr="008873B1">
        <w:rPr>
          <w:rFonts w:cstheme="minorHAnsi"/>
          <w:i/>
        </w:rPr>
        <w:t xml:space="preserve"> </w:t>
      </w:r>
      <w:proofErr w:type="spellStart"/>
      <w:r w:rsidRPr="008873B1">
        <w:rPr>
          <w:rFonts w:cstheme="minorHAnsi"/>
          <w:i/>
        </w:rPr>
        <w:t>signalspaningslagen</w:t>
      </w:r>
      <w:proofErr w:type="spellEnd"/>
      <w:r w:rsidRPr="008873B1">
        <w:rPr>
          <w:rFonts w:cstheme="minorHAnsi"/>
        </w:rPr>
        <w:t>; SOU 2011:13). The Committee’s examination focus</w:t>
      </w:r>
      <w:r w:rsidR="0093404F">
        <w:rPr>
          <w:rFonts w:cstheme="minorHAnsi"/>
        </w:rPr>
        <w:t>ed primarily</w:t>
      </w:r>
      <w:r w:rsidRPr="008873B1">
        <w:rPr>
          <w:rFonts w:cstheme="minorHAnsi"/>
        </w:rPr>
        <w:t xml:space="preserve"> on signals intelligence conducted over the airways</w:t>
      </w:r>
      <w:r w:rsidR="00F75DFC">
        <w:rPr>
          <w:rFonts w:cstheme="minorHAnsi"/>
        </w:rPr>
        <w:t>,</w:t>
      </w:r>
      <w:r w:rsidRPr="008873B1">
        <w:rPr>
          <w:rFonts w:cstheme="minorHAnsi"/>
        </w:rPr>
        <w:t xml:space="preserve"> as such activities on cable-based traffic had not yet commenced on a larger scale.</w:t>
      </w:r>
    </w:p>
    <w:bookmarkStart w:name="SICrep" w:id="41"/>
    <w:p w:rsidRPr="008873B1" w:rsidR="004D0549" w:rsidP="00EE4995" w:rsidRDefault="004D0549" w14:paraId="10A0D5A1" w14:textId="469A2699">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78</w:t>
      </w:r>
      <w:r w:rsidRPr="008873B1">
        <w:rPr>
          <w:rFonts w:cstheme="minorHAnsi"/>
        </w:rPr>
        <w:fldChar w:fldCharType="end"/>
      </w:r>
      <w:bookmarkEnd w:id="41"/>
      <w:r w:rsidRPr="008873B1">
        <w:rPr>
          <w:rFonts w:cstheme="minorHAnsi"/>
        </w:rPr>
        <w:t>.  The Committee concluded that concerns of personal integrity were taken seriously by the FRA and formed an integral part of the development of its procedures. It noted, however, that there were practical difficulties in separating domestic cable-based communications from those crossing the Swedish border. Any domestic communications that were not separated at the automated stage were instead separated manually at the processing or analysing stage. The Committee further observed that the selectors used for communications data were less specific than those used for interception of the content of a communication and that, consequently, a larger number of individuals could have such data stored by the FRA.</w:t>
      </w:r>
    </w:p>
    <w:bookmarkStart w:name="on_development_activities" w:id="42"/>
    <w:p w:rsidRPr="008873B1" w:rsidR="004D0549" w:rsidP="00EE4995" w:rsidRDefault="004D0549" w14:paraId="05304D78" w14:textId="278EB169">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79</w:t>
      </w:r>
      <w:r w:rsidRPr="008873B1">
        <w:rPr>
          <w:rFonts w:cstheme="minorHAnsi"/>
        </w:rPr>
        <w:fldChar w:fldCharType="end"/>
      </w:r>
      <w:bookmarkEnd w:id="42"/>
      <w:r w:rsidRPr="008873B1">
        <w:rPr>
          <w:rFonts w:cstheme="minorHAnsi"/>
        </w:rPr>
        <w:t xml:space="preserve">.  Another finding in the report was that the FRA’s development activities (see paragraph </w:t>
      </w:r>
      <w:r w:rsidRPr="008873B1">
        <w:rPr>
          <w:rFonts w:cstheme="minorHAnsi"/>
        </w:rPr>
        <w:fldChar w:fldCharType="begin"/>
      </w:r>
      <w:r w:rsidRPr="008873B1">
        <w:rPr>
          <w:rFonts w:cstheme="minorHAnsi"/>
        </w:rPr>
        <w:instrText xml:space="preserve"> REF development_activities \h </w:instrText>
      </w:r>
      <w:r w:rsidRPr="008873B1" w:rsidR="008873B1">
        <w:rPr>
          <w:rFonts w:cstheme="minorHAnsi"/>
        </w:rPr>
        <w:instrText xml:space="preserve"> \* MERGEFORMAT </w:instrText>
      </w:r>
      <w:r w:rsidRPr="008873B1">
        <w:rPr>
          <w:rFonts w:cstheme="minorHAnsi"/>
        </w:rPr>
      </w:r>
      <w:r w:rsidRPr="008873B1">
        <w:rPr>
          <w:rFonts w:cstheme="minorHAnsi"/>
        </w:rPr>
        <w:fldChar w:fldCharType="separate"/>
      </w:r>
      <w:r w:rsidR="004F11CA">
        <w:t>24</w:t>
      </w:r>
      <w:r w:rsidRPr="008873B1">
        <w:rPr>
          <w:rFonts w:cstheme="minorHAnsi"/>
        </w:rPr>
        <w:fldChar w:fldCharType="end"/>
      </w:r>
      <w:r w:rsidRPr="008873B1">
        <w:rPr>
          <w:rFonts w:cstheme="minorHAnsi"/>
        </w:rPr>
        <w:t xml:space="preserve"> above) could lead to non-relevant communications being intercepted and possibly read or listened to by FRA personnel. However, the Committee noted that the development activities were directly essential for the FRA’s ability to conduct signals intelligence. Moreover, information obtained through the development activities could be used in regular intelligence activities only if such use conformed with the purposes established by law and the relevant tasking directives issued for the </w:t>
      </w:r>
      <w:proofErr w:type="gramStart"/>
      <w:r w:rsidRPr="008873B1">
        <w:rPr>
          <w:rFonts w:cstheme="minorHAnsi"/>
        </w:rPr>
        <w:t>signals</w:t>
      </w:r>
      <w:proofErr w:type="gramEnd"/>
      <w:r w:rsidRPr="008873B1">
        <w:rPr>
          <w:rFonts w:cstheme="minorHAnsi"/>
        </w:rPr>
        <w:t xml:space="preserve"> intelligence.</w:t>
      </w:r>
    </w:p>
    <w:bookmarkStart w:name="report_SignIntelCte_2011" w:id="43"/>
    <w:p w:rsidRPr="008873B1" w:rsidR="004D0549" w:rsidP="00EE4995" w:rsidRDefault="004D0549" w14:paraId="2918AF1D" w14:textId="5AF3689F">
      <w:pPr>
        <w:pStyle w:val="JuPara"/>
        <w:rPr>
          <w:rFonts w:cstheme="minorHAnsi"/>
        </w:rPr>
      </w:pPr>
      <w:r w:rsidRPr="008873B1">
        <w:rPr>
          <w:rFonts w:cstheme="minorHAnsi"/>
        </w:rPr>
        <w:fldChar w:fldCharType="begin"/>
      </w:r>
      <w:r w:rsidRPr="008873B1">
        <w:rPr>
          <w:rFonts w:cstheme="minorHAnsi"/>
        </w:rPr>
        <w:instrText xml:space="preserve"> SEQ level0 \*arabic </w:instrText>
      </w:r>
      <w:r w:rsidRPr="008873B1">
        <w:rPr>
          <w:rFonts w:cstheme="minorHAnsi"/>
        </w:rPr>
        <w:fldChar w:fldCharType="separate"/>
      </w:r>
      <w:r w:rsidR="004F11CA">
        <w:rPr>
          <w:rFonts w:cstheme="minorHAnsi"/>
          <w:noProof/>
        </w:rPr>
        <w:t>80</w:t>
      </w:r>
      <w:r w:rsidRPr="008873B1">
        <w:rPr>
          <w:rFonts w:cstheme="minorHAnsi"/>
        </w:rPr>
        <w:fldChar w:fldCharType="end"/>
      </w:r>
      <w:bookmarkEnd w:id="43"/>
      <w:r w:rsidRPr="008873B1">
        <w:rPr>
          <w:rFonts w:cstheme="minorHAnsi"/>
        </w:rPr>
        <w:t>.  Like the Data Protection Authority, the Committee pointed out that, in reality, the obligation o</w:t>
      </w:r>
      <w:r w:rsidR="00F75DFC">
        <w:rPr>
          <w:rFonts w:cstheme="minorHAnsi"/>
        </w:rPr>
        <w:t>n</w:t>
      </w:r>
      <w:r w:rsidRPr="008873B1">
        <w:rPr>
          <w:rFonts w:cstheme="minorHAnsi"/>
        </w:rPr>
        <w:t xml:space="preserve"> the FRA to notify individuals </w:t>
      </w:r>
      <w:r w:rsidR="00F75DFC">
        <w:rPr>
          <w:rFonts w:cstheme="minorHAnsi"/>
        </w:rPr>
        <w:t>who</w:t>
      </w:r>
      <w:r w:rsidRPr="008873B1">
        <w:rPr>
          <w:rFonts w:cstheme="minorHAnsi"/>
        </w:rPr>
        <w:t xml:space="preserve"> had been directly and personally subjected to secret surveillance measures was very limited due to secrecy; it concluded therefore that this obligation served no purpose as a guarantee for legal certainty or against integrity interferences. The Committee found, however, t</w:t>
      </w:r>
      <w:r w:rsidRPr="008873B1">
        <w:t xml:space="preserve">hat, in particular, the authorisation procedure before the Foreign Intelligence Court, in deciding on permits to conduct signals intelligence measures (see paragraphs </w:t>
      </w:r>
      <w:r w:rsidRPr="008873B1">
        <w:fldChar w:fldCharType="begin"/>
      </w:r>
      <w:r w:rsidRPr="008873B1">
        <w:instrText xml:space="preserve"> REF para29 \h </w:instrText>
      </w:r>
      <w:r w:rsidRPr="008873B1" w:rsidR="008873B1">
        <w:instrText xml:space="preserve"> \* MERGEFORMAT </w:instrText>
      </w:r>
      <w:r w:rsidRPr="008873B1">
        <w:fldChar w:fldCharType="separate"/>
      </w:r>
      <w:r w:rsidR="004F11CA">
        <w:t>30</w:t>
      </w:r>
      <w:r w:rsidRPr="008873B1">
        <w:fldChar w:fldCharType="end"/>
      </w:r>
      <w:r w:rsidRPr="008873B1">
        <w:t>-</w:t>
      </w:r>
      <w:r w:rsidRPr="008873B1">
        <w:fldChar w:fldCharType="begin"/>
      </w:r>
      <w:r w:rsidRPr="008873B1">
        <w:instrText xml:space="preserve"> REF para33 \h </w:instrText>
      </w:r>
      <w:r w:rsidRPr="008873B1" w:rsidR="008873B1">
        <w:instrText xml:space="preserve"> \* MERGEFORMAT </w:instrText>
      </w:r>
      <w:r w:rsidRPr="008873B1">
        <w:fldChar w:fldCharType="separate"/>
      </w:r>
      <w:r w:rsidR="004F11CA">
        <w:t>34</w:t>
      </w:r>
      <w:r w:rsidRPr="008873B1">
        <w:fldChar w:fldCharType="end"/>
      </w:r>
      <w:r w:rsidRPr="008873B1">
        <w:t xml:space="preserve"> above), and the supervisory functions performed by the </w:t>
      </w:r>
      <w:r w:rsidRPr="008873B1">
        <w:rPr>
          <w:rFonts w:cstheme="minorHAnsi"/>
        </w:rPr>
        <w:t xml:space="preserve">Foreign Intelligence Inspectorate (see paragraphs </w:t>
      </w:r>
      <w:r w:rsidRPr="008873B1">
        <w:rPr>
          <w:rFonts w:cstheme="minorHAnsi"/>
        </w:rPr>
        <w:fldChar w:fldCharType="begin"/>
      </w:r>
      <w:r w:rsidRPr="008873B1">
        <w:rPr>
          <w:rFonts w:cstheme="minorHAnsi"/>
        </w:rPr>
        <w:instrText xml:space="preserve"> REF para35 \h </w:instrText>
      </w:r>
      <w:r w:rsidRPr="008873B1" w:rsidR="008873B1">
        <w:rPr>
          <w:rFonts w:cstheme="minorHAnsi"/>
        </w:rPr>
        <w:instrText xml:space="preserve"> \* MERGEFORMAT </w:instrText>
      </w:r>
      <w:r w:rsidRPr="008873B1">
        <w:rPr>
          <w:rFonts w:cstheme="minorHAnsi"/>
        </w:rPr>
      </w:r>
      <w:r w:rsidRPr="008873B1">
        <w:rPr>
          <w:rFonts w:cstheme="minorHAnsi"/>
        </w:rPr>
        <w:fldChar w:fldCharType="separate"/>
      </w:r>
      <w:r w:rsidRPr="004F11CA" w:rsidR="004F11CA">
        <w:rPr>
          <w:rFonts w:cstheme="minorHAnsi"/>
        </w:rPr>
        <w:t>36</w:t>
      </w:r>
      <w:r w:rsidRPr="008873B1">
        <w:rPr>
          <w:rFonts w:cstheme="minorHAnsi"/>
        </w:rPr>
        <w:fldChar w:fldCharType="end"/>
      </w:r>
      <w:r w:rsidRPr="008873B1">
        <w:rPr>
          <w:rFonts w:cstheme="minorHAnsi"/>
        </w:rPr>
        <w:t xml:space="preserve"> and 50-54 above) and the Privacy Protection Council (see paragraph 55 above) provided important protection for individuals’ personal integrity. It noted, in this respect, that, although the Privacy Protection Council formed part of the FRA, it acted in an independent manner.</w:t>
      </w:r>
    </w:p>
    <w:p w:rsidRPr="008873B1" w:rsidR="004D0549" w:rsidP="008873B1" w:rsidRDefault="004D0549" w14:paraId="3302C00E" w14:textId="77777777">
      <w:pPr>
        <w:pStyle w:val="JuHIRoman"/>
        <w:numPr>
          <w:ilvl w:val="1"/>
          <w:numId w:val="1"/>
        </w:numPr>
        <w:tabs>
          <w:tab w:val="clear" w:pos="454"/>
          <w:tab w:val="clear" w:pos="567"/>
          <w:tab w:val="clear" w:pos="680"/>
        </w:tabs>
      </w:pPr>
      <w:r w:rsidRPr="008873B1">
        <w:t>relevant INTERNATIONAL law</w:t>
      </w:r>
    </w:p>
    <w:p w:rsidRPr="008873B1" w:rsidR="004D0549" w:rsidP="008873B1" w:rsidRDefault="004D0549" w14:paraId="0B8EAEBC" w14:textId="77777777">
      <w:pPr>
        <w:pStyle w:val="JuHA"/>
        <w:numPr>
          <w:ilvl w:val="2"/>
          <w:numId w:val="1"/>
        </w:numPr>
        <w:ind w:left="584"/>
      </w:pPr>
      <w:r w:rsidRPr="008873B1">
        <w:t>The United Nations</w:t>
      </w:r>
    </w:p>
    <w:p w:rsidRPr="008873B1" w:rsidR="004D0549" w:rsidP="004D0549" w:rsidRDefault="004D0549" w14:paraId="7BD20702" w14:textId="6BECA630">
      <w:pPr>
        <w:pStyle w:val="JuPara"/>
      </w:pPr>
      <w:r w:rsidRPr="008873B1">
        <w:fldChar w:fldCharType="begin"/>
      </w:r>
      <w:r w:rsidRPr="008873B1">
        <w:instrText xml:space="preserve"> SEQ level0 \*arabic </w:instrText>
      </w:r>
      <w:r w:rsidRPr="008873B1">
        <w:fldChar w:fldCharType="separate"/>
      </w:r>
      <w:r w:rsidR="004F11CA">
        <w:rPr>
          <w:noProof/>
        </w:rPr>
        <w:t>81</w:t>
      </w:r>
      <w:r w:rsidRPr="008873B1">
        <w:fldChar w:fldCharType="end"/>
      </w:r>
      <w:r w:rsidRPr="008873B1">
        <w:t>.  Resolution no. 68/167, on The Right to Privacy in the Digital Age, adopted by the General Assembly on 18 December 2013, reads as follows:</w:t>
      </w:r>
    </w:p>
    <w:p w:rsidRPr="008873B1" w:rsidR="004D0549" w:rsidP="004D0549" w:rsidRDefault="004D0549" w14:paraId="4363D814" w14:textId="77777777">
      <w:pPr>
        <w:pStyle w:val="JuQuot"/>
      </w:pPr>
      <w:r w:rsidRPr="008873B1">
        <w:t>“The General Assembly,</w:t>
      </w:r>
    </w:p>
    <w:p w:rsidRPr="008873B1" w:rsidR="004D0549" w:rsidP="004D0549" w:rsidRDefault="004D0549" w14:paraId="686556F2" w14:textId="77777777">
      <w:pPr>
        <w:pStyle w:val="JuQuot"/>
      </w:pPr>
      <w:r w:rsidRPr="008873B1">
        <w:t>...</w:t>
      </w:r>
    </w:p>
    <w:p w:rsidRPr="008873B1" w:rsidR="004D0549" w:rsidP="004D0549" w:rsidRDefault="004D0549" w14:paraId="12C58065" w14:textId="77777777">
      <w:pPr>
        <w:pStyle w:val="JuQuot"/>
      </w:pPr>
      <w:r w:rsidRPr="008873B1">
        <w:t xml:space="preserve">4. </w:t>
      </w:r>
      <w:r w:rsidRPr="008873B1">
        <w:rPr>
          <w:i/>
          <w:iCs/>
        </w:rPr>
        <w:t xml:space="preserve">Calls upon </w:t>
      </w:r>
      <w:r w:rsidRPr="008873B1">
        <w:t>all States:</w:t>
      </w:r>
    </w:p>
    <w:p w:rsidRPr="008873B1" w:rsidR="004D0549" w:rsidP="004D0549" w:rsidRDefault="004D0549" w14:paraId="3DDB6D8C" w14:textId="77777777">
      <w:pPr>
        <w:pStyle w:val="JuQuot"/>
      </w:pPr>
      <w:r w:rsidRPr="008873B1">
        <w:t>...</w:t>
      </w:r>
    </w:p>
    <w:p w:rsidRPr="008873B1" w:rsidR="004D0549" w:rsidP="004D0549" w:rsidRDefault="004D0549" w14:paraId="260658F2" w14:textId="77777777">
      <w:pPr>
        <w:pStyle w:val="JuQuot"/>
      </w:pPr>
      <w:r w:rsidRPr="008873B1">
        <w:t>(</w:t>
      </w:r>
      <w:r w:rsidRPr="008873B1">
        <w:rPr>
          <w:i/>
          <w:iCs/>
        </w:rPr>
        <w:t>c</w:t>
      </w:r>
      <w:r w:rsidRPr="008873B1">
        <w:t>) To review 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w:t>
      </w:r>
    </w:p>
    <w:p w:rsidRPr="008873B1" w:rsidR="004D0549" w:rsidP="004D0549" w:rsidRDefault="004D0549" w14:paraId="5C8F0185" w14:textId="77777777">
      <w:pPr>
        <w:pStyle w:val="JuQuot"/>
      </w:pPr>
      <w:r w:rsidRPr="008873B1">
        <w:t>(</w:t>
      </w:r>
      <w:r w:rsidRPr="008873B1">
        <w:rPr>
          <w:i/>
          <w:iCs/>
        </w:rPr>
        <w:t>d</w:t>
      </w:r>
      <w:r w:rsidRPr="008873B1">
        <w:t>) To establish or maintain existing independent, effective domestic oversight mechanisms capable of ensuring transparency, as appropriate, and accountability for State surveillance of communications, their interception and the collection of personal data ...”</w:t>
      </w:r>
    </w:p>
    <w:p w:rsidRPr="008873B1" w:rsidR="004D0549" w:rsidP="008873B1" w:rsidRDefault="004D0549" w14:paraId="753A41B3" w14:textId="77777777">
      <w:pPr>
        <w:pStyle w:val="JuHA"/>
        <w:numPr>
          <w:ilvl w:val="2"/>
          <w:numId w:val="1"/>
        </w:numPr>
        <w:ind w:left="584"/>
      </w:pPr>
      <w:r w:rsidRPr="008873B1">
        <w:t>The Council of Europe</w:t>
      </w:r>
    </w:p>
    <w:p w:rsidRPr="008873B1" w:rsidR="004D0549" w:rsidP="008873B1" w:rsidRDefault="004D0549" w14:paraId="56F76FEE" w14:textId="77777777">
      <w:pPr>
        <w:pStyle w:val="JuH1"/>
        <w:numPr>
          <w:ilvl w:val="3"/>
          <w:numId w:val="1"/>
        </w:numPr>
        <w:ind w:left="731"/>
      </w:pPr>
      <w:r w:rsidRPr="008873B1">
        <w:t xml:space="preserve">The Council of Europe Convention for the Protection of Individuals </w:t>
      </w:r>
      <w:proofErr w:type="gramStart"/>
      <w:r w:rsidRPr="008873B1">
        <w:t>with regard to</w:t>
      </w:r>
      <w:proofErr w:type="gramEnd"/>
      <w:r w:rsidRPr="008873B1">
        <w:t xml:space="preserve"> Automatic Processing of Personal Data of 1981 and its Additional Protocol (CETS No. 108)</w:t>
      </w:r>
    </w:p>
    <w:p w:rsidRPr="008873B1" w:rsidR="004D0549" w:rsidP="004D0549" w:rsidRDefault="004D0549" w14:paraId="6D8DD9B2" w14:textId="09EE7E74">
      <w:pPr>
        <w:pStyle w:val="JuPara"/>
      </w:pPr>
      <w:r w:rsidRPr="008873B1">
        <w:fldChar w:fldCharType="begin"/>
      </w:r>
      <w:r w:rsidRPr="008873B1">
        <w:instrText xml:space="preserve"> SEQ level0 \*arabic </w:instrText>
      </w:r>
      <w:r w:rsidRPr="008873B1">
        <w:fldChar w:fldCharType="separate"/>
      </w:r>
      <w:r w:rsidR="004F11CA">
        <w:rPr>
          <w:noProof/>
        </w:rPr>
        <w:t>82</w:t>
      </w:r>
      <w:r w:rsidRPr="008873B1">
        <w:fldChar w:fldCharType="end"/>
      </w:r>
      <w:r w:rsidRPr="008873B1">
        <w:t>.  The Convention, in force for Sweden since 1 October 1985, sets out standards for data protection in the sphere of automatic processing of personal data in the public and private sectors. It provides, in so far as relevant, as follows:</w:t>
      </w:r>
    </w:p>
    <w:p w:rsidRPr="008873B1" w:rsidR="004D0549" w:rsidP="004D0549" w:rsidRDefault="004D0549" w14:paraId="75E57281" w14:textId="77777777">
      <w:pPr>
        <w:pStyle w:val="JuHArticle"/>
      </w:pPr>
      <w:r w:rsidRPr="008873B1">
        <w:t>Preamble</w:t>
      </w:r>
    </w:p>
    <w:p w:rsidRPr="008873B1" w:rsidR="004D0549" w:rsidP="004D0549" w:rsidRDefault="004D0549" w14:paraId="7E66ADFA" w14:textId="77777777">
      <w:pPr>
        <w:pStyle w:val="JuQuot"/>
        <w:keepNext/>
        <w:keepLines/>
      </w:pPr>
      <w:r w:rsidRPr="008873B1">
        <w:t>“The member States of the Council of Europe, signatory hereto,</w:t>
      </w:r>
    </w:p>
    <w:p w:rsidRPr="008873B1" w:rsidR="004D0549" w:rsidP="004D0549" w:rsidRDefault="004D0549" w14:paraId="442D5E69" w14:textId="77777777">
      <w:pPr>
        <w:pStyle w:val="JuQuot"/>
      </w:pPr>
      <w:r w:rsidRPr="008873B1">
        <w:t xml:space="preserve">Considering that the aim of the Council of Europe is to achieve greater unity between its members, based </w:t>
      </w:r>
      <w:proofErr w:type="gramStart"/>
      <w:r w:rsidRPr="008873B1">
        <w:t>in particular on</w:t>
      </w:r>
      <w:proofErr w:type="gramEnd"/>
      <w:r w:rsidRPr="008873B1">
        <w:t xml:space="preserve"> respect for the rule of law, as well as human rights and fundamental freedoms;</w:t>
      </w:r>
    </w:p>
    <w:p w:rsidRPr="008873B1" w:rsidR="004D0549" w:rsidP="004D0549" w:rsidRDefault="004D0549" w14:paraId="1B8BAF19" w14:textId="77777777">
      <w:pPr>
        <w:pStyle w:val="JuQuot"/>
      </w:pPr>
      <w:r w:rsidRPr="008873B1">
        <w:t xml:space="preserve">Considering that it is desirable to extend the safeguards for everyone’s rights and fundamental freedoms, and </w:t>
      </w:r>
      <w:proofErr w:type="gramStart"/>
      <w:r w:rsidRPr="008873B1">
        <w:t>in particular the</w:t>
      </w:r>
      <w:proofErr w:type="gramEnd"/>
      <w:r w:rsidRPr="008873B1">
        <w:t xml:space="preserve"> right to the respect for privacy, taking account of the increasing flow across frontiers of personal data undergoing automatic processing;</w:t>
      </w:r>
    </w:p>
    <w:p w:rsidRPr="008873B1" w:rsidR="004D0549" w:rsidP="004D0549" w:rsidRDefault="004D0549" w14:paraId="58C91A76" w14:textId="77777777">
      <w:pPr>
        <w:pStyle w:val="JuQuot"/>
      </w:pPr>
      <w:r w:rsidRPr="008873B1">
        <w:t>Reaffirming at the same time their commitment to freedom of information regardless of frontiers;</w:t>
      </w:r>
    </w:p>
    <w:p w:rsidRPr="008873B1" w:rsidR="004D0549" w:rsidP="004D0549" w:rsidRDefault="004D0549" w14:paraId="36090C8A" w14:textId="77777777">
      <w:pPr>
        <w:pStyle w:val="JuQuot"/>
      </w:pPr>
      <w:r w:rsidRPr="008873B1">
        <w:t>Recognising that it is necessary to reconcile the fundamental values of the respect for privacy and the free flow of information between peoples,</w:t>
      </w:r>
    </w:p>
    <w:p w:rsidRPr="008873B1" w:rsidR="004D0549" w:rsidP="004D0549" w:rsidRDefault="004D0549" w14:paraId="1432E4A6" w14:textId="77777777">
      <w:pPr>
        <w:pStyle w:val="JuQuot"/>
      </w:pPr>
      <w:r w:rsidRPr="008873B1">
        <w:t>Have agreed as follows:”</w:t>
      </w:r>
    </w:p>
    <w:p w:rsidRPr="008873B1" w:rsidR="004D0549" w:rsidP="004D0549" w:rsidRDefault="004D0549" w14:paraId="7F7A77F6" w14:textId="77777777">
      <w:pPr>
        <w:pStyle w:val="JuHArticle"/>
      </w:pPr>
      <w:r w:rsidRPr="008873B1">
        <w:t>Article 1 – Object and purpose</w:t>
      </w:r>
    </w:p>
    <w:p w:rsidRPr="008873B1" w:rsidR="004D0549" w:rsidP="004D0549" w:rsidRDefault="004D0549" w14:paraId="18591965" w14:textId="77777777">
      <w:pPr>
        <w:pStyle w:val="JuQuot"/>
      </w:pPr>
      <w:r w:rsidRPr="008873B1">
        <w:t>“The purpose of this Convention is to secure in the territory of each Party for every individual, whatever his nationality or residence, respect for his rights and fundamental freedoms, and in particular his right to privacy, with regard to automatic processing of personal data relating to him (“data protection”).”</w:t>
      </w:r>
    </w:p>
    <w:p w:rsidRPr="008873B1" w:rsidR="004D0549" w:rsidP="004D0549" w:rsidRDefault="004D0549" w14:paraId="2D300971" w14:textId="77777777">
      <w:pPr>
        <w:pStyle w:val="JuHArticle"/>
      </w:pPr>
      <w:r w:rsidRPr="008873B1">
        <w:t>Article 8 – Additional safeguards for the data subject</w:t>
      </w:r>
    </w:p>
    <w:p w:rsidRPr="008873B1" w:rsidR="004D0549" w:rsidP="004D0549" w:rsidRDefault="004D0549" w14:paraId="26E6EE0C" w14:textId="77777777">
      <w:pPr>
        <w:pStyle w:val="JuQuot"/>
      </w:pPr>
      <w:r w:rsidRPr="008873B1">
        <w:t>“Any person shall be enabled:</w:t>
      </w:r>
    </w:p>
    <w:p w:rsidRPr="008873B1" w:rsidR="004D0549" w:rsidP="004D0549" w:rsidRDefault="004D0549" w14:paraId="04470C78" w14:textId="77777777">
      <w:pPr>
        <w:pStyle w:val="JuQuot"/>
      </w:pPr>
      <w:r w:rsidRPr="008873B1">
        <w:t>a.  to establish the existence of an automated personal data file, its main purposes, as well as the identity and habitual residence or principal place of business of the controller of the file;</w:t>
      </w:r>
    </w:p>
    <w:p w:rsidRPr="008873B1" w:rsidR="004D0549" w:rsidP="004D0549" w:rsidRDefault="004D0549" w14:paraId="34B5FD5C" w14:textId="77777777">
      <w:pPr>
        <w:pStyle w:val="JuQuot"/>
      </w:pPr>
      <w:r w:rsidRPr="008873B1">
        <w:t>b.  to obtain at reasonable intervals and without excessive delay or expense confirmation of whether personal data relating to him are stored in the automated data file as well as communication to him of such data in an intelligible form;</w:t>
      </w:r>
    </w:p>
    <w:p w:rsidRPr="008873B1" w:rsidR="004D0549" w:rsidP="004D0549" w:rsidRDefault="004D0549" w14:paraId="44C57AE1" w14:textId="77777777">
      <w:pPr>
        <w:pStyle w:val="JuQuot"/>
      </w:pPr>
      <w:r w:rsidRPr="008873B1">
        <w:t>c.  to obtain</w:t>
      </w:r>
      <w:proofErr w:type="gramStart"/>
      <w:r w:rsidRPr="008873B1">
        <w:t>, as the case may be, rectification</w:t>
      </w:r>
      <w:proofErr w:type="gramEnd"/>
      <w:r w:rsidRPr="008873B1">
        <w:t xml:space="preserve"> or erasure of such data if these have been processed contrary to the provisions of domestic law giving effect to the basic principles set out in Articles 5 and 6 of this convention;</w:t>
      </w:r>
    </w:p>
    <w:p w:rsidRPr="008873B1" w:rsidR="004D0549" w:rsidP="004D0549" w:rsidRDefault="004D0549" w14:paraId="6707D603" w14:textId="77777777">
      <w:pPr>
        <w:pStyle w:val="JuQuot"/>
      </w:pPr>
      <w:r w:rsidRPr="008873B1">
        <w:t>d.  to have a remedy if a request for confirmation or</w:t>
      </w:r>
      <w:proofErr w:type="gramStart"/>
      <w:r w:rsidRPr="008873B1">
        <w:t>, as the case may be, communication</w:t>
      </w:r>
      <w:proofErr w:type="gramEnd"/>
      <w:r w:rsidRPr="008873B1">
        <w:t>, rectification or erasure as referred to in paragraphs b and c of this article is not complied with.”</w:t>
      </w:r>
    </w:p>
    <w:p w:rsidRPr="008873B1" w:rsidR="004D0549" w:rsidP="004D0549" w:rsidRDefault="004D0549" w14:paraId="32AA2DD9" w14:textId="77777777">
      <w:pPr>
        <w:pStyle w:val="JuHArticle"/>
      </w:pPr>
      <w:r w:rsidRPr="008873B1">
        <w:t>Article 9 – Exceptions and restrictions</w:t>
      </w:r>
    </w:p>
    <w:p w:rsidRPr="008873B1" w:rsidR="004D0549" w:rsidP="004D0549" w:rsidRDefault="004D0549" w14:paraId="45ADA1DE" w14:textId="77777777">
      <w:pPr>
        <w:pStyle w:val="JuQuot"/>
      </w:pPr>
      <w:r w:rsidRPr="008873B1">
        <w:t>“1.  No exception to the provisions of Articles 5, 6 and 8 of this Convention shall be allowed except within the limits defined in this article.</w:t>
      </w:r>
    </w:p>
    <w:p w:rsidRPr="008873B1" w:rsidR="004D0549" w:rsidP="004D0549" w:rsidRDefault="004D0549" w14:paraId="312798CB" w14:textId="77777777">
      <w:pPr>
        <w:pStyle w:val="JuQuot"/>
      </w:pPr>
      <w:r w:rsidRPr="008873B1">
        <w:t>2.  Derogation from the provisions of Articles 5, 6 and 8 of this Convention shall be allowed when such derogation is provided for by the law of the Party and constitutes a necessary measure in a democratic society in the interests of:</w:t>
      </w:r>
    </w:p>
    <w:p w:rsidRPr="008873B1" w:rsidR="004D0549" w:rsidP="004D0549" w:rsidRDefault="004D0549" w14:paraId="571D60BD" w14:textId="77777777">
      <w:pPr>
        <w:pStyle w:val="JuQuot"/>
        <w:ind w:left="851"/>
      </w:pPr>
      <w:r w:rsidRPr="008873B1">
        <w:t>a.  protecting State security, public safety, the monetary interests of the State or the suppression of criminal offences;</w:t>
      </w:r>
    </w:p>
    <w:p w:rsidRPr="008873B1" w:rsidR="004D0549" w:rsidP="004D0549" w:rsidRDefault="004D0549" w14:paraId="1D1506F5" w14:textId="77777777">
      <w:pPr>
        <w:pStyle w:val="JuQuot"/>
        <w:ind w:left="851"/>
      </w:pPr>
      <w:r w:rsidRPr="008873B1">
        <w:t>b.  protecting the data subject or the rights and freedoms of others.</w:t>
      </w:r>
    </w:p>
    <w:p w:rsidRPr="008873B1" w:rsidR="004D0549" w:rsidP="004D0549" w:rsidRDefault="004D0549" w14:paraId="4AB8A5BE" w14:textId="77777777">
      <w:pPr>
        <w:pStyle w:val="JuQuot"/>
        <w:ind w:left="851"/>
      </w:pPr>
      <w:r w:rsidRPr="008873B1">
        <w:t>...”</w:t>
      </w:r>
    </w:p>
    <w:p w:rsidRPr="008873B1" w:rsidR="004D0549" w:rsidP="004D0549" w:rsidRDefault="004D0549" w14:paraId="28BB4177" w14:textId="77777777">
      <w:pPr>
        <w:pStyle w:val="JuHArticle"/>
      </w:pPr>
      <w:r w:rsidRPr="008873B1">
        <w:t>Article 10 – Sanctions and remedies</w:t>
      </w:r>
    </w:p>
    <w:p w:rsidRPr="008873B1" w:rsidR="004D0549" w:rsidP="004D0549" w:rsidRDefault="004D0549" w14:paraId="32CB4B19" w14:textId="77777777">
      <w:pPr>
        <w:pStyle w:val="JuQuot"/>
      </w:pPr>
      <w:r w:rsidRPr="008873B1">
        <w:t>“Each Party undertakes to establish appropriate sanctions and remedies for violations of provisions of domestic law giving effect to the basic principles for data protection set out in this chapter.”</w:t>
      </w:r>
    </w:p>
    <w:p w:rsidRPr="008873B1" w:rsidR="004D0549" w:rsidP="004D0549" w:rsidRDefault="004D0549" w14:paraId="3C0CC1E5" w14:textId="267CEA4C">
      <w:pPr>
        <w:pStyle w:val="JuPara"/>
      </w:pPr>
      <w:r w:rsidRPr="008873B1">
        <w:fldChar w:fldCharType="begin"/>
      </w:r>
      <w:r w:rsidRPr="008873B1">
        <w:instrText xml:space="preserve"> SEQ level0 \*arabic </w:instrText>
      </w:r>
      <w:r w:rsidRPr="008873B1">
        <w:fldChar w:fldCharType="separate"/>
      </w:r>
      <w:r w:rsidR="004F11CA">
        <w:rPr>
          <w:noProof/>
        </w:rPr>
        <w:t>83</w:t>
      </w:r>
      <w:r w:rsidRPr="008873B1">
        <w:fldChar w:fldCharType="end"/>
      </w:r>
      <w:r w:rsidRPr="008873B1">
        <w:t>.  The Explanatory Report to the above-mentioned Convention explains the following as regards its Article 9:</w:t>
      </w:r>
    </w:p>
    <w:p w:rsidRPr="008873B1" w:rsidR="004D0549" w:rsidP="004D0549" w:rsidRDefault="004D0549" w14:paraId="5077306D" w14:textId="77777777">
      <w:pPr>
        <w:pStyle w:val="JuQuot"/>
      </w:pPr>
      <w:r w:rsidRPr="008873B1">
        <w:t>“...</w:t>
      </w:r>
    </w:p>
    <w:p w:rsidRPr="008873B1" w:rsidR="004D0549" w:rsidP="004D0549" w:rsidRDefault="004D0549" w14:paraId="0789B552" w14:textId="77777777">
      <w:pPr>
        <w:pStyle w:val="JuQuot"/>
      </w:pPr>
      <w:r w:rsidRPr="008873B1">
        <w:t>55. Exceptions to the basic principles for data protection are limited to those which are necessary for the protection of fundamental values in a democratic society. The text of the second paragraph of this article has been modelled after that of the second paragraphs of Articles 6, 8, 10 and 11 of the European Human Rights Convention. It is clear from the decisions of the Commission and the Court of Human Rights relating to the concept of ‘necessary measures’ that the criteria for this concept cannot be laid down for all countries and all times, but should be considered in the light of the given situation in each country.</w:t>
      </w:r>
    </w:p>
    <w:p w:rsidRPr="008873B1" w:rsidR="004D0549" w:rsidP="004D0549" w:rsidRDefault="004D0549" w14:paraId="48FDB799" w14:textId="77777777">
      <w:pPr>
        <w:pStyle w:val="JuQuot"/>
      </w:pPr>
      <w:r w:rsidRPr="008873B1">
        <w:t xml:space="preserve">56. </w:t>
      </w:r>
      <w:proofErr w:type="spellStart"/>
      <w:r w:rsidRPr="008873B1">
        <w:t>Littera</w:t>
      </w:r>
      <w:proofErr w:type="spellEnd"/>
      <w:r w:rsidRPr="008873B1">
        <w:t xml:space="preserve"> a in paragraph 2 lists the major interests of the State which may require exceptions. These exceptions are very specific in order to avoid that, </w:t>
      </w:r>
      <w:proofErr w:type="gramStart"/>
      <w:r w:rsidRPr="008873B1">
        <w:t>with regard to</w:t>
      </w:r>
      <w:proofErr w:type="gramEnd"/>
      <w:r w:rsidRPr="008873B1">
        <w:t xml:space="preserve"> the general application of the convention, States would have an unduly wide leeway.</w:t>
      </w:r>
    </w:p>
    <w:p w:rsidRPr="008873B1" w:rsidR="004D0549" w:rsidP="004D0549" w:rsidRDefault="004D0549" w14:paraId="487933E3" w14:textId="77777777">
      <w:pPr>
        <w:pStyle w:val="JuQuot"/>
      </w:pPr>
      <w:r w:rsidRPr="008873B1">
        <w:t>States retain, under Article 16, the possibility to refuse application of the convention in individual cases for important reasons, which include those enumerated in Article 9.</w:t>
      </w:r>
    </w:p>
    <w:p w:rsidRPr="008873B1" w:rsidR="004D0549" w:rsidP="004D0549" w:rsidRDefault="004D0549" w14:paraId="6CC853FE" w14:textId="77777777">
      <w:pPr>
        <w:pStyle w:val="JuQuot"/>
      </w:pPr>
      <w:r w:rsidRPr="008873B1">
        <w:t>The notion of ‘State security’ should be understood in the traditional sense of protecting national sovereignty against internal or external threats, including the protection of the international relations of the State...”</w:t>
      </w:r>
    </w:p>
    <w:p w:rsidRPr="008873B1" w:rsidR="004D0549" w:rsidP="004D0549" w:rsidRDefault="004D0549" w14:paraId="5C4B30E1" w14:textId="014665D4">
      <w:pPr>
        <w:pStyle w:val="JuPara"/>
        <w:rPr>
          <w:bCs/>
        </w:rPr>
      </w:pPr>
      <w:r w:rsidRPr="008873B1">
        <w:fldChar w:fldCharType="begin"/>
      </w:r>
      <w:r w:rsidRPr="008873B1">
        <w:instrText xml:space="preserve"> SEQ level0 \*arabic </w:instrText>
      </w:r>
      <w:r w:rsidRPr="008873B1">
        <w:fldChar w:fldCharType="separate"/>
      </w:r>
      <w:r w:rsidR="004F11CA">
        <w:rPr>
          <w:noProof/>
        </w:rPr>
        <w:t>84</w:t>
      </w:r>
      <w:r w:rsidRPr="008873B1">
        <w:fldChar w:fldCharType="end"/>
      </w:r>
      <w:r w:rsidRPr="008873B1">
        <w:t xml:space="preserve">.  The </w:t>
      </w:r>
      <w:r w:rsidRPr="008873B1">
        <w:rPr>
          <w:bCs/>
        </w:rPr>
        <w:t>Additional Protocol to the Council</w:t>
      </w:r>
      <w:r w:rsidR="00F75DFC">
        <w:rPr>
          <w:bCs/>
        </w:rPr>
        <w:t xml:space="preserve"> of</w:t>
      </w:r>
      <w:r w:rsidRPr="008873B1">
        <w:rPr>
          <w:bCs/>
        </w:rPr>
        <w:t xml:space="preserve"> Europe Convention for the Protection of Individuals with regard to Automatic Processing of Personal Data, regarding supervisory authorities and transborder data flows of 8 November 2001 (CETS No. 181), in force for Sweden since 1 July 2004, provides as follows, in</w:t>
      </w:r>
      <w:r w:rsidR="00F75DFC">
        <w:rPr>
          <w:bCs/>
        </w:rPr>
        <w:t xml:space="preserve"> </w:t>
      </w:r>
      <w:r w:rsidRPr="008873B1">
        <w:rPr>
          <w:bCs/>
        </w:rPr>
        <w:t>so</w:t>
      </w:r>
      <w:r w:rsidR="00F75DFC">
        <w:rPr>
          <w:bCs/>
        </w:rPr>
        <w:t xml:space="preserve"> </w:t>
      </w:r>
      <w:r w:rsidRPr="008873B1">
        <w:rPr>
          <w:bCs/>
        </w:rPr>
        <w:t>far as relevant:</w:t>
      </w:r>
    </w:p>
    <w:p w:rsidRPr="008873B1" w:rsidR="004D0549" w:rsidP="004D0549" w:rsidRDefault="004D0549" w14:paraId="4B9F2073" w14:textId="77777777">
      <w:pPr>
        <w:pStyle w:val="JuHArticle"/>
      </w:pPr>
      <w:r w:rsidRPr="008873B1">
        <w:t>Article 1 – Supervisory authorities</w:t>
      </w:r>
    </w:p>
    <w:p w:rsidRPr="008873B1" w:rsidR="004D0549" w:rsidP="004D0549" w:rsidRDefault="004D0549" w14:paraId="32ACA728" w14:textId="77777777">
      <w:pPr>
        <w:pStyle w:val="JuQuot"/>
      </w:pPr>
      <w:r w:rsidRPr="008873B1">
        <w:t>“1.  Each Party shall provide for one or more authorities to be responsible for ensuring compliance with the measures in its domestic law giving effect to the principles stated in Chapters II and III of the Convention and in this Protocol.</w:t>
      </w:r>
    </w:p>
    <w:p w:rsidRPr="008873B1" w:rsidR="004D0549" w:rsidP="004D0549" w:rsidRDefault="004D0549" w14:paraId="24957908" w14:textId="77777777">
      <w:pPr>
        <w:pStyle w:val="JuQuot"/>
        <w:tabs>
          <w:tab w:val="left" w:pos="992"/>
        </w:tabs>
        <w:ind w:left="851" w:hanging="284"/>
      </w:pPr>
      <w:r w:rsidRPr="008873B1">
        <w:t>2.</w:t>
      </w:r>
      <w:r w:rsidRPr="008873B1">
        <w:tab/>
      </w:r>
      <w:r w:rsidRPr="008873B1">
        <w:tab/>
        <w:t>a.  To this end, the said authorities shall have, in particular, powers of investigation and intervention, as well as the power to engage in legal proceedings or bring to the attention of the competent judicial authorities violations of provisions of domestic law giving effect to the principles mentioned in paragraph 1 of Article 1 of this Protocol.</w:t>
      </w:r>
    </w:p>
    <w:p w:rsidRPr="008873B1" w:rsidR="004D0549" w:rsidP="004D0549" w:rsidRDefault="004D0549" w14:paraId="1550F709" w14:textId="77777777">
      <w:pPr>
        <w:pStyle w:val="JuQuot"/>
        <w:ind w:left="851"/>
      </w:pPr>
      <w:r w:rsidRPr="008873B1">
        <w:t xml:space="preserve">b.  Each supervisory authority shall hear claims lodged by any person concerning the protection of his/her rights and fundamental freedoms </w:t>
      </w:r>
      <w:proofErr w:type="gramStart"/>
      <w:r w:rsidRPr="008873B1">
        <w:t>with regard to</w:t>
      </w:r>
      <w:proofErr w:type="gramEnd"/>
      <w:r w:rsidRPr="008873B1">
        <w:t xml:space="preserve"> the processing of personal data within its competence.</w:t>
      </w:r>
    </w:p>
    <w:p w:rsidRPr="008873B1" w:rsidR="004D0549" w:rsidP="004D0549" w:rsidRDefault="004D0549" w14:paraId="5E21C08D" w14:textId="77777777">
      <w:pPr>
        <w:pStyle w:val="JuQuot"/>
      </w:pPr>
      <w:r w:rsidRPr="008873B1">
        <w:t>3.  The supervisory authorities shall exercise their functions in complete independence.</w:t>
      </w:r>
    </w:p>
    <w:p w:rsidRPr="008873B1" w:rsidR="004D0549" w:rsidP="004D0549" w:rsidRDefault="004D0549" w14:paraId="4FE4C879" w14:textId="77777777">
      <w:pPr>
        <w:pStyle w:val="JuQuot"/>
      </w:pPr>
      <w:r w:rsidRPr="008873B1">
        <w:t>4.  Decisions of the supervisory authorities, which give rise to complaints, may be appealed against through the courts.</w:t>
      </w:r>
    </w:p>
    <w:p w:rsidRPr="008873B1" w:rsidR="004D0549" w:rsidP="004D0549" w:rsidRDefault="004D0549" w14:paraId="16EBAF56" w14:textId="77777777">
      <w:pPr>
        <w:pStyle w:val="JuQuot"/>
      </w:pPr>
      <w:r w:rsidRPr="008873B1">
        <w:t>...”</w:t>
      </w:r>
    </w:p>
    <w:p w:rsidRPr="008873B1" w:rsidR="004D0549" w:rsidP="004D0549" w:rsidRDefault="004D0549" w14:paraId="6AB246DD" w14:textId="77777777">
      <w:pPr>
        <w:pStyle w:val="JuHArticle"/>
      </w:pPr>
      <w:r w:rsidRPr="008873B1">
        <w:t>Article 2 – Transborder flows of personal data to a recipient which is not subject to the jurisdiction of a Party to the Convention</w:t>
      </w:r>
    </w:p>
    <w:p w:rsidRPr="008873B1" w:rsidR="004D0549" w:rsidP="004D0549" w:rsidRDefault="004D0549" w14:paraId="54557735" w14:textId="77777777">
      <w:pPr>
        <w:pStyle w:val="JuQuot"/>
      </w:pPr>
      <w:r w:rsidRPr="008873B1">
        <w:t>“1.  Each Party shall provide for the transfer of personal data to a recipient that is subject to the jurisdiction of a State or organisation that is not Party to the Convention only if that State or organisation ensures an adequate level of protection for the intended data transfer.</w:t>
      </w:r>
    </w:p>
    <w:p w:rsidRPr="008873B1" w:rsidR="004D0549" w:rsidP="004D0549" w:rsidRDefault="004D0549" w14:paraId="6DCB0DCF" w14:textId="77777777">
      <w:pPr>
        <w:pStyle w:val="JuQuot"/>
      </w:pPr>
      <w:r w:rsidRPr="008873B1">
        <w:t>2.  By way of derogation from paragraph 1 of Article 2 of this Protocol, each Party may allow for the transfer of personal data:</w:t>
      </w:r>
    </w:p>
    <w:p w:rsidRPr="008873B1" w:rsidR="004D0549" w:rsidP="004D0549" w:rsidRDefault="004D0549" w14:paraId="21DDAB12" w14:textId="77777777">
      <w:pPr>
        <w:pStyle w:val="JuQuot"/>
        <w:ind w:left="851"/>
      </w:pPr>
      <w:r w:rsidRPr="008873B1">
        <w:t>a.  if domestic law provides for it because of:</w:t>
      </w:r>
    </w:p>
    <w:p w:rsidRPr="008873B1" w:rsidR="004D0549" w:rsidP="004D0549" w:rsidRDefault="004D0549" w14:paraId="4FF8A888" w14:textId="77777777">
      <w:pPr>
        <w:pStyle w:val="JuQuot"/>
        <w:ind w:left="851" w:firstLine="0"/>
      </w:pPr>
      <w:r w:rsidRPr="008873B1">
        <w:t>–  specific interests of the data subject, or</w:t>
      </w:r>
    </w:p>
    <w:p w:rsidRPr="008873B1" w:rsidR="004D0549" w:rsidP="004D0549" w:rsidRDefault="004D0549" w14:paraId="11663ED4" w14:textId="77777777">
      <w:pPr>
        <w:pStyle w:val="JuQuot"/>
        <w:ind w:left="851" w:firstLine="0"/>
      </w:pPr>
      <w:r w:rsidRPr="008873B1">
        <w:t>–  legitimate prevailing interests, especially important public interests, or</w:t>
      </w:r>
    </w:p>
    <w:p w:rsidRPr="008873B1" w:rsidR="004D0549" w:rsidP="004D0549" w:rsidRDefault="004D0549" w14:paraId="1A850131" w14:textId="77777777">
      <w:pPr>
        <w:pStyle w:val="JuQuot"/>
        <w:ind w:left="851"/>
      </w:pPr>
      <w:r w:rsidRPr="008873B1">
        <w:t xml:space="preserve">b.  if safeguards, which can </w:t>
      </w:r>
      <w:proofErr w:type="gramStart"/>
      <w:r w:rsidRPr="008873B1">
        <w:t>in particular result</w:t>
      </w:r>
      <w:proofErr w:type="gramEnd"/>
      <w:r w:rsidRPr="008873B1">
        <w:t xml:space="preserve"> from contractual clauses, are provided by the controller responsible for the transfer and are found adequate by the competent authorities according to domestic law.”</w:t>
      </w:r>
    </w:p>
    <w:p w:rsidRPr="008873B1" w:rsidR="004D0549" w:rsidP="008873B1" w:rsidRDefault="004D0549" w14:paraId="7B8B74C9" w14:textId="77777777">
      <w:pPr>
        <w:pStyle w:val="JuH1"/>
        <w:numPr>
          <w:ilvl w:val="3"/>
          <w:numId w:val="1"/>
        </w:numPr>
        <w:ind w:left="731"/>
      </w:pPr>
      <w:r w:rsidRPr="008873B1">
        <w:t>Recommendation of the Committee of Ministers of the Council of Europe on the protection of personal data in the area of telecommunication services</w:t>
      </w:r>
    </w:p>
    <w:p w:rsidRPr="008873B1" w:rsidR="004D0549" w:rsidP="004D0549" w:rsidRDefault="004D0549" w14:paraId="300C47DE" w14:textId="320C9FE1">
      <w:pPr>
        <w:pStyle w:val="JuPara"/>
      </w:pPr>
      <w:r w:rsidRPr="008873B1">
        <w:fldChar w:fldCharType="begin"/>
      </w:r>
      <w:r w:rsidRPr="008873B1">
        <w:instrText xml:space="preserve"> SEQ level0 \*arabic </w:instrText>
      </w:r>
      <w:r w:rsidRPr="008873B1">
        <w:fldChar w:fldCharType="separate"/>
      </w:r>
      <w:r w:rsidR="004F11CA">
        <w:rPr>
          <w:noProof/>
        </w:rPr>
        <w:t>85</w:t>
      </w:r>
      <w:r w:rsidRPr="008873B1">
        <w:fldChar w:fldCharType="end"/>
      </w:r>
      <w:r w:rsidRPr="008873B1">
        <w:t xml:space="preserve">.  Recommendation No. R (95) 4 of the Committee of Ministers on the protection of personal data in the area of telecommunication services, with </w:t>
      </w:r>
      <w:proofErr w:type="gramStart"/>
      <w:r w:rsidRPr="008873B1">
        <w:t>particular reference</w:t>
      </w:r>
      <w:proofErr w:type="gramEnd"/>
      <w:r w:rsidRPr="008873B1">
        <w:t xml:space="preserve"> to telephone services, adopted on 7 February 1995, reads, insofar as relevant, as follows:</w:t>
      </w:r>
    </w:p>
    <w:p w:rsidRPr="008873B1" w:rsidR="004D0549" w:rsidP="004D0549" w:rsidRDefault="004D0549" w14:paraId="622DEB6F" w14:textId="77777777">
      <w:pPr>
        <w:pStyle w:val="JuQuot"/>
      </w:pPr>
      <w:r w:rsidRPr="008873B1">
        <w:t>“2.4.  Interference by public authorities with the content of a communication, including the use of listening or tapping devices or other means of surveillance or interception of communications, must be carried out only when this is provided for by law and constitutes a necessary measure in a democratic society in the interests of:</w:t>
      </w:r>
    </w:p>
    <w:p w:rsidRPr="008873B1" w:rsidR="004D0549" w:rsidP="004D0549" w:rsidRDefault="004D0549" w14:paraId="16ADEEB9" w14:textId="77777777">
      <w:pPr>
        <w:pStyle w:val="JuQuot"/>
        <w:ind w:left="851"/>
      </w:pPr>
      <w:r w:rsidRPr="008873B1">
        <w:t>a.  protecting state security, public safety, the monetary interests of the state or the suppression of criminal offences;</w:t>
      </w:r>
    </w:p>
    <w:p w:rsidRPr="008873B1" w:rsidR="004D0549" w:rsidP="004D0549" w:rsidRDefault="004D0549" w14:paraId="29ABEA2D" w14:textId="77777777">
      <w:pPr>
        <w:pStyle w:val="JuQuot"/>
        <w:ind w:left="851"/>
      </w:pPr>
      <w:r w:rsidRPr="008873B1">
        <w:t>b.  protecting the data subject or the rights and freedoms of others.</w:t>
      </w:r>
    </w:p>
    <w:p w:rsidRPr="008873B1" w:rsidR="004D0549" w:rsidP="004D0549" w:rsidRDefault="004D0549" w14:paraId="43439850" w14:textId="77777777">
      <w:pPr>
        <w:pStyle w:val="JuQuot"/>
      </w:pPr>
      <w:r w:rsidRPr="008873B1">
        <w:t>2.5.  In the case of interference by public authorities with the content of a communication, domestic law should regulate:</w:t>
      </w:r>
    </w:p>
    <w:p w:rsidRPr="008873B1" w:rsidR="004D0549" w:rsidP="004D0549" w:rsidRDefault="004D0549" w14:paraId="13371858" w14:textId="77777777">
      <w:pPr>
        <w:pStyle w:val="JuQuot"/>
        <w:ind w:left="851"/>
      </w:pPr>
      <w:r w:rsidRPr="008873B1">
        <w:t>a.  the exercise of the data subject’s rights of access and rectification;</w:t>
      </w:r>
    </w:p>
    <w:p w:rsidRPr="008873B1" w:rsidR="004D0549" w:rsidP="004D0549" w:rsidRDefault="004D0549" w14:paraId="43ADB54B" w14:textId="77777777">
      <w:pPr>
        <w:pStyle w:val="JuQuot"/>
        <w:ind w:left="851"/>
      </w:pPr>
      <w:r w:rsidRPr="008873B1">
        <w:t>b.  in what circumstances the responsible public authorities are entitled to refuse to provide information to the person concerned, or delay providing it;</w:t>
      </w:r>
    </w:p>
    <w:p w:rsidRPr="008873B1" w:rsidR="004D0549" w:rsidP="004D0549" w:rsidRDefault="004D0549" w14:paraId="7A10E977" w14:textId="77777777">
      <w:pPr>
        <w:pStyle w:val="JuQuot"/>
        <w:ind w:left="851"/>
      </w:pPr>
      <w:r w:rsidRPr="008873B1">
        <w:t>c.  storage or destruction of such data.</w:t>
      </w:r>
    </w:p>
    <w:p w:rsidRPr="008873B1" w:rsidR="004D0549" w:rsidP="004D0549" w:rsidRDefault="004D0549" w14:paraId="75D977A8" w14:textId="77777777">
      <w:pPr>
        <w:pStyle w:val="JuQuot"/>
      </w:pPr>
      <w:r w:rsidRPr="008873B1">
        <w:t xml:space="preserve">If a network operator or service provider is instructed by a public authority to </w:t>
      </w:r>
      <w:proofErr w:type="gramStart"/>
      <w:r w:rsidRPr="008873B1">
        <w:t>effect</w:t>
      </w:r>
      <w:proofErr w:type="gramEnd"/>
      <w:r w:rsidRPr="008873B1">
        <w:t xml:space="preserve"> an interference, the data so collected should be communicated only to the body designated in the authorisation for that interference.”</w:t>
      </w:r>
    </w:p>
    <w:p w:rsidRPr="008873B1" w:rsidR="004D0549" w:rsidP="008873B1" w:rsidRDefault="004D0549" w14:paraId="32D06AEF" w14:textId="77777777">
      <w:pPr>
        <w:pStyle w:val="JuH1"/>
        <w:numPr>
          <w:ilvl w:val="3"/>
          <w:numId w:val="1"/>
        </w:numPr>
        <w:ind w:left="731"/>
      </w:pPr>
      <w:r w:rsidRPr="008873B1">
        <w:t>The 2015 Report of the European Commission for Democracy through Law (“the Venice Commission”) on the Democratic Oversight of Signals Intelligence Agencies</w:t>
      </w:r>
    </w:p>
    <w:bookmarkStart w:name="report_Venice_Comm_begin" w:id="44"/>
    <w:p w:rsidRPr="008873B1" w:rsidR="004D0549" w:rsidP="004D0549" w:rsidRDefault="004D0549" w14:paraId="00A312E4" w14:textId="40A1A7B0">
      <w:pPr>
        <w:pStyle w:val="JuPara"/>
      </w:pPr>
      <w:r w:rsidRPr="008873B1">
        <w:fldChar w:fldCharType="begin"/>
      </w:r>
      <w:r w:rsidRPr="008873B1">
        <w:instrText xml:space="preserve"> SEQ level0 \*arabic </w:instrText>
      </w:r>
      <w:r w:rsidRPr="008873B1">
        <w:fldChar w:fldCharType="separate"/>
      </w:r>
      <w:r w:rsidR="004F11CA">
        <w:rPr>
          <w:noProof/>
        </w:rPr>
        <w:t>86</w:t>
      </w:r>
      <w:r w:rsidRPr="008873B1">
        <w:fldChar w:fldCharType="end"/>
      </w:r>
      <w:bookmarkEnd w:id="44"/>
      <w:r w:rsidRPr="008873B1">
        <w:t>.  In this report, published in December 2015, the Venice Commission noted, at the outset, the value that bulk interception could have for security operations, since it enabled the security services to adopt a proactive approach, looking for hitherto unknown dangers rather than investigating known ones. However, it also noted that intercepting bulk data in transmission, or requirements that telecommunications companies store and then provide telecommunications content data or metadata to law</w:t>
      </w:r>
      <w:r w:rsidRPr="008873B1">
        <w:noBreakHyphen/>
        <w:t>enforcement or security agencies involved an interference with the privacy and other human rights of a large proportion of the population of the world. In this regard, the Venice Commission considered that the main interference with privacy occurred when stored personal data were accessed and/or processed by the agencies. For this reason, the computer analysis (usually with the help of selectors) was one of the important stages for balancing personal integrity concerns against other interests.</w:t>
      </w:r>
    </w:p>
    <w:p w:rsidRPr="008873B1" w:rsidR="004D0549" w:rsidP="004D0549" w:rsidRDefault="004D0549" w14:paraId="0B1873EC" w14:textId="5104E5EC">
      <w:pPr>
        <w:pStyle w:val="JuPara"/>
      </w:pPr>
      <w:r w:rsidRPr="008873B1">
        <w:fldChar w:fldCharType="begin"/>
      </w:r>
      <w:r w:rsidRPr="008873B1">
        <w:instrText xml:space="preserve"> SEQ level0 \*arabic </w:instrText>
      </w:r>
      <w:r w:rsidRPr="008873B1">
        <w:fldChar w:fldCharType="separate"/>
      </w:r>
      <w:r w:rsidR="004F11CA">
        <w:rPr>
          <w:noProof/>
        </w:rPr>
        <w:t>87</w:t>
      </w:r>
      <w:r w:rsidRPr="008873B1">
        <w:fldChar w:fldCharType="end"/>
      </w:r>
      <w:r w:rsidRPr="008873B1">
        <w:t xml:space="preserve">.  According to the report, the two most significant safeguards were the authorisation (of collection and access) and the oversight of the process. It was clear from the Court’s case-law that the latter had to be performed by an independent, external body. While the Court </w:t>
      </w:r>
      <w:proofErr w:type="gramStart"/>
      <w:r w:rsidRPr="008873B1">
        <w:t>had a preference for</w:t>
      </w:r>
      <w:proofErr w:type="gramEnd"/>
      <w:r w:rsidRPr="008873B1">
        <w:t xml:space="preserve"> judicial authorisation, it had not found this to be a necessary requirement. Rather, the system had to be assessed as a whole, and where independent controls were absent at the authorisation stage, particularly strong safeguards had to exist at the oversight stage. In this regard, the Venice Commission considered the example of the system in the United States, where authorisation was given by the Foreign Intelligence Surveillance Court. However, it noted that despite the existence of judicial authorisation, the lack of independent oversight of the conditions and limitations set by the court was problematic.</w:t>
      </w:r>
    </w:p>
    <w:p w:rsidRPr="008873B1" w:rsidR="004D0549" w:rsidP="004D0549" w:rsidRDefault="004D0549" w14:paraId="4423D5F7" w14:textId="2FA5021B">
      <w:pPr>
        <w:pStyle w:val="JuPara"/>
      </w:pPr>
      <w:r w:rsidRPr="008873B1">
        <w:fldChar w:fldCharType="begin"/>
      </w:r>
      <w:r w:rsidRPr="008873B1">
        <w:instrText xml:space="preserve"> SEQ level0 \*arabic </w:instrText>
      </w:r>
      <w:r w:rsidRPr="008873B1">
        <w:fldChar w:fldCharType="separate"/>
      </w:r>
      <w:r w:rsidR="004F11CA">
        <w:rPr>
          <w:noProof/>
        </w:rPr>
        <w:t>88</w:t>
      </w:r>
      <w:r w:rsidRPr="008873B1">
        <w:fldChar w:fldCharType="end"/>
      </w:r>
      <w:r w:rsidRPr="008873B1">
        <w:t>.  Similarly, the Commission observed that notification of the subject of surveillance was not an absolute requirement of Article 8 of the Convention, since a general complaints procedure to an independent oversight body could compensate for non-notification.</w:t>
      </w:r>
    </w:p>
    <w:p w:rsidRPr="008873B1" w:rsidR="004D0549" w:rsidP="004D0549" w:rsidRDefault="004D0549" w14:paraId="2DD430AC" w14:textId="1D673A5C">
      <w:pPr>
        <w:pStyle w:val="JuPara"/>
      </w:pPr>
      <w:r w:rsidRPr="008873B1">
        <w:fldChar w:fldCharType="begin"/>
      </w:r>
      <w:r w:rsidRPr="008873B1">
        <w:instrText xml:space="preserve"> SEQ level0 \*arabic </w:instrText>
      </w:r>
      <w:r w:rsidRPr="008873B1">
        <w:fldChar w:fldCharType="separate"/>
      </w:r>
      <w:r w:rsidR="004F11CA">
        <w:rPr>
          <w:noProof/>
        </w:rPr>
        <w:t>89</w:t>
      </w:r>
      <w:r w:rsidRPr="008873B1">
        <w:fldChar w:fldCharType="end"/>
      </w:r>
      <w:r w:rsidRPr="008873B1">
        <w:t>.  The report also considered internal controls to be a “primary safeguard”. Recruitment and training were key issues; in addition, it was important for the agencies to build in respect for privacy and other human rights when promulgating internal rules.</w:t>
      </w:r>
    </w:p>
    <w:p w:rsidRPr="008873B1" w:rsidR="004D0549" w:rsidP="004D0549" w:rsidRDefault="004D0549" w14:paraId="405C00AA" w14:textId="24A6B63E">
      <w:pPr>
        <w:pStyle w:val="JuPara"/>
      </w:pPr>
      <w:r w:rsidRPr="008873B1">
        <w:fldChar w:fldCharType="begin"/>
      </w:r>
      <w:r w:rsidRPr="008873B1">
        <w:instrText xml:space="preserve"> SEQ level0 \*arabic </w:instrText>
      </w:r>
      <w:r w:rsidRPr="008873B1">
        <w:fldChar w:fldCharType="separate"/>
      </w:r>
      <w:r w:rsidR="004F11CA">
        <w:rPr>
          <w:noProof/>
        </w:rPr>
        <w:t>90</w:t>
      </w:r>
      <w:r w:rsidRPr="008873B1">
        <w:fldChar w:fldCharType="end"/>
      </w:r>
      <w:r w:rsidRPr="008873B1">
        <w:t xml:space="preserve">.  The report also considered the position of journalists. It accepted that they were a group which required special protection, since searching their contacts could reveal their sources (and the risk of discovery could be a powerful disincentive to whistle-blowers). Nevertheless, it considered there to be no absolute prohibition on searching the contacts of journalists, </w:t>
      </w:r>
      <w:proofErr w:type="gramStart"/>
      <w:r w:rsidRPr="008873B1">
        <w:t>provided that</w:t>
      </w:r>
      <w:proofErr w:type="gramEnd"/>
      <w:r w:rsidRPr="008873B1">
        <w:t xml:space="preserve"> there were very strong reasons for doing so. It acknowledged, however, that the journalistic profession was not one which was easily identified, since NGOs were also engaged in building public opinion and even bloggers could claim to be entitled to equivalent protections.</w:t>
      </w:r>
    </w:p>
    <w:p w:rsidRPr="008873B1" w:rsidR="004D0549" w:rsidP="004D0549" w:rsidRDefault="004D0549" w14:paraId="24924CDB" w14:textId="7AC97B8B">
      <w:pPr>
        <w:pStyle w:val="JuPara"/>
      </w:pPr>
      <w:r w:rsidRPr="008873B1">
        <w:fldChar w:fldCharType="begin"/>
      </w:r>
      <w:r w:rsidRPr="008873B1">
        <w:instrText xml:space="preserve"> SEQ level0 \*arabic </w:instrText>
      </w:r>
      <w:r w:rsidRPr="008873B1">
        <w:fldChar w:fldCharType="separate"/>
      </w:r>
      <w:r w:rsidR="004F11CA">
        <w:rPr>
          <w:noProof/>
        </w:rPr>
        <w:t>91</w:t>
      </w:r>
      <w:r w:rsidRPr="008873B1">
        <w:fldChar w:fldCharType="end"/>
      </w:r>
      <w:r w:rsidRPr="008873B1">
        <w:t xml:space="preserve">.  Finally, the report considered briefly the issue of intelligence sharing, and </w:t>
      </w:r>
      <w:proofErr w:type="gramStart"/>
      <w:r w:rsidRPr="008873B1">
        <w:t>in particular the</w:t>
      </w:r>
      <w:proofErr w:type="gramEnd"/>
      <w:r w:rsidRPr="008873B1">
        <w:t xml:space="preserve"> risk that States could thereby circumvent stronger domestic surveillance procedures or any legal limits which their agencies might be subject to as regards domestic intelligence operations. It considered that a suitable safeguard would be to provide that the bulk material transferred could only be searched if all the material requirements of a national search were fulfilled and this was duly authorised in the same way as a search of bulk material obtained by the signals intelligence agency using its own techniques.</w:t>
      </w:r>
    </w:p>
    <w:p w:rsidRPr="008873B1" w:rsidR="004D0549" w:rsidP="008873B1" w:rsidRDefault="004D0549" w14:paraId="1B9B31E5" w14:textId="77777777">
      <w:pPr>
        <w:pStyle w:val="JuHIRoman"/>
        <w:numPr>
          <w:ilvl w:val="1"/>
          <w:numId w:val="1"/>
        </w:numPr>
        <w:tabs>
          <w:tab w:val="clear" w:pos="454"/>
          <w:tab w:val="clear" w:pos="567"/>
          <w:tab w:val="clear" w:pos="680"/>
        </w:tabs>
      </w:pPr>
      <w:r w:rsidRPr="008873B1">
        <w:t>European union LAW</w:t>
      </w:r>
    </w:p>
    <w:p w:rsidRPr="008873B1" w:rsidR="004D0549" w:rsidP="008873B1" w:rsidRDefault="004D0549" w14:paraId="2BD5EAD8" w14:textId="77777777">
      <w:pPr>
        <w:pStyle w:val="JuHA"/>
        <w:numPr>
          <w:ilvl w:val="2"/>
          <w:numId w:val="1"/>
        </w:numPr>
        <w:ind w:left="584"/>
      </w:pPr>
      <w:r w:rsidRPr="008873B1">
        <w:t>Charter of Fundamental Rights of the European Union</w:t>
      </w:r>
    </w:p>
    <w:p w:rsidRPr="008873B1" w:rsidR="004D0549" w:rsidP="004D0549" w:rsidRDefault="004D0549" w14:paraId="489F3357" w14:textId="2A288977">
      <w:pPr>
        <w:pStyle w:val="JuPara"/>
      </w:pPr>
      <w:r w:rsidRPr="008873B1">
        <w:fldChar w:fldCharType="begin"/>
      </w:r>
      <w:r w:rsidRPr="008873B1">
        <w:instrText xml:space="preserve"> SEQ level0 \*arabic </w:instrText>
      </w:r>
      <w:r w:rsidRPr="008873B1">
        <w:fldChar w:fldCharType="separate"/>
      </w:r>
      <w:r w:rsidR="004F11CA">
        <w:rPr>
          <w:noProof/>
        </w:rPr>
        <w:t>92</w:t>
      </w:r>
      <w:r w:rsidRPr="008873B1">
        <w:fldChar w:fldCharType="end"/>
      </w:r>
      <w:r w:rsidRPr="008873B1">
        <w:t>.  Articles 7, 8 and 11 of the Charter provide as follows:</w:t>
      </w:r>
    </w:p>
    <w:p w:rsidRPr="008873B1" w:rsidR="004D0549" w:rsidP="004D0549" w:rsidRDefault="004D0549" w14:paraId="1E816667" w14:textId="77777777">
      <w:pPr>
        <w:pStyle w:val="JuHArticle"/>
      </w:pPr>
      <w:r w:rsidRPr="008873B1">
        <w:t>Article 7 – Respect for private and family life</w:t>
      </w:r>
    </w:p>
    <w:p w:rsidRPr="008873B1" w:rsidR="004D0549" w:rsidP="004D0549" w:rsidRDefault="004D0549" w14:paraId="65423011" w14:textId="77777777">
      <w:pPr>
        <w:pStyle w:val="JuQuot"/>
      </w:pPr>
      <w:r w:rsidRPr="008873B1">
        <w:t>“</w:t>
      </w:r>
      <w:r w:rsidRPr="008873B1">
        <w:rPr>
          <w:sz w:val="19"/>
          <w:szCs w:val="19"/>
        </w:rPr>
        <w:t>Everyone has the right to respect for his or her private and family life, home and communications.”</w:t>
      </w:r>
    </w:p>
    <w:p w:rsidRPr="008873B1" w:rsidR="004D0549" w:rsidP="004D0549" w:rsidRDefault="004D0549" w14:paraId="373AF449" w14:textId="77777777">
      <w:pPr>
        <w:pStyle w:val="JuHArticle"/>
      </w:pPr>
      <w:r w:rsidRPr="008873B1">
        <w:t>Article 8 – Protection of personal data</w:t>
      </w:r>
    </w:p>
    <w:p w:rsidRPr="008873B1" w:rsidR="004D0549" w:rsidP="004D0549" w:rsidRDefault="004D0549" w14:paraId="6BBA74E0" w14:textId="77777777">
      <w:pPr>
        <w:pStyle w:val="JuQuot"/>
      </w:pPr>
      <w:r w:rsidRPr="008873B1">
        <w:t>“1.  Everyone has the right to the protection of personal data concerning him or her.</w:t>
      </w:r>
    </w:p>
    <w:p w:rsidRPr="008873B1" w:rsidR="004D0549" w:rsidP="004D0549" w:rsidRDefault="004D0549" w14:paraId="6B22A5D7" w14:textId="77777777">
      <w:pPr>
        <w:pStyle w:val="JuQuot"/>
      </w:pPr>
      <w:r w:rsidRPr="008873B1">
        <w:t xml:space="preserve">2.  Such data must be processed fairly for specified purposes and </w:t>
      </w:r>
      <w:proofErr w:type="gramStart"/>
      <w:r w:rsidRPr="008873B1">
        <w:t>on the basis of</w:t>
      </w:r>
      <w:proofErr w:type="gramEnd"/>
      <w:r w:rsidRPr="008873B1">
        <w:t xml:space="preserve"> the consent of the person concerned or some other legitimate basis laid down by law. Everyone has the right of access to data which have been collected concerning him or her, and the right to have them rectified.</w:t>
      </w:r>
    </w:p>
    <w:p w:rsidRPr="008873B1" w:rsidR="004D0549" w:rsidP="004D0549" w:rsidRDefault="004D0549" w14:paraId="2B411BAC" w14:textId="77777777">
      <w:pPr>
        <w:pStyle w:val="JuQuot"/>
      </w:pPr>
      <w:r w:rsidRPr="008873B1">
        <w:t>3.  </w:t>
      </w:r>
      <w:r w:rsidRPr="008873B1">
        <w:rPr>
          <w:sz w:val="19"/>
          <w:szCs w:val="19"/>
        </w:rPr>
        <w:t>Compliance with these rules shall be subject to control by an independent authority.</w:t>
      </w:r>
      <w:r w:rsidRPr="008873B1">
        <w:t>”</w:t>
      </w:r>
    </w:p>
    <w:p w:rsidRPr="008873B1" w:rsidR="004D0549" w:rsidP="004D0549" w:rsidRDefault="004D0549" w14:paraId="7BCF64FB" w14:textId="77777777">
      <w:pPr>
        <w:pStyle w:val="JuHArticle"/>
      </w:pPr>
      <w:r w:rsidRPr="008873B1">
        <w:t>Article 11 – Freedom of expression and information</w:t>
      </w:r>
    </w:p>
    <w:p w:rsidRPr="008873B1" w:rsidR="004D0549" w:rsidP="004D0549" w:rsidRDefault="004D0549" w14:paraId="5E61E6AB" w14:textId="77777777">
      <w:pPr>
        <w:pStyle w:val="JuQuot"/>
      </w:pPr>
      <w:r w:rsidRPr="008873B1">
        <w:t>“1.  Everyone has the right to freedom of expression. This right shall include freedom to hold opinions and to receive and impart information and ideas without interference by public authority and regardless of frontiers.</w:t>
      </w:r>
    </w:p>
    <w:p w:rsidRPr="008873B1" w:rsidR="004D0549" w:rsidP="004D0549" w:rsidRDefault="004D0549" w14:paraId="6CDB2721" w14:textId="77777777">
      <w:pPr>
        <w:pStyle w:val="JuQuot"/>
      </w:pPr>
      <w:r w:rsidRPr="008873B1">
        <w:t>2.  The freedom and pluralism of the media shall be respected.”</w:t>
      </w:r>
    </w:p>
    <w:p w:rsidRPr="008873B1" w:rsidR="004D0549" w:rsidP="008873B1" w:rsidRDefault="004D0549" w14:paraId="2E79043E" w14:textId="65084AF9">
      <w:pPr>
        <w:pStyle w:val="JuHA"/>
        <w:numPr>
          <w:ilvl w:val="2"/>
          <w:numId w:val="1"/>
        </w:numPr>
        <w:ind w:left="584"/>
      </w:pPr>
      <w:r w:rsidRPr="008873B1">
        <w:t>E</w:t>
      </w:r>
      <w:r w:rsidR="00682D77">
        <w:t xml:space="preserve">uropean </w:t>
      </w:r>
      <w:r w:rsidRPr="008873B1">
        <w:t>U</w:t>
      </w:r>
      <w:r w:rsidR="00682D77">
        <w:t>nion</w:t>
      </w:r>
      <w:r w:rsidRPr="008873B1">
        <w:t xml:space="preserve"> directives and regulations relating to protection and processing of personal data</w:t>
      </w:r>
    </w:p>
    <w:p w:rsidRPr="008873B1" w:rsidR="004D0549" w:rsidP="004D0549" w:rsidRDefault="004D0549" w14:paraId="73A47DAF" w14:textId="49CD80BA">
      <w:pPr>
        <w:pStyle w:val="JuPara"/>
      </w:pPr>
      <w:r w:rsidRPr="008873B1">
        <w:rPr>
          <w:rStyle w:val="Strong"/>
          <w:b w:val="0"/>
          <w:bCs w:val="0"/>
        </w:rPr>
        <w:fldChar w:fldCharType="begin"/>
      </w:r>
      <w:r w:rsidRPr="008873B1">
        <w:rPr>
          <w:rStyle w:val="Strong"/>
          <w:b w:val="0"/>
          <w:bCs w:val="0"/>
        </w:rPr>
        <w:instrText xml:space="preserve"> SEQ level0 \*arabic </w:instrText>
      </w:r>
      <w:r w:rsidRPr="008873B1">
        <w:rPr>
          <w:rStyle w:val="Strong"/>
          <w:b w:val="0"/>
          <w:bCs w:val="0"/>
        </w:rPr>
        <w:fldChar w:fldCharType="separate"/>
      </w:r>
      <w:r w:rsidR="004F11CA">
        <w:rPr>
          <w:rStyle w:val="Strong"/>
          <w:b w:val="0"/>
          <w:bCs w:val="0"/>
          <w:noProof/>
        </w:rPr>
        <w:t>93</w:t>
      </w:r>
      <w:r w:rsidRPr="008873B1">
        <w:rPr>
          <w:rStyle w:val="Strong"/>
          <w:b w:val="0"/>
          <w:bCs w:val="0"/>
        </w:rPr>
        <w:fldChar w:fldCharType="end"/>
      </w:r>
      <w:r w:rsidRPr="008873B1">
        <w:rPr>
          <w:rStyle w:val="Strong"/>
          <w:b w:val="0"/>
          <w:bCs w:val="0"/>
        </w:rPr>
        <w:t>.  The Data Protection Directive (</w:t>
      </w:r>
      <w:r w:rsidRPr="008873B1">
        <w:t>Directive 95/46/EC on the protection of individuals with regard to the processing of personal data and on the free movement of such data), adopted on 24 October 1995, regulated for many years the protection and processing of personal data within the European Union. As the activities of Member States regarding public safety, defence and State security fell outside the scope of Community law, the Directive did not apply to these activities (Article 3(2)).</w:t>
      </w:r>
    </w:p>
    <w:bookmarkStart w:name="Data_protect_regulation_EU" w:id="45"/>
    <w:p w:rsidRPr="008873B1" w:rsidR="004D0549" w:rsidP="004D0549" w:rsidRDefault="004D0549" w14:paraId="0876A780" w14:textId="4D89CC23">
      <w:pPr>
        <w:ind w:firstLine="284"/>
        <w:jc w:val="both"/>
      </w:pPr>
      <w:r w:rsidRPr="008873B1">
        <w:fldChar w:fldCharType="begin"/>
      </w:r>
      <w:r w:rsidRPr="008873B1">
        <w:instrText xml:space="preserve"> SEQ level0 \*arabic </w:instrText>
      </w:r>
      <w:r w:rsidRPr="008873B1">
        <w:fldChar w:fldCharType="separate"/>
      </w:r>
      <w:r w:rsidR="004F11CA">
        <w:rPr>
          <w:noProof/>
        </w:rPr>
        <w:t>94</w:t>
      </w:r>
      <w:r w:rsidRPr="008873B1">
        <w:fldChar w:fldCharType="end"/>
      </w:r>
      <w:bookmarkEnd w:id="45"/>
      <w:r w:rsidRPr="008873B1">
        <w:t>.  The General Data Protection Regulation, adopted in April 2016, superseded the Data Protection Directive and became enforceable on 25</w:t>
      </w:r>
      <w:r w:rsidRPr="008873B1" w:rsidR="0081407C">
        <w:t> </w:t>
      </w:r>
      <w:r w:rsidRPr="008873B1">
        <w:t>May 2018. The regulation, which is directly applicable in Member States, contains provisions and requirements pertaining to the processing of personally identifiable information of data subjects inside the European Union, and applies to all enterprises, regardless of location, doing business with the European Economic Area. Business processes that handle personal data must be built with data protection by design and by default, meaning that personal data must be stored using pseudonymisation or full anonymization, and use the highest-possible privacy settings by default, so that the data are not available publicly without explicit consent, and cannot be used to identify a subject without additional information stored separately. No personal data may be processed unless it is done under a lawful basis specified by the regulation, or if the data controller or processor has received explicit, opt-in consent from the data’s owner. The data owner has the right to revoke this permission at any time.</w:t>
      </w:r>
    </w:p>
    <w:p w:rsidRPr="008873B1" w:rsidR="004D0549" w:rsidP="004D0549" w:rsidRDefault="004D0549" w14:paraId="4B0495F7" w14:textId="00B81371">
      <w:pPr>
        <w:ind w:firstLine="284"/>
        <w:jc w:val="both"/>
      </w:pPr>
      <w:r w:rsidRPr="008873B1">
        <w:fldChar w:fldCharType="begin"/>
      </w:r>
      <w:r w:rsidRPr="008873B1">
        <w:instrText xml:space="preserve"> SEQ level0 \*arabic </w:instrText>
      </w:r>
      <w:r w:rsidRPr="008873B1">
        <w:fldChar w:fldCharType="separate"/>
      </w:r>
      <w:r w:rsidR="004F11CA">
        <w:rPr>
          <w:noProof/>
        </w:rPr>
        <w:t>95</w:t>
      </w:r>
      <w:r w:rsidRPr="008873B1">
        <w:fldChar w:fldCharType="end"/>
      </w:r>
      <w:r w:rsidRPr="008873B1">
        <w:t>.  A processor of personal data must clearly disclose any data collection, declare the lawful basis and purpose for data processing, how long data are being retained, and if they are being shared with any third-parties or outside of the E</w:t>
      </w:r>
      <w:r w:rsidR="00682D77">
        <w:t xml:space="preserve">uropean </w:t>
      </w:r>
      <w:r w:rsidRPr="008873B1">
        <w:t>U</w:t>
      </w:r>
      <w:r w:rsidR="00682D77">
        <w:t>nion</w:t>
      </w:r>
      <w:r w:rsidRPr="008873B1">
        <w:t>. Users have the right to request a portable copy of the data collected by a processor in a common format, and the right to have their data erased under certain circumstances. Public authorities, and businesses whose core activities centre around regular or systematic processing of personal data, are required to employ a data protection officer (DPO), who is responsible for managing compliance with the GDPR. Businesses must report any data breaches within 72 hours if they have an adverse effect on user privacy.</w:t>
      </w:r>
    </w:p>
    <w:p w:rsidRPr="008873B1" w:rsidR="004D0549" w:rsidP="004D0549" w:rsidRDefault="004D0549" w14:paraId="09FA14FA" w14:textId="16FBAB93">
      <w:pPr>
        <w:pStyle w:val="JuPara"/>
      </w:pPr>
      <w:r w:rsidRPr="008873B1">
        <w:rPr>
          <w:rStyle w:val="Strong"/>
          <w:b w:val="0"/>
          <w:bCs w:val="0"/>
        </w:rPr>
        <w:fldChar w:fldCharType="begin"/>
      </w:r>
      <w:r w:rsidRPr="008873B1">
        <w:rPr>
          <w:rStyle w:val="Strong"/>
          <w:b w:val="0"/>
          <w:bCs w:val="0"/>
        </w:rPr>
        <w:instrText xml:space="preserve"> SEQ level0 \*arabic </w:instrText>
      </w:r>
      <w:r w:rsidRPr="008873B1">
        <w:rPr>
          <w:rStyle w:val="Strong"/>
          <w:b w:val="0"/>
          <w:bCs w:val="0"/>
        </w:rPr>
        <w:fldChar w:fldCharType="separate"/>
      </w:r>
      <w:r w:rsidR="004F11CA">
        <w:rPr>
          <w:rStyle w:val="Strong"/>
          <w:b w:val="0"/>
          <w:bCs w:val="0"/>
          <w:noProof/>
        </w:rPr>
        <w:t>96</w:t>
      </w:r>
      <w:r w:rsidRPr="008873B1">
        <w:rPr>
          <w:rStyle w:val="Strong"/>
          <w:b w:val="0"/>
          <w:bCs w:val="0"/>
        </w:rPr>
        <w:fldChar w:fldCharType="end"/>
      </w:r>
      <w:r w:rsidRPr="008873B1">
        <w:rPr>
          <w:rStyle w:val="Strong"/>
          <w:b w:val="0"/>
          <w:bCs w:val="0"/>
        </w:rPr>
        <w:t>.  </w:t>
      </w:r>
      <w:r w:rsidRPr="008873B1">
        <w:t>The Privacy and Electronic Communications Directive (Directive 2002/58/EC concerning the processing of personal data and the protection of privacy in the electronic communications sector), adopted on 12 July 2002, states, in recitals 2 and 11:</w:t>
      </w:r>
    </w:p>
    <w:p w:rsidRPr="008873B1" w:rsidR="004D0549" w:rsidP="004D0549" w:rsidRDefault="004D0549" w14:paraId="5A03720B" w14:textId="77777777">
      <w:pPr>
        <w:pStyle w:val="JuQuot"/>
      </w:pPr>
      <w:r w:rsidRPr="008873B1">
        <w:t>“(2</w:t>
      </w:r>
      <w:proofErr w:type="gramStart"/>
      <w:r w:rsidRPr="008873B1">
        <w:t>)  This</w:t>
      </w:r>
      <w:proofErr w:type="gramEnd"/>
      <w:r w:rsidRPr="008873B1">
        <w:t xml:space="preserve"> Directive seeks to respect the fundamental rights and observes the principles recognised in particular by the Charter of fundamental rights of the European Union. </w:t>
      </w:r>
      <w:proofErr w:type="gramStart"/>
      <w:r w:rsidRPr="008873B1">
        <w:t>In particular, this</w:t>
      </w:r>
      <w:proofErr w:type="gramEnd"/>
      <w:r w:rsidRPr="008873B1">
        <w:t xml:space="preserve"> Directive seeks to ensure full respect for the rights set out in Articles 7 and 8 of that Charter.</w:t>
      </w:r>
    </w:p>
    <w:p w:rsidRPr="008873B1" w:rsidR="004D0549" w:rsidP="004D0549" w:rsidRDefault="004D0549" w14:paraId="513AE4D0" w14:textId="77777777">
      <w:pPr>
        <w:pStyle w:val="JuQuot"/>
        <w:rPr>
          <w:rStyle w:val="Strong"/>
          <w:b w:val="0"/>
          <w:bCs w:val="0"/>
        </w:rPr>
      </w:pPr>
      <w:r w:rsidRPr="008873B1">
        <w:t>(11)  Like Directive 95/46/EC, this Directive does not address issues of protection of fundamental rights and freedoms related to activities which are not governed by Community law. Therefore it does not alter the existing balance between the individual’s right to privacy and the possibility for Member States to take the measures referred to in Article 15(1) of this Directive, necessary for the protection of public security, defence, State security (including the economic well-being of the State when the activities relate to State security matters) and the enforcement of criminal law. Consequently, this Directive does not affect the ability of Member States to carry out lawful interception of electronic communications, or take other measures, if necessary for any of these purposes and in accordance with the European Convention for the Protection of Human Rights and Fundamental Freedoms, as interpreted by the rulings of the European Court of Human Rights. Such measures must be appropriate, strictly proportionate to the intended purpose and necessary within a democratic society and should be subject to adequate safeguards in accordance with the European Convention for the Protection of Human Rights and Fundamental Freedoms.”</w:t>
      </w:r>
    </w:p>
    <w:p w:rsidRPr="008873B1" w:rsidR="004D0549" w:rsidP="004D0549" w:rsidRDefault="004D0549" w14:paraId="5B68F114" w14:textId="21485904">
      <w:pPr>
        <w:pStyle w:val="JuPara"/>
      </w:pPr>
      <w:r w:rsidRPr="008873B1">
        <w:rPr>
          <w:rStyle w:val="Strong"/>
          <w:b w:val="0"/>
          <w:bCs w:val="0"/>
        </w:rPr>
        <w:t xml:space="preserve">The Directive further </w:t>
      </w:r>
      <w:r w:rsidRPr="008873B1">
        <w:t>provides, in</w:t>
      </w:r>
      <w:r w:rsidR="00A94494">
        <w:t xml:space="preserve"> </w:t>
      </w:r>
      <w:r w:rsidRPr="008873B1">
        <w:t>so</w:t>
      </w:r>
      <w:r w:rsidR="00A94494">
        <w:t xml:space="preserve"> </w:t>
      </w:r>
      <w:r w:rsidRPr="008873B1">
        <w:t>far as relevant:</w:t>
      </w:r>
    </w:p>
    <w:p w:rsidRPr="008873B1" w:rsidR="004D0549" w:rsidP="004D0549" w:rsidRDefault="004D0549" w14:paraId="63F56D39" w14:textId="77777777">
      <w:pPr>
        <w:pStyle w:val="JuHArticle"/>
        <w:rPr>
          <w:rFonts w:eastAsia="Times New Roman"/>
        </w:rPr>
      </w:pPr>
      <w:r w:rsidRPr="008873B1">
        <w:rPr>
          <w:rFonts w:eastAsia="Times New Roman"/>
        </w:rPr>
        <w:t>Article 1 – Scope and aim</w:t>
      </w:r>
    </w:p>
    <w:p w:rsidRPr="008873B1" w:rsidR="004D0549" w:rsidP="004D0549" w:rsidRDefault="004D0549" w14:paraId="596BFF31" w14:textId="77777777">
      <w:pPr>
        <w:pStyle w:val="JuQuot"/>
        <w:rPr>
          <w:rFonts w:eastAsia="Times New Roman"/>
        </w:rPr>
      </w:pPr>
      <w:r w:rsidRPr="008873B1">
        <w:rPr>
          <w:rFonts w:eastAsia="Times New Roman"/>
        </w:rPr>
        <w:t>“1.  This Directive harmonises the provisions of the Member States required to ensure an equivalent level of protection of fundamental rights and freedoms, and in particular the right to privacy, with respect to the processing of personal data in the electronic communication sector and to ensure the free movement of such data and of electronic communication equipment and services in the Community.</w:t>
      </w:r>
    </w:p>
    <w:p w:rsidRPr="008873B1" w:rsidR="004D0549" w:rsidP="004D0549" w:rsidRDefault="004D0549" w14:paraId="1F29F2B0" w14:textId="77777777">
      <w:pPr>
        <w:pStyle w:val="JuQuot"/>
      </w:pPr>
      <w:r w:rsidRPr="008873B1">
        <w:t>2.  The provisions of this Directive particularise and complement Directive 95/46/EC for the purposes mentioned in paragraph 1. Moreover, they provide for protection of the legitimate interests of subscribers who are legal persons.</w:t>
      </w:r>
    </w:p>
    <w:p w:rsidRPr="008873B1" w:rsidR="004D0549" w:rsidP="004D0549" w:rsidRDefault="004D0549" w14:paraId="27501564" w14:textId="77777777">
      <w:pPr>
        <w:pStyle w:val="JuQuot"/>
      </w:pPr>
      <w:r w:rsidRPr="008873B1">
        <w:t>3. This Directive shall not apply to activities which fall outside the scope of the Treaty establishing the European Community, such as those covered by Titles V and VI of the Treaty on European Union, and in any case to activities concerning public security, defence, State security (including the economic well-being of the State when the activities relate to State security matters) and the activities of the State in areas of criminal law.”</w:t>
      </w:r>
    </w:p>
    <w:p w:rsidRPr="008873B1" w:rsidR="004D0549" w:rsidP="004D0549" w:rsidRDefault="004D0549" w14:paraId="465173CC" w14:textId="77777777">
      <w:pPr>
        <w:pStyle w:val="JuHArticle"/>
        <w:rPr>
          <w:rFonts w:eastAsia="Times New Roman"/>
        </w:rPr>
      </w:pPr>
      <w:r w:rsidRPr="008873B1">
        <w:rPr>
          <w:rFonts w:eastAsia="Times New Roman"/>
        </w:rPr>
        <w:t>Article 15 – Application of certain provisions of Directive 95/46/EC</w:t>
      </w:r>
    </w:p>
    <w:p w:rsidRPr="008873B1" w:rsidR="004D0549" w:rsidP="004D0549" w:rsidRDefault="004D0549" w14:paraId="3DD4241D" w14:textId="77777777">
      <w:pPr>
        <w:pStyle w:val="JuQuot"/>
        <w:rPr>
          <w:rFonts w:eastAsia="Times New Roman"/>
        </w:rPr>
      </w:pPr>
      <w:r w:rsidRPr="008873B1">
        <w:rPr>
          <w:rFonts w:eastAsia="Times New Roman"/>
        </w:rPr>
        <w:t>“1.  Member States may adopt legislative measures to restrict the scope of the rights and obligations provided for in Article 5, Article 6, Article 8(1), (2), (3) and (4), and Article 9 of this Directive when such restriction constitutes a necessary, appropriate and proportionate measure within a democratic society to safeguard national security (i.e. State security), defence, public security, and the prevention, investigation, detection and prosecution of criminal offences or of unauthorised use of the electronic communication system, as referred to in Article 13(1) of Directive 95/46/EC. To this end, Member States may, inter alia, adopt legislative measures providing for the retention of data for a limited period justified on the grounds laid down in this paragraph. All the measures referred to in this paragraph shall be in accordance with the general principles of Community law, including those referred to in Article 6(1) and (2) of the Treaty on European Union.”</w:t>
      </w:r>
    </w:p>
    <w:p w:rsidRPr="008873B1" w:rsidR="004D0549" w:rsidP="004D0549" w:rsidRDefault="004D0549" w14:paraId="0E7A3F8F" w14:textId="5449D2C3">
      <w:pPr>
        <w:pStyle w:val="JuPara"/>
        <w:rPr>
          <w:rFonts w:eastAsia="Times New Roman"/>
        </w:rPr>
      </w:pPr>
      <w:r w:rsidRPr="008873B1">
        <w:fldChar w:fldCharType="begin"/>
      </w:r>
      <w:r w:rsidRPr="008873B1">
        <w:instrText xml:space="preserve"> SEQ level0 \*arabic </w:instrText>
      </w:r>
      <w:r w:rsidRPr="008873B1">
        <w:fldChar w:fldCharType="separate"/>
      </w:r>
      <w:r w:rsidR="004F11CA">
        <w:rPr>
          <w:noProof/>
        </w:rPr>
        <w:t>97</w:t>
      </w:r>
      <w:r w:rsidRPr="008873B1">
        <w:fldChar w:fldCharType="end"/>
      </w:r>
      <w:r w:rsidRPr="008873B1">
        <w:t xml:space="preserve">.  On 15 March 2006 the Data Retention Directive (Directive 2006/24/EC on the retention of data generated or processed in connection with the provision of publicly available electronic communications services or of public communications networks and amending Directive 2002/58/EC) was adopted. Prior to the judgment of 2014 declaring it invalid (see the paragraph below), it provided, </w:t>
      </w:r>
      <w:r w:rsidRPr="008873B1">
        <w:rPr>
          <w:i/>
        </w:rPr>
        <w:t>inter alia</w:t>
      </w:r>
      <w:r w:rsidRPr="008873B1">
        <w:t>, as follows:</w:t>
      </w:r>
    </w:p>
    <w:p w:rsidRPr="008873B1" w:rsidR="004D0549" w:rsidP="004D0549" w:rsidRDefault="004D0549" w14:paraId="02E50E52" w14:textId="77777777">
      <w:pPr>
        <w:pStyle w:val="JuHArticle"/>
      </w:pPr>
      <w:r w:rsidRPr="008873B1">
        <w:t>Article 1 - Subject matter and scope</w:t>
      </w:r>
    </w:p>
    <w:p w:rsidRPr="008873B1" w:rsidR="004D0549" w:rsidP="004D0549" w:rsidRDefault="004D0549" w14:paraId="28630A33" w14:textId="77777777">
      <w:pPr>
        <w:pStyle w:val="JuQuot"/>
      </w:pPr>
      <w:r w:rsidRPr="008873B1">
        <w:t>“1.  This Directive aims to harmonise Member States’ provisions concerning the obligations of the providers of publicly available electronic communications services or of public communications networks with respect to the retention of certain data which are generated or processed by them, in order to ensure that the data are available for the purpose of the investigation, detection and prosecution of serious crime, as defined by each Member State in its national law.</w:t>
      </w:r>
    </w:p>
    <w:p w:rsidRPr="008873B1" w:rsidR="004D0549" w:rsidP="004D0549" w:rsidRDefault="004D0549" w14:paraId="7A8B1906" w14:textId="77777777">
      <w:pPr>
        <w:pStyle w:val="JuQuot"/>
      </w:pPr>
      <w:r w:rsidRPr="008873B1">
        <w:t>2.  This Directive shall apply to traffic and location data on both legal entities and natural persons and to the related data necessary to identify the subscriber or registered user. It shall not apply to the content of electronic communications, including information consulted using an electronic communications network.”</w:t>
      </w:r>
    </w:p>
    <w:p w:rsidRPr="008873B1" w:rsidR="004D0549" w:rsidP="004D0549" w:rsidRDefault="004D0549" w14:paraId="454BEB7F" w14:textId="77777777">
      <w:pPr>
        <w:pStyle w:val="JuHArticle"/>
      </w:pPr>
      <w:r w:rsidRPr="008873B1">
        <w:t>Article 3 – Obligation to retain data</w:t>
      </w:r>
    </w:p>
    <w:p w:rsidRPr="008873B1" w:rsidR="004D0549" w:rsidP="004D0549" w:rsidRDefault="004D0549" w14:paraId="0C964BC5" w14:textId="77777777">
      <w:pPr>
        <w:pStyle w:val="JuQuot"/>
      </w:pPr>
      <w:r w:rsidRPr="008873B1">
        <w:t>“1.  By way of derogation from Articles 5, 6 and 9 of Directive 2002/58/EC, Member States shall adopt measures to ensure that the data specified in Article 5 of this Directive are retained in accordance with the provisions thereof, to the extent that those data are generated or processed by providers of publicly available electronic communications services or of a public communications network within their jurisdiction in the process of supplying the communications services concerned.</w:t>
      </w:r>
    </w:p>
    <w:p w:rsidRPr="008873B1" w:rsidR="004D0549" w:rsidP="004D0549" w:rsidRDefault="004D0549" w14:paraId="7CE575DE" w14:textId="77777777">
      <w:pPr>
        <w:pStyle w:val="JuQuot"/>
      </w:pPr>
      <w:r w:rsidRPr="008873B1">
        <w:t>...”</w:t>
      </w:r>
    </w:p>
    <w:p w:rsidRPr="008873B1" w:rsidR="004D0549" w:rsidP="008873B1" w:rsidRDefault="004D0549" w14:paraId="09E7B36C" w14:textId="77777777">
      <w:pPr>
        <w:pStyle w:val="JuHA"/>
        <w:numPr>
          <w:ilvl w:val="2"/>
          <w:numId w:val="1"/>
        </w:numPr>
        <w:ind w:left="584"/>
      </w:pPr>
      <w:r w:rsidRPr="008873B1">
        <w:t>Relevant case-law of the Court of Justice of the European Union (“CJEU”)</w:t>
      </w:r>
    </w:p>
    <w:p w:rsidRPr="008873B1" w:rsidR="004D0549" w:rsidP="008873B1" w:rsidRDefault="004D0549" w14:paraId="18DAEDC2" w14:textId="77777777">
      <w:pPr>
        <w:pStyle w:val="JuH1"/>
        <w:numPr>
          <w:ilvl w:val="3"/>
          <w:numId w:val="1"/>
        </w:numPr>
        <w:ind w:left="731"/>
      </w:pPr>
      <w:bookmarkStart w:name="_Toc516820777" w:id="46"/>
      <w:r w:rsidRPr="008873B1">
        <w:rPr>
          <w:i w:val="0"/>
        </w:rPr>
        <w:t xml:space="preserve">Digital Rights Ireland Ltd v. Minister for Communications, Marine and Natural Resources and Others and </w:t>
      </w:r>
      <w:proofErr w:type="spellStart"/>
      <w:r w:rsidRPr="008873B1">
        <w:rPr>
          <w:i w:val="0"/>
        </w:rPr>
        <w:t>Kärntner</w:t>
      </w:r>
      <w:proofErr w:type="spellEnd"/>
      <w:r w:rsidRPr="008873B1">
        <w:rPr>
          <w:i w:val="0"/>
        </w:rPr>
        <w:t xml:space="preserve"> </w:t>
      </w:r>
      <w:proofErr w:type="spellStart"/>
      <w:r w:rsidRPr="008873B1">
        <w:rPr>
          <w:i w:val="0"/>
        </w:rPr>
        <w:t>Landesregierung</w:t>
      </w:r>
      <w:proofErr w:type="spellEnd"/>
      <w:r w:rsidRPr="008873B1">
        <w:rPr>
          <w:i w:val="0"/>
        </w:rPr>
        <w:t xml:space="preserve"> and Others</w:t>
      </w:r>
      <w:r w:rsidRPr="008873B1">
        <w:t xml:space="preserve"> (Cases C-293/12 and C-594/12; ECLI:EU:C:2014:238)</w:t>
      </w:r>
      <w:bookmarkEnd w:id="46"/>
    </w:p>
    <w:bookmarkStart w:name="DRI" w:id="47"/>
    <w:p w:rsidRPr="008873B1" w:rsidR="004D0549" w:rsidP="000E43DD" w:rsidRDefault="004D0549" w14:paraId="21DFF5CF" w14:textId="4AD70DB5">
      <w:pPr>
        <w:pStyle w:val="JuPara"/>
      </w:pPr>
      <w:r w:rsidRPr="008873B1">
        <w:fldChar w:fldCharType="begin"/>
      </w:r>
      <w:r w:rsidRPr="008873B1">
        <w:instrText xml:space="preserve"> SEQ level0 \*arabic </w:instrText>
      </w:r>
      <w:r w:rsidRPr="008873B1">
        <w:fldChar w:fldCharType="separate"/>
      </w:r>
      <w:r w:rsidR="004F11CA">
        <w:rPr>
          <w:noProof/>
        </w:rPr>
        <w:t>98</w:t>
      </w:r>
      <w:r w:rsidRPr="008873B1">
        <w:fldChar w:fldCharType="end"/>
      </w:r>
      <w:bookmarkEnd w:id="47"/>
      <w:r w:rsidRPr="008873B1">
        <w:t>.  In a judgment of 8 April 2014 the CJEU declared invalid the Data Retention Directive 2006/24/EC laying down the obligation on the providers of publicly available electronic communication services or of public communications networks to retain all traffic and location data for periods from six months to two years, in order to ensure that the data were available for the purpose of the investigation, detection and prosecution of serious crime, as defined by each Member State in its national law. The CJEU noted that, even though the directive did not permit the retention of the content of the communication, the traffic and location data covered by it might allow very precise conclusions to be drawn concerning the private lives of the persons whose data had been retained. Accordingly, the obligation to retain the data constituted in itself an interference with the right to respect for private life and communications guaranteed by Article 7 of the Charter of Fundamental Rights of the EU and the right to protection of personal data under Article 8 of the Charter.</w:t>
      </w:r>
    </w:p>
    <w:p w:rsidRPr="008873B1" w:rsidR="004D0549" w:rsidP="000E43DD" w:rsidRDefault="004D0549" w14:paraId="27E5C0DF" w14:textId="63FD03E1">
      <w:pPr>
        <w:pStyle w:val="JuPara"/>
      </w:pPr>
      <w:r w:rsidRPr="008873B1">
        <w:fldChar w:fldCharType="begin"/>
      </w:r>
      <w:r w:rsidRPr="008873B1">
        <w:instrText xml:space="preserve"> SEQ level0 \*arabic </w:instrText>
      </w:r>
      <w:r w:rsidRPr="008873B1">
        <w:fldChar w:fldCharType="separate"/>
      </w:r>
      <w:r w:rsidR="004F11CA">
        <w:rPr>
          <w:noProof/>
        </w:rPr>
        <w:t>99</w:t>
      </w:r>
      <w:r w:rsidRPr="008873B1">
        <w:fldChar w:fldCharType="end"/>
      </w:r>
      <w:r w:rsidRPr="008873B1">
        <w:t xml:space="preserve">. The access of the competent national authorities to the data constituted a further interference with those fundamental rights, which the CJEU considered to be “particularly serious”. The fact that data were retained and subsequently used without the subscriber or registered user being informed was, according to the CJEU, likely to generate in the minds of the persons concerned the feeling that their private lives were the subject of constant surveillance. The interference satisfied an objective of general interest, </w:t>
      </w:r>
      <w:proofErr w:type="gramStart"/>
      <w:r w:rsidRPr="008873B1">
        <w:t>namely</w:t>
      </w:r>
      <w:proofErr w:type="gramEnd"/>
      <w:r w:rsidRPr="008873B1">
        <w:t xml:space="preserve"> to contribute to the fight against serious crime and terrorism and thus, ultimately, to public security. However, it failed to satisfy the requirement of proportionality.</w:t>
      </w:r>
    </w:p>
    <w:p w:rsidRPr="008873B1" w:rsidR="004D0549" w:rsidP="000E43DD" w:rsidRDefault="004D0549" w14:paraId="3424E71B" w14:textId="044EBE63">
      <w:pPr>
        <w:pStyle w:val="JuPara"/>
      </w:pPr>
      <w:r w:rsidRPr="008873B1">
        <w:fldChar w:fldCharType="begin"/>
      </w:r>
      <w:r w:rsidRPr="008873B1">
        <w:instrText xml:space="preserve"> SEQ level0 \*arabic </w:instrText>
      </w:r>
      <w:r w:rsidRPr="008873B1">
        <w:fldChar w:fldCharType="separate"/>
      </w:r>
      <w:r w:rsidR="004F11CA">
        <w:rPr>
          <w:noProof/>
        </w:rPr>
        <w:t>100</w:t>
      </w:r>
      <w:r w:rsidRPr="008873B1">
        <w:fldChar w:fldCharType="end"/>
      </w:r>
      <w:r w:rsidRPr="008873B1">
        <w:t>.  Firstly, the directive covered, in a generalised manner, all persons and all means of electronic communication as well as all traffic data without any differentiation, limitation or exception being made in the light of the objective of fighting against serious crime. It therefore entailed an interference with the fundamental rights of practically the entire European population. It applied even to persons for whom there was no evidence capable of suggesting that their conduct might have a link, even an indirect or remote one, with serious crime.</w:t>
      </w:r>
    </w:p>
    <w:p w:rsidRPr="008873B1" w:rsidR="004D0549" w:rsidP="000E43DD" w:rsidRDefault="004D0549" w14:paraId="06C2C437" w14:textId="6B6CD9AC">
      <w:pPr>
        <w:pStyle w:val="JuPara"/>
      </w:pPr>
      <w:r w:rsidRPr="008873B1">
        <w:fldChar w:fldCharType="begin"/>
      </w:r>
      <w:r w:rsidRPr="008873B1">
        <w:instrText xml:space="preserve"> SEQ level0 \*arabic </w:instrText>
      </w:r>
      <w:r w:rsidRPr="008873B1">
        <w:fldChar w:fldCharType="separate"/>
      </w:r>
      <w:r w:rsidR="004F11CA">
        <w:rPr>
          <w:noProof/>
        </w:rPr>
        <w:t>101</w:t>
      </w:r>
      <w:r w:rsidRPr="008873B1">
        <w:fldChar w:fldCharType="end"/>
      </w:r>
      <w:r w:rsidRPr="008873B1">
        <w:t>.  Secondly, the directive did not contain substantive and procedural conditions relating to the access of the competent national authorities to the data and to their subsequent use. By simply referring, in a general manner, to serious crime, as defined by each Member State in its national law, the directive failed to lay down any objective criterion by which to determine which offences might be considered to be sufficiently serious to justify such an extensive interference with the fundamental rights enshrined in Articles 7 and 8 of the Charter. Above all, the access by the competent national authorities to the data retained was not made dependent on a prior review carried out by a court or by an independent administrative body whose decision sought to limit access to the data and their use to what was strictly necessary for the purpose of attaining the objective pursued.</w:t>
      </w:r>
    </w:p>
    <w:bookmarkStart w:name="DRIend" w:id="48"/>
    <w:p w:rsidRPr="008873B1" w:rsidR="004D0549" w:rsidP="000E43DD" w:rsidRDefault="004D0549" w14:paraId="78EE1771" w14:textId="5DAD464C">
      <w:pPr>
        <w:pStyle w:val="JuPara"/>
      </w:pPr>
      <w:r w:rsidRPr="008873B1">
        <w:fldChar w:fldCharType="begin"/>
      </w:r>
      <w:r w:rsidRPr="008873B1">
        <w:instrText xml:space="preserve"> SEQ level0 \*arabic </w:instrText>
      </w:r>
      <w:r w:rsidRPr="008873B1">
        <w:fldChar w:fldCharType="separate"/>
      </w:r>
      <w:r w:rsidR="004F11CA">
        <w:rPr>
          <w:noProof/>
        </w:rPr>
        <w:t>102</w:t>
      </w:r>
      <w:r w:rsidRPr="008873B1">
        <w:fldChar w:fldCharType="end"/>
      </w:r>
      <w:bookmarkEnd w:id="48"/>
      <w:r w:rsidRPr="008873B1">
        <w:t xml:space="preserve">.  Thirdly, the directive required that all data be retained for a period of at least six months, without any distinction being made between the categories of data on the basis of their possible usefulness for the purposes of the objective pursued or according to the persons concerned. The CJEU concluded that the directive entailed a wide-ranging and particularly serious interference with the fundamental rights enshrined in Articles 7 and 8 of the Charter, without such an interference being precisely circumscribed by provisions to ensure that it was actually limited to what was strictly necessary. The CJEU also noted that the directive did not provide for </w:t>
      </w:r>
      <w:proofErr w:type="gramStart"/>
      <w:r w:rsidRPr="008873B1">
        <w:t>sufficient</w:t>
      </w:r>
      <w:proofErr w:type="gramEnd"/>
      <w:r w:rsidRPr="008873B1">
        <w:t xml:space="preserve"> safeguards, by means of technical and organisational measures, to ensure effective protection of the data retained against the risk of abuse and against any unlawful access and use of those data.</w:t>
      </w:r>
    </w:p>
    <w:p w:rsidRPr="008873B1" w:rsidR="004D0549" w:rsidP="008873B1" w:rsidRDefault="004D0549" w14:paraId="6106435C" w14:textId="77777777">
      <w:pPr>
        <w:pStyle w:val="JuH1"/>
        <w:numPr>
          <w:ilvl w:val="3"/>
          <w:numId w:val="1"/>
        </w:numPr>
        <w:ind w:left="731"/>
      </w:pPr>
      <w:bookmarkStart w:name="_Toc516820778" w:id="49"/>
      <w:r w:rsidRPr="008873B1">
        <w:rPr>
          <w:i w:val="0"/>
        </w:rPr>
        <w:t xml:space="preserve">Tele2 Sverige AB v Post- </w:t>
      </w:r>
      <w:proofErr w:type="spellStart"/>
      <w:r w:rsidRPr="008873B1">
        <w:rPr>
          <w:i w:val="0"/>
        </w:rPr>
        <w:t>och</w:t>
      </w:r>
      <w:proofErr w:type="spellEnd"/>
      <w:r w:rsidRPr="008873B1">
        <w:rPr>
          <w:i w:val="0"/>
        </w:rPr>
        <w:t xml:space="preserve"> </w:t>
      </w:r>
      <w:proofErr w:type="spellStart"/>
      <w:r w:rsidRPr="008873B1">
        <w:rPr>
          <w:i w:val="0"/>
        </w:rPr>
        <w:t>telestyrelsen</w:t>
      </w:r>
      <w:proofErr w:type="spellEnd"/>
      <w:r w:rsidRPr="008873B1">
        <w:rPr>
          <w:i w:val="0"/>
        </w:rPr>
        <w:t xml:space="preserve"> and Secretary of State for the Home Department v Tom Watson and Others</w:t>
      </w:r>
      <w:r w:rsidRPr="008873B1">
        <w:t xml:space="preserve"> (Cases C</w:t>
      </w:r>
      <w:r w:rsidRPr="008873B1">
        <w:noBreakHyphen/>
        <w:t>203/15 and C</w:t>
      </w:r>
      <w:r w:rsidRPr="008873B1">
        <w:noBreakHyphen/>
        <w:t>698/15; ECLI:EU:</w:t>
      </w:r>
      <w:proofErr w:type="gramStart"/>
      <w:r w:rsidRPr="008873B1">
        <w:t>C:2016:970</w:t>
      </w:r>
      <w:proofErr w:type="gramEnd"/>
      <w:r w:rsidRPr="008873B1">
        <w:t>)</w:t>
      </w:r>
      <w:bookmarkEnd w:id="49"/>
    </w:p>
    <w:p w:rsidRPr="008873B1" w:rsidR="004D0549" w:rsidP="000E43DD" w:rsidRDefault="004D0549" w14:paraId="4852FD42" w14:textId="56BEE6DB">
      <w:pPr>
        <w:pStyle w:val="JuPara"/>
      </w:pPr>
      <w:r w:rsidRPr="008873B1">
        <w:fldChar w:fldCharType="begin"/>
      </w:r>
      <w:r w:rsidRPr="008873B1">
        <w:instrText xml:space="preserve"> SEQ level0 \*arabic </w:instrText>
      </w:r>
      <w:r w:rsidRPr="008873B1">
        <w:fldChar w:fldCharType="separate"/>
      </w:r>
      <w:r w:rsidR="004F11CA">
        <w:rPr>
          <w:noProof/>
        </w:rPr>
        <w:t>103</w:t>
      </w:r>
      <w:r w:rsidRPr="008873B1">
        <w:fldChar w:fldCharType="end"/>
      </w:r>
      <w:r w:rsidRPr="008873B1">
        <w:t xml:space="preserve">.  In </w:t>
      </w:r>
      <w:r w:rsidRPr="008873B1">
        <w:rPr>
          <w:i/>
        </w:rPr>
        <w:t>Secretary of State for the Home Department v. Watson and Others</w:t>
      </w:r>
      <w:r w:rsidRPr="008873B1">
        <w:t xml:space="preserve">, the applicants had sought judicial review of the legality of section 1 of the United Kingdom Data Retention and Investigatory Powers Act 2014 (“DRIPA”), pursuant to which the Secretary of State could require a public telecommunications operator to retain relevant communications data if he or she considered it necessary and proportionate for one or more of the purposes falling within paragraphs (a) to (h) of section 22(2) of the Regulation of Investigatory Powers Act 2000 (“RIPA”). The applicants claimed, </w:t>
      </w:r>
      <w:r w:rsidRPr="008873B1">
        <w:rPr>
          <w:i/>
        </w:rPr>
        <w:t>inter alia</w:t>
      </w:r>
      <w:r w:rsidRPr="008873B1">
        <w:t>, that section 1 was incompatible with Articles 7 and 8 of the Charter and Article 8 of the Convention.</w:t>
      </w:r>
    </w:p>
    <w:p w:rsidRPr="008873B1" w:rsidR="004D0549" w:rsidP="000E43DD" w:rsidRDefault="004D0549" w14:paraId="32CAA8D7" w14:textId="7C930200">
      <w:pPr>
        <w:pStyle w:val="JuPara"/>
      </w:pPr>
      <w:r w:rsidRPr="008873B1">
        <w:fldChar w:fldCharType="begin"/>
      </w:r>
      <w:r w:rsidRPr="008873B1">
        <w:instrText xml:space="preserve"> SEQ level0 \*arabic </w:instrText>
      </w:r>
      <w:r w:rsidRPr="008873B1">
        <w:fldChar w:fldCharType="separate"/>
      </w:r>
      <w:r w:rsidR="004F11CA">
        <w:rPr>
          <w:noProof/>
        </w:rPr>
        <w:t>104</w:t>
      </w:r>
      <w:r w:rsidRPr="008873B1">
        <w:fldChar w:fldCharType="end"/>
      </w:r>
      <w:r w:rsidRPr="008873B1">
        <w:t xml:space="preserve">.  By judgment of 17 July 2015, the High Court held that the </w:t>
      </w:r>
      <w:r w:rsidRPr="008873B1">
        <w:rPr>
          <w:i/>
        </w:rPr>
        <w:t>Digital Rights</w:t>
      </w:r>
      <w:r w:rsidRPr="008873B1">
        <w:t xml:space="preserve"> judgment laid down “mandatory requirements of EU law” applicable to the legislation of Member States on the retention of communications data and access to such data. Since the CJEU, in that judgment, held that Directive 2006/24 was incompatible with the principle of proportionality, national legislation containing the same provisions as that directive could, equally, not be compatible with that principle. In fact, it followed from the underlying logic of the </w:t>
      </w:r>
      <w:r w:rsidRPr="008873B1">
        <w:rPr>
          <w:i/>
        </w:rPr>
        <w:t>Digital Rights</w:t>
      </w:r>
      <w:r w:rsidRPr="008873B1">
        <w:t xml:space="preserve"> judgment that legislation that established a general body of rules for the retention of communications data was in breach of the rights guaranteed in Articles 7 and 8 of the Charter, unless that legislation was complemented by a body of rules for access to the data, defined by national law, which provided sufficient safeguards to protect those rights. Accordingly, section 1 of DRIPA was not compatible with Articles 7 and 8 of the Charter as it did not lay down clear and precise rules providing for access to and use of retained data and access to that data was not made dependent on prior review by a court or an independent administrative body.</w:t>
      </w:r>
    </w:p>
    <w:p w:rsidRPr="008873B1" w:rsidR="004D0549" w:rsidP="000E43DD" w:rsidRDefault="004D0549" w14:paraId="23BC0E1C" w14:textId="2F4FC194">
      <w:pPr>
        <w:pStyle w:val="JuPara"/>
      </w:pPr>
      <w:r w:rsidRPr="008873B1">
        <w:fldChar w:fldCharType="begin"/>
      </w:r>
      <w:r w:rsidRPr="008873B1">
        <w:instrText xml:space="preserve"> SEQ level0 \*arabic </w:instrText>
      </w:r>
      <w:r w:rsidRPr="008873B1">
        <w:fldChar w:fldCharType="separate"/>
      </w:r>
      <w:r w:rsidR="004F11CA">
        <w:rPr>
          <w:noProof/>
        </w:rPr>
        <w:t>105</w:t>
      </w:r>
      <w:r w:rsidRPr="008873B1">
        <w:fldChar w:fldCharType="end"/>
      </w:r>
      <w:r w:rsidRPr="008873B1">
        <w:t>.  On appeal by the Secretary of State, the Court of Appeal sought a preliminary ruling from the CJEU.</w:t>
      </w:r>
    </w:p>
    <w:p w:rsidRPr="008873B1" w:rsidR="004D0549" w:rsidP="000E43DD" w:rsidRDefault="004D0549" w14:paraId="0075FF06" w14:textId="46888E97">
      <w:pPr>
        <w:pStyle w:val="JuPara"/>
      </w:pPr>
      <w:r w:rsidRPr="008873B1">
        <w:fldChar w:fldCharType="begin"/>
      </w:r>
      <w:r w:rsidRPr="008873B1">
        <w:instrText xml:space="preserve"> SEQ level0 \*arabic </w:instrText>
      </w:r>
      <w:r w:rsidRPr="008873B1">
        <w:fldChar w:fldCharType="separate"/>
      </w:r>
      <w:r w:rsidR="004F11CA">
        <w:rPr>
          <w:noProof/>
        </w:rPr>
        <w:t>106</w:t>
      </w:r>
      <w:r w:rsidRPr="008873B1">
        <w:fldChar w:fldCharType="end"/>
      </w:r>
      <w:r w:rsidRPr="008873B1">
        <w:t>.  Before the CJEU this case was joined with the request for a preliminary ruling from the Administrative Court of Appeal (</w:t>
      </w:r>
      <w:proofErr w:type="spellStart"/>
      <w:r w:rsidRPr="008873B1">
        <w:rPr>
          <w:i/>
        </w:rPr>
        <w:t>kammarrätten</w:t>
      </w:r>
      <w:proofErr w:type="spellEnd"/>
      <w:r w:rsidRPr="008873B1">
        <w:t xml:space="preserve">) in Stockholm in Case C-203/15 </w:t>
      </w:r>
      <w:r w:rsidRPr="008873B1">
        <w:rPr>
          <w:i/>
        </w:rPr>
        <w:t xml:space="preserve">Tele2 Sverige AB v Post- </w:t>
      </w:r>
      <w:proofErr w:type="spellStart"/>
      <w:r w:rsidRPr="008873B1">
        <w:rPr>
          <w:i/>
        </w:rPr>
        <w:t>och</w:t>
      </w:r>
      <w:proofErr w:type="spellEnd"/>
      <w:r w:rsidRPr="008873B1">
        <w:rPr>
          <w:i/>
        </w:rPr>
        <w:t xml:space="preserve"> </w:t>
      </w:r>
      <w:proofErr w:type="spellStart"/>
      <w:r w:rsidRPr="008873B1">
        <w:rPr>
          <w:i/>
        </w:rPr>
        <w:t>telestyrelsen</w:t>
      </w:r>
      <w:proofErr w:type="spellEnd"/>
      <w:r w:rsidRPr="008873B1">
        <w:t>. Following an oral hearing in which some fifteen EU Member States intervened, the CJEU gave judgment on 21 December 2016. The CJEU held that Article 15(1) of Directive 2002/58, read in the light of Articles 7, 8 and 11 and Article 52(1) of the Charter, had to be interpreted as precluding national legislation governing the protection and security of traffic and location data and, in particular, access of the competent national authorities to the retained data, where the objective pursued by that access, in the context of fighting crime, was not restricted solely to fighting serious crime, where access was not subject to prior review by a court or an independent administrative authority, and where there was no requirement that the data concerned should be retained within the European Union.</w:t>
      </w:r>
    </w:p>
    <w:p w:rsidRPr="008873B1" w:rsidR="004D0549" w:rsidP="004D0549" w:rsidRDefault="004D0549" w14:paraId="49C53B28" w14:textId="37FF0529">
      <w:pPr>
        <w:ind w:firstLine="284"/>
        <w:jc w:val="both"/>
      </w:pPr>
      <w:r w:rsidRPr="008873B1">
        <w:fldChar w:fldCharType="begin"/>
      </w:r>
      <w:r w:rsidRPr="008873B1">
        <w:instrText xml:space="preserve"> SEQ level0 \*arabic </w:instrText>
      </w:r>
      <w:r w:rsidRPr="008873B1">
        <w:fldChar w:fldCharType="separate"/>
      </w:r>
      <w:r w:rsidR="004F11CA">
        <w:rPr>
          <w:noProof/>
        </w:rPr>
        <w:t>107</w:t>
      </w:r>
      <w:r w:rsidRPr="008873B1">
        <w:fldChar w:fldCharType="end"/>
      </w:r>
      <w:r w:rsidRPr="008873B1">
        <w:t>.  The CJEU declared the Court of Appeal’s question whether the protection afforded by Articles 7 and 8 of the Charter was wider than that guaranteed by Article 8 of the Convention inadmissible.</w:t>
      </w:r>
    </w:p>
    <w:bookmarkStart w:name="Watson" w:id="50"/>
    <w:p w:rsidRPr="008873B1" w:rsidR="004D0549" w:rsidP="004D0549" w:rsidRDefault="004D0549" w14:paraId="2E7B4D4B" w14:textId="1F3DBDB4">
      <w:pPr>
        <w:pStyle w:val="JuPara"/>
      </w:pPr>
      <w:r w:rsidRPr="008873B1">
        <w:fldChar w:fldCharType="begin"/>
      </w:r>
      <w:r w:rsidRPr="008873B1">
        <w:instrText xml:space="preserve"> SEQ level0 \*arabic </w:instrText>
      </w:r>
      <w:r w:rsidRPr="008873B1">
        <w:fldChar w:fldCharType="separate"/>
      </w:r>
      <w:r w:rsidR="004F11CA">
        <w:rPr>
          <w:noProof/>
        </w:rPr>
        <w:t>108</w:t>
      </w:r>
      <w:r w:rsidRPr="008873B1">
        <w:fldChar w:fldCharType="end"/>
      </w:r>
      <w:bookmarkEnd w:id="50"/>
      <w:r w:rsidRPr="008873B1">
        <w:t>.  Following the handing down of the CJEU’s judgment, the case was relisted before the Court of Appeal. On 31 January 2018 it granted declaratory relief in the following terms: that section 1 of DRIPA was inconsistent with EU law to the extent that it permitted access to retained data where the object pursued by access was not restricted solely to fighting serious crime; or where access was not subject to prior review by a court or independent administrative authority.</w:t>
      </w:r>
    </w:p>
    <w:p w:rsidRPr="008873B1" w:rsidR="004D0549" w:rsidP="008873B1" w:rsidRDefault="004D0549" w14:paraId="4B50FA6E" w14:textId="77777777">
      <w:pPr>
        <w:pStyle w:val="JuH1"/>
        <w:numPr>
          <w:ilvl w:val="3"/>
          <w:numId w:val="1"/>
        </w:numPr>
        <w:ind w:left="731"/>
      </w:pPr>
      <w:proofErr w:type="spellStart"/>
      <w:r w:rsidRPr="00620C56">
        <w:rPr>
          <w:i w:val="0"/>
          <w:iCs w:val="0"/>
        </w:rPr>
        <w:t>Ministerio</w:t>
      </w:r>
      <w:proofErr w:type="spellEnd"/>
      <w:r w:rsidRPr="00620C56">
        <w:rPr>
          <w:i w:val="0"/>
          <w:iCs w:val="0"/>
        </w:rPr>
        <w:t xml:space="preserve"> Fiscal</w:t>
      </w:r>
      <w:r w:rsidRPr="008873B1">
        <w:t xml:space="preserve"> (Case C-207/16; ECLI:EU:</w:t>
      </w:r>
      <w:proofErr w:type="gramStart"/>
      <w:r w:rsidRPr="008873B1">
        <w:t>C:2018:788</w:t>
      </w:r>
      <w:proofErr w:type="gramEnd"/>
      <w:r w:rsidRPr="008873B1">
        <w:t>)</w:t>
      </w:r>
    </w:p>
    <w:p w:rsidRPr="008873B1" w:rsidR="004D0549" w:rsidP="000E43DD" w:rsidRDefault="004D0549" w14:paraId="7CA43309" w14:textId="74A0B338">
      <w:pPr>
        <w:pStyle w:val="JuPara"/>
      </w:pPr>
      <w:r w:rsidRPr="008873B1">
        <w:fldChar w:fldCharType="begin"/>
      </w:r>
      <w:r w:rsidRPr="008873B1">
        <w:instrText xml:space="preserve"> SEQ level0 \*arabic </w:instrText>
      </w:r>
      <w:r w:rsidRPr="008873B1">
        <w:fldChar w:fldCharType="separate"/>
      </w:r>
      <w:r w:rsidR="004F11CA">
        <w:rPr>
          <w:noProof/>
        </w:rPr>
        <w:t>109</w:t>
      </w:r>
      <w:r w:rsidRPr="008873B1">
        <w:fldChar w:fldCharType="end"/>
      </w:r>
      <w:r w:rsidRPr="008873B1">
        <w:t xml:space="preserve">. This request for a preliminary ruling arose after Spanish police, in the course of investigating the theft of a wallet and mobile telephone, asked the investigating magistrate to grant them access to data identifying the users of telephone numbers activated with the stolen telephone during a period of twelve days prior to the theft. The investigating magistrate rejected the request on the ground, </w:t>
      </w:r>
      <w:r w:rsidRPr="008873B1">
        <w:rPr>
          <w:i/>
        </w:rPr>
        <w:t>inter alia</w:t>
      </w:r>
      <w:r w:rsidRPr="008873B1">
        <w:t>, that the acts giving rise to the criminal investigation did not constitute a “serious” offence. The referring court subsequently sought guidance from the CJEU on fixing the threshold of seriousness of offences above which an interference with fundamental rights, such as competent national authorities’ access to personal data retained by providers of electronic communications services, may be justified.</w:t>
      </w:r>
    </w:p>
    <w:p w:rsidRPr="008873B1" w:rsidR="004D0549" w:rsidP="000E43DD" w:rsidRDefault="004D0549" w14:paraId="4246E1BF" w14:textId="2C09CAAF">
      <w:pPr>
        <w:pStyle w:val="JuPara"/>
      </w:pPr>
      <w:r w:rsidRPr="008873B1">
        <w:fldChar w:fldCharType="begin"/>
      </w:r>
      <w:r w:rsidRPr="008873B1">
        <w:instrText xml:space="preserve"> SEQ level0 \*arabic </w:instrText>
      </w:r>
      <w:r w:rsidRPr="008873B1">
        <w:fldChar w:fldCharType="separate"/>
      </w:r>
      <w:r w:rsidR="004F11CA">
        <w:rPr>
          <w:noProof/>
        </w:rPr>
        <w:t>110</w:t>
      </w:r>
      <w:r w:rsidRPr="008873B1">
        <w:fldChar w:fldCharType="end"/>
      </w:r>
      <w:r w:rsidRPr="008873B1">
        <w:t xml:space="preserve">. On 2 October 2018 the Grand Chamber of the CJEU ruled that Article 15(1) of Directive 2002/58/EC, read in the light of Articles 7 and 8 of the Charter of Fundamental Rights of the European Union, had to be interpreted as meaning that the access of public authorities to data for the purpose of identifying the owners of SIM cards activated with a stolen mobile telephone, such as the surnames, forenames and, if need be, addresses of the owners, entailed an interference with their fundamental rights which was not sufficiently serious to entail that access being limited, in the area of prevention, investigation, detection and prosecution of criminal offences, to the objective of fighting serious crime. </w:t>
      </w:r>
      <w:proofErr w:type="gramStart"/>
      <w:r w:rsidRPr="008873B1">
        <w:t>In particular, it</w:t>
      </w:r>
      <w:proofErr w:type="gramEnd"/>
      <w:r w:rsidRPr="008873B1">
        <w:t xml:space="preserve"> indicated that:</w:t>
      </w:r>
    </w:p>
    <w:p w:rsidRPr="008873B1" w:rsidR="004D0549" w:rsidP="000E43DD" w:rsidRDefault="004D0549" w14:paraId="344F316E" w14:textId="77777777">
      <w:pPr>
        <w:pStyle w:val="JuQuot"/>
      </w:pPr>
      <w:r w:rsidRPr="008873B1">
        <w:t>“In accordance with the principle of proportionality, serious interference can be justified, in areas of prevention, investigation, detection and prosecution of criminal offences, only by the objective of fighting crime which must also be defined as ‘serious’.</w:t>
      </w:r>
    </w:p>
    <w:p w:rsidRPr="008873B1" w:rsidR="004D0549" w:rsidP="000E43DD" w:rsidRDefault="004D0549" w14:paraId="5D282904" w14:textId="77777777">
      <w:pPr>
        <w:pStyle w:val="JuQuot"/>
      </w:pPr>
      <w:r w:rsidRPr="008873B1">
        <w:t>By contrast, when the interference that such access entails is not serious, that access is capable of being justified by the objective of preventing, investigating, detecting and prosecuting ‘criminal offences’ generally.”</w:t>
      </w:r>
    </w:p>
    <w:p w:rsidRPr="000E43DD" w:rsidR="004D0549" w:rsidP="004D0549" w:rsidRDefault="004D0549" w14:paraId="68BA7969" w14:textId="5AF504CF">
      <w:pPr>
        <w:ind w:firstLine="284"/>
        <w:jc w:val="both"/>
        <w:rPr>
          <w:rStyle w:val="JuParaChar"/>
        </w:rPr>
      </w:pPr>
      <w:r w:rsidRPr="008873B1">
        <w:fldChar w:fldCharType="begin"/>
      </w:r>
      <w:r w:rsidRPr="008873B1">
        <w:instrText xml:space="preserve"> SEQ level0 \*arabic </w:instrText>
      </w:r>
      <w:r w:rsidRPr="008873B1">
        <w:fldChar w:fldCharType="separate"/>
      </w:r>
      <w:r w:rsidR="004F11CA">
        <w:rPr>
          <w:noProof/>
        </w:rPr>
        <w:t>111</w:t>
      </w:r>
      <w:r w:rsidRPr="008873B1">
        <w:fldChar w:fldCharType="end"/>
      </w:r>
      <w:r w:rsidRPr="008873B1">
        <w:t xml:space="preserve">. </w:t>
      </w:r>
      <w:r w:rsidRPr="000E43DD">
        <w:rPr>
          <w:rStyle w:val="JuParaChar"/>
        </w:rPr>
        <w:t>It did not consider access to the data which were the subject of the request to be a particularly serious interference because it:</w:t>
      </w:r>
    </w:p>
    <w:p w:rsidRPr="008873B1" w:rsidR="004D0549" w:rsidP="000E43DD" w:rsidRDefault="004D0549" w14:paraId="54D08DC1" w14:textId="77777777">
      <w:pPr>
        <w:pStyle w:val="JuQuot"/>
      </w:pPr>
      <w:r w:rsidRPr="008873B1">
        <w:t>“only enables the SIM card or cards activated with the stolen mobile telephone to be linked, during a specific period, with the identity of the owners of those SIM cards. Without those data being cross-referenced with the data pertaining to the communications with those SIM cards and the location data, those data do not make it possible to ascertain the date, time, duration and recipients of the communications made with the SIM card or cards in question, nor the locations where those communications took place or the frequency of those communications with specific people during a given period. Those data do not therefore allow precise conclusions to be drawn concerning the private lives of the persons whose data is concerned.”</w:t>
      </w:r>
    </w:p>
    <w:p w:rsidRPr="008873B1" w:rsidR="004D0549" w:rsidP="008873B1" w:rsidRDefault="004D0549" w14:paraId="5FDB126F" w14:textId="77777777">
      <w:pPr>
        <w:pStyle w:val="JuH1"/>
        <w:numPr>
          <w:ilvl w:val="3"/>
          <w:numId w:val="1"/>
        </w:numPr>
        <w:ind w:left="731"/>
      </w:pPr>
      <w:r w:rsidRPr="008873B1">
        <w:rPr>
          <w:i w:val="0"/>
        </w:rPr>
        <w:t xml:space="preserve">Maximillian </w:t>
      </w:r>
      <w:proofErr w:type="spellStart"/>
      <w:r w:rsidRPr="008873B1">
        <w:rPr>
          <w:i w:val="0"/>
        </w:rPr>
        <w:t>Schrems</w:t>
      </w:r>
      <w:proofErr w:type="spellEnd"/>
      <w:r w:rsidRPr="008873B1">
        <w:rPr>
          <w:i w:val="0"/>
        </w:rPr>
        <w:t xml:space="preserve"> v. Data Protection Commissioner</w:t>
      </w:r>
      <w:r w:rsidRPr="008873B1">
        <w:t xml:space="preserve"> (Case C</w:t>
      </w:r>
      <w:r w:rsidRPr="008873B1">
        <w:noBreakHyphen/>
        <w:t xml:space="preserve">362/14; </w:t>
      </w:r>
      <w:r w:rsidRPr="008873B1">
        <w:rPr>
          <w:rFonts w:cstheme="minorHAnsi"/>
          <w:color w:val="444444"/>
          <w:szCs w:val="24"/>
          <w:shd w:val="clear" w:color="auto" w:fill="FFFFFF"/>
        </w:rPr>
        <w:t>ECLI:EU:</w:t>
      </w:r>
      <w:proofErr w:type="gramStart"/>
      <w:r w:rsidRPr="008873B1">
        <w:rPr>
          <w:rFonts w:cstheme="minorHAnsi"/>
          <w:color w:val="444444"/>
          <w:szCs w:val="24"/>
          <w:shd w:val="clear" w:color="auto" w:fill="FFFFFF"/>
        </w:rPr>
        <w:t>C:2015:650</w:t>
      </w:r>
      <w:proofErr w:type="gramEnd"/>
      <w:r w:rsidRPr="008873B1">
        <w:t>)</w:t>
      </w:r>
    </w:p>
    <w:p w:rsidRPr="008873B1" w:rsidR="004D0549" w:rsidP="004D0549" w:rsidRDefault="004D0549" w14:paraId="725F06AF" w14:textId="0980B6F2">
      <w:pPr>
        <w:pStyle w:val="JuPara"/>
      </w:pPr>
      <w:r w:rsidRPr="008873B1">
        <w:fldChar w:fldCharType="begin"/>
      </w:r>
      <w:r w:rsidRPr="008873B1">
        <w:instrText xml:space="preserve"> SEQ level0 \*arabic </w:instrText>
      </w:r>
      <w:r w:rsidRPr="008873B1">
        <w:fldChar w:fldCharType="separate"/>
      </w:r>
      <w:r w:rsidR="004F11CA">
        <w:rPr>
          <w:noProof/>
        </w:rPr>
        <w:t>112</w:t>
      </w:r>
      <w:r w:rsidRPr="008873B1">
        <w:fldChar w:fldCharType="end"/>
      </w:r>
      <w:r w:rsidRPr="008873B1">
        <w:t xml:space="preserve">.  This request for a preliminary ruling arose from a complaint against Facebook Ireland Ltd which was made to the Irish Data Protection Commissioner by Mr. </w:t>
      </w:r>
      <w:proofErr w:type="spellStart"/>
      <w:r w:rsidRPr="008873B1">
        <w:t>Schrems</w:t>
      </w:r>
      <w:proofErr w:type="spellEnd"/>
      <w:r w:rsidRPr="008873B1">
        <w:t xml:space="preserve">, an Austrian privacy advocate. Mr. </w:t>
      </w:r>
      <w:proofErr w:type="spellStart"/>
      <w:r w:rsidRPr="008873B1">
        <w:t>Schrems</w:t>
      </w:r>
      <w:proofErr w:type="spellEnd"/>
      <w:r w:rsidRPr="008873B1">
        <w:t xml:space="preserve"> challenged the transfer of his data by Facebook Ireland to the United States and the retention of his data on servers located in that country. The Data Protection Commissioner rejected the complaint since, in a decision of 26 July 2000, the European Commission had considered that the United States ensured an adequate level of protection of the personal data transferred (“the Safe Harbour Decision”).</w:t>
      </w:r>
    </w:p>
    <w:p w:rsidRPr="008873B1" w:rsidR="004D0549" w:rsidP="004D0549" w:rsidRDefault="004D0549" w14:paraId="42906A06" w14:textId="01F78DE5">
      <w:pPr>
        <w:pStyle w:val="JuPara"/>
      </w:pPr>
      <w:r w:rsidRPr="008873B1">
        <w:fldChar w:fldCharType="begin"/>
      </w:r>
      <w:r w:rsidRPr="008873B1">
        <w:instrText xml:space="preserve"> SEQ level0 \*arabic </w:instrText>
      </w:r>
      <w:r w:rsidRPr="008873B1">
        <w:fldChar w:fldCharType="separate"/>
      </w:r>
      <w:r w:rsidR="004F11CA">
        <w:rPr>
          <w:noProof/>
        </w:rPr>
        <w:t>113</w:t>
      </w:r>
      <w:r w:rsidRPr="008873B1">
        <w:fldChar w:fldCharType="end"/>
      </w:r>
      <w:r w:rsidRPr="008873B1">
        <w:t>. In its ruling of 6 October 2015, the CJEU held that the existence of a Commission decision finding that a third country ensured an adequate level of protection of the personal data transferred could not eliminate or even reduce the powers available to the national supervisory authorities under the Charter or the Data Protection Directive. Therefore, even if the Commission had adopted a decision, the national supervisory authorities had to be able to examine, with complete independence, whether the transfer of a person’s data to a third country complied with the requirements laid down by the Directive.</w:t>
      </w:r>
    </w:p>
    <w:p w:rsidRPr="008873B1" w:rsidR="004D0549" w:rsidP="004D0549" w:rsidRDefault="004D0549" w14:paraId="39404B29" w14:textId="26224E24">
      <w:pPr>
        <w:pStyle w:val="JuPara"/>
      </w:pPr>
      <w:r w:rsidRPr="008873B1">
        <w:fldChar w:fldCharType="begin"/>
      </w:r>
      <w:r w:rsidRPr="008873B1">
        <w:instrText xml:space="preserve"> SEQ level0 \*arabic </w:instrText>
      </w:r>
      <w:r w:rsidRPr="008873B1">
        <w:fldChar w:fldCharType="separate"/>
      </w:r>
      <w:r w:rsidR="004F11CA">
        <w:rPr>
          <w:noProof/>
        </w:rPr>
        <w:t>114</w:t>
      </w:r>
      <w:r w:rsidRPr="008873B1">
        <w:fldChar w:fldCharType="end"/>
      </w:r>
      <w:r w:rsidRPr="008873B1">
        <w:t>.  However, only the CJEU could declare a decision of the Commission invalid. In this regard, it noted that the safe harbour scheme was applicable solely to the United States</w:t>
      </w:r>
      <w:r w:rsidR="00041BAF">
        <w:t>’</w:t>
      </w:r>
      <w:r w:rsidRPr="008873B1">
        <w:t xml:space="preserve"> undertakings which adhered to it, and United States</w:t>
      </w:r>
      <w:r w:rsidR="00041BAF">
        <w:t>’</w:t>
      </w:r>
      <w:r w:rsidRPr="008873B1">
        <w:t xml:space="preserve"> public authorities were not themselves subject to it. Furthermore, national security, public interest and law enforcement requirements of the United States prevailed over the safe harbour scheme, so that United States</w:t>
      </w:r>
      <w:r w:rsidR="00041BAF">
        <w:t>’</w:t>
      </w:r>
      <w:r w:rsidRPr="008873B1">
        <w:t xml:space="preserve"> undertakings were bound to disregard, without limitation, the protective rules laid down by the scheme where they conflicted with such requirements. The safe harbour scheme therefore enabled interference by United States</w:t>
      </w:r>
      <w:r w:rsidR="00041BAF">
        <w:t>’</w:t>
      </w:r>
      <w:r w:rsidRPr="008873B1">
        <w:t xml:space="preserve"> public authorities with the fundamental rights of individuals, and the Commission had not, in the Safe Harbour Decision, referred either to the existence, in the United States, of rules intended to limit any such interference or to the existence of effective legal protection against the interference.</w:t>
      </w:r>
    </w:p>
    <w:p w:rsidRPr="008873B1" w:rsidR="004D0549" w:rsidP="004D0549" w:rsidRDefault="004D0549" w14:paraId="72903BB5" w14:textId="6CC5215E">
      <w:pPr>
        <w:pStyle w:val="JuPara"/>
      </w:pPr>
      <w:r w:rsidRPr="008873B1">
        <w:fldChar w:fldCharType="begin"/>
      </w:r>
      <w:r w:rsidRPr="008873B1">
        <w:instrText xml:space="preserve"> SEQ level0 \*arabic </w:instrText>
      </w:r>
      <w:r w:rsidRPr="008873B1">
        <w:fldChar w:fldCharType="separate"/>
      </w:r>
      <w:r w:rsidR="004F11CA">
        <w:rPr>
          <w:noProof/>
        </w:rPr>
        <w:t>115</w:t>
      </w:r>
      <w:r w:rsidRPr="008873B1">
        <w:fldChar w:fldCharType="end"/>
      </w:r>
      <w:r w:rsidRPr="008873B1">
        <w:t>.  As to whether the level of protection in the United States was essentially equivalent to the fundamental rights and freedoms guaranteed within the EU, the CJEU found that legislation was not limited to what was strictly necessary where it authorised, on a generalised basis, storage of all the personal data of all the persons whose data were transferred from the EU to the United States without any differentiation, limitation or exception being made in the light of the objective pursued and without an objective criterion being laid down for determining the limits of the access of the public authorities to the data and of their subsequent use. Therefore, under EU law legislation permitting the public authorities to have access on a generalised basis to the content of electronic communications had to be regarded as compromising the essence of the fundamental right to respect for private life. Likewise, legislation not providing for any possibility for an individual to pursue legal remedies in order to have access to personal data relating to him, or to obtain the rectification or erasure of such data, compromised the essence of the fundamental right to effective judicial protection.</w:t>
      </w:r>
    </w:p>
    <w:p w:rsidRPr="008873B1" w:rsidR="004D0549" w:rsidP="004D0549" w:rsidRDefault="004D0549" w14:paraId="224F8A76" w14:textId="17B76327">
      <w:pPr>
        <w:pStyle w:val="JuPara"/>
      </w:pPr>
      <w:r w:rsidRPr="008873B1">
        <w:fldChar w:fldCharType="begin"/>
      </w:r>
      <w:r w:rsidRPr="008873B1">
        <w:instrText xml:space="preserve"> SEQ level0 \*arabic </w:instrText>
      </w:r>
      <w:r w:rsidRPr="008873B1">
        <w:fldChar w:fldCharType="separate"/>
      </w:r>
      <w:r w:rsidR="004F11CA">
        <w:rPr>
          <w:noProof/>
        </w:rPr>
        <w:t>116</w:t>
      </w:r>
      <w:r w:rsidRPr="008873B1">
        <w:fldChar w:fldCharType="end"/>
      </w:r>
      <w:r w:rsidRPr="008873B1">
        <w:t>.  Finally, the Court found that the Safe Harbour Decision denied the national supervisory authorities their powers where a person called into question whether the decision was compatible with the protection of the privacy and of the fundamental rights and freedoms of individuals. The Commission had not had competence to restrict the national supervisory authorities’ powers in that way and, consequently, the CJEU held the Safe Harbour Decision to be invalid.</w:t>
      </w:r>
    </w:p>
    <w:p w:rsidRPr="008873B1" w:rsidR="004D0549" w:rsidP="008873B1" w:rsidRDefault="004D0549" w14:paraId="607FA682" w14:textId="77777777">
      <w:pPr>
        <w:pStyle w:val="JuH1"/>
        <w:numPr>
          <w:ilvl w:val="3"/>
          <w:numId w:val="1"/>
        </w:numPr>
        <w:ind w:left="731"/>
      </w:pPr>
      <w:r w:rsidRPr="008873B1">
        <w:rPr>
          <w:i w:val="0"/>
        </w:rPr>
        <w:t xml:space="preserve">Data Protection Commissioner v Facebook Ireland and Maximillian </w:t>
      </w:r>
      <w:proofErr w:type="spellStart"/>
      <w:r w:rsidRPr="008873B1">
        <w:rPr>
          <w:i w:val="0"/>
        </w:rPr>
        <w:t>Schrems</w:t>
      </w:r>
      <w:proofErr w:type="spellEnd"/>
      <w:r w:rsidRPr="008873B1">
        <w:t xml:space="preserve"> Case (C-311/18; ECLI:EU:</w:t>
      </w:r>
      <w:proofErr w:type="gramStart"/>
      <w:r w:rsidRPr="008873B1">
        <w:t>C:2020:559</w:t>
      </w:r>
      <w:proofErr w:type="gramEnd"/>
      <w:r w:rsidRPr="008873B1">
        <w:t>)</w:t>
      </w:r>
    </w:p>
    <w:p w:rsidRPr="008873B1" w:rsidR="004D0549" w:rsidP="000E43DD" w:rsidRDefault="004D0549" w14:paraId="1C23BAAC" w14:textId="5289F131">
      <w:pPr>
        <w:pStyle w:val="JuPara"/>
      </w:pPr>
      <w:r w:rsidRPr="008873B1">
        <w:fldChar w:fldCharType="begin"/>
      </w:r>
      <w:r w:rsidRPr="008873B1">
        <w:instrText xml:space="preserve"> SEQ level0 \*arabic </w:instrText>
      </w:r>
      <w:r w:rsidRPr="008873B1">
        <w:fldChar w:fldCharType="separate"/>
      </w:r>
      <w:r w:rsidR="004F11CA">
        <w:rPr>
          <w:noProof/>
        </w:rPr>
        <w:t>117</w:t>
      </w:r>
      <w:r w:rsidRPr="008873B1">
        <w:fldChar w:fldCharType="end"/>
      </w:r>
      <w:r w:rsidRPr="008873B1">
        <w:t xml:space="preserve">. Following the judgment of the CJEU of 6 October 2015, the referring court annulled the rejection of Mr </w:t>
      </w:r>
      <w:proofErr w:type="spellStart"/>
      <w:r w:rsidRPr="008873B1">
        <w:t>Schrems</w:t>
      </w:r>
      <w:proofErr w:type="spellEnd"/>
      <w:r w:rsidRPr="008873B1">
        <w:t xml:space="preserve">’ complaint and referred that decision back to the Commissioner. In the course of the Commissioner’s investigation, Facebook Ireland explained that a large part of personal data </w:t>
      </w:r>
      <w:proofErr w:type="gramStart"/>
      <w:r w:rsidRPr="008873B1">
        <w:t>w</w:t>
      </w:r>
      <w:r w:rsidR="00E813CE">
        <w:t>ere</w:t>
      </w:r>
      <w:proofErr w:type="gramEnd"/>
      <w:r w:rsidRPr="008873B1">
        <w:t xml:space="preserve"> transferred to Facebook Inc. pursuant to the standard data protection clauses set out in the annex to Commission Decision 2010/87/EU, as amended.</w:t>
      </w:r>
    </w:p>
    <w:p w:rsidRPr="008873B1" w:rsidR="004D0549" w:rsidP="000E43DD" w:rsidRDefault="004D0549" w14:paraId="21BD0C1D" w14:textId="4BA03D52">
      <w:pPr>
        <w:pStyle w:val="JuPara"/>
      </w:pPr>
      <w:r w:rsidRPr="008873B1">
        <w:fldChar w:fldCharType="begin"/>
      </w:r>
      <w:r w:rsidRPr="008873B1">
        <w:instrText xml:space="preserve"> SEQ level0 \*arabic </w:instrText>
      </w:r>
      <w:r w:rsidRPr="008873B1">
        <w:fldChar w:fldCharType="separate"/>
      </w:r>
      <w:r w:rsidR="004F11CA">
        <w:rPr>
          <w:noProof/>
        </w:rPr>
        <w:t>118</w:t>
      </w:r>
      <w:r w:rsidRPr="008873B1">
        <w:fldChar w:fldCharType="end"/>
      </w:r>
      <w:r w:rsidRPr="008873B1">
        <w:t xml:space="preserve">. Mr </w:t>
      </w:r>
      <w:proofErr w:type="spellStart"/>
      <w:r w:rsidRPr="008873B1">
        <w:t>Schrems</w:t>
      </w:r>
      <w:proofErr w:type="spellEnd"/>
      <w:r w:rsidRPr="008873B1">
        <w:t xml:space="preserve"> reformulated his complaint, claiming, </w:t>
      </w:r>
      <w:r w:rsidRPr="008873B1">
        <w:rPr>
          <w:i/>
        </w:rPr>
        <w:t>inter alia</w:t>
      </w:r>
      <w:r w:rsidRPr="008873B1">
        <w:t>, that the United States’ law required Facebook Inc. to make the personal data transferred to it available to certain United States’ authorities, such as the National Security Agency</w:t>
      </w:r>
      <w:r w:rsidR="009F7186">
        <w:t xml:space="preserve"> (“the NSA”)</w:t>
      </w:r>
      <w:r w:rsidRPr="008873B1">
        <w:t xml:space="preserve"> and the Federal Bureau of Investigation. Since those data were used in the context of various monitoring programmes in a manner incompatible with Articles 7, 8 and 47 of the Charter, Decision 2010/87/EU could not justify the transfer of those data to the United States. On this basis, he asked the Commissioner to prohibit or suspend the transfer of his personal data to Facebook Inc.</w:t>
      </w:r>
    </w:p>
    <w:p w:rsidRPr="008873B1" w:rsidR="004D0549" w:rsidP="000E43DD" w:rsidRDefault="004D0549" w14:paraId="6C866DC7" w14:textId="4994CBA1">
      <w:pPr>
        <w:pStyle w:val="JuPara"/>
      </w:pPr>
      <w:r w:rsidRPr="008873B1">
        <w:fldChar w:fldCharType="begin"/>
      </w:r>
      <w:r w:rsidRPr="008873B1">
        <w:instrText xml:space="preserve"> SEQ level0 \*arabic </w:instrText>
      </w:r>
      <w:r w:rsidRPr="008873B1">
        <w:fldChar w:fldCharType="separate"/>
      </w:r>
      <w:r w:rsidR="004F11CA">
        <w:rPr>
          <w:noProof/>
        </w:rPr>
        <w:t>119</w:t>
      </w:r>
      <w:r w:rsidRPr="008873B1">
        <w:fldChar w:fldCharType="end"/>
      </w:r>
      <w:r w:rsidRPr="008873B1">
        <w:t>. In a draft decision published on 24 May 2016, the Commissioner took the provisional view that the personal data of European Union citizens transferred to the United States were likely to be consulted and processed by the United States’ authorities in a manner incompatible with Articles 7 and 8 of the Charter and that U</w:t>
      </w:r>
      <w:r w:rsidR="00BA310E">
        <w:t xml:space="preserve">nited </w:t>
      </w:r>
      <w:r w:rsidRPr="008873B1">
        <w:t>S</w:t>
      </w:r>
      <w:r w:rsidR="00BA310E">
        <w:t>tates’</w:t>
      </w:r>
      <w:r w:rsidRPr="008873B1">
        <w:t xml:space="preserve"> law did not provide those citizens with legal remedies compatible with Article 47 of the Charter. The Commissioner found that the standard data protection clauses in the annex to Decision 2010/87/EU were not capable of remedying that defect, since they did not bind the United States’ authorities.</w:t>
      </w:r>
    </w:p>
    <w:p w:rsidRPr="008873B1" w:rsidR="004D0549" w:rsidP="000E43DD" w:rsidRDefault="004D0549" w14:paraId="7C2E62CD" w14:textId="79C22460">
      <w:pPr>
        <w:pStyle w:val="JuPara"/>
      </w:pPr>
      <w:r w:rsidRPr="008873B1">
        <w:fldChar w:fldCharType="begin"/>
      </w:r>
      <w:r w:rsidRPr="008873B1">
        <w:instrText xml:space="preserve"> SEQ level0 \*arabic </w:instrText>
      </w:r>
      <w:r w:rsidRPr="008873B1">
        <w:fldChar w:fldCharType="separate"/>
      </w:r>
      <w:r w:rsidR="004F11CA">
        <w:rPr>
          <w:noProof/>
        </w:rPr>
        <w:t>120</w:t>
      </w:r>
      <w:r w:rsidRPr="008873B1">
        <w:fldChar w:fldCharType="end"/>
      </w:r>
      <w:r w:rsidRPr="008873B1">
        <w:t xml:space="preserve">. Having considered the United States’ intelligence activities under section 702 of FISA and Executive Order 12333, the High Court concluded that the United States carried out mass processing of personal data without ensuring a level of protection essentially equivalent to that guaranteed by Articles 7 and 8 of the Charter; and that European Union citizens did not have available to them the same remedies as citizens of the United States, with the consequence that United States’ law did not afford European Union citizens a level of protection essentially equivalent to that guaranteed by Article 47 of the Charter. It stayed the proceedings and referred </w:t>
      </w:r>
      <w:proofErr w:type="gramStart"/>
      <w:r w:rsidRPr="008873B1">
        <w:t>a number of</w:t>
      </w:r>
      <w:proofErr w:type="gramEnd"/>
      <w:r w:rsidRPr="008873B1">
        <w:t xml:space="preserve"> questions to the CJEU for a preliminary ruling. It asked, </w:t>
      </w:r>
      <w:r w:rsidRPr="008873B1">
        <w:rPr>
          <w:i/>
        </w:rPr>
        <w:t>inter alia</w:t>
      </w:r>
      <w:r w:rsidRPr="008873B1">
        <w:t>, whether European Union law applied to the transfer of data from a private company in the European Union to a private company in a third country; if so, how the level of protection in the third country should be assessed; and whether the level of protection afforded by the United States respected the essence of the rights guaranteed by Article 47 of the Charter.</w:t>
      </w:r>
    </w:p>
    <w:p w:rsidRPr="008873B1" w:rsidR="004D0549" w:rsidP="000E43DD" w:rsidRDefault="004D0549" w14:paraId="1A9147E3" w14:textId="176A7D58">
      <w:pPr>
        <w:pStyle w:val="JuPara"/>
      </w:pPr>
      <w:r w:rsidRPr="008873B1">
        <w:fldChar w:fldCharType="begin"/>
      </w:r>
      <w:r w:rsidRPr="008873B1">
        <w:instrText xml:space="preserve"> SEQ level0 \*arabic </w:instrText>
      </w:r>
      <w:r w:rsidRPr="008873B1">
        <w:fldChar w:fldCharType="separate"/>
      </w:r>
      <w:r w:rsidR="004F11CA">
        <w:rPr>
          <w:noProof/>
        </w:rPr>
        <w:t>121</w:t>
      </w:r>
      <w:r w:rsidRPr="008873B1">
        <w:fldChar w:fldCharType="end"/>
      </w:r>
      <w:r w:rsidRPr="008873B1">
        <w:t>.  In a judgment of 16 July 2020 the CJEU held that the General Data Protection Regulation (“GDPR”) applied to the transfer of personal data for commercial purposes by an economic operator established in a Member State to another economic operator established in a third country, irrespective of whether, at the time of that transfer or thereafter, those data were liable to be processed by the authorities of the third country in question for the purposes of public security, defence and State security. Moreover, the appropriate safeguards, enforceable rights and effective legal remedies required by the GDPR had to ensure that data subjects whose personal data were transferred to a third country pursuant to standard data protection clauses were afforded a level of protection essentially equivalent to that guaranteed within the European Union. To that end, the assessment of the level of protection afforded in the context of such a transfer had to take into consideration both the contractual clauses agreed between the controller or processor established in the European Union and the recipient of the transfer established in the third country concerned and, as regards any access by the public authorities of that third country to the personal data transferred, the relevant aspects of the legal system of that third country.</w:t>
      </w:r>
    </w:p>
    <w:p w:rsidRPr="008873B1" w:rsidR="004D0549" w:rsidP="000E43DD" w:rsidRDefault="004D0549" w14:paraId="527F9B37" w14:textId="18AB9A62">
      <w:pPr>
        <w:pStyle w:val="JuPara"/>
      </w:pPr>
      <w:r w:rsidRPr="008873B1">
        <w:fldChar w:fldCharType="begin"/>
      </w:r>
      <w:r w:rsidRPr="008873B1">
        <w:instrText xml:space="preserve"> SEQ level0 \*arabic </w:instrText>
      </w:r>
      <w:r w:rsidRPr="008873B1">
        <w:fldChar w:fldCharType="separate"/>
      </w:r>
      <w:r w:rsidR="004F11CA">
        <w:rPr>
          <w:noProof/>
        </w:rPr>
        <w:t>122</w:t>
      </w:r>
      <w:r w:rsidRPr="008873B1">
        <w:fldChar w:fldCharType="end"/>
      </w:r>
      <w:r w:rsidRPr="008873B1">
        <w:t>.  Furthermore, unless there was a valid Commission adequacy decision, the competent supervisory authority was required to suspend or prohibit a transfer of data to a third country if, in the view of that supervisory authority and in the light of all the circumstances of that transfer, the standard data protection clauses adopted by the Commission were not or could not be complied with in that third country and the protection of the data transferred (as required by European Union law) could not be ensured by other means.</w:t>
      </w:r>
    </w:p>
    <w:p w:rsidRPr="008873B1" w:rsidR="004D0549" w:rsidP="000E43DD" w:rsidRDefault="004D0549" w14:paraId="04727F53" w14:textId="649F5E35">
      <w:pPr>
        <w:pStyle w:val="JuPara"/>
      </w:pPr>
      <w:r w:rsidRPr="008873B1">
        <w:fldChar w:fldCharType="begin"/>
      </w:r>
      <w:r w:rsidRPr="008873B1">
        <w:instrText xml:space="preserve"> SEQ level0 \*arabic </w:instrText>
      </w:r>
      <w:r w:rsidRPr="008873B1">
        <w:fldChar w:fldCharType="separate"/>
      </w:r>
      <w:r w:rsidR="004F11CA">
        <w:rPr>
          <w:noProof/>
        </w:rPr>
        <w:t>123</w:t>
      </w:r>
      <w:r w:rsidRPr="008873B1">
        <w:fldChar w:fldCharType="end"/>
      </w:r>
      <w:r w:rsidRPr="008873B1">
        <w:t>. In order for the Commission to adopt an adequacy decision, it had to find, duly stating reasons, that the third country concerned ensured, by reason of its domestic law or its international commitments, a level of protection of fundamental rights essentially equivalent to that guaranteed in the European Union legal order. In the CJEU’s view, the Safe Harbour decision was invalid. Section 702 of the Foreign Intelligence Security Act (“FISA”) did not indicate any limitations on the power it conferred to implement surveillance programmes for the purposes of foreign intelligence or the existence of guarantees for non-US persons potentially targeted by those programmes. In those circumstances, it could not ensure a level of protection essentially equivalent to that guaranteed by the Charter. Furthermore, as regards the monitoring programmes based on Executive Order 12333, it was clear that that order also did not confer rights which were enforceable against the United States’ authorities in the courts.</w:t>
      </w:r>
    </w:p>
    <w:p w:rsidRPr="008873B1" w:rsidR="004D0549" w:rsidP="008873B1" w:rsidRDefault="004D0549" w14:paraId="378B4DAC" w14:textId="77777777">
      <w:pPr>
        <w:pStyle w:val="JuH1"/>
        <w:numPr>
          <w:ilvl w:val="3"/>
          <w:numId w:val="1"/>
        </w:numPr>
        <w:ind w:left="731"/>
      </w:pPr>
      <w:r w:rsidRPr="008873B1">
        <w:rPr>
          <w:i w:val="0"/>
        </w:rPr>
        <w:t>Privacy International v Secretary of State for Foreign and Commonwealth Affairs and Others</w:t>
      </w:r>
      <w:r w:rsidRPr="008873B1">
        <w:t xml:space="preserve"> (Case C-623/17; ECLI:EU:C:2020:790) and </w:t>
      </w:r>
      <w:r w:rsidRPr="008873B1">
        <w:rPr>
          <w:i w:val="0"/>
        </w:rPr>
        <w:t xml:space="preserve">La Quadrature du Net and Others, French Data Network and Others and Ordre des </w:t>
      </w:r>
      <w:proofErr w:type="spellStart"/>
      <w:r w:rsidRPr="008873B1">
        <w:rPr>
          <w:i w:val="0"/>
        </w:rPr>
        <w:t>barreaux</w:t>
      </w:r>
      <w:proofErr w:type="spellEnd"/>
      <w:r w:rsidRPr="008873B1">
        <w:rPr>
          <w:i w:val="0"/>
        </w:rPr>
        <w:t xml:space="preserve"> francophones et </w:t>
      </w:r>
      <w:proofErr w:type="spellStart"/>
      <w:r w:rsidRPr="008873B1">
        <w:rPr>
          <w:i w:val="0"/>
        </w:rPr>
        <w:t>germanophone</w:t>
      </w:r>
      <w:proofErr w:type="spellEnd"/>
      <w:r w:rsidRPr="008873B1">
        <w:rPr>
          <w:i w:val="0"/>
        </w:rPr>
        <w:t xml:space="preserve"> and Others</w:t>
      </w:r>
      <w:r w:rsidRPr="008873B1">
        <w:t xml:space="preserve"> (Cases C-511/18, C-512/18 and C-520/18; ECLI:EU:C:2020:791)</w:t>
      </w:r>
    </w:p>
    <w:p w:rsidRPr="008873B1" w:rsidR="004D0549" w:rsidP="000E43DD" w:rsidRDefault="004D0549" w14:paraId="762F9400" w14:textId="7ED6EDE0">
      <w:pPr>
        <w:pStyle w:val="JuPara"/>
      </w:pPr>
      <w:r w:rsidRPr="008873B1">
        <w:fldChar w:fldCharType="begin"/>
      </w:r>
      <w:r w:rsidRPr="008873B1">
        <w:instrText xml:space="preserve"> SEQ level0 \*arabic </w:instrText>
      </w:r>
      <w:r w:rsidRPr="008873B1">
        <w:fldChar w:fldCharType="separate"/>
      </w:r>
      <w:r w:rsidR="004F11CA">
        <w:rPr>
          <w:noProof/>
        </w:rPr>
        <w:t>124</w:t>
      </w:r>
      <w:r w:rsidRPr="008873B1">
        <w:fldChar w:fldCharType="end"/>
      </w:r>
      <w:r w:rsidRPr="008873B1">
        <w:t xml:space="preserve">.  On 8 September 2017 the United Kingdom Investigatory Powers Tribunal (“IPT”) gave judgment in the case of </w:t>
      </w:r>
      <w:r w:rsidRPr="008873B1">
        <w:rPr>
          <w:i/>
        </w:rPr>
        <w:t>Privacy International</w:t>
      </w:r>
      <w:r w:rsidRPr="008873B1">
        <w:t xml:space="preserve">, which concerned the acquisition by the intelligence services of bulk communications data under section 94 of the Telecommunications Act 1984 and bulk personal data. The IPT found that, following their avowal, the regimes were compliant with Article 8 of the Convention. However, it identified the following four requirements which appeared to flow from the CJEU judgment in </w:t>
      </w:r>
      <w:r w:rsidRPr="008873B1">
        <w:rPr>
          <w:i/>
        </w:rPr>
        <w:t>Watson</w:t>
      </w:r>
      <w:r w:rsidRPr="008873B1">
        <w:t xml:space="preserve"> </w:t>
      </w:r>
      <w:r w:rsidRPr="008873B1">
        <w:rPr>
          <w:i/>
        </w:rPr>
        <w:t>and Others</w:t>
      </w:r>
      <w:r w:rsidRPr="008873B1">
        <w:t xml:space="preserve"> and which seemed to go beyond the requirements of Article 8 of the Convention: a restriction on non-targeted access to bulk data; a need for prior authorisation (save in cases of validly established emergency) before data could be accessed; provision for subsequent notification of those affected; and the retention of all data within the European Union.</w:t>
      </w:r>
    </w:p>
    <w:p w:rsidRPr="008873B1" w:rsidR="004D0549" w:rsidP="000E43DD" w:rsidRDefault="004D0549" w14:paraId="1A4DC002" w14:textId="1B63A488">
      <w:pPr>
        <w:pStyle w:val="JuPara"/>
      </w:pPr>
      <w:r w:rsidRPr="008873B1">
        <w:fldChar w:fldCharType="begin"/>
      </w:r>
      <w:r w:rsidRPr="008873B1">
        <w:instrText xml:space="preserve"> SEQ level0 \*arabic </w:instrText>
      </w:r>
      <w:r w:rsidRPr="008873B1">
        <w:fldChar w:fldCharType="separate"/>
      </w:r>
      <w:r w:rsidR="004F11CA">
        <w:rPr>
          <w:noProof/>
        </w:rPr>
        <w:t>125</w:t>
      </w:r>
      <w:r w:rsidRPr="008873B1">
        <w:fldChar w:fldCharType="end"/>
      </w:r>
      <w:r w:rsidRPr="008873B1">
        <w:t xml:space="preserve">.  On 30 October 2017 the IPT made a request to the CJEU for a preliminary ruling clarifying the extent to which the </w:t>
      </w:r>
      <w:r w:rsidRPr="008873B1">
        <w:rPr>
          <w:i/>
        </w:rPr>
        <w:t>Watson</w:t>
      </w:r>
      <w:r w:rsidRPr="008873B1">
        <w:t xml:space="preserve"> requirements could apply where the bulk acquisition and automated processing techniques were necessary to protect national security. In doing so, it expressed serious concern that if the </w:t>
      </w:r>
      <w:r w:rsidRPr="008873B1">
        <w:rPr>
          <w:i/>
        </w:rPr>
        <w:t xml:space="preserve">Watson </w:t>
      </w:r>
      <w:r w:rsidRPr="008873B1">
        <w:t>requirements were to apply to measures taken to safeguard national security, they would frustrate them and put the national security of Member States at risk. In particular, it noted the benefits of bulk acquisition in the context of national security; the risk that the need for prior authorisation could undermine the intelligence services’ ability to tackle the threat to national security; the danger and impracticality of implementing a requirement to give notice in respect of the acquisition or use of a bulk database, especially where national security was at stake; and the impact an absolute bar on the transfer of data outside the European Union could have on Member States’ treaty obligations.</w:t>
      </w:r>
    </w:p>
    <w:p w:rsidRPr="008873B1" w:rsidR="004D0549" w:rsidP="000E43DD" w:rsidRDefault="004D0549" w14:paraId="33CBD7E1" w14:textId="66EA15AC">
      <w:pPr>
        <w:pStyle w:val="JuPara"/>
      </w:pPr>
      <w:r w:rsidRPr="008873B1">
        <w:fldChar w:fldCharType="begin"/>
      </w:r>
      <w:r w:rsidRPr="008873B1">
        <w:instrText xml:space="preserve"> SEQ level0 \*arabic </w:instrText>
      </w:r>
      <w:r w:rsidRPr="008873B1">
        <w:fldChar w:fldCharType="separate"/>
      </w:r>
      <w:r w:rsidR="004F11CA">
        <w:rPr>
          <w:noProof/>
        </w:rPr>
        <w:t>126</w:t>
      </w:r>
      <w:r w:rsidRPr="008873B1">
        <w:fldChar w:fldCharType="end"/>
      </w:r>
      <w:r w:rsidRPr="008873B1">
        <w:t xml:space="preserve">.  A public hearing took place on 9 September 2019. The </w:t>
      </w:r>
      <w:r w:rsidRPr="008873B1">
        <w:rPr>
          <w:i/>
        </w:rPr>
        <w:t>Privacy International</w:t>
      </w:r>
      <w:r w:rsidRPr="008873B1">
        <w:t xml:space="preserve"> case was heard together with cases C‑511/18 and C‑512/18, </w:t>
      </w:r>
      <w:r w:rsidRPr="008873B1">
        <w:rPr>
          <w:i/>
        </w:rPr>
        <w:t>La Quadrature du Net and Others</w:t>
      </w:r>
      <w:r w:rsidRPr="008873B1">
        <w:t xml:space="preserve">, and C‑520/18, </w:t>
      </w:r>
      <w:r w:rsidRPr="008873B1">
        <w:rPr>
          <w:i/>
        </w:rPr>
        <w:t xml:space="preserve">Ordre des </w:t>
      </w:r>
      <w:proofErr w:type="spellStart"/>
      <w:r w:rsidRPr="008873B1">
        <w:rPr>
          <w:i/>
        </w:rPr>
        <w:t>barreaux</w:t>
      </w:r>
      <w:proofErr w:type="spellEnd"/>
      <w:r w:rsidRPr="008873B1">
        <w:rPr>
          <w:i/>
        </w:rPr>
        <w:t xml:space="preserve"> francophones et </w:t>
      </w:r>
      <w:proofErr w:type="spellStart"/>
      <w:r w:rsidRPr="008873B1">
        <w:rPr>
          <w:i/>
        </w:rPr>
        <w:t>germanophone</w:t>
      </w:r>
      <w:proofErr w:type="spellEnd"/>
      <w:r w:rsidRPr="008873B1">
        <w:rPr>
          <w:i/>
        </w:rPr>
        <w:t xml:space="preserve"> and Others</w:t>
      </w:r>
      <w:r w:rsidRPr="008873B1">
        <w:t>, which also concerned the application of Directive 2002/58 to activities related to national security and the combating of terrorism. Thirteen States intervened in support of the States concerned.</w:t>
      </w:r>
    </w:p>
    <w:p w:rsidRPr="008873B1" w:rsidR="004D0549" w:rsidP="000E43DD" w:rsidRDefault="004D0549" w14:paraId="2E25B3B2" w14:textId="08967B80">
      <w:pPr>
        <w:pStyle w:val="JuPara"/>
      </w:pPr>
      <w:r w:rsidRPr="008873B1">
        <w:fldChar w:fldCharType="begin"/>
      </w:r>
      <w:r w:rsidRPr="008873B1">
        <w:instrText xml:space="preserve"> SEQ level0 \*arabic </w:instrText>
      </w:r>
      <w:r w:rsidRPr="008873B1">
        <w:fldChar w:fldCharType="separate"/>
      </w:r>
      <w:r w:rsidR="004F11CA">
        <w:rPr>
          <w:noProof/>
        </w:rPr>
        <w:t>127</w:t>
      </w:r>
      <w:r w:rsidRPr="008873B1">
        <w:fldChar w:fldCharType="end"/>
      </w:r>
      <w:r w:rsidRPr="008873B1">
        <w:t xml:space="preserve">.  Two separate judgments were handed down on 6 October 2020. In Privacy International the CJEU found that national legislation enabling a State authority to require providers of electronic communications services to forward traffic data and location data to the security and intelligence agencies for the purpose of safeguarding national security fell within the scope of the Directive on privacy and electronic communications. The interpretation of that Directive had to take account of the right to privacy, guaranteed by Article 7 of the Charter, the right to protection of personal data, guaranteed by Article 8, and the right to freedom of expression, guaranteed by Article 11. Limitations on the exercise of those rights had to be provided for by law, respect the essence of the rights, and be proportionate, necessary, and genuinely meet the objectives of general interest recognised by the </w:t>
      </w:r>
      <w:r w:rsidR="008809DE">
        <w:t xml:space="preserve">European </w:t>
      </w:r>
      <w:r w:rsidRPr="008873B1">
        <w:t>Union or the need to protect the rights and freedoms of others. Furthermore, limitations on the protection of personal data must apply only in so far as is strictly necessary; and in order to satisfy the requirement of proportionality, the legislation must lay down clear and precise rules governing the scope and application of the measure in question and imposing minimum safeguards, so that the persons whose personal data are affected have sufficient guarantees that data will be protected effectively against the risk of abuse.</w:t>
      </w:r>
    </w:p>
    <w:p w:rsidRPr="008873B1" w:rsidR="004D0549" w:rsidP="000E43DD" w:rsidRDefault="004D0549" w14:paraId="776B8F26" w14:textId="3481398E">
      <w:pPr>
        <w:pStyle w:val="JuPara"/>
      </w:pPr>
      <w:r w:rsidRPr="008873B1">
        <w:fldChar w:fldCharType="begin"/>
      </w:r>
      <w:r w:rsidRPr="008873B1">
        <w:instrText xml:space="preserve"> SEQ level0 \*arabic </w:instrText>
      </w:r>
      <w:r w:rsidRPr="008873B1">
        <w:fldChar w:fldCharType="separate"/>
      </w:r>
      <w:r w:rsidR="004F11CA">
        <w:rPr>
          <w:noProof/>
        </w:rPr>
        <w:t>128</w:t>
      </w:r>
      <w:r w:rsidRPr="008873B1">
        <w:fldChar w:fldCharType="end"/>
      </w:r>
      <w:r w:rsidRPr="008873B1">
        <w:t xml:space="preserve">.  In the opinion of the CJEU, national legislation requiring providers of electronic communications services to disclose traffic data and location data to the security and intelligence agencies by means of general and indiscriminate transmission </w:t>
      </w:r>
      <w:bookmarkStart w:name="_Hlk53399650" w:id="51"/>
      <w:r w:rsidRPr="008873B1">
        <w:t>–</w:t>
      </w:r>
      <w:bookmarkEnd w:id="51"/>
      <w:r w:rsidRPr="008873B1">
        <w:t xml:space="preserve"> which affected all persons using electronic communications services – exceeded the limits of what was strictly necessary and could not be considered to be justified as required by the Directive on privacy and electronic communications read in light of the Charter.</w:t>
      </w:r>
    </w:p>
    <w:p w:rsidRPr="008873B1" w:rsidR="004D0549" w:rsidP="000E43DD" w:rsidRDefault="004D0549" w14:paraId="745F9CB0" w14:textId="46F386AD">
      <w:pPr>
        <w:pStyle w:val="JuPara"/>
      </w:pPr>
      <w:r w:rsidRPr="008873B1">
        <w:fldChar w:fldCharType="begin"/>
      </w:r>
      <w:r w:rsidRPr="008873B1">
        <w:instrText xml:space="preserve"> SEQ level0 \*arabic </w:instrText>
      </w:r>
      <w:r w:rsidRPr="008873B1">
        <w:fldChar w:fldCharType="separate"/>
      </w:r>
      <w:r w:rsidR="004F11CA">
        <w:rPr>
          <w:noProof/>
        </w:rPr>
        <w:t>129</w:t>
      </w:r>
      <w:r w:rsidRPr="008873B1">
        <w:fldChar w:fldCharType="end"/>
      </w:r>
      <w:r w:rsidRPr="008873B1">
        <w:t xml:space="preserve">.  However, in </w:t>
      </w:r>
      <w:r w:rsidRPr="008873B1">
        <w:rPr>
          <w:i/>
        </w:rPr>
        <w:t>La Quadrature du Net and Others</w:t>
      </w:r>
      <w:r w:rsidRPr="008873B1">
        <w:t xml:space="preserve"> the CJEU confirmed that while </w:t>
      </w:r>
      <w:bookmarkStart w:name="_Hlk53422983" w:id="52"/>
      <w:r w:rsidRPr="008873B1">
        <w:t xml:space="preserve">the Directive on privacy and electronic communications, read in light of the Charter, </w:t>
      </w:r>
      <w:bookmarkEnd w:id="52"/>
      <w:r w:rsidRPr="008873B1">
        <w:t>precluded legislative measures which provided for the general and indiscriminate retention of traffic and location data, where a Member State was facing a serious threat to national security that proved to be genuine and present or foreseeable, it did not preclude legislative measures requiring service providers to retain, generally and indiscriminately, traffic and location data for a period limited to what was strictly necessary, but which could be extended if the threat persisted. For the purposes of combating serious crime and preventing serious threats to public security, a Member State could also provide - if it was limited in time to what was strictly necessary - for the targeted retention of traffic and location data, on the basis of objective and non-discriminatory factors according to the categories of person concerned or using a geographical criterion, or of IP addresses assigned to the source of an Internet connection. It was also open to a Member State to carry out a general and indiscriminate retention of data relating to the civil identity of users of means of electronic communication, without the retention being subject to a specific time limit.</w:t>
      </w:r>
    </w:p>
    <w:p w:rsidRPr="008873B1" w:rsidR="004D0549" w:rsidP="000E43DD" w:rsidRDefault="004D0549" w14:paraId="130AFDC2" w14:textId="3AA5B892">
      <w:pPr>
        <w:pStyle w:val="JuPara"/>
      </w:pPr>
      <w:r w:rsidRPr="008873B1">
        <w:fldChar w:fldCharType="begin"/>
      </w:r>
      <w:r w:rsidRPr="008873B1">
        <w:instrText xml:space="preserve"> SEQ level0 \*arabic </w:instrText>
      </w:r>
      <w:r w:rsidRPr="008873B1">
        <w:fldChar w:fldCharType="separate"/>
      </w:r>
      <w:r w:rsidR="004F11CA">
        <w:rPr>
          <w:noProof/>
        </w:rPr>
        <w:t>130</w:t>
      </w:r>
      <w:r w:rsidRPr="008873B1">
        <w:fldChar w:fldCharType="end"/>
      </w:r>
      <w:r w:rsidRPr="008873B1">
        <w:t>.  Furthermore, the Directive on privacy and electronic communications, read in light of the Charter, did not preclude national rules which required providers of electronic communications services to have recourse, first, to the automated analysis and real-time collection of traffic and location data, and secondly, to the real-time collection of technical data concerning the location of the terminal equipment used, where it was limited to situations in which a Member State was facing a serious threat to national security that was genuine and present or foreseeable, and where recourse to such analysis may be the subject of an effective review by a court or independent administrative body whose decision was binding; and where recourse to the real-time collection of traffic and location data was limited to persons in respect of whom there was a valid reason to suspect that they were involved in terrorist activities and was subject to a prior review carried out either by a court or by an independent administrative body whose decision was binding.</w:t>
      </w:r>
    </w:p>
    <w:p w:rsidRPr="008873B1" w:rsidR="004D0549" w:rsidP="008873B1" w:rsidRDefault="004D0549" w14:paraId="27B5ABA8" w14:textId="77777777">
      <w:pPr>
        <w:pStyle w:val="JuHIRoman"/>
        <w:numPr>
          <w:ilvl w:val="1"/>
          <w:numId w:val="1"/>
        </w:numPr>
        <w:tabs>
          <w:tab w:val="clear" w:pos="454"/>
          <w:tab w:val="clear" w:pos="567"/>
          <w:tab w:val="clear" w:pos="680"/>
        </w:tabs>
      </w:pPr>
      <w:r w:rsidRPr="008873B1">
        <w:t>RELEVANT COMPARATIVE LAW AND PRACTICE</w:t>
      </w:r>
    </w:p>
    <w:p w:rsidRPr="008873B1" w:rsidR="004D0549" w:rsidP="008873B1" w:rsidRDefault="004D0549" w14:paraId="7F871E00" w14:textId="77777777">
      <w:pPr>
        <w:pStyle w:val="JuHA"/>
        <w:numPr>
          <w:ilvl w:val="2"/>
          <w:numId w:val="1"/>
        </w:numPr>
        <w:ind w:left="584"/>
      </w:pPr>
      <w:r w:rsidRPr="008873B1">
        <w:t>Contracting States</w:t>
      </w:r>
    </w:p>
    <w:p w:rsidRPr="008873B1" w:rsidR="004D0549" w:rsidP="008873B1" w:rsidRDefault="004D0549" w14:paraId="7D96DB42" w14:textId="77777777">
      <w:pPr>
        <w:pStyle w:val="JuH1"/>
        <w:numPr>
          <w:ilvl w:val="3"/>
          <w:numId w:val="1"/>
        </w:numPr>
        <w:ind w:left="731"/>
      </w:pPr>
      <w:bookmarkStart w:name="States_having_bulk_regimes" w:id="53"/>
      <w:bookmarkStart w:name="rel_comp_law_begin" w:id="54"/>
      <w:r w:rsidRPr="008873B1">
        <w:t>Overview</w:t>
      </w:r>
    </w:p>
    <w:bookmarkStart w:name="comp" w:id="55"/>
    <w:bookmarkStart w:name="comparative_law_beguin" w:id="56"/>
    <w:bookmarkEnd w:id="53"/>
    <w:bookmarkEnd w:id="54"/>
    <w:p w:rsidRPr="008873B1" w:rsidR="004D0549" w:rsidP="004D0549" w:rsidRDefault="004D0549" w14:paraId="1F667D85" w14:textId="29D07A8C">
      <w:pPr>
        <w:pStyle w:val="JuPara"/>
      </w:pPr>
      <w:r w:rsidRPr="008873B1">
        <w:fldChar w:fldCharType="begin"/>
      </w:r>
      <w:r w:rsidRPr="008873B1">
        <w:instrText xml:space="preserve"> SEQ level0 \*arabic </w:instrText>
      </w:r>
      <w:r w:rsidRPr="008873B1">
        <w:fldChar w:fldCharType="separate"/>
      </w:r>
      <w:r w:rsidR="004F11CA">
        <w:rPr>
          <w:noProof/>
        </w:rPr>
        <w:t>131</w:t>
      </w:r>
      <w:r w:rsidRPr="008873B1">
        <w:fldChar w:fldCharType="end"/>
      </w:r>
      <w:bookmarkEnd w:id="55"/>
      <w:bookmarkEnd w:id="56"/>
      <w:r w:rsidRPr="008873B1">
        <w:t>.  At least seven Contracting States (being Finland, France, Germany, the Netherlands, Sweden, Switzerland and the United Kingdom) officially operate bulk interception regimes over cables and/or the airways.</w:t>
      </w:r>
    </w:p>
    <w:p w:rsidRPr="008873B1" w:rsidR="004D0549" w:rsidP="004D0549" w:rsidRDefault="004D0549" w14:paraId="39EA2B9D" w14:textId="18904EF5">
      <w:pPr>
        <w:pStyle w:val="JuPara"/>
      </w:pPr>
      <w:r w:rsidRPr="008873B1">
        <w:fldChar w:fldCharType="begin"/>
      </w:r>
      <w:r w:rsidRPr="008873B1">
        <w:instrText xml:space="preserve"> SEQ level0 \*arabic </w:instrText>
      </w:r>
      <w:r w:rsidRPr="008873B1">
        <w:fldChar w:fldCharType="separate"/>
      </w:r>
      <w:r w:rsidR="004F11CA">
        <w:rPr>
          <w:noProof/>
        </w:rPr>
        <w:t>132</w:t>
      </w:r>
      <w:r w:rsidRPr="008873B1">
        <w:fldChar w:fldCharType="end"/>
      </w:r>
      <w:r w:rsidRPr="008873B1">
        <w:t xml:space="preserve">  In one additional State (Norway) a draft law is being debated: if </w:t>
      </w:r>
      <w:r w:rsidR="00576D6F">
        <w:t>enacted</w:t>
      </w:r>
      <w:r w:rsidRPr="008873B1">
        <w:t>, it will also authorise bulk interception.</w:t>
      </w:r>
    </w:p>
    <w:bookmarkStart w:name="CompLawInt" w:id="57"/>
    <w:bookmarkStart w:name="CompLawPurposes" w:id="58"/>
    <w:p w:rsidRPr="008873B1" w:rsidR="004D0549" w:rsidP="004D0549" w:rsidRDefault="004D0549" w14:paraId="6797E6C5" w14:textId="17B39841">
      <w:pPr>
        <w:pStyle w:val="JuPara"/>
      </w:pPr>
      <w:r w:rsidRPr="008873B1">
        <w:fldChar w:fldCharType="begin"/>
      </w:r>
      <w:r w:rsidRPr="008873B1">
        <w:instrText xml:space="preserve"> SEQ level0 \*arabic </w:instrText>
      </w:r>
      <w:r w:rsidRPr="008873B1">
        <w:fldChar w:fldCharType="separate"/>
      </w:r>
      <w:r w:rsidR="004F11CA">
        <w:rPr>
          <w:noProof/>
        </w:rPr>
        <w:t>133</w:t>
      </w:r>
      <w:r w:rsidRPr="008873B1">
        <w:fldChar w:fldCharType="end"/>
      </w:r>
      <w:bookmarkEnd w:id="57"/>
      <w:bookmarkEnd w:id="58"/>
      <w:r w:rsidRPr="008873B1">
        <w:t xml:space="preserve">.  The bulk interception regime in the United Kingdom is described in detail in the Court’s judgment in the case of </w:t>
      </w:r>
      <w:r w:rsidRPr="008873B1">
        <w:rPr>
          <w:i/>
          <w:iCs/>
        </w:rPr>
        <w:t>Big Brother Watch and Others v. the United Kingdom</w:t>
      </w:r>
      <w:r w:rsidRPr="008873B1">
        <w:t xml:space="preserve"> (nos.</w:t>
      </w:r>
      <w:r w:rsidRPr="008873B1">
        <w:rPr>
          <w:lang w:eastAsia="en-GB"/>
        </w:rPr>
        <w:t xml:space="preserve"> </w:t>
      </w:r>
      <w:r w:rsidRPr="008873B1">
        <w:t xml:space="preserve">58170/13 and 2 others, </w:t>
      </w:r>
      <w:r w:rsidRPr="008873B1" w:rsidR="00E97D82">
        <w:t>25 May</w:t>
      </w:r>
      <w:r w:rsidRPr="008873B1">
        <w:t xml:space="preserve"> 2021).</w:t>
      </w:r>
    </w:p>
    <w:p w:rsidRPr="008873B1" w:rsidR="004D0549" w:rsidP="004D0549" w:rsidRDefault="004D0549" w14:paraId="497D115F" w14:textId="560CDF24">
      <w:pPr>
        <w:pStyle w:val="JuPara"/>
      </w:pPr>
      <w:r w:rsidRPr="008873B1">
        <w:fldChar w:fldCharType="begin"/>
      </w:r>
      <w:r w:rsidRPr="008873B1">
        <w:instrText xml:space="preserve"> SEQ level0 \*arabic </w:instrText>
      </w:r>
      <w:r w:rsidRPr="008873B1">
        <w:fldChar w:fldCharType="separate"/>
      </w:r>
      <w:r w:rsidR="004F11CA">
        <w:rPr>
          <w:noProof/>
        </w:rPr>
        <w:t>134</w:t>
      </w:r>
      <w:r w:rsidRPr="008873B1">
        <w:fldChar w:fldCharType="end"/>
      </w:r>
      <w:r w:rsidRPr="008873B1">
        <w:t xml:space="preserve">.  As regards intelligence sharing agreements, at least thirty-nine Contracting States have either concluded intelligence sharing agreements with other </w:t>
      </w:r>
      <w:proofErr w:type="gramStart"/>
      <w:r w:rsidRPr="008873B1">
        <w:t>States, or</w:t>
      </w:r>
      <w:proofErr w:type="gramEnd"/>
      <w:r w:rsidRPr="008873B1">
        <w:t xml:space="preserve"> have the possibility for such agreements. Two expressly prohibit and two expressly permit the State to ask a foreign power to intercept material on their behalf. In the remaining States, the position on this issue is not clear.</w:t>
      </w:r>
    </w:p>
    <w:p w:rsidRPr="008873B1" w:rsidR="004D0549" w:rsidP="004D0549" w:rsidRDefault="004D0549" w14:paraId="5E104260" w14:textId="1CD8D936">
      <w:pPr>
        <w:pStyle w:val="JuPara"/>
      </w:pPr>
      <w:r w:rsidRPr="008873B1">
        <w:fldChar w:fldCharType="begin"/>
      </w:r>
      <w:r w:rsidRPr="008873B1">
        <w:instrText xml:space="preserve"> SEQ level0 \*arabic </w:instrText>
      </w:r>
      <w:r w:rsidRPr="008873B1">
        <w:fldChar w:fldCharType="separate"/>
      </w:r>
      <w:r w:rsidR="004F11CA">
        <w:rPr>
          <w:noProof/>
        </w:rPr>
        <w:t>135</w:t>
      </w:r>
      <w:r w:rsidRPr="008873B1">
        <w:fldChar w:fldCharType="end"/>
      </w:r>
      <w:r w:rsidRPr="008873B1">
        <w:t>.  Finally, in most States the applicable safeguards are broadly the same as for domestic operations, with various restrictions on the use of the received data and in some cases an obligation to destroy them if they became irrelevant.</w:t>
      </w:r>
    </w:p>
    <w:p w:rsidRPr="008873B1" w:rsidR="004D0549" w:rsidP="008873B1" w:rsidRDefault="004D0549" w14:paraId="30CF470D" w14:textId="6C602AD1">
      <w:pPr>
        <w:pStyle w:val="JuH1"/>
        <w:numPr>
          <w:ilvl w:val="3"/>
          <w:numId w:val="1"/>
        </w:numPr>
        <w:ind w:left="731"/>
      </w:pPr>
      <w:r w:rsidRPr="008873B1">
        <w:t>Judgment of the German Federal Constitutional Court of 19</w:t>
      </w:r>
      <w:r w:rsidRPr="008873B1" w:rsidR="00313DA4">
        <w:t> </w:t>
      </w:r>
      <w:r w:rsidRPr="008873B1">
        <w:t>May</w:t>
      </w:r>
      <w:r w:rsidRPr="008873B1" w:rsidR="00313DA4">
        <w:t> </w:t>
      </w:r>
      <w:r w:rsidRPr="008873B1">
        <w:t xml:space="preserve">2020 (1 </w:t>
      </w:r>
      <w:proofErr w:type="spellStart"/>
      <w:r w:rsidRPr="008873B1">
        <w:t>BvR</w:t>
      </w:r>
      <w:proofErr w:type="spellEnd"/>
      <w:r w:rsidRPr="008873B1">
        <w:t xml:space="preserve"> 2835/17)</w:t>
      </w:r>
    </w:p>
    <w:p w:rsidRPr="008873B1" w:rsidR="004D0549" w:rsidP="004D0549" w:rsidRDefault="004D0549" w14:paraId="1AE57FF6" w14:textId="17BA0BED">
      <w:pPr>
        <w:pStyle w:val="JuPara"/>
      </w:pPr>
      <w:r w:rsidRPr="008873B1">
        <w:fldChar w:fldCharType="begin"/>
      </w:r>
      <w:r w:rsidRPr="008873B1">
        <w:instrText xml:space="preserve"> SEQ level0 \*arabic </w:instrText>
      </w:r>
      <w:r w:rsidRPr="008873B1">
        <w:fldChar w:fldCharType="separate"/>
      </w:r>
      <w:r w:rsidR="004F11CA">
        <w:rPr>
          <w:noProof/>
        </w:rPr>
        <w:t>136</w:t>
      </w:r>
      <w:r w:rsidRPr="008873B1">
        <w:fldChar w:fldCharType="end"/>
      </w:r>
      <w:r w:rsidRPr="008873B1">
        <w:t>.  In this judgment, the Constitutional Court considered whether the Federal Intelligence Service’s powers to conduct strategic (or “signals”) intelligence on foreign telecommunications were in breach of the fundamental rights contained in the Basic Law (</w:t>
      </w:r>
      <w:proofErr w:type="spellStart"/>
      <w:r w:rsidRPr="008873B1">
        <w:t>Grundgesetz</w:t>
      </w:r>
      <w:proofErr w:type="spellEnd"/>
      <w:r w:rsidRPr="008873B1">
        <w:t>).</w:t>
      </w:r>
    </w:p>
    <w:bookmarkStart w:name="Germansystem" w:id="59"/>
    <w:p w:rsidRPr="008873B1" w:rsidR="004D0549" w:rsidP="004D0549" w:rsidRDefault="004D0549" w14:paraId="716AC9B8" w14:textId="203D213B">
      <w:pPr>
        <w:pStyle w:val="JuPara"/>
      </w:pPr>
      <w:r w:rsidRPr="008873B1">
        <w:fldChar w:fldCharType="begin"/>
      </w:r>
      <w:r w:rsidRPr="008873B1">
        <w:instrText xml:space="preserve"> SEQ level0 \*arabic </w:instrText>
      </w:r>
      <w:r w:rsidRPr="008873B1">
        <w:fldChar w:fldCharType="separate"/>
      </w:r>
      <w:r w:rsidR="004F11CA">
        <w:rPr>
          <w:noProof/>
        </w:rPr>
        <w:t>137</w:t>
      </w:r>
      <w:r w:rsidRPr="008873B1">
        <w:fldChar w:fldCharType="end"/>
      </w:r>
      <w:bookmarkEnd w:id="59"/>
      <w:r w:rsidRPr="008873B1">
        <w:t xml:space="preserve">.  The regime in question involved the interception of both content and related communications </w:t>
      </w:r>
      <w:r w:rsidR="00727EEA">
        <w:t xml:space="preserve">data </w:t>
      </w:r>
      <w:r w:rsidRPr="008873B1">
        <w:t xml:space="preserve">and aimed only to monitor foreign telecommunications outside of German territory. Such surveillance could be carried out for the purpose of gaining information about topics determined by the Federal Government’s mandate </w:t>
      </w:r>
      <w:r w:rsidR="006D7624">
        <w:t>to be</w:t>
      </w:r>
      <w:r w:rsidRPr="008873B1">
        <w:t xml:space="preserve"> significant for the State’s foreign and security policy. It could, however, also be used to target specific individuals. The admissibility and necessity of the orders to conduct such surveillance was controlled by an Independent Panel. According to the </w:t>
      </w:r>
      <w:r w:rsidR="004442CB">
        <w:t xml:space="preserve">Constitutional Court’s </w:t>
      </w:r>
      <w:r w:rsidRPr="008873B1">
        <w:t>judgment, interception was followed by a multi-stage, fully automated filtering and evaluation process. For this purpose, the Federal Intelligence Service used a six-digit number of search terms which were subject to control by an internal sub-unit responsible for ensuring that the link between the search terms employed and the purpose of the data request was explained in a reasonable and comprehensive manner. After the application of the automated filtering process, intercepted material was either deleted or stored and sent for evaluation by an analyst.</w:t>
      </w:r>
    </w:p>
    <w:p w:rsidRPr="008873B1" w:rsidR="004D0549" w:rsidP="004D0549" w:rsidRDefault="004D0549" w14:paraId="28C99161" w14:textId="108B5A86">
      <w:pPr>
        <w:pStyle w:val="JuPara"/>
      </w:pPr>
      <w:r w:rsidRPr="008873B1">
        <w:fldChar w:fldCharType="begin"/>
      </w:r>
      <w:r w:rsidRPr="008873B1">
        <w:instrText xml:space="preserve"> SEQ level0 \*arabic </w:instrText>
      </w:r>
      <w:r w:rsidRPr="008873B1">
        <w:fldChar w:fldCharType="separate"/>
      </w:r>
      <w:r w:rsidR="004F11CA">
        <w:rPr>
          <w:noProof/>
        </w:rPr>
        <w:t>138</w:t>
      </w:r>
      <w:r w:rsidRPr="008873B1">
        <w:fldChar w:fldCharType="end"/>
      </w:r>
      <w:r w:rsidRPr="008873B1">
        <w:t>.  The sharing of intercept material with foreign intelligence services was accompanied by a cooperation agreement which had to include usage restrictions and assurances to ensure that data were handled and deleted in accordance with the rule of law.</w:t>
      </w:r>
    </w:p>
    <w:p w:rsidRPr="008873B1" w:rsidR="004D0549" w:rsidP="004D0549" w:rsidRDefault="004D0549" w14:paraId="57DB01B1" w14:textId="3855DE75">
      <w:pPr>
        <w:pStyle w:val="JuPara"/>
      </w:pPr>
      <w:r w:rsidRPr="008873B1">
        <w:fldChar w:fldCharType="begin"/>
      </w:r>
      <w:r w:rsidRPr="008873B1">
        <w:instrText xml:space="preserve"> SEQ level0 \*arabic </w:instrText>
      </w:r>
      <w:r w:rsidRPr="008873B1">
        <w:fldChar w:fldCharType="separate"/>
      </w:r>
      <w:r w:rsidR="004F11CA">
        <w:rPr>
          <w:noProof/>
        </w:rPr>
        <w:t>139</w:t>
      </w:r>
      <w:r w:rsidRPr="008873B1">
        <w:fldChar w:fldCharType="end"/>
      </w:r>
      <w:r w:rsidRPr="008873B1">
        <w:t xml:space="preserve">.  The Constitutional Court held that the regime in question was not compliant with the Basic Law. While it acknowledged the overriding public interest in effective foreign intelligence gathering, it nevertheless considered, </w:t>
      </w:r>
      <w:r w:rsidRPr="008873B1">
        <w:rPr>
          <w:i/>
        </w:rPr>
        <w:t>inter alia</w:t>
      </w:r>
      <w:r w:rsidRPr="008873B1">
        <w:t>, that the regime was not restricted to sufficiently specific purposes; that it was not structured in a way that allowed for adequate oversight and control; and that various safeguards were lacking, particularly with respect to the protection of journalists, lawyers and other persons whose communications require</w:t>
      </w:r>
      <w:r w:rsidR="00601F70">
        <w:t>d</w:t>
      </w:r>
      <w:r w:rsidRPr="008873B1">
        <w:t xml:space="preserve"> special confidentiality protection.</w:t>
      </w:r>
    </w:p>
    <w:p w:rsidRPr="008873B1" w:rsidR="004D0549" w:rsidP="004D0549" w:rsidRDefault="004D0549" w14:paraId="07DCB9C6" w14:textId="1A51FE64">
      <w:pPr>
        <w:pStyle w:val="JuPara"/>
      </w:pPr>
      <w:r w:rsidRPr="008873B1">
        <w:fldChar w:fldCharType="begin"/>
      </w:r>
      <w:r w:rsidRPr="008873B1">
        <w:instrText xml:space="preserve"> SEQ level0 \*arabic </w:instrText>
      </w:r>
      <w:r w:rsidRPr="008873B1">
        <w:fldChar w:fldCharType="separate"/>
      </w:r>
      <w:r w:rsidR="004F11CA">
        <w:rPr>
          <w:noProof/>
        </w:rPr>
        <w:t>140</w:t>
      </w:r>
      <w:r w:rsidRPr="008873B1">
        <w:fldChar w:fldCharType="end"/>
      </w:r>
      <w:r w:rsidRPr="008873B1">
        <w:t xml:space="preserve">.  Regarding the sharing of intelligence obtained through foreign surveillance, the court again found the safeguards to be lacking. </w:t>
      </w:r>
      <w:proofErr w:type="gramStart"/>
      <w:r w:rsidRPr="008873B1">
        <w:t>In particular, it</w:t>
      </w:r>
      <w:proofErr w:type="gramEnd"/>
      <w:r w:rsidRPr="008873B1">
        <w:t xml:space="preserve"> was not specified with sufficient clarity when weighty interests might justify data transfers. In addition, while the court did not consider it necessary for a recipient State to have comparable rules on the processing of personal data, it nevertheless considered that data could only be transferred abroad if there was an adequate level of data protection and there was no reason to fear that the information would be used to violate fundamental principles of the rule of law. More generally, in the context of intelligence sharing, the court considered that cooperation with foreign States should not be used to undermine domestic safeguards and if the Federal Intelligence Service wished to use search terms provided to it by a foreign intelligence service it should first confirm the existence of the necessary link between the search terms and the purpose of the data request and that the resulting data did not disclose a particular need for confidentiality (for example, because they concerned whistle-blowers or dissidents). Although the court did not exclude the possibility of the bulk transfer of data to foreign intelligence services, it found that this could not be a continuous process based on a single purpose.</w:t>
      </w:r>
    </w:p>
    <w:p w:rsidRPr="008873B1" w:rsidR="004D0549" w:rsidP="004D0549" w:rsidRDefault="004D0549" w14:paraId="39CF8592" w14:textId="7B565363">
      <w:pPr>
        <w:pStyle w:val="JuPara"/>
      </w:pPr>
      <w:r w:rsidRPr="008873B1">
        <w:fldChar w:fldCharType="begin"/>
      </w:r>
      <w:r w:rsidRPr="008873B1">
        <w:instrText xml:space="preserve"> SEQ level0 \*arabic </w:instrText>
      </w:r>
      <w:r w:rsidRPr="008873B1">
        <w:fldChar w:fldCharType="separate"/>
      </w:r>
      <w:r w:rsidR="004F11CA">
        <w:rPr>
          <w:noProof/>
        </w:rPr>
        <w:t>141</w:t>
      </w:r>
      <w:r w:rsidRPr="008873B1">
        <w:fldChar w:fldCharType="end"/>
      </w:r>
      <w:r w:rsidRPr="008873B1">
        <w:t xml:space="preserve">. Finally, the court found that the surveillance powers under review also lacked an extensive independent and continual oversight serving to ensure that the law </w:t>
      </w:r>
      <w:r w:rsidR="0024138A">
        <w:t>wa</w:t>
      </w:r>
      <w:r w:rsidRPr="008873B1">
        <w:t xml:space="preserve">s observed and compensating for the virtual absence of safeguards commonly guaranteed under the rule of law. The legislator had to provide for two different types of oversight, which had also to be reflected in the organisational framework: firstly, a body resembling a court, tasked with conducting oversight and deciding in a formal procedure providing </w:t>
      </w:r>
      <w:r w:rsidRPr="00416259">
        <w:rPr>
          <w:i/>
          <w:iCs/>
        </w:rPr>
        <w:t>ex ante</w:t>
      </w:r>
      <w:r w:rsidRPr="008873B1">
        <w:t xml:space="preserve"> or </w:t>
      </w:r>
      <w:r w:rsidRPr="005C20C0">
        <w:rPr>
          <w:i/>
          <w:iCs/>
        </w:rPr>
        <w:t>ex post</w:t>
      </w:r>
      <w:r w:rsidRPr="008873B1">
        <w:t xml:space="preserve"> legal protection; and secondly, an oversight that </w:t>
      </w:r>
      <w:r w:rsidR="005C20C0">
        <w:t>wa</w:t>
      </w:r>
      <w:r w:rsidRPr="008873B1">
        <w:t>s administrative in nature and c</w:t>
      </w:r>
      <w:r w:rsidR="005C20C0">
        <w:t>ould</w:t>
      </w:r>
      <w:r w:rsidRPr="008873B1">
        <w:t xml:space="preserve">, on its own initiative, randomly scrutinise the entire process of strategic surveillance as to its lawfulness. In the Constitutional Court´s view, certain key procedural steps would, in principle, require </w:t>
      </w:r>
      <w:r w:rsidRPr="00C26BAC">
        <w:rPr>
          <w:i/>
          <w:iCs/>
        </w:rPr>
        <w:t>ex ante</w:t>
      </w:r>
      <w:r w:rsidRPr="008873B1">
        <w:t xml:space="preserve"> authorisation by a body resembling a court, namely: the formal determination of the various surveillance measures (exemptions in cases of urgency </w:t>
      </w:r>
      <w:r w:rsidR="00E04614">
        <w:t>we</w:t>
      </w:r>
      <w:r w:rsidRPr="008873B1">
        <w:t>re not ruled out); the use of search terms, insofar as these directly target</w:t>
      </w:r>
      <w:r w:rsidR="00E04614">
        <w:t>ed</w:t>
      </w:r>
      <w:r w:rsidRPr="008873B1">
        <w:t xml:space="preserve"> individuals who m</w:t>
      </w:r>
      <w:r w:rsidR="00E04614">
        <w:t>ight</w:t>
      </w:r>
      <w:r w:rsidRPr="008873B1">
        <w:t xml:space="preserve"> pose a danger and </w:t>
      </w:r>
      <w:r w:rsidR="00E04614">
        <w:t>we</w:t>
      </w:r>
      <w:r w:rsidRPr="008873B1">
        <w:t>re thus of direct interest to the Federal Intelligence Service; the use of search terms that directly target</w:t>
      </w:r>
      <w:r w:rsidR="00E04614">
        <w:t>ed</w:t>
      </w:r>
      <w:r w:rsidRPr="008873B1">
        <w:t xml:space="preserve"> individuals whose communication</w:t>
      </w:r>
      <w:r w:rsidR="00E04614">
        <w:t>s</w:t>
      </w:r>
      <w:r w:rsidRPr="008873B1">
        <w:t xml:space="preserve"> require</w:t>
      </w:r>
      <w:r w:rsidR="00E04614">
        <w:t>d</w:t>
      </w:r>
      <w:r w:rsidRPr="008873B1">
        <w:t xml:space="preserve"> special confidentiality protection; and sharing the data of journalists, lawyers and other professions meriting special confidentiality protection with foreign intelligence services.</w:t>
      </w:r>
    </w:p>
    <w:p w:rsidRPr="008873B1" w:rsidR="004D0549" w:rsidP="008873B1" w:rsidRDefault="004D0549" w14:paraId="6944050F" w14:textId="77777777">
      <w:pPr>
        <w:pStyle w:val="JuHA"/>
        <w:numPr>
          <w:ilvl w:val="2"/>
          <w:numId w:val="1"/>
        </w:numPr>
        <w:ind w:left="584"/>
      </w:pPr>
      <w:r w:rsidRPr="008873B1">
        <w:t>The United States of America</w:t>
      </w:r>
    </w:p>
    <w:bookmarkStart w:name="UpstreamSt" w:id="60"/>
    <w:p w:rsidRPr="008873B1" w:rsidR="004D0549" w:rsidP="004D0549" w:rsidRDefault="004D0549" w14:paraId="7182F42D" w14:textId="2FB27D0C">
      <w:pPr>
        <w:pStyle w:val="JuPara"/>
      </w:pPr>
      <w:r w:rsidRPr="008873B1">
        <w:fldChar w:fldCharType="begin"/>
      </w:r>
      <w:r w:rsidRPr="008873B1">
        <w:instrText xml:space="preserve"> SEQ level0 \*arabic </w:instrText>
      </w:r>
      <w:r w:rsidRPr="008873B1">
        <w:fldChar w:fldCharType="separate"/>
      </w:r>
      <w:r w:rsidR="004F11CA">
        <w:rPr>
          <w:noProof/>
        </w:rPr>
        <w:t>142</w:t>
      </w:r>
      <w:r w:rsidRPr="008873B1">
        <w:fldChar w:fldCharType="end"/>
      </w:r>
      <w:bookmarkEnd w:id="60"/>
      <w:r w:rsidRPr="008873B1">
        <w:t>.  The United States’ intelligence services operate the Upstream programme pursuant to section 702 of the Foreign Intelligence Surveillance Act (“FISA”).</w:t>
      </w:r>
    </w:p>
    <w:bookmarkStart w:name="NSAInt" w:id="61"/>
    <w:bookmarkStart w:name="UpstreamPurposes" w:id="62"/>
    <w:p w:rsidRPr="008873B1" w:rsidR="004D0549" w:rsidP="004D0549" w:rsidRDefault="004D0549" w14:paraId="47DE597C" w14:textId="5A7EC0CB">
      <w:pPr>
        <w:pStyle w:val="JuPara"/>
      </w:pPr>
      <w:r w:rsidRPr="008873B1">
        <w:fldChar w:fldCharType="begin"/>
      </w:r>
      <w:r w:rsidRPr="008873B1">
        <w:instrText xml:space="preserve"> SEQ level0 \*arabic </w:instrText>
      </w:r>
      <w:r w:rsidRPr="008873B1">
        <w:fldChar w:fldCharType="separate"/>
      </w:r>
      <w:r w:rsidR="004F11CA">
        <w:rPr>
          <w:noProof/>
        </w:rPr>
        <w:t>143</w:t>
      </w:r>
      <w:r w:rsidRPr="008873B1">
        <w:fldChar w:fldCharType="end"/>
      </w:r>
      <w:bookmarkEnd w:id="61"/>
      <w:bookmarkEnd w:id="62"/>
      <w:r w:rsidRPr="008873B1">
        <w:t xml:space="preserve">.  The Attorney General and Director of National Intelligence make annual certifications authorising surveillance targeting non-U.S. persons reasonably believed to be located outside the U.S. They do not have to specify to the Foreign Intelligence Surveillance Court (“FISC”) the </w:t>
      </w:r>
      <w:proofErr w:type="gramStart"/>
      <w:r w:rsidRPr="008873B1">
        <w:t>particular non-</w:t>
      </w:r>
      <w:proofErr w:type="gramEnd"/>
      <w:r w:rsidRPr="008873B1">
        <w:t xml:space="preserve">U.S. persons to be targeted, and there is no requirement to demonstrate probable cause to believe that an individual targeted is an agent of a foreign power. Instead, the section 702 certifications identify categories of information to be collected, which </w:t>
      </w:r>
      <w:proofErr w:type="gramStart"/>
      <w:r w:rsidRPr="008873B1">
        <w:t>have to</w:t>
      </w:r>
      <w:proofErr w:type="gramEnd"/>
      <w:r w:rsidRPr="008873B1">
        <w:t xml:space="preserve"> meet the statutory definition of foreign intelligence information. Authorised certifications have included information concerning international terrorism, and the acquisition of weapons of mass destruction.</w:t>
      </w:r>
    </w:p>
    <w:bookmarkStart w:name="NSAtofromabout" w:id="63"/>
    <w:p w:rsidRPr="008873B1" w:rsidR="004D0549" w:rsidP="004D0549" w:rsidRDefault="004D0549" w14:paraId="381BBCB2" w14:textId="765F3CB7">
      <w:pPr>
        <w:pStyle w:val="JuPara"/>
      </w:pPr>
      <w:r w:rsidRPr="008873B1">
        <w:fldChar w:fldCharType="begin"/>
      </w:r>
      <w:r w:rsidRPr="008873B1">
        <w:instrText xml:space="preserve"> SEQ level0 \*arabic </w:instrText>
      </w:r>
      <w:r w:rsidRPr="008873B1">
        <w:fldChar w:fldCharType="separate"/>
      </w:r>
      <w:r w:rsidR="004F11CA">
        <w:rPr>
          <w:noProof/>
        </w:rPr>
        <w:t>144</w:t>
      </w:r>
      <w:r w:rsidRPr="008873B1">
        <w:fldChar w:fldCharType="end"/>
      </w:r>
      <w:bookmarkEnd w:id="63"/>
      <w:r w:rsidRPr="008873B1">
        <w:t>.  Pursuant to the authorisation, the NSA, with the compelled assistance of service providers, copies and searches streams of Internet traffic as data flows across the Internet. Both telephone calls and Internet communications are collected. Prior to April</w:t>
      </w:r>
      <w:r w:rsidRPr="008873B1" w:rsidR="00313DA4">
        <w:t> </w:t>
      </w:r>
      <w:r w:rsidRPr="008873B1">
        <w:t xml:space="preserve">2017 the NSA acquired Internet transactions that were “to”, “from”, or “about” a tasked selector. A “to” or “from” communication was a communication for which the sender or a recipient was a user of a section 702 tasked selector. An “about” communication was one in which the tasked selector was referenced within the acquired Internet transaction, but the target was not necessarily a participant in the communication. Collection of “about” communications therefore involved searching the content of communications traversing the Internet. However, from April 2017 onwards the NSA have not been acquiring or collecting communications that are merely “about” a target. In </w:t>
      </w:r>
      <w:proofErr w:type="gramStart"/>
      <w:r w:rsidRPr="008873B1">
        <w:t>addition</w:t>
      </w:r>
      <w:proofErr w:type="gramEnd"/>
      <w:r w:rsidRPr="008873B1">
        <w:t xml:space="preserve"> the NSA stated that, as part of this curtailment, it would delete the vast majority of previously acquired Upstream Internet communications as soon as practicable.</w:t>
      </w:r>
    </w:p>
    <w:bookmarkStart w:name="UpstreamEnd" w:id="64"/>
    <w:p w:rsidRPr="008873B1" w:rsidR="004D0549" w:rsidP="004D0549" w:rsidRDefault="004D0549" w14:paraId="1B22B98E" w14:textId="76B3B032">
      <w:pPr>
        <w:pStyle w:val="JuPara"/>
      </w:pPr>
      <w:r w:rsidRPr="008873B1">
        <w:fldChar w:fldCharType="begin"/>
      </w:r>
      <w:r w:rsidRPr="008873B1">
        <w:instrText xml:space="preserve"> SEQ level0 \*arabic </w:instrText>
      </w:r>
      <w:r w:rsidRPr="008873B1">
        <w:fldChar w:fldCharType="separate"/>
      </w:r>
      <w:r w:rsidR="004F11CA">
        <w:rPr>
          <w:noProof/>
        </w:rPr>
        <w:t>145</w:t>
      </w:r>
      <w:r w:rsidRPr="008873B1">
        <w:fldChar w:fldCharType="end"/>
      </w:r>
      <w:bookmarkEnd w:id="64"/>
      <w:r w:rsidRPr="008873B1">
        <w:t>.  Section 702 requires the Government to develop targeting and minimization procedures which are kept under review by the FISC.</w:t>
      </w:r>
    </w:p>
    <w:bookmarkStart w:name="rel_comp_law_end" w:id="65"/>
    <w:p w:rsidRPr="008873B1" w:rsidR="004D0549" w:rsidP="004D0549" w:rsidRDefault="004D0549" w14:paraId="1E353B9A" w14:textId="1DF2934B">
      <w:pPr>
        <w:pStyle w:val="JuPara"/>
      </w:pPr>
      <w:r w:rsidRPr="008873B1">
        <w:fldChar w:fldCharType="begin"/>
      </w:r>
      <w:r w:rsidRPr="008873B1">
        <w:instrText xml:space="preserve"> SEQ level0 \*arabic </w:instrText>
      </w:r>
      <w:r w:rsidRPr="008873B1">
        <w:fldChar w:fldCharType="separate"/>
      </w:r>
      <w:r w:rsidR="004F11CA">
        <w:rPr>
          <w:noProof/>
        </w:rPr>
        <w:t>146</w:t>
      </w:r>
      <w:r w:rsidRPr="008873B1">
        <w:fldChar w:fldCharType="end"/>
      </w:r>
      <w:bookmarkEnd w:id="65"/>
      <w:r w:rsidRPr="008873B1">
        <w:t xml:space="preserve">.  Executive Order 12333, which was signed in 1981, authorises the collection, retention and dissemination of information obtained </w:t>
      </w:r>
      <w:proofErr w:type="gramStart"/>
      <w:r w:rsidRPr="008873B1">
        <w:t>in the course of</w:t>
      </w:r>
      <w:proofErr w:type="gramEnd"/>
      <w:r w:rsidRPr="008873B1">
        <w:t xml:space="preserve"> a lawful foreign intelligence, counterintelligence, international narcotics or international terrorism investigation. Surveillance of foreign nationals under Executive Order 12333 is not subject to domestic regulation under FISA. It is not known how much data are collected under Executive Order 12333, relative to th</w:t>
      </w:r>
      <w:r w:rsidR="00AC0C66">
        <w:t>ose</w:t>
      </w:r>
      <w:r w:rsidRPr="008873B1">
        <w:t xml:space="preserve"> collected under section 702.</w:t>
      </w:r>
    </w:p>
    <w:p w:rsidRPr="008873B1" w:rsidR="004D0549" w:rsidP="008873B1" w:rsidRDefault="004D0549" w14:paraId="7B3C5391" w14:textId="77777777">
      <w:pPr>
        <w:pStyle w:val="JuHHead"/>
        <w:numPr>
          <w:ilvl w:val="0"/>
          <w:numId w:val="1"/>
        </w:numPr>
      </w:pPr>
      <w:r w:rsidRPr="008873B1">
        <w:t>THE LAW</w:t>
      </w:r>
    </w:p>
    <w:p w:rsidRPr="008873B1" w:rsidR="004D0549" w:rsidP="008873B1" w:rsidRDefault="004D0549" w14:paraId="545ECC99" w14:textId="77777777">
      <w:pPr>
        <w:pStyle w:val="JuHIRoman"/>
        <w:numPr>
          <w:ilvl w:val="1"/>
          <w:numId w:val="1"/>
        </w:numPr>
        <w:tabs>
          <w:tab w:val="clear" w:pos="454"/>
          <w:tab w:val="clear" w:pos="567"/>
          <w:tab w:val="clear" w:pos="680"/>
        </w:tabs>
      </w:pPr>
      <w:r w:rsidRPr="008873B1">
        <w:t>PRELIMINARY ISSUE: DATE OF ASSESSMENT</w:t>
      </w:r>
    </w:p>
    <w:p w:rsidRPr="008873B1" w:rsidR="004D0549" w:rsidP="004D0549" w:rsidRDefault="004D0549" w14:paraId="53DBEB36" w14:textId="58D93A47">
      <w:pPr>
        <w:pStyle w:val="JuPara"/>
      </w:pPr>
      <w:r w:rsidRPr="008873B1">
        <w:fldChar w:fldCharType="begin"/>
      </w:r>
      <w:r w:rsidRPr="008873B1">
        <w:instrText xml:space="preserve"> SEQ level0 \*arabic </w:instrText>
      </w:r>
      <w:r w:rsidRPr="008873B1">
        <w:fldChar w:fldCharType="separate"/>
      </w:r>
      <w:r w:rsidR="004F11CA">
        <w:rPr>
          <w:noProof/>
        </w:rPr>
        <w:t>147</w:t>
      </w:r>
      <w:r w:rsidRPr="008873B1">
        <w:fldChar w:fldCharType="end"/>
      </w:r>
      <w:r w:rsidRPr="008873B1">
        <w:t>.  Before the Chamber the applicant sought a ruling on the Convention compatibility of the relevant Swedish legislation as it applied during three distinct periods (see paragraph 82 of the Chamber judgment). The Chamber decided to focus on the Swedish legislation as it stood at the time of its examination of the case (see paragraphs 96-98 of the Chamber judgment).</w:t>
      </w:r>
    </w:p>
    <w:p w:rsidRPr="008873B1" w:rsidR="004D0549" w:rsidP="004D0549" w:rsidRDefault="004D0549" w14:paraId="36DB6A75" w14:textId="64136601">
      <w:pPr>
        <w:pStyle w:val="JuPara"/>
      </w:pPr>
      <w:r w:rsidRPr="008873B1">
        <w:fldChar w:fldCharType="begin"/>
      </w:r>
      <w:r w:rsidRPr="008873B1">
        <w:instrText xml:space="preserve"> SEQ level0 \*arabic </w:instrText>
      </w:r>
      <w:r w:rsidRPr="008873B1">
        <w:fldChar w:fldCharType="separate"/>
      </w:r>
      <w:r w:rsidR="004F11CA">
        <w:rPr>
          <w:noProof/>
        </w:rPr>
        <w:t>148</w:t>
      </w:r>
      <w:r w:rsidRPr="008873B1">
        <w:fldChar w:fldCharType="end"/>
      </w:r>
      <w:r w:rsidRPr="008873B1">
        <w:t xml:space="preserve">.  Before the Grand Chamber, the applicant did not reiterate its request concerning the three periods but relied in its submissions on, </w:t>
      </w:r>
      <w:r w:rsidRPr="008873B1">
        <w:rPr>
          <w:i/>
        </w:rPr>
        <w:t>inter alia</w:t>
      </w:r>
      <w:r w:rsidRPr="008873B1">
        <w:t>, developments from 2018 and 2019 post-dating the Chamber’s examination of the case.</w:t>
      </w:r>
    </w:p>
    <w:p w:rsidRPr="008873B1" w:rsidR="004D0549" w:rsidP="004D0549" w:rsidRDefault="004D0549" w14:paraId="1A8FDD4D" w14:textId="2835EEC9">
      <w:pPr>
        <w:pStyle w:val="JuPara"/>
      </w:pPr>
      <w:r w:rsidRPr="008873B1">
        <w:fldChar w:fldCharType="begin"/>
      </w:r>
      <w:r w:rsidRPr="008873B1">
        <w:instrText xml:space="preserve"> SEQ level0 \*arabic </w:instrText>
      </w:r>
      <w:r w:rsidRPr="008873B1">
        <w:fldChar w:fldCharType="separate"/>
      </w:r>
      <w:r w:rsidR="004F11CA">
        <w:rPr>
          <w:noProof/>
        </w:rPr>
        <w:t>149</w:t>
      </w:r>
      <w:r w:rsidRPr="008873B1">
        <w:fldChar w:fldCharType="end"/>
      </w:r>
      <w:r w:rsidRPr="008873B1">
        <w:t>.  The Government considered that, having regard to the Court’s case law according to which “the content and scope of the “case” referred to the Grand Chamber are ... delimited by the Chamber’s decision on admissibility”, the Grand Chamber’s review should be limited to the Swedish legislation as it stood at the time of the Chamber’s examination.</w:t>
      </w:r>
    </w:p>
    <w:p w:rsidRPr="008873B1" w:rsidR="004D0549" w:rsidP="004D0549" w:rsidRDefault="004D0549" w14:paraId="1C29A1CD" w14:textId="5F00EB0E">
      <w:pPr>
        <w:pStyle w:val="JuPara"/>
      </w:pPr>
      <w:r w:rsidRPr="008873B1">
        <w:fldChar w:fldCharType="begin"/>
      </w:r>
      <w:r w:rsidRPr="008873B1">
        <w:instrText xml:space="preserve"> SEQ level0 \*arabic </w:instrText>
      </w:r>
      <w:r w:rsidRPr="008873B1">
        <w:fldChar w:fldCharType="separate"/>
      </w:r>
      <w:r w:rsidR="004F11CA">
        <w:rPr>
          <w:noProof/>
        </w:rPr>
        <w:t>150</w:t>
      </w:r>
      <w:r w:rsidRPr="008873B1">
        <w:fldChar w:fldCharType="end"/>
      </w:r>
      <w:r w:rsidRPr="008873B1">
        <w:t xml:space="preserve">.  The Grand Chamber agrees with the Chamber that it cannot be the Court’s task, when reviewing the relevant law </w:t>
      </w:r>
      <w:r w:rsidRPr="008873B1">
        <w:rPr>
          <w:i/>
        </w:rPr>
        <w:t xml:space="preserve">in </w:t>
      </w:r>
      <w:proofErr w:type="spellStart"/>
      <w:r w:rsidRPr="008873B1">
        <w:rPr>
          <w:i/>
        </w:rPr>
        <w:t>abstracto</w:t>
      </w:r>
      <w:proofErr w:type="spellEnd"/>
      <w:r w:rsidRPr="008873B1">
        <w:t>, as in the present case, to examine compatibility with the Convention before and after every single legislative amendment.</w:t>
      </w:r>
    </w:p>
    <w:p w:rsidRPr="008873B1" w:rsidR="004D0549" w:rsidP="004D0549" w:rsidRDefault="004D0549" w14:paraId="0430EC40" w14:textId="2E8E8BE7">
      <w:pPr>
        <w:pStyle w:val="JuPara"/>
      </w:pPr>
      <w:r w:rsidRPr="008873B1">
        <w:fldChar w:fldCharType="begin"/>
      </w:r>
      <w:r w:rsidRPr="008873B1">
        <w:instrText xml:space="preserve"> SEQ level0 \*arabic </w:instrText>
      </w:r>
      <w:r w:rsidRPr="008873B1">
        <w:fldChar w:fldCharType="separate"/>
      </w:r>
      <w:r w:rsidR="004F11CA">
        <w:rPr>
          <w:noProof/>
        </w:rPr>
        <w:t>151</w:t>
      </w:r>
      <w:r w:rsidRPr="008873B1">
        <w:fldChar w:fldCharType="end"/>
      </w:r>
      <w:r w:rsidRPr="008873B1">
        <w:t>.  The temporal scope of the Grand Chamber’s examination is therefore limited to the Swedish law and practice as it stood in May 2018, at the time of the Chamber examination.</w:t>
      </w:r>
    </w:p>
    <w:p w:rsidRPr="008873B1" w:rsidR="004D0549" w:rsidP="008873B1" w:rsidRDefault="004D0549" w14:paraId="63E3FE42" w14:textId="77777777">
      <w:pPr>
        <w:pStyle w:val="JuHIRoman"/>
        <w:numPr>
          <w:ilvl w:val="1"/>
          <w:numId w:val="1"/>
        </w:numPr>
        <w:tabs>
          <w:tab w:val="clear" w:pos="454"/>
          <w:tab w:val="clear" w:pos="567"/>
          <w:tab w:val="clear" w:pos="680"/>
        </w:tabs>
      </w:pPr>
      <w:r w:rsidRPr="008873B1">
        <w:t>ALLEGED VIOLATION OF ARTICLE 8 OF THE CONVENTION</w:t>
      </w:r>
    </w:p>
    <w:p w:rsidRPr="008873B1" w:rsidR="004D0549" w:rsidP="004D0549" w:rsidRDefault="004D0549" w14:paraId="3C9E0DDB" w14:textId="173F1F04">
      <w:pPr>
        <w:pStyle w:val="JuPara"/>
      </w:pPr>
      <w:r w:rsidRPr="008873B1">
        <w:fldChar w:fldCharType="begin"/>
      </w:r>
      <w:r w:rsidRPr="008873B1">
        <w:instrText xml:space="preserve"> SEQ level0 \*arabic </w:instrText>
      </w:r>
      <w:r w:rsidRPr="008873B1">
        <w:fldChar w:fldCharType="separate"/>
      </w:r>
      <w:r w:rsidR="004F11CA">
        <w:rPr>
          <w:noProof/>
        </w:rPr>
        <w:t>152</w:t>
      </w:r>
      <w:r w:rsidRPr="008873B1">
        <w:fldChar w:fldCharType="end"/>
      </w:r>
      <w:r w:rsidRPr="008873B1">
        <w:t>.  The applicant complained that the relevant legislation and practice in Sweden on bulk interception of communications, also referred to as signals intelligence, were in violation of its right to respect for private life and correspondence protected by Article 8 of the Convention. The Government contested that argument.</w:t>
      </w:r>
    </w:p>
    <w:p w:rsidRPr="008873B1" w:rsidR="004D0549" w:rsidP="004D0549" w:rsidRDefault="004D0549" w14:paraId="16866945" w14:textId="663A7072">
      <w:pPr>
        <w:pStyle w:val="JuPara"/>
      </w:pPr>
      <w:r w:rsidRPr="008873B1">
        <w:fldChar w:fldCharType="begin"/>
      </w:r>
      <w:r w:rsidRPr="008873B1">
        <w:instrText xml:space="preserve"> SEQ level0 \*arabic </w:instrText>
      </w:r>
      <w:r w:rsidRPr="008873B1">
        <w:fldChar w:fldCharType="separate"/>
      </w:r>
      <w:r w:rsidR="004F11CA">
        <w:rPr>
          <w:noProof/>
        </w:rPr>
        <w:t>153</w:t>
      </w:r>
      <w:r w:rsidRPr="008873B1">
        <w:fldChar w:fldCharType="end"/>
      </w:r>
      <w:r w:rsidRPr="008873B1">
        <w:t>.  Article 8 of the Convention reads as follows:</w:t>
      </w:r>
    </w:p>
    <w:p w:rsidRPr="008873B1" w:rsidR="004D0549" w:rsidP="004D0549" w:rsidRDefault="004D0549" w14:paraId="3D814652" w14:textId="77777777">
      <w:pPr>
        <w:pStyle w:val="JuQuot"/>
      </w:pPr>
      <w:r w:rsidRPr="008873B1">
        <w:t>“1.  Everyone has the right to respect for his private and family life, his home and his correspondence.</w:t>
      </w:r>
    </w:p>
    <w:p w:rsidRPr="008873B1" w:rsidR="004D0549" w:rsidP="004D0549" w:rsidRDefault="004D0549" w14:paraId="237391DB" w14:textId="77777777">
      <w:pPr>
        <w:pStyle w:val="JuQuot"/>
      </w:pPr>
      <w:r w:rsidRPr="008873B1">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8873B1" w:rsidR="004D0549" w:rsidP="008873B1" w:rsidRDefault="004D0549" w14:paraId="23AF3EC6" w14:textId="77777777">
      <w:pPr>
        <w:pStyle w:val="JuHA"/>
        <w:numPr>
          <w:ilvl w:val="2"/>
          <w:numId w:val="1"/>
        </w:numPr>
        <w:ind w:left="584"/>
      </w:pPr>
      <w:r w:rsidRPr="008873B1">
        <w:t>The Government’s preliminary objection on victim status</w:t>
      </w:r>
    </w:p>
    <w:p w:rsidRPr="008873B1" w:rsidR="004D0549" w:rsidP="004D0549" w:rsidRDefault="004D0549" w14:paraId="1507FEF5" w14:textId="77777777">
      <w:pPr>
        <w:pStyle w:val="JuH1"/>
        <w:numPr>
          <w:ilvl w:val="0"/>
          <w:numId w:val="0"/>
        </w:numPr>
        <w:ind w:left="431"/>
      </w:pPr>
      <w:r w:rsidRPr="008873B1">
        <w:t>1. The Chamber judgment</w:t>
      </w:r>
    </w:p>
    <w:p w:rsidRPr="008873B1" w:rsidR="004D0549" w:rsidP="004D0549" w:rsidRDefault="004D0549" w14:paraId="6ECCCC5A" w14:textId="3B3CD3BE">
      <w:pPr>
        <w:pStyle w:val="JuPara"/>
      </w:pPr>
      <w:r w:rsidRPr="008873B1">
        <w:fldChar w:fldCharType="begin"/>
      </w:r>
      <w:r w:rsidRPr="008873B1">
        <w:instrText xml:space="preserve"> SEQ level0 \*arabic </w:instrText>
      </w:r>
      <w:r w:rsidRPr="008873B1">
        <w:fldChar w:fldCharType="separate"/>
      </w:r>
      <w:r w:rsidR="004F11CA">
        <w:rPr>
          <w:noProof/>
        </w:rPr>
        <w:t>154</w:t>
      </w:r>
      <w:r w:rsidRPr="008873B1">
        <w:fldChar w:fldCharType="end"/>
      </w:r>
      <w:r w:rsidRPr="008873B1">
        <w:t xml:space="preserve">.  Applying the criteria set out in </w:t>
      </w:r>
      <w:r w:rsidRPr="008873B1">
        <w:rPr>
          <w:i/>
        </w:rPr>
        <w:t xml:space="preserve">Roman </w:t>
      </w:r>
      <w:proofErr w:type="spellStart"/>
      <w:r w:rsidRPr="008873B1">
        <w:rPr>
          <w:i/>
        </w:rPr>
        <w:t>Zakharov</w:t>
      </w:r>
      <w:proofErr w:type="spellEnd"/>
      <w:r w:rsidRPr="008873B1">
        <w:rPr>
          <w:i/>
        </w:rPr>
        <w:t xml:space="preserve"> v. Russia</w:t>
      </w:r>
      <w:r w:rsidRPr="008873B1">
        <w:t xml:space="preserve"> ([GC], no. 47143/06, ECHR 2015), and </w:t>
      </w:r>
      <w:r w:rsidRPr="008873B1">
        <w:rPr>
          <w:i/>
        </w:rPr>
        <w:t>Kennedy v. the United Kingdom</w:t>
      </w:r>
      <w:r w:rsidRPr="008873B1">
        <w:t xml:space="preserve"> (no. 26839/05, 18 May 2010), the Chamber considered that the contested legislation on signals intelligence instituted a system of secret surveillance that potentially affected all users and that no domestic remedy provided detailed grounds in response to a complainant who suspects that he or she has had his or her communications intercepted. In these circumstances, the Chamber considered an examination of the relevant legislation </w:t>
      </w:r>
      <w:r w:rsidRPr="008873B1">
        <w:rPr>
          <w:i/>
        </w:rPr>
        <w:t xml:space="preserve">in </w:t>
      </w:r>
      <w:proofErr w:type="spellStart"/>
      <w:r w:rsidRPr="008873B1">
        <w:rPr>
          <w:i/>
        </w:rPr>
        <w:t>abstracto</w:t>
      </w:r>
      <w:proofErr w:type="spellEnd"/>
      <w:r w:rsidRPr="008873B1">
        <w:t xml:space="preserve"> to be justified and concluded that the applicant could claim to be the victim of a violation of the Convention, even though it was unable to allege that it had been subjected to a concrete measure of interception. For the same reasons the Chamber concluded that the mere existence of the contested legislation amounted </w:t>
      </w:r>
      <w:proofErr w:type="gramStart"/>
      <w:r w:rsidRPr="008873B1">
        <w:t>in itself to</w:t>
      </w:r>
      <w:proofErr w:type="gramEnd"/>
      <w:r w:rsidRPr="008873B1">
        <w:t xml:space="preserve"> an interference with the applicant’s rights under Article 8.</w:t>
      </w:r>
    </w:p>
    <w:p w:rsidRPr="008873B1" w:rsidR="004D0549" w:rsidP="004D0549" w:rsidRDefault="004D0549" w14:paraId="41C8803F" w14:textId="77777777">
      <w:pPr>
        <w:pStyle w:val="JuH1"/>
        <w:numPr>
          <w:ilvl w:val="0"/>
          <w:numId w:val="0"/>
        </w:numPr>
        <w:ind w:left="431"/>
      </w:pPr>
      <w:r w:rsidRPr="008873B1">
        <w:t>2. The parties’ submissions before the Grand Chamber</w:t>
      </w:r>
    </w:p>
    <w:p w:rsidRPr="008873B1" w:rsidR="004D0549" w:rsidP="008873B1" w:rsidRDefault="004D0549" w14:paraId="43ECCBED" w14:textId="77777777">
      <w:pPr>
        <w:pStyle w:val="JuHa0"/>
        <w:numPr>
          <w:ilvl w:val="4"/>
          <w:numId w:val="1"/>
        </w:numPr>
      </w:pPr>
      <w:r w:rsidRPr="008873B1">
        <w:t>The Government</w:t>
      </w:r>
    </w:p>
    <w:p w:rsidRPr="008873B1" w:rsidR="004D0549" w:rsidP="004D0549" w:rsidRDefault="004D0549" w14:paraId="6E58112C" w14:textId="1EFA7F47">
      <w:pPr>
        <w:pStyle w:val="JuPara"/>
      </w:pPr>
      <w:r w:rsidRPr="008873B1">
        <w:fldChar w:fldCharType="begin"/>
      </w:r>
      <w:r w:rsidRPr="008873B1">
        <w:instrText xml:space="preserve"> SEQ level0 \*arabic </w:instrText>
      </w:r>
      <w:r w:rsidRPr="008873B1">
        <w:fldChar w:fldCharType="separate"/>
      </w:r>
      <w:r w:rsidR="004F11CA">
        <w:rPr>
          <w:noProof/>
        </w:rPr>
        <w:t>155</w:t>
      </w:r>
      <w:r w:rsidRPr="008873B1">
        <w:fldChar w:fldCharType="end"/>
      </w:r>
      <w:r w:rsidRPr="008873B1">
        <w:t>.  The Government stated that the applicant did not belong to a “group of persons or entities targeted by the legislation” on signals intelligence within foreign intelligence.</w:t>
      </w:r>
    </w:p>
    <w:p w:rsidRPr="008873B1" w:rsidR="004D0549" w:rsidP="004D0549" w:rsidRDefault="004D0549" w14:paraId="4397A92A" w14:textId="13EC1336">
      <w:pPr>
        <w:pStyle w:val="JuPara"/>
      </w:pPr>
      <w:r w:rsidRPr="008873B1">
        <w:fldChar w:fldCharType="begin"/>
      </w:r>
      <w:r w:rsidRPr="008873B1">
        <w:instrText xml:space="preserve"> SEQ level0 \*arabic </w:instrText>
      </w:r>
      <w:r w:rsidRPr="008873B1">
        <w:fldChar w:fldCharType="separate"/>
      </w:r>
      <w:r w:rsidR="004F11CA">
        <w:rPr>
          <w:noProof/>
        </w:rPr>
        <w:t>156</w:t>
      </w:r>
      <w:r w:rsidRPr="008873B1">
        <w:fldChar w:fldCharType="end"/>
      </w:r>
      <w:r w:rsidRPr="008873B1">
        <w:t>.  In the Government’s view, furthermore, the contested legislation did not directly affect all users of mobile telephone services and the internet since it was restricted to foreign intelligence, and thereby foreign circumstances.</w:t>
      </w:r>
    </w:p>
    <w:p w:rsidRPr="008873B1" w:rsidR="004D0549" w:rsidP="004D0549" w:rsidRDefault="004D0549" w14:paraId="2C41848E" w14:textId="6A561577">
      <w:pPr>
        <w:pStyle w:val="JuPara"/>
      </w:pPr>
      <w:r w:rsidRPr="008873B1">
        <w:fldChar w:fldCharType="begin"/>
      </w:r>
      <w:r w:rsidRPr="008873B1">
        <w:instrText xml:space="preserve"> SEQ level0 \*arabic </w:instrText>
      </w:r>
      <w:r w:rsidRPr="008873B1">
        <w:fldChar w:fldCharType="separate"/>
      </w:r>
      <w:r w:rsidR="004F11CA">
        <w:rPr>
          <w:noProof/>
        </w:rPr>
        <w:t>157</w:t>
      </w:r>
      <w:r w:rsidRPr="008873B1">
        <w:fldChar w:fldCharType="end"/>
      </w:r>
      <w:r w:rsidRPr="008873B1">
        <w:t xml:space="preserve">.  Referring to the six stages of signals intelligence activities as described by them (see paragraph </w:t>
      </w:r>
      <w:r w:rsidRPr="008873B1">
        <w:fldChar w:fldCharType="begin"/>
      </w:r>
      <w:r w:rsidRPr="008873B1">
        <w:instrText xml:space="preserve"> REF six_stages \h </w:instrText>
      </w:r>
      <w:r w:rsidR="008873B1">
        <w:instrText xml:space="preserve"> \* MERGEFORMAT </w:instrText>
      </w:r>
      <w:r w:rsidRPr="008873B1">
        <w:fldChar w:fldCharType="separate"/>
      </w:r>
      <w:r w:rsidR="004F11CA">
        <w:t>29</w:t>
      </w:r>
      <w:r w:rsidRPr="008873B1">
        <w:fldChar w:fldCharType="end"/>
      </w:r>
      <w:r w:rsidRPr="008873B1">
        <w:t xml:space="preserve"> above), the Government claimed that the applicant’s telephone and internet communications were unlikely to be affected for the following reasons: the majority of purely domestic communications would not pass the hand-over points in cross-border cables; even if that happened, the selectors used to identify relevant signals are designed with great precision as regards targeted foreign phenomena and the selectors are subject to approval by the Foreign Intelligence Court; as a result of the above, the applicant’s communications are unlikely to be sifted out in the above automatic processing; any data passing through the communications bearers that has not been selected disappears without any possibility to be reproduced and examined by the FRA; even if the applicant’s data or communications reached the third stage in the bulk interception process, there will be then further refining through automatic and manual means and the risk of the applicant’s communication being retained for further scrutiny beyond that stage is virtually non-existent.</w:t>
      </w:r>
    </w:p>
    <w:p w:rsidRPr="008873B1" w:rsidR="004D0549" w:rsidP="004D0549" w:rsidRDefault="004D0549" w14:paraId="6886FC52" w14:textId="2728EC40">
      <w:pPr>
        <w:pStyle w:val="JuPara"/>
      </w:pPr>
      <w:r w:rsidRPr="008873B1">
        <w:fldChar w:fldCharType="begin"/>
      </w:r>
      <w:r w:rsidRPr="008873B1">
        <w:instrText xml:space="preserve"> SEQ level0 \*arabic </w:instrText>
      </w:r>
      <w:r w:rsidRPr="008873B1">
        <w:fldChar w:fldCharType="separate"/>
      </w:r>
      <w:r w:rsidR="004F11CA">
        <w:rPr>
          <w:noProof/>
        </w:rPr>
        <w:t>158</w:t>
      </w:r>
      <w:r w:rsidRPr="008873B1">
        <w:fldChar w:fldCharType="end"/>
      </w:r>
      <w:r w:rsidRPr="008873B1">
        <w:t>.  In the Government’s view, there is no interference with Article 8 rights until the stage when an analytical examination of selected signals is possible.</w:t>
      </w:r>
    </w:p>
    <w:p w:rsidRPr="008873B1" w:rsidR="004D0549" w:rsidP="000E43DD" w:rsidRDefault="004D0549" w14:paraId="1D8AD399" w14:textId="6195CA6E">
      <w:pPr>
        <w:pStyle w:val="JuPara"/>
      </w:pPr>
      <w:r w:rsidRPr="008873B1">
        <w:fldChar w:fldCharType="begin"/>
      </w:r>
      <w:r w:rsidRPr="008873B1">
        <w:instrText xml:space="preserve"> SEQ level0 \*arabic </w:instrText>
      </w:r>
      <w:r w:rsidRPr="008873B1">
        <w:fldChar w:fldCharType="separate"/>
      </w:r>
      <w:r w:rsidR="004F11CA">
        <w:rPr>
          <w:noProof/>
        </w:rPr>
        <w:t>159</w:t>
      </w:r>
      <w:r w:rsidRPr="008873B1">
        <w:fldChar w:fldCharType="end"/>
      </w:r>
      <w:r w:rsidRPr="008873B1">
        <w:t>.  The Government were also of the view that Swedish law affords effective remedies for a person who suspects that he or she was subjected to signals interception measures, including the possibility to file a request with the Foreign Intelligence Inspectorate and, as a result, obtain a notification whether or not any improper data collection has taken place. In the Government’s view, the Chamber’s insistence that there should be, in addition to the above, “detailed grounds” given in response, was not based on earlier case-law and unduly expanded the relevant requirements.</w:t>
      </w:r>
    </w:p>
    <w:p w:rsidRPr="008873B1" w:rsidR="004D0549" w:rsidP="000E43DD" w:rsidRDefault="004D0549" w14:paraId="71E44715" w14:textId="07816598">
      <w:pPr>
        <w:pStyle w:val="JuPara"/>
      </w:pPr>
      <w:r w:rsidRPr="008873B1">
        <w:fldChar w:fldCharType="begin"/>
      </w:r>
      <w:r w:rsidRPr="008873B1">
        <w:instrText xml:space="preserve"> SEQ level0 \*arabic </w:instrText>
      </w:r>
      <w:r w:rsidRPr="008873B1">
        <w:fldChar w:fldCharType="separate"/>
      </w:r>
      <w:r w:rsidR="004F11CA">
        <w:rPr>
          <w:noProof/>
        </w:rPr>
        <w:t>160</w:t>
      </w:r>
      <w:r w:rsidRPr="008873B1">
        <w:fldChar w:fldCharType="end"/>
      </w:r>
      <w:r w:rsidRPr="008873B1">
        <w:t>.  On this basis the Government considered that the applicant might only claim to be a victim of a violation occasioned by the mere existence of impugned legislation if it was able to show that, due to its “personal” situation, it was potentially at risk of being subjected to signals intelligence measures. That was far from being so. Quite to the contrary, the applicant’s telephone and internet communications were unlikely to be intercepted and sifted and, in any event, the risk that they would be retained for further scrutiny beyond the automatic processing stage was virtually non-existent.</w:t>
      </w:r>
    </w:p>
    <w:p w:rsidRPr="008873B1" w:rsidR="004D0549" w:rsidP="000E43DD" w:rsidRDefault="004D0549" w14:paraId="5D87DACD" w14:textId="00F1B7ED">
      <w:pPr>
        <w:pStyle w:val="JuPara"/>
      </w:pPr>
      <w:r w:rsidRPr="008873B1">
        <w:fldChar w:fldCharType="begin"/>
      </w:r>
      <w:r w:rsidRPr="008873B1">
        <w:instrText xml:space="preserve"> SEQ level0 \*arabic </w:instrText>
      </w:r>
      <w:r w:rsidRPr="008873B1">
        <w:fldChar w:fldCharType="separate"/>
      </w:r>
      <w:r w:rsidR="004F11CA">
        <w:rPr>
          <w:noProof/>
        </w:rPr>
        <w:t>161</w:t>
      </w:r>
      <w:r w:rsidRPr="008873B1">
        <w:fldChar w:fldCharType="end"/>
      </w:r>
      <w:r w:rsidRPr="008873B1">
        <w:t>.  The Government thus requested the Grand Chamber to declare the application inadmissible for lack of victim status or to find that there was no interference with the applicant’s Article 8 rights.</w:t>
      </w:r>
    </w:p>
    <w:p w:rsidRPr="008873B1" w:rsidR="004D0549" w:rsidP="000E43DD" w:rsidRDefault="004D0549" w14:paraId="3FE1D326" w14:textId="27EE1CB4">
      <w:pPr>
        <w:pStyle w:val="JuPara"/>
      </w:pPr>
      <w:r w:rsidRPr="008873B1">
        <w:fldChar w:fldCharType="begin"/>
      </w:r>
      <w:r w:rsidRPr="008873B1">
        <w:instrText xml:space="preserve"> SEQ level0 \*arabic </w:instrText>
      </w:r>
      <w:r w:rsidRPr="008873B1">
        <w:fldChar w:fldCharType="separate"/>
      </w:r>
      <w:r w:rsidR="004F11CA">
        <w:rPr>
          <w:noProof/>
        </w:rPr>
        <w:t>162</w:t>
      </w:r>
      <w:r w:rsidRPr="008873B1">
        <w:fldChar w:fldCharType="end"/>
      </w:r>
      <w:r w:rsidRPr="008873B1">
        <w:t>.  As to other admissibility issues, the Government stated that they did not have objections regarding the exhaustion of domestic remedies.</w:t>
      </w:r>
    </w:p>
    <w:p w:rsidRPr="008873B1" w:rsidR="004D0549" w:rsidP="008873B1" w:rsidRDefault="004D0549" w14:paraId="556E2920" w14:textId="77777777">
      <w:pPr>
        <w:pStyle w:val="JuHa0"/>
        <w:numPr>
          <w:ilvl w:val="4"/>
          <w:numId w:val="1"/>
        </w:numPr>
      </w:pPr>
      <w:r w:rsidRPr="008873B1">
        <w:t>The applicant</w:t>
      </w:r>
    </w:p>
    <w:p w:rsidRPr="008873B1" w:rsidR="004D0549" w:rsidP="000E43DD" w:rsidRDefault="004D0549" w14:paraId="7E2CA609" w14:textId="62F149D1">
      <w:pPr>
        <w:pStyle w:val="JuPara"/>
      </w:pPr>
      <w:r w:rsidRPr="008873B1">
        <w:fldChar w:fldCharType="begin"/>
      </w:r>
      <w:r w:rsidRPr="008873B1">
        <w:instrText xml:space="preserve"> SEQ level0 \*arabic </w:instrText>
      </w:r>
      <w:r w:rsidRPr="008873B1">
        <w:fldChar w:fldCharType="separate"/>
      </w:r>
      <w:r w:rsidR="004F11CA">
        <w:rPr>
          <w:noProof/>
        </w:rPr>
        <w:t>163</w:t>
      </w:r>
      <w:r w:rsidRPr="008873B1">
        <w:fldChar w:fldCharType="end"/>
      </w:r>
      <w:r w:rsidRPr="008873B1">
        <w:t xml:space="preserve">.  The applicant considered that the relevant two conditions for claiming victim status in applications concerning the very existence of a legal regime for secret surveillance, as enunciated in </w:t>
      </w:r>
      <w:r w:rsidRPr="008873B1">
        <w:rPr>
          <w:i/>
        </w:rPr>
        <w:t xml:space="preserve">Roman </w:t>
      </w:r>
      <w:proofErr w:type="spellStart"/>
      <w:r w:rsidRPr="008873B1">
        <w:rPr>
          <w:i/>
        </w:rPr>
        <w:t>Zakharov</w:t>
      </w:r>
      <w:proofErr w:type="spellEnd"/>
      <w:r w:rsidRPr="008873B1">
        <w:rPr>
          <w:i/>
        </w:rPr>
        <w:t xml:space="preserve"> </w:t>
      </w:r>
      <w:r w:rsidRPr="008873B1">
        <w:t>(cited above), were satisfied in the present case.</w:t>
      </w:r>
    </w:p>
    <w:p w:rsidRPr="008873B1" w:rsidR="004D0549" w:rsidP="004D0549" w:rsidRDefault="004D0549" w14:paraId="11EA9950" w14:textId="0A58EE37">
      <w:pPr>
        <w:pStyle w:val="JuPara"/>
      </w:pPr>
      <w:r w:rsidRPr="008873B1">
        <w:fldChar w:fldCharType="begin"/>
      </w:r>
      <w:r w:rsidRPr="008873B1">
        <w:instrText xml:space="preserve"> SEQ level0 \*arabic </w:instrText>
      </w:r>
      <w:r w:rsidRPr="008873B1">
        <w:fldChar w:fldCharType="separate"/>
      </w:r>
      <w:r w:rsidR="004F11CA">
        <w:rPr>
          <w:noProof/>
        </w:rPr>
        <w:t>164</w:t>
      </w:r>
      <w:r w:rsidRPr="008873B1">
        <w:fldChar w:fldCharType="end"/>
      </w:r>
      <w:r w:rsidRPr="008873B1">
        <w:t xml:space="preserve">.  In particular, the Signals Intelligence Act permits the interception of any communications travelling along the cables that cross the Swedish border, or that are transmitted via the airways, and therefore, according to the applicant, directly affects all users of such communication services. Even though only communications relating to foreign circumstances </w:t>
      </w:r>
      <w:proofErr w:type="gramStart"/>
      <w:r w:rsidRPr="008873B1">
        <w:t>are allowed to</w:t>
      </w:r>
      <w:proofErr w:type="gramEnd"/>
      <w:r w:rsidRPr="008873B1">
        <w:t xml:space="preserve"> be intercepted, virtually all users of communications services may engage in cross-border communications, either deliberately by contacting a foreign recipient or inadvertently through communicating via a server located abroad. Also, the Signals Intelligence Act permits interception for development purposes unrelated to foreign circumstances.</w:t>
      </w:r>
    </w:p>
    <w:p w:rsidRPr="008873B1" w:rsidR="004D0549" w:rsidP="000E43DD" w:rsidRDefault="004D0549" w14:paraId="70085738" w14:textId="6A0A1BF1">
      <w:pPr>
        <w:pStyle w:val="JuPara"/>
      </w:pPr>
      <w:r w:rsidRPr="008873B1">
        <w:fldChar w:fldCharType="begin"/>
      </w:r>
      <w:r w:rsidRPr="008873B1">
        <w:instrText xml:space="preserve"> SEQ level0 \*arabic </w:instrText>
      </w:r>
      <w:r w:rsidRPr="008873B1">
        <w:fldChar w:fldCharType="separate"/>
      </w:r>
      <w:r w:rsidR="004F11CA">
        <w:rPr>
          <w:noProof/>
        </w:rPr>
        <w:t>165</w:t>
      </w:r>
      <w:r w:rsidRPr="008873B1">
        <w:fldChar w:fldCharType="end"/>
      </w:r>
      <w:r w:rsidRPr="008873B1">
        <w:t>.  The applicant also submitted that there is no effective remedy at the national level for the applicant or for anyone suspecting that they may have been subject to bulk interception by the Swedish authorities. Therefore, the applicant must be able to have its case examined by the Court and can claim that the very existence of the impugned regime amounts to an interference with its Article 8 rights.</w:t>
      </w:r>
    </w:p>
    <w:p w:rsidRPr="008873B1" w:rsidR="004D0549" w:rsidP="004D0549" w:rsidRDefault="004D0549" w14:paraId="0B06F24A" w14:textId="77777777">
      <w:pPr>
        <w:pStyle w:val="JuH1"/>
        <w:numPr>
          <w:ilvl w:val="0"/>
          <w:numId w:val="0"/>
        </w:numPr>
        <w:ind w:left="431"/>
      </w:pPr>
      <w:r w:rsidRPr="008873B1">
        <w:t>3. The Court’s assessment</w:t>
      </w:r>
    </w:p>
    <w:bookmarkStart w:name="victim_begin" w:id="66"/>
    <w:p w:rsidRPr="008873B1" w:rsidR="004D0549" w:rsidP="000E43DD" w:rsidRDefault="004D0549" w14:paraId="2489A693" w14:textId="592A43C6">
      <w:pPr>
        <w:pStyle w:val="JuPara"/>
      </w:pPr>
      <w:r w:rsidRPr="008873B1">
        <w:fldChar w:fldCharType="begin"/>
      </w:r>
      <w:r w:rsidRPr="008873B1">
        <w:instrText xml:space="preserve"> SEQ level0 \*arabic </w:instrText>
      </w:r>
      <w:r w:rsidRPr="008873B1">
        <w:fldChar w:fldCharType="separate"/>
      </w:r>
      <w:r w:rsidR="004F11CA">
        <w:rPr>
          <w:noProof/>
        </w:rPr>
        <w:t>166</w:t>
      </w:r>
      <w:r w:rsidRPr="008873B1">
        <w:fldChar w:fldCharType="end"/>
      </w:r>
      <w:bookmarkEnd w:id="66"/>
      <w:r w:rsidRPr="008873B1">
        <w:t xml:space="preserve">.  As the Court noted in </w:t>
      </w:r>
      <w:r w:rsidRPr="008873B1">
        <w:rPr>
          <w:i/>
        </w:rPr>
        <w:t xml:space="preserve">Kennedy </w:t>
      </w:r>
      <w:r w:rsidRPr="008873B1">
        <w:t xml:space="preserve">and </w:t>
      </w:r>
      <w:r w:rsidRPr="008873B1">
        <w:rPr>
          <w:i/>
        </w:rPr>
        <w:t xml:space="preserve">Roman </w:t>
      </w:r>
      <w:proofErr w:type="spellStart"/>
      <w:r w:rsidRPr="008873B1">
        <w:rPr>
          <w:i/>
        </w:rPr>
        <w:t>Zakharov</w:t>
      </w:r>
      <w:proofErr w:type="spellEnd"/>
      <w:r w:rsidRPr="008873B1">
        <w:rPr>
          <w:i/>
        </w:rPr>
        <w:t xml:space="preserve"> </w:t>
      </w:r>
      <w:r w:rsidRPr="008873B1">
        <w:t xml:space="preserve">(both cited above), in cases concerning secret measures, there are special reasons justifying the Court’s departure from its general approach, according to which individuals cannot challenge before it a domestic law </w:t>
      </w:r>
      <w:r w:rsidRPr="008873B1">
        <w:rPr>
          <w:i/>
        </w:rPr>
        <w:t xml:space="preserve">in </w:t>
      </w:r>
      <w:proofErr w:type="spellStart"/>
      <w:r w:rsidRPr="008873B1">
        <w:rPr>
          <w:i/>
        </w:rPr>
        <w:t>abstracto</w:t>
      </w:r>
      <w:proofErr w:type="spellEnd"/>
      <w:r w:rsidRPr="008873B1">
        <w:t>. The principal reason is to ensure that the secrecy of surveillance measures should not result in them being effectively unchallengeable and outside the supervision of the national judicial authorities and the Court (</w:t>
      </w:r>
      <w:r w:rsidR="008D26DD">
        <w:t xml:space="preserve">see </w:t>
      </w:r>
      <w:r w:rsidRPr="008873B1">
        <w:rPr>
          <w:i/>
        </w:rPr>
        <w:t xml:space="preserve">Roman </w:t>
      </w:r>
      <w:proofErr w:type="spellStart"/>
      <w:r w:rsidRPr="008873B1">
        <w:rPr>
          <w:i/>
        </w:rPr>
        <w:t>Zakharov</w:t>
      </w:r>
      <w:proofErr w:type="spellEnd"/>
      <w:r w:rsidRPr="008873B1">
        <w:t>, cited above, § 169).</w:t>
      </w:r>
    </w:p>
    <w:p w:rsidRPr="008873B1" w:rsidR="004D0549" w:rsidP="000E43DD" w:rsidRDefault="004D0549" w14:paraId="4FC816E4" w14:textId="60255852">
      <w:pPr>
        <w:pStyle w:val="JuPara"/>
      </w:pPr>
      <w:r w:rsidRPr="008873B1">
        <w:fldChar w:fldCharType="begin"/>
      </w:r>
      <w:r w:rsidRPr="008873B1">
        <w:instrText xml:space="preserve"> SEQ level0 \*arabic </w:instrText>
      </w:r>
      <w:r w:rsidRPr="008873B1">
        <w:fldChar w:fldCharType="separate"/>
      </w:r>
      <w:r w:rsidR="004F11CA">
        <w:rPr>
          <w:noProof/>
        </w:rPr>
        <w:t>167</w:t>
      </w:r>
      <w:r w:rsidRPr="008873B1">
        <w:fldChar w:fldCharType="end"/>
      </w:r>
      <w:r w:rsidRPr="008873B1">
        <w:t>.  It is now settled case-law that several criteria apply in assess</w:t>
      </w:r>
      <w:r w:rsidR="008D26DD">
        <w:t xml:space="preserve">ing </w:t>
      </w:r>
      <w:r w:rsidRPr="008873B1">
        <w:t xml:space="preserve">whether an applicant may claim to be the victim of a violation of his or her Convention rights allegedly occasioned by the mere existence of secret surveillance measures, or legislation permitting secret surveillance measures. Those criteria were formulated as follows in </w:t>
      </w:r>
      <w:r w:rsidRPr="008873B1">
        <w:rPr>
          <w:i/>
        </w:rPr>
        <w:t xml:space="preserve">Roman </w:t>
      </w:r>
      <w:proofErr w:type="spellStart"/>
      <w:r w:rsidRPr="008873B1">
        <w:rPr>
          <w:i/>
        </w:rPr>
        <w:t>Zakharov</w:t>
      </w:r>
      <w:proofErr w:type="spellEnd"/>
      <w:r w:rsidRPr="008873B1">
        <w:rPr>
          <w:i/>
        </w:rPr>
        <w:t xml:space="preserve"> </w:t>
      </w:r>
      <w:r w:rsidRPr="008873B1">
        <w:t>(cited above, § 171):</w:t>
      </w:r>
    </w:p>
    <w:p w:rsidRPr="008873B1" w:rsidR="004D0549" w:rsidP="004D0549" w:rsidRDefault="004D0549" w14:paraId="4A22F93A" w14:textId="77777777">
      <w:pPr>
        <w:pStyle w:val="JuQuot"/>
      </w:pPr>
      <w:r w:rsidRPr="008873B1">
        <w:t>“Firstly, the Court will take into account the scope of the legislation permitting secret surveillance measures by examining whether the applicant can possibly be affected by it, either because he belongs to a group of persons targeted by the contested legislation or because the legislation directly affects all users of communication services by instituting a system where any person can have his communications intercepted.</w:t>
      </w:r>
    </w:p>
    <w:p w:rsidRPr="008873B1" w:rsidR="004D0549" w:rsidP="004D0549" w:rsidRDefault="004D0549" w14:paraId="3ABFFC17" w14:textId="77777777">
      <w:pPr>
        <w:pStyle w:val="JuQuot"/>
      </w:pPr>
      <w:r w:rsidRPr="008873B1">
        <w:t xml:space="preserve">Secondly, the Court will </w:t>
      </w:r>
      <w:proofErr w:type="gramStart"/>
      <w:r w:rsidRPr="008873B1">
        <w:t>take into account</w:t>
      </w:r>
      <w:proofErr w:type="gramEnd"/>
      <w:r w:rsidRPr="008873B1">
        <w:t xml:space="preserve"> the availability of remedies at the national level and will adjust the degree of scrutiny depending on the effectiveness of such remedies. ...[W]here the domestic system does not afford an effective remedy to the person who suspects that he was subjected to secret surveillance, widespread suspicion and concern among the general public that secret surveillance powers are being abused cannot be said to be unjustified... In such circumstances the threat of surveillance can be claimed </w:t>
      </w:r>
      <w:proofErr w:type="gramStart"/>
      <w:r w:rsidRPr="008873B1">
        <w:t>in itself to</w:t>
      </w:r>
      <w:proofErr w:type="gramEnd"/>
      <w:r w:rsidRPr="008873B1">
        <w:t xml:space="preserve"> restrict free communication through the postal and telecommunication services, thereby constituting for all users or potential users a direct interference with the right guaranteed by Article 8. There is therefore a greater need for scrutiny by the Court, and an exception to the rule denying individuals the right to challenge a law </w:t>
      </w:r>
      <w:r w:rsidRPr="008873B1">
        <w:rPr>
          <w:i/>
        </w:rPr>
        <w:t xml:space="preserve">in </w:t>
      </w:r>
      <w:proofErr w:type="spellStart"/>
      <w:r w:rsidRPr="008873B1">
        <w:rPr>
          <w:i/>
        </w:rPr>
        <w:t>abstracto</w:t>
      </w:r>
      <w:proofErr w:type="spellEnd"/>
      <w:r w:rsidRPr="008873B1">
        <w:t xml:space="preserve"> is justified. In such cases the individual does not need to demonstrate the existence of any risk that secret surveillance measures were applied to him.</w:t>
      </w:r>
    </w:p>
    <w:p w:rsidRPr="008873B1" w:rsidR="004D0549" w:rsidP="004D0549" w:rsidRDefault="004D0549" w14:paraId="7236C5E9" w14:textId="77777777">
      <w:pPr>
        <w:pStyle w:val="JuQuot"/>
      </w:pPr>
      <w:r w:rsidRPr="008873B1">
        <w:t xml:space="preserve"> By contrast, if the national system provides for effective remedies, a widespread suspicion of abuse is more difficult to justify. In such cases, the individual may claim to be a victim of a violation occasioned by the mere existence of secret measures or of legislation permitting secret measures only if he is able to show that, due to his personal situation, he is potentially at risk of being subjected to such measures.”</w:t>
      </w:r>
    </w:p>
    <w:p w:rsidRPr="008873B1" w:rsidR="004D0549" w:rsidP="000E43DD" w:rsidRDefault="004D0549" w14:paraId="3A536764" w14:textId="72996D60">
      <w:pPr>
        <w:pStyle w:val="JuPara"/>
      </w:pPr>
      <w:r w:rsidRPr="008873B1">
        <w:fldChar w:fldCharType="begin"/>
      </w:r>
      <w:r w:rsidRPr="008873B1">
        <w:instrText xml:space="preserve"> SEQ level0 \*arabic </w:instrText>
      </w:r>
      <w:r w:rsidRPr="008873B1">
        <w:fldChar w:fldCharType="separate"/>
      </w:r>
      <w:r w:rsidR="004F11CA">
        <w:rPr>
          <w:noProof/>
        </w:rPr>
        <w:t>168</w:t>
      </w:r>
      <w:r w:rsidRPr="008873B1">
        <w:fldChar w:fldCharType="end"/>
      </w:r>
      <w:r w:rsidRPr="008873B1">
        <w:t>. Applying those criteria to the present case, the Court agrees with the Government that the applicant does not belong to a group of persons or entities targeted by the Swedish signal intelligence legislation and measures. Indeed, the applicant has not made such a claim.</w:t>
      </w:r>
    </w:p>
    <w:p w:rsidRPr="008873B1" w:rsidR="004D0549" w:rsidP="000E43DD" w:rsidRDefault="004D0549" w14:paraId="2CB248F6" w14:textId="2C0F0183">
      <w:pPr>
        <w:pStyle w:val="JuPara"/>
      </w:pPr>
      <w:r w:rsidRPr="008873B1">
        <w:fldChar w:fldCharType="begin"/>
      </w:r>
      <w:r w:rsidRPr="008873B1">
        <w:instrText xml:space="preserve"> SEQ level0 \*arabic </w:instrText>
      </w:r>
      <w:r w:rsidRPr="008873B1">
        <w:fldChar w:fldCharType="separate"/>
      </w:r>
      <w:r w:rsidR="004F11CA">
        <w:rPr>
          <w:noProof/>
        </w:rPr>
        <w:t>169</w:t>
      </w:r>
      <w:r w:rsidRPr="008873B1">
        <w:fldChar w:fldCharType="end"/>
      </w:r>
      <w:r w:rsidRPr="008873B1">
        <w:t>. It must be seen, therefore, whether, as alleged by the applicant, the impugned legislation institutes a system of secret surveillance that potentially affects all persons communicating over the telephone or using the internet.</w:t>
      </w:r>
    </w:p>
    <w:p w:rsidRPr="008873B1" w:rsidR="004D0549" w:rsidP="000E43DD" w:rsidRDefault="004D0549" w14:paraId="4EA5D2D8" w14:textId="68A1488C">
      <w:pPr>
        <w:pStyle w:val="JuPara"/>
      </w:pPr>
      <w:r w:rsidRPr="008873B1">
        <w:fldChar w:fldCharType="begin"/>
      </w:r>
      <w:r w:rsidRPr="008873B1">
        <w:instrText xml:space="preserve"> SEQ level0 \*arabic </w:instrText>
      </w:r>
      <w:r w:rsidRPr="008873B1">
        <w:fldChar w:fldCharType="separate"/>
      </w:r>
      <w:r w:rsidR="004F11CA">
        <w:rPr>
          <w:noProof/>
        </w:rPr>
        <w:t>170</w:t>
      </w:r>
      <w:r w:rsidRPr="008873B1">
        <w:fldChar w:fldCharType="end"/>
      </w:r>
      <w:r w:rsidRPr="008873B1">
        <w:t xml:space="preserve">.  In this regard, </w:t>
      </w:r>
      <w:proofErr w:type="gramStart"/>
      <w:r w:rsidRPr="008873B1">
        <w:t>it is clear that communications</w:t>
      </w:r>
      <w:proofErr w:type="gramEnd"/>
      <w:r w:rsidRPr="008873B1">
        <w:t xml:space="preserve"> or communications data of any person or entity in Sweden may happen to be transmitted via intercepted communications bearers and may thus be subject to at least the initial stages of automatic processing by the FRA under the contested legislation.</w:t>
      </w:r>
    </w:p>
    <w:p w:rsidRPr="008873B1" w:rsidR="004D0549" w:rsidP="000E43DD" w:rsidRDefault="004D0549" w14:paraId="4A967B44" w14:textId="6D279B93">
      <w:pPr>
        <w:pStyle w:val="JuPara"/>
      </w:pPr>
      <w:r w:rsidRPr="008873B1">
        <w:fldChar w:fldCharType="begin"/>
      </w:r>
      <w:r w:rsidRPr="008873B1">
        <w:instrText xml:space="preserve"> SEQ level0 \*arabic </w:instrText>
      </w:r>
      <w:r w:rsidRPr="008873B1">
        <w:fldChar w:fldCharType="separate"/>
      </w:r>
      <w:r w:rsidR="004F11CA">
        <w:rPr>
          <w:noProof/>
        </w:rPr>
        <w:t>171</w:t>
      </w:r>
      <w:r w:rsidRPr="008873B1">
        <w:fldChar w:fldCharType="end"/>
      </w:r>
      <w:r w:rsidRPr="008873B1">
        <w:t>.  The Government’s arguments that signals intelligence is restricted to foreign threats and circumstances and that therefore there is virtually no risk of the applicant’s communications being retained for further scrutiny beyond the automatic processing stage in bulk interception are relevant in the assessment of the intensity and proportionality of the interference with Article 8 rights, including the safeguards built into the impugned signals interception regime, but are not decisive with regard to the applicant’s victim status under Article 34 of the Convention. Any other approach risks rendering the access to the Convention complaints’ procedure conditional on proving that one’s communications are of interest for agencies tasked with foreign intelligence – an almost impossible task, having regard to the secrecy inherent in foreign intelligence activities.</w:t>
      </w:r>
    </w:p>
    <w:p w:rsidRPr="008873B1" w:rsidR="004D0549" w:rsidP="000E43DD" w:rsidRDefault="004D0549" w14:paraId="0A03AE88" w14:textId="26B73218">
      <w:pPr>
        <w:pStyle w:val="JuPara"/>
      </w:pPr>
      <w:r w:rsidRPr="008873B1">
        <w:fldChar w:fldCharType="begin"/>
      </w:r>
      <w:r w:rsidRPr="008873B1">
        <w:instrText xml:space="preserve"> SEQ level0 \*arabic </w:instrText>
      </w:r>
      <w:r w:rsidRPr="008873B1">
        <w:fldChar w:fldCharType="separate"/>
      </w:r>
      <w:r w:rsidR="004F11CA">
        <w:rPr>
          <w:noProof/>
        </w:rPr>
        <w:t>172</w:t>
      </w:r>
      <w:r w:rsidRPr="008873B1">
        <w:fldChar w:fldCharType="end"/>
      </w:r>
      <w:r w:rsidRPr="008873B1">
        <w:t>.  In these circumstances, the Court must have regard to the remedies available in Sweden to persons who suspect that they were subjected to measures under the Signals Intelligence Act in order to assess whether, as maintained by the applicant, the threat of surveillance can be claimed in itself to restrict free communication, thereby constituting for all users or potential users a direct interference with the right guaranteed by Article 8.</w:t>
      </w:r>
    </w:p>
    <w:p w:rsidRPr="008873B1" w:rsidR="004D0549" w:rsidP="004D0549" w:rsidRDefault="004D0549" w14:paraId="4A4B4E2E" w14:textId="2593BE57">
      <w:pPr>
        <w:pStyle w:val="JuPara"/>
      </w:pPr>
      <w:r w:rsidRPr="008873B1">
        <w:fldChar w:fldCharType="begin"/>
      </w:r>
      <w:r w:rsidRPr="008873B1">
        <w:instrText xml:space="preserve"> SEQ level0 \*arabic </w:instrText>
      </w:r>
      <w:r w:rsidRPr="008873B1">
        <w:fldChar w:fldCharType="separate"/>
      </w:r>
      <w:r w:rsidR="004F11CA">
        <w:rPr>
          <w:noProof/>
        </w:rPr>
        <w:t>173</w:t>
      </w:r>
      <w:r w:rsidRPr="008873B1">
        <w:fldChar w:fldCharType="end"/>
      </w:r>
      <w:r w:rsidRPr="008873B1">
        <w:t xml:space="preserve">.  In this regard, the Court observes that, in practice, persons affected by bulk interception activities do not receive notification. On the other hand, in reaction to a request by anyone, regardless of nationality and residence, the Foreign Intelligence Inspectorate must investigate if the person’s communications have been intercepted through signals intelligence and, if so, verify whether the interception and treatment of the information have been in accordance with law. The Inspectorate has the power to decide that the signals intelligence operation shall cease or that the intelligence shall be destroyed. Any person may also seek the involvement of the Parliamentary Ombudsmen and the Chancellor of Justice in </w:t>
      </w:r>
      <w:proofErr w:type="gramStart"/>
      <w:r w:rsidRPr="008873B1">
        <w:t>a number of</w:t>
      </w:r>
      <w:proofErr w:type="gramEnd"/>
      <w:r w:rsidRPr="008873B1">
        <w:t xml:space="preserve"> circumstances.</w:t>
      </w:r>
    </w:p>
    <w:p w:rsidRPr="008873B1" w:rsidR="004D0549" w:rsidP="004D0549" w:rsidRDefault="004D0549" w14:paraId="46030C15" w14:textId="4450A3AD">
      <w:pPr>
        <w:pStyle w:val="JuPara"/>
      </w:pPr>
      <w:r w:rsidRPr="008873B1">
        <w:fldChar w:fldCharType="begin"/>
      </w:r>
      <w:r w:rsidRPr="008873B1">
        <w:instrText xml:space="preserve"> SEQ level0 \*arabic </w:instrText>
      </w:r>
      <w:r w:rsidRPr="008873B1">
        <w:fldChar w:fldCharType="separate"/>
      </w:r>
      <w:r w:rsidR="004F11CA">
        <w:rPr>
          <w:noProof/>
        </w:rPr>
        <w:t>174</w:t>
      </w:r>
      <w:r w:rsidRPr="008873B1">
        <w:fldChar w:fldCharType="end"/>
      </w:r>
      <w:r w:rsidRPr="008873B1">
        <w:t>.  The applicant alleged, however, that the only information that might be given by the Inspectorate, without any reasons for the conclusions reached and in the form of a final decision not amenable to appeal, was that there had been an unlawful action. No other remedy could result in the complainant obtaining additional information on the circumstances of a possible interception and use of his or her communications or related data or about the nature of the unlawful action, if it occurred.</w:t>
      </w:r>
    </w:p>
    <w:p w:rsidRPr="008873B1" w:rsidR="004D0549" w:rsidP="004D0549" w:rsidRDefault="004D0549" w14:paraId="7DF36581" w14:textId="22D2C6C0">
      <w:pPr>
        <w:pStyle w:val="JuPara"/>
      </w:pPr>
      <w:r w:rsidRPr="008873B1">
        <w:fldChar w:fldCharType="begin"/>
      </w:r>
      <w:r w:rsidRPr="008873B1">
        <w:instrText xml:space="preserve"> SEQ level0 \*arabic </w:instrText>
      </w:r>
      <w:r w:rsidRPr="008873B1">
        <w:fldChar w:fldCharType="separate"/>
      </w:r>
      <w:r w:rsidR="004F11CA">
        <w:rPr>
          <w:noProof/>
        </w:rPr>
        <w:t>175</w:t>
      </w:r>
      <w:r w:rsidRPr="008873B1">
        <w:fldChar w:fldCharType="end"/>
      </w:r>
      <w:r w:rsidRPr="008873B1">
        <w:t xml:space="preserve">.  In the context of the issue of victim status, without prejudice to the conclusions to be drawn in respect of the substantive requirements of Article 8 § 2 and Article 13 in the present case, the Court notes that the domestic remedies available in Sweden to persons </w:t>
      </w:r>
      <w:r w:rsidR="00225439">
        <w:t xml:space="preserve">who </w:t>
      </w:r>
      <w:r w:rsidRPr="008873B1">
        <w:t>suspect</w:t>
      </w:r>
      <w:r w:rsidR="00225439">
        <w:t xml:space="preserve"> that they are</w:t>
      </w:r>
      <w:r w:rsidRPr="008873B1">
        <w:t xml:space="preserve"> affected by bulk interception measures are subject to a number of limitations. In the Court’s view, even if these limitations are to be considered inevitable or justified, the practical result is that the availability of remedies cannot sufficiently dispel the </w:t>
      </w:r>
      <w:r w:rsidR="00225439">
        <w:t xml:space="preserve">public’s </w:t>
      </w:r>
      <w:r w:rsidRPr="008873B1">
        <w:t>fears related to the threat of secret surveillance.</w:t>
      </w:r>
    </w:p>
    <w:p w:rsidRPr="008873B1" w:rsidR="004D0549" w:rsidP="004D0549" w:rsidRDefault="004D0549" w14:paraId="7D8A0AEF" w14:textId="74D057E5">
      <w:pPr>
        <w:pStyle w:val="JuPara"/>
      </w:pPr>
      <w:r w:rsidRPr="008873B1">
        <w:fldChar w:fldCharType="begin"/>
      </w:r>
      <w:r w:rsidRPr="008873B1">
        <w:instrText xml:space="preserve"> SEQ level0 \*arabic </w:instrText>
      </w:r>
      <w:r w:rsidRPr="008873B1">
        <w:fldChar w:fldCharType="separate"/>
      </w:r>
      <w:r w:rsidR="004F11CA">
        <w:rPr>
          <w:noProof/>
        </w:rPr>
        <w:t>176</w:t>
      </w:r>
      <w:r w:rsidRPr="008873B1">
        <w:fldChar w:fldCharType="end"/>
      </w:r>
      <w:r w:rsidRPr="008873B1">
        <w:t>.  It follows that it is not necessary to examine whether the applicant, due to its personal situation, is potentially at risk of seeing its communications or related data intercepted and analysed.</w:t>
      </w:r>
    </w:p>
    <w:bookmarkStart w:name="victim_end" w:id="67"/>
    <w:p w:rsidRPr="008873B1" w:rsidR="004D0549" w:rsidP="004D0549" w:rsidRDefault="004D0549" w14:paraId="33D26371" w14:textId="135786D0">
      <w:pPr>
        <w:pStyle w:val="JuPara"/>
      </w:pPr>
      <w:r w:rsidRPr="008873B1">
        <w:fldChar w:fldCharType="begin"/>
      </w:r>
      <w:r w:rsidRPr="008873B1">
        <w:instrText xml:space="preserve"> SEQ level0 \*arabic </w:instrText>
      </w:r>
      <w:r w:rsidRPr="008873B1">
        <w:fldChar w:fldCharType="separate"/>
      </w:r>
      <w:r w:rsidR="004F11CA">
        <w:rPr>
          <w:noProof/>
        </w:rPr>
        <w:t>177</w:t>
      </w:r>
      <w:r w:rsidRPr="008873B1">
        <w:fldChar w:fldCharType="end"/>
      </w:r>
      <w:bookmarkEnd w:id="67"/>
      <w:r w:rsidRPr="008873B1">
        <w:t>.  </w:t>
      </w:r>
      <w:proofErr w:type="gramStart"/>
      <w:r w:rsidRPr="008873B1">
        <w:t>On the basis of</w:t>
      </w:r>
      <w:proofErr w:type="gramEnd"/>
      <w:r w:rsidRPr="008873B1">
        <w:t xml:space="preserve"> the above considerations the Court finds that an examination of the relevant legislation </w:t>
      </w:r>
      <w:r w:rsidRPr="008873B1">
        <w:rPr>
          <w:i/>
        </w:rPr>
        <w:t xml:space="preserve">in </w:t>
      </w:r>
      <w:proofErr w:type="spellStart"/>
      <w:r w:rsidRPr="008873B1">
        <w:rPr>
          <w:i/>
        </w:rPr>
        <w:t>abstracto</w:t>
      </w:r>
      <w:proofErr w:type="spellEnd"/>
      <w:r w:rsidRPr="008873B1">
        <w:t xml:space="preserve"> is justified. The Government’s objection that the applicant may not claim to be the victim of a violation of his or her Convention rights allegedly occasioned by the mere existence of Swedish bulk interception legislation and activities is therefore rejected.</w:t>
      </w:r>
    </w:p>
    <w:p w:rsidRPr="008873B1" w:rsidR="004D0549" w:rsidP="008873B1" w:rsidRDefault="004D0549" w14:paraId="293DC031" w14:textId="77777777">
      <w:pPr>
        <w:pStyle w:val="JuHA"/>
        <w:numPr>
          <w:ilvl w:val="2"/>
          <w:numId w:val="1"/>
        </w:numPr>
        <w:ind w:left="584"/>
      </w:pPr>
      <w:r w:rsidRPr="008873B1">
        <w:t>Merits</w:t>
      </w:r>
    </w:p>
    <w:p w:rsidRPr="008873B1" w:rsidR="004D0549" w:rsidP="008873B1" w:rsidRDefault="004D0549" w14:paraId="4102DEFC" w14:textId="77777777">
      <w:pPr>
        <w:pStyle w:val="JuH1"/>
        <w:numPr>
          <w:ilvl w:val="3"/>
          <w:numId w:val="1"/>
        </w:numPr>
        <w:ind w:left="731"/>
      </w:pPr>
      <w:r w:rsidRPr="008873B1">
        <w:t xml:space="preserve"> The Chamber judgment</w:t>
      </w:r>
    </w:p>
    <w:p w:rsidRPr="008873B1" w:rsidR="004D0549" w:rsidP="004D0549" w:rsidRDefault="004D0549" w14:paraId="26313274" w14:textId="1CEF897B">
      <w:pPr>
        <w:pStyle w:val="JuPara"/>
      </w:pPr>
      <w:r w:rsidRPr="008873B1">
        <w:fldChar w:fldCharType="begin"/>
      </w:r>
      <w:r w:rsidRPr="008873B1">
        <w:instrText xml:space="preserve"> SEQ level0 \*arabic </w:instrText>
      </w:r>
      <w:r w:rsidRPr="008873B1">
        <w:fldChar w:fldCharType="separate"/>
      </w:r>
      <w:r w:rsidR="004F11CA">
        <w:rPr>
          <w:noProof/>
        </w:rPr>
        <w:t>178</w:t>
      </w:r>
      <w:r w:rsidRPr="008873B1">
        <w:fldChar w:fldCharType="end"/>
      </w:r>
      <w:r w:rsidRPr="008873B1">
        <w:t>.  The Chamber found that the surveillance system clearly had a basis in domestic law and was justified by national security interests. Indeed, given the present-day threats of global terrorism and serious cross-border crime, as well as the increased sophistication of communications technology, the Court held that Sweden had considerable power of discretion (“</w:t>
      </w:r>
      <w:r w:rsidR="00C51549">
        <w:t xml:space="preserve">a </w:t>
      </w:r>
      <w:r w:rsidRPr="008873B1">
        <w:t xml:space="preserve">wide margin of appreciation”) to decide on setting up such a system of bulk interception. The State’s discretion in </w:t>
      </w:r>
      <w:proofErr w:type="gramStart"/>
      <w:r w:rsidRPr="008873B1">
        <w:t>actually operating</w:t>
      </w:r>
      <w:proofErr w:type="gramEnd"/>
      <w:r w:rsidRPr="008873B1">
        <w:t xml:space="preserve"> such an interception system was narrower, however, and the Court had to be satisfied that there were adequate and effective guarantees against abuse. It assessed the minimum safeguards to avoid abuse of power, as developed in its case-law and</w:t>
      </w:r>
      <w:proofErr w:type="gramStart"/>
      <w:r w:rsidRPr="008873B1">
        <w:t>, in particular, in</w:t>
      </w:r>
      <w:proofErr w:type="gramEnd"/>
      <w:r w:rsidRPr="008873B1">
        <w:t xml:space="preserve"> </w:t>
      </w:r>
      <w:r w:rsidRPr="008873B1">
        <w:rPr>
          <w:i/>
        </w:rPr>
        <w:t xml:space="preserve">Roman </w:t>
      </w:r>
      <w:proofErr w:type="spellStart"/>
      <w:r w:rsidRPr="008873B1">
        <w:rPr>
          <w:i/>
        </w:rPr>
        <w:t>Zakharov</w:t>
      </w:r>
      <w:proofErr w:type="spellEnd"/>
      <w:r w:rsidRPr="008873B1">
        <w:rPr>
          <w:i/>
        </w:rPr>
        <w:t xml:space="preserve"> </w:t>
      </w:r>
      <w:r w:rsidRPr="008873B1">
        <w:t>(cited above; see paragraphs 99-115 of the Chamber judgment).</w:t>
      </w:r>
    </w:p>
    <w:p w:rsidRPr="008873B1" w:rsidR="004D0549" w:rsidP="004D0549" w:rsidRDefault="004D0549" w14:paraId="48695BDD" w14:textId="47F864A3">
      <w:pPr>
        <w:pStyle w:val="JuPara"/>
      </w:pPr>
      <w:r w:rsidRPr="008873B1">
        <w:fldChar w:fldCharType="begin"/>
      </w:r>
      <w:r w:rsidRPr="008873B1">
        <w:instrText xml:space="preserve"> SEQ level0 \*arabic </w:instrText>
      </w:r>
      <w:r w:rsidRPr="008873B1">
        <w:fldChar w:fldCharType="separate"/>
      </w:r>
      <w:r w:rsidR="004F11CA">
        <w:rPr>
          <w:noProof/>
        </w:rPr>
        <w:t>179</w:t>
      </w:r>
      <w:r w:rsidRPr="008873B1">
        <w:fldChar w:fldCharType="end"/>
      </w:r>
      <w:r w:rsidRPr="008873B1">
        <w:t>.  Overall, while the Chamber found some areas where there was scope for improvement of the system, notably the regulation of the communication of personal data to other States and international organisations and the practice of not giving public reasons following a review of individual complaints (see paragraphs 150, 173 and 177 of the Chamber judgment), it considered that the system revealed no significant shortcomings in its structure and operation. In this context, it noted that the regulatory framework had been reviewed several times with a view to enhancing protection of privacy and that it had in effect developed in such a way that it minimised the risk of interference with privacy and compensated for the lack of openness of the system (see paragraphs 180 and 181 of the Chamber judgment).</w:t>
      </w:r>
    </w:p>
    <w:p w:rsidRPr="008873B1" w:rsidR="004D0549" w:rsidP="004D0549" w:rsidRDefault="004D0549" w14:paraId="0CF61151" w14:textId="5043C99F">
      <w:pPr>
        <w:pStyle w:val="JuPara"/>
      </w:pPr>
      <w:r w:rsidRPr="008873B1">
        <w:fldChar w:fldCharType="begin"/>
      </w:r>
      <w:r w:rsidRPr="008873B1">
        <w:instrText xml:space="preserve"> SEQ level0 \*arabic </w:instrText>
      </w:r>
      <w:r w:rsidRPr="008873B1">
        <w:fldChar w:fldCharType="separate"/>
      </w:r>
      <w:r w:rsidR="004F11CA">
        <w:rPr>
          <w:noProof/>
        </w:rPr>
        <w:t>180</w:t>
      </w:r>
      <w:r w:rsidRPr="008873B1">
        <w:fldChar w:fldCharType="end"/>
      </w:r>
      <w:r w:rsidRPr="008873B1">
        <w:t xml:space="preserve">.  More specifically, the scope of the interception and the treatment of intercepted data were clearly defined in law; the duration of the measures were clearly regulated (any permit was valid for a maximum of six months and renewal required a new review); the authorisation procedure was detailed and entrusted to a judicial body, the Foreign Intelligence Court; there were several independent bodies, in particular the Foreign Intelligence Inspectorate and the Data Protection Authority, tasked with the supervision and review of the system; and, on request, the </w:t>
      </w:r>
      <w:r w:rsidR="00C51549">
        <w:t>I</w:t>
      </w:r>
      <w:r w:rsidRPr="008873B1">
        <w:t>nspectorate had to investigate individual complaints of intercepted communications, as did the Parliamentary Ombudsmen and the Chancellor of Justice (see paragraphs 116-47 and 153-78 of the Chamber judgment).</w:t>
      </w:r>
    </w:p>
    <w:p w:rsidRPr="008873B1" w:rsidR="004D0549" w:rsidP="004D0549" w:rsidRDefault="004D0549" w14:paraId="570316B5" w14:textId="7F52FC75">
      <w:pPr>
        <w:pStyle w:val="JuPara"/>
      </w:pPr>
      <w:r w:rsidRPr="008873B1">
        <w:fldChar w:fldCharType="begin"/>
      </w:r>
      <w:r w:rsidRPr="008873B1">
        <w:instrText xml:space="preserve"> SEQ level0 \*arabic </w:instrText>
      </w:r>
      <w:r w:rsidRPr="008873B1">
        <w:fldChar w:fldCharType="separate"/>
      </w:r>
      <w:r w:rsidR="004F11CA">
        <w:rPr>
          <w:noProof/>
        </w:rPr>
        <w:t>181</w:t>
      </w:r>
      <w:r w:rsidRPr="008873B1">
        <w:fldChar w:fldCharType="end"/>
      </w:r>
      <w:r w:rsidRPr="008873B1">
        <w:t xml:space="preserve">.  The Chamber therefore found that the Swedish system of signals intelligence provided adequate and </w:t>
      </w:r>
      <w:proofErr w:type="gramStart"/>
      <w:r w:rsidRPr="008873B1">
        <w:t>sufficient</w:t>
      </w:r>
      <w:proofErr w:type="gramEnd"/>
      <w:r w:rsidRPr="008873B1">
        <w:t xml:space="preserve"> guarantees against arbitrariness and the risk of abuse. The relevant legislation met the “quality of law” requirement and the interference could be considered as being “necessary in a democratic society”. Furthermore, the structure and operation of the system were proportionate to the aim sought to be achieved. The Chamber pointed out, however, that its examination had been made </w:t>
      </w:r>
      <w:r w:rsidRPr="008873B1">
        <w:rPr>
          <w:i/>
        </w:rPr>
        <w:t xml:space="preserve">in </w:t>
      </w:r>
      <w:proofErr w:type="spellStart"/>
      <w:r w:rsidRPr="008873B1">
        <w:rPr>
          <w:i/>
        </w:rPr>
        <w:t>abstracto</w:t>
      </w:r>
      <w:proofErr w:type="spellEnd"/>
      <w:r w:rsidRPr="008873B1">
        <w:t xml:space="preserve"> and did not preclude a review of the State’s liability under the Convention where, for example, the applicant has been made aware of an actual interception (see paragraphs 179-81 of the Chamber judgment).</w:t>
      </w:r>
    </w:p>
    <w:p w:rsidRPr="008873B1" w:rsidR="004D0549" w:rsidP="008873B1" w:rsidRDefault="004D0549" w14:paraId="2C8B0621" w14:textId="77777777">
      <w:pPr>
        <w:pStyle w:val="JuH1"/>
        <w:numPr>
          <w:ilvl w:val="3"/>
          <w:numId w:val="1"/>
        </w:numPr>
        <w:ind w:left="731"/>
      </w:pPr>
      <w:r w:rsidRPr="008873B1">
        <w:t>The parties’ submissions</w:t>
      </w:r>
    </w:p>
    <w:p w:rsidRPr="008873B1" w:rsidR="004D0549" w:rsidP="004D0549" w:rsidRDefault="004D0549" w14:paraId="6C76FACD" w14:textId="77777777">
      <w:pPr>
        <w:pStyle w:val="JuHa0"/>
        <w:numPr>
          <w:ilvl w:val="0"/>
          <w:numId w:val="0"/>
        </w:numPr>
        <w:ind w:left="635"/>
      </w:pPr>
      <w:r w:rsidRPr="008873B1">
        <w:t>(a) The applicant</w:t>
      </w:r>
    </w:p>
    <w:p w:rsidRPr="008873B1" w:rsidR="004D0549" w:rsidP="008873B1" w:rsidRDefault="004D0549" w14:paraId="2B806A02" w14:textId="77777777">
      <w:pPr>
        <w:pStyle w:val="JuHi"/>
        <w:numPr>
          <w:ilvl w:val="5"/>
          <w:numId w:val="1"/>
        </w:numPr>
        <w:tabs>
          <w:tab w:val="clear" w:pos="1077"/>
          <w:tab w:val="clear" w:pos="1134"/>
          <w:tab w:val="clear" w:pos="1191"/>
          <w:tab w:val="clear" w:pos="1247"/>
        </w:tabs>
        <w:spacing w:line="240" w:lineRule="auto"/>
      </w:pPr>
      <w:r w:rsidRPr="008873B1">
        <w:t>The applicant’s view on the standard to be applied</w:t>
      </w:r>
    </w:p>
    <w:p w:rsidRPr="008873B1" w:rsidR="004D0549" w:rsidP="004D0549" w:rsidRDefault="004D0549" w14:paraId="786F98FA" w14:textId="5875035C">
      <w:pPr>
        <w:pStyle w:val="JuPara"/>
      </w:pPr>
      <w:r w:rsidRPr="008873B1">
        <w:fldChar w:fldCharType="begin"/>
      </w:r>
      <w:r w:rsidRPr="008873B1">
        <w:instrText xml:space="preserve"> SEQ level0 \*arabic </w:instrText>
      </w:r>
      <w:r w:rsidRPr="008873B1">
        <w:fldChar w:fldCharType="separate"/>
      </w:r>
      <w:r w:rsidR="004F11CA">
        <w:rPr>
          <w:noProof/>
        </w:rPr>
        <w:t>182</w:t>
      </w:r>
      <w:r w:rsidRPr="008873B1">
        <w:fldChar w:fldCharType="end"/>
      </w:r>
      <w:r w:rsidRPr="008873B1">
        <w:t xml:space="preserve">.  According to the applicant, bulk interception regimes are inherently incompatible with the Convention. In </w:t>
      </w:r>
      <w:proofErr w:type="spellStart"/>
      <w:r w:rsidRPr="008873B1">
        <w:rPr>
          <w:i/>
        </w:rPr>
        <w:t>Klass</w:t>
      </w:r>
      <w:proofErr w:type="spellEnd"/>
      <w:r w:rsidRPr="008873B1">
        <w:rPr>
          <w:i/>
        </w:rPr>
        <w:t xml:space="preserve"> and Others v. Germany</w:t>
      </w:r>
      <w:r w:rsidRPr="008873B1">
        <w:t xml:space="preserve"> (6  September 1978, § 51, Series A no. 28) and </w:t>
      </w:r>
      <w:r w:rsidRPr="008873B1">
        <w:rPr>
          <w:i/>
        </w:rPr>
        <w:t>Association “21 December 1989” and Others v. Romania</w:t>
      </w:r>
      <w:r w:rsidRPr="008873B1">
        <w:t xml:space="preserve"> (nos. 33810/07 and 18817/08, §§ 174-75, 24  May 2011), the Court had considered “exploratory” or “general surveillance” as problematic. As regards untargeted interception, solely regimes far more confined in scope than the Swedish regime had been found to be compatible with the Convention. Seeing that FRA could gain access to virtually all cable-based communisations crossing the Swedish border, the amount of intimate, private and privileged data that could be surveyed under the Swedish </w:t>
      </w:r>
      <w:proofErr w:type="gramStart"/>
      <w:r w:rsidRPr="008873B1">
        <w:t>signals</w:t>
      </w:r>
      <w:proofErr w:type="gramEnd"/>
      <w:r w:rsidRPr="008873B1">
        <w:t xml:space="preserve"> intelligence regime was far greater. Therefore, the applicant considered that only targeted and smaller-scale untargeted interception regimes could fall within the State’s margin of appreciation. Any other approach risked leading to inconsistent case-law having regard to the Court’s approach to other Convention issues, such as blanket retention of fingerprints and DNA profiles, dealt with in </w:t>
      </w:r>
      <w:r w:rsidRPr="008873B1">
        <w:rPr>
          <w:i/>
        </w:rPr>
        <w:t xml:space="preserve">S. and </w:t>
      </w:r>
      <w:proofErr w:type="spellStart"/>
      <w:r w:rsidRPr="008873B1">
        <w:rPr>
          <w:i/>
        </w:rPr>
        <w:t>Marper</w:t>
      </w:r>
      <w:proofErr w:type="spellEnd"/>
      <w:r w:rsidRPr="008873B1">
        <w:rPr>
          <w:i/>
        </w:rPr>
        <w:t xml:space="preserve"> v. the United Kingdom</w:t>
      </w:r>
      <w:r w:rsidRPr="008873B1">
        <w:t xml:space="preserve"> ([GC], nos. 30562/04 and 30566/04, § 115, ECHR 2008).</w:t>
      </w:r>
    </w:p>
    <w:p w:rsidRPr="008873B1" w:rsidR="004D0549" w:rsidP="000E43DD" w:rsidRDefault="004D0549" w14:paraId="6C4CAF3F" w14:textId="4A9DBB18">
      <w:pPr>
        <w:pStyle w:val="JuPara"/>
      </w:pPr>
      <w:r w:rsidRPr="008873B1">
        <w:fldChar w:fldCharType="begin"/>
      </w:r>
      <w:r w:rsidRPr="008873B1">
        <w:instrText xml:space="preserve"> SEQ level0 \*arabic </w:instrText>
      </w:r>
      <w:r w:rsidRPr="008873B1">
        <w:fldChar w:fldCharType="separate"/>
      </w:r>
      <w:r w:rsidR="004F11CA">
        <w:rPr>
          <w:noProof/>
        </w:rPr>
        <w:t>183</w:t>
      </w:r>
      <w:r w:rsidRPr="008873B1">
        <w:fldChar w:fldCharType="end"/>
      </w:r>
      <w:r w:rsidRPr="008873B1">
        <w:t xml:space="preserve">.  If the Court considered that bulk interception activities may be justified under the Convention, the applicant submitted that robust minimum safeguards were imperative. The factors outlined in </w:t>
      </w:r>
      <w:r w:rsidRPr="008873B1">
        <w:rPr>
          <w:i/>
        </w:rPr>
        <w:t xml:space="preserve">Roman </w:t>
      </w:r>
      <w:proofErr w:type="spellStart"/>
      <w:r w:rsidRPr="008873B1">
        <w:rPr>
          <w:i/>
        </w:rPr>
        <w:t>Zakharov</w:t>
      </w:r>
      <w:proofErr w:type="spellEnd"/>
      <w:r w:rsidRPr="008873B1">
        <w:t xml:space="preserve"> (cited above, § 238) could serve as an initial framework, but untargeted surveillance entailed elevated privacy risks and required these standards to be adapted.</w:t>
      </w:r>
    </w:p>
    <w:p w:rsidRPr="008873B1" w:rsidR="004D0549" w:rsidP="000E43DD" w:rsidRDefault="004D0549" w14:paraId="54EBEA9D" w14:textId="4FC4F62D">
      <w:pPr>
        <w:pStyle w:val="JuPara"/>
      </w:pPr>
      <w:r w:rsidRPr="008873B1">
        <w:fldChar w:fldCharType="begin"/>
      </w:r>
      <w:r w:rsidRPr="008873B1">
        <w:instrText xml:space="preserve"> SEQ level0 \*arabic </w:instrText>
      </w:r>
      <w:r w:rsidRPr="008873B1">
        <w:fldChar w:fldCharType="separate"/>
      </w:r>
      <w:r w:rsidR="004F11CA">
        <w:rPr>
          <w:noProof/>
        </w:rPr>
        <w:t>184</w:t>
      </w:r>
      <w:r w:rsidRPr="008873B1">
        <w:fldChar w:fldCharType="end"/>
      </w:r>
      <w:r w:rsidRPr="008873B1">
        <w:t xml:space="preserve">.  In particular, the main elements of the regime should be set out in </w:t>
      </w:r>
      <w:proofErr w:type="gramStart"/>
      <w:r w:rsidRPr="008873B1">
        <w:t>sufficient</w:t>
      </w:r>
      <w:proofErr w:type="gramEnd"/>
      <w:r w:rsidRPr="008873B1">
        <w:t xml:space="preserve"> detail in statute law. That would ensure that it is the representative of the people who strike the balance between the competing interests.</w:t>
      </w:r>
    </w:p>
    <w:p w:rsidRPr="008873B1" w:rsidR="004D0549" w:rsidP="004D0549" w:rsidRDefault="004D0549" w14:paraId="79946412" w14:textId="3809D5E9">
      <w:pPr>
        <w:ind w:firstLine="284"/>
        <w:jc w:val="both"/>
      </w:pPr>
      <w:r w:rsidRPr="008873B1">
        <w:fldChar w:fldCharType="begin"/>
      </w:r>
      <w:r w:rsidRPr="008873B1">
        <w:instrText xml:space="preserve"> SEQ level0 \*arabic </w:instrText>
      </w:r>
      <w:r w:rsidRPr="008873B1">
        <w:fldChar w:fldCharType="separate"/>
      </w:r>
      <w:r w:rsidR="004F11CA">
        <w:rPr>
          <w:noProof/>
        </w:rPr>
        <w:t>185</w:t>
      </w:r>
      <w:r w:rsidRPr="008873B1">
        <w:fldChar w:fldCharType="end"/>
      </w:r>
      <w:r w:rsidRPr="008873B1">
        <w:t>.  As regards prior authorisation, while it accepted that the body entrusted with this task in Sweden is a judicial one, the applicant invited the Court to move one step further in its case-law and hold that prior authorisation must always be judicial.</w:t>
      </w:r>
    </w:p>
    <w:p w:rsidRPr="008873B1" w:rsidR="004D0549" w:rsidP="004D0549" w:rsidRDefault="004D0549" w14:paraId="4CCFFAFA" w14:textId="5C383FD5">
      <w:pPr>
        <w:pStyle w:val="JuPara"/>
        <w:rPr>
          <w:i/>
          <w:iCs/>
        </w:rPr>
      </w:pPr>
      <w:r w:rsidRPr="008873B1">
        <w:fldChar w:fldCharType="begin"/>
      </w:r>
      <w:r w:rsidRPr="008873B1">
        <w:instrText xml:space="preserve"> SEQ level0 \*arabic </w:instrText>
      </w:r>
      <w:r w:rsidRPr="008873B1">
        <w:fldChar w:fldCharType="separate"/>
      </w:r>
      <w:r w:rsidR="004F11CA">
        <w:rPr>
          <w:noProof/>
        </w:rPr>
        <w:t>186</w:t>
      </w:r>
      <w:r w:rsidRPr="008873B1">
        <w:fldChar w:fldCharType="end"/>
      </w:r>
      <w:r w:rsidRPr="008873B1">
        <w:t>.  In addition, in the applicant’s view, the authorising body should be capable of verifying the existence of a reasonable suspicion in relation to any person singled out or targeted. The applicant found unconvincing the Chamber</w:t>
      </w:r>
      <w:r w:rsidR="00C51549">
        <w:t>’</w:t>
      </w:r>
      <w:r w:rsidRPr="008873B1">
        <w:t xml:space="preserve">s departure, in the present case and in </w:t>
      </w:r>
      <w:r w:rsidRPr="008873B1">
        <w:rPr>
          <w:i/>
          <w:iCs/>
        </w:rPr>
        <w:t>Big Brother Watch and Others v. the United Kingdom</w:t>
      </w:r>
      <w:r w:rsidRPr="008873B1">
        <w:t>, nos.</w:t>
      </w:r>
      <w:r w:rsidRPr="008873B1">
        <w:rPr>
          <w:lang w:eastAsia="en-GB"/>
        </w:rPr>
        <w:t xml:space="preserve"> </w:t>
      </w:r>
      <w:r w:rsidRPr="008873B1">
        <w:t>58170/13 and 2 others, 13</w:t>
      </w:r>
      <w:r w:rsidR="0076626B">
        <w:t> </w:t>
      </w:r>
      <w:r w:rsidRPr="008873B1">
        <w:t>September</w:t>
      </w:r>
      <w:r w:rsidR="0076626B">
        <w:t> </w:t>
      </w:r>
      <w:r w:rsidRPr="008873B1">
        <w:t>2018, from this allegedly established requirement. The use of personalised selectors to single out and collect data on an individual, albeit in the bulk interception context, should be subject to the same threshold as applied to targeted interception. Otherwise, such selectors can be used as a work-around method for targeting individuals.</w:t>
      </w:r>
    </w:p>
    <w:p w:rsidRPr="008873B1" w:rsidR="004D0549" w:rsidP="000E43DD" w:rsidRDefault="004D0549" w14:paraId="61DC2D26" w14:textId="5C589CC4">
      <w:pPr>
        <w:pStyle w:val="JuPara"/>
      </w:pPr>
      <w:r w:rsidRPr="008873B1">
        <w:fldChar w:fldCharType="begin"/>
      </w:r>
      <w:r w:rsidRPr="008873B1">
        <w:instrText xml:space="preserve"> SEQ level0 \*arabic </w:instrText>
      </w:r>
      <w:r w:rsidRPr="008873B1">
        <w:fldChar w:fldCharType="separate"/>
      </w:r>
      <w:r w:rsidR="004F11CA">
        <w:rPr>
          <w:noProof/>
        </w:rPr>
        <w:t>187</w:t>
      </w:r>
      <w:r w:rsidRPr="008873B1">
        <w:fldChar w:fldCharType="end"/>
      </w:r>
      <w:r w:rsidRPr="008873B1">
        <w:t>.  If there are no predefined targets, on the other hand, the authorising body should be capable of verifying that personal data is used in selectors only to the extent that it is material to a narrowly specified foreign intelligence objective. The latter is necessary because the use of selectors relating to specific individuals exposes them to distinct privacy risks, including about intimate matters and opinions.</w:t>
      </w:r>
    </w:p>
    <w:p w:rsidRPr="008873B1" w:rsidR="004D0549" w:rsidP="000E43DD" w:rsidRDefault="004D0549" w14:paraId="56BCECF6" w14:textId="1525D696">
      <w:pPr>
        <w:pStyle w:val="JuPara"/>
      </w:pPr>
      <w:r w:rsidRPr="008873B1">
        <w:fldChar w:fldCharType="begin"/>
      </w:r>
      <w:r w:rsidRPr="008873B1">
        <w:instrText xml:space="preserve"> SEQ level0 \*arabic </w:instrText>
      </w:r>
      <w:r w:rsidRPr="008873B1">
        <w:fldChar w:fldCharType="separate"/>
      </w:r>
      <w:r w:rsidR="004F11CA">
        <w:rPr>
          <w:noProof/>
        </w:rPr>
        <w:t>188</w:t>
      </w:r>
      <w:r w:rsidRPr="008873B1">
        <w:fldChar w:fldCharType="end"/>
      </w:r>
      <w:r w:rsidRPr="008873B1">
        <w:t>.  In the applicant’s view, furthermore, the authorising judicial body should be provided with an indication of how the data will be analysed and used (for example, via pattern-based or subject</w:t>
      </w:r>
      <w:r w:rsidR="003615AF">
        <w:t>-</w:t>
      </w:r>
      <w:r w:rsidRPr="008873B1">
        <w:t>based analysis</w:t>
      </w:r>
      <w:r w:rsidR="003615AF">
        <w:t>,</w:t>
      </w:r>
      <w:r w:rsidRPr="008873B1">
        <w:t xml:space="preserve"> and whether profiles of individuals will be compiled).</w:t>
      </w:r>
    </w:p>
    <w:p w:rsidRPr="008873B1" w:rsidR="004D0549" w:rsidP="000E43DD" w:rsidRDefault="004D0549" w14:paraId="28DB7143" w14:textId="651122DF">
      <w:pPr>
        <w:pStyle w:val="JuPara"/>
      </w:pPr>
      <w:r w:rsidRPr="008873B1">
        <w:fldChar w:fldCharType="begin"/>
      </w:r>
      <w:r w:rsidRPr="008873B1">
        <w:instrText xml:space="preserve"> SEQ level0 \*arabic </w:instrText>
      </w:r>
      <w:r w:rsidRPr="008873B1">
        <w:fldChar w:fldCharType="separate"/>
      </w:r>
      <w:r w:rsidR="004F11CA">
        <w:rPr>
          <w:noProof/>
        </w:rPr>
        <w:t>189</w:t>
      </w:r>
      <w:r w:rsidRPr="008873B1">
        <w:fldChar w:fldCharType="end"/>
      </w:r>
      <w:r w:rsidRPr="008873B1">
        <w:t xml:space="preserve">.  As regards supervision at the stages of carrying out the surveillance activities and after they have been terminated, the applicant accepted that the Swedish oversight bodies meet the requirement of </w:t>
      </w:r>
      <w:proofErr w:type="gramStart"/>
      <w:r w:rsidRPr="008873B1">
        <w:t>sufficient</w:t>
      </w:r>
      <w:proofErr w:type="gramEnd"/>
      <w:r w:rsidRPr="008873B1">
        <w:t xml:space="preserve"> independence from the executive.</w:t>
      </w:r>
    </w:p>
    <w:p w:rsidRPr="008873B1" w:rsidR="004D0549" w:rsidP="000E43DD" w:rsidRDefault="004D0549" w14:paraId="0594CD4B" w14:textId="55255825">
      <w:pPr>
        <w:pStyle w:val="JuPara"/>
      </w:pPr>
      <w:r w:rsidRPr="008873B1">
        <w:fldChar w:fldCharType="begin"/>
      </w:r>
      <w:r w:rsidRPr="008873B1">
        <w:instrText xml:space="preserve"> SEQ level0 \*arabic </w:instrText>
      </w:r>
      <w:r w:rsidRPr="008873B1">
        <w:fldChar w:fldCharType="separate"/>
      </w:r>
      <w:r w:rsidR="004F11CA">
        <w:rPr>
          <w:noProof/>
        </w:rPr>
        <w:t>190</w:t>
      </w:r>
      <w:r w:rsidRPr="008873B1">
        <w:fldChar w:fldCharType="end"/>
      </w:r>
      <w:r w:rsidRPr="008873B1">
        <w:t xml:space="preserve">.  However, the oversight body must be vested with </w:t>
      </w:r>
      <w:proofErr w:type="gramStart"/>
      <w:r w:rsidRPr="008873B1">
        <w:t>sufficient</w:t>
      </w:r>
      <w:proofErr w:type="gramEnd"/>
      <w:r w:rsidRPr="008873B1">
        <w:t xml:space="preserve"> powers to issue legally binding decisions, including stopping and remedying breaches and seeking the liability of those responsible for such breaches. It should have access to classified documents and its functioning should be open to public scrutiny. The supervision powers should concern both content and communications data and should be exercised at the stages when collected communications are subject to automated computer analysis, where a human analyst works on them and where information is communicated to national authorities, foreign Governments or international organisations. Storage of data at each stage should also be supervised.</w:t>
      </w:r>
    </w:p>
    <w:p w:rsidRPr="008873B1" w:rsidR="004D0549" w:rsidP="000E43DD" w:rsidRDefault="004D0549" w14:paraId="38946155" w14:textId="40A10038">
      <w:pPr>
        <w:pStyle w:val="JuPara"/>
      </w:pPr>
      <w:r w:rsidRPr="008873B1">
        <w:fldChar w:fldCharType="begin"/>
      </w:r>
      <w:r w:rsidRPr="008873B1">
        <w:instrText xml:space="preserve"> SEQ level0 \*arabic </w:instrText>
      </w:r>
      <w:r w:rsidRPr="008873B1">
        <w:fldChar w:fldCharType="separate"/>
      </w:r>
      <w:r w:rsidR="004F11CA">
        <w:rPr>
          <w:noProof/>
        </w:rPr>
        <w:t>191</w:t>
      </w:r>
      <w:r w:rsidRPr="008873B1">
        <w:fldChar w:fldCharType="end"/>
      </w:r>
      <w:r w:rsidRPr="008873B1">
        <w:t>.  In the applicant’s view, in addition, individuals must dispose of effective remedies which may take three forms: post-fact notification of the subject of surveillance, a possibility to request information about the surveillance or the existence of a body that can examine complaints without requiring the individual to submit evidence.</w:t>
      </w:r>
    </w:p>
    <w:p w:rsidRPr="008873B1" w:rsidR="004D0549" w:rsidP="000E43DD" w:rsidRDefault="004D0549" w14:paraId="2F66BE5D" w14:textId="224BDD49">
      <w:pPr>
        <w:pStyle w:val="JuPara"/>
      </w:pPr>
      <w:r w:rsidRPr="008873B1">
        <w:fldChar w:fldCharType="begin"/>
      </w:r>
      <w:r w:rsidRPr="008873B1">
        <w:instrText xml:space="preserve"> SEQ level0 \*arabic </w:instrText>
      </w:r>
      <w:r w:rsidRPr="008873B1">
        <w:fldChar w:fldCharType="separate"/>
      </w:r>
      <w:r w:rsidR="004F11CA">
        <w:rPr>
          <w:noProof/>
        </w:rPr>
        <w:t>192</w:t>
      </w:r>
      <w:r w:rsidRPr="008873B1">
        <w:fldChar w:fldCharType="end"/>
      </w:r>
      <w:r w:rsidRPr="008873B1">
        <w:t>.  As regards transmitting intercepted material to foreign actors, the applicant underlined that Contracting States do not have unfettered discretion as they cannot outsource data processing and analysis in such a manner as to avoid responsibility under the Convention. The applicant considered that the minimum standards must include accessible legal provisions, clear legal conditions for sharing, including a duty to take reasonable steps to ensure that the receiving party protects the data with similar safeguards as those applicable at home and sufficient supervisory and remedial mechanisms.</w:t>
      </w:r>
    </w:p>
    <w:p w:rsidRPr="008873B1" w:rsidR="004D0549" w:rsidP="008873B1" w:rsidRDefault="004D0549" w14:paraId="13A1D060" w14:textId="77777777">
      <w:pPr>
        <w:pStyle w:val="JuHi"/>
        <w:numPr>
          <w:ilvl w:val="5"/>
          <w:numId w:val="1"/>
        </w:numPr>
        <w:tabs>
          <w:tab w:val="clear" w:pos="1077"/>
          <w:tab w:val="clear" w:pos="1134"/>
          <w:tab w:val="clear" w:pos="1191"/>
          <w:tab w:val="clear" w:pos="1247"/>
        </w:tabs>
        <w:spacing w:line="240" w:lineRule="auto"/>
      </w:pPr>
      <w:r w:rsidRPr="008873B1">
        <w:t>The applicant’s analysis of the impugned Swedish regime</w:t>
      </w:r>
    </w:p>
    <w:bookmarkStart w:name="appls_temporal_argument" w:id="68"/>
    <w:bookmarkStart w:name="appls_police_argument_1" w:id="69"/>
    <w:p w:rsidRPr="008873B1" w:rsidR="004D0549" w:rsidP="000E43DD" w:rsidRDefault="004D0549" w14:paraId="41C3BD81" w14:textId="09811300">
      <w:pPr>
        <w:pStyle w:val="JuPara"/>
      </w:pPr>
      <w:r w:rsidRPr="008873B1">
        <w:fldChar w:fldCharType="begin"/>
      </w:r>
      <w:r w:rsidRPr="008873B1">
        <w:instrText xml:space="preserve"> SEQ level0 \*arabic </w:instrText>
      </w:r>
      <w:r w:rsidRPr="008873B1">
        <w:fldChar w:fldCharType="separate"/>
      </w:r>
      <w:r w:rsidR="004F11CA">
        <w:rPr>
          <w:noProof/>
        </w:rPr>
        <w:t>193</w:t>
      </w:r>
      <w:r w:rsidRPr="008873B1">
        <w:fldChar w:fldCharType="end"/>
      </w:r>
      <w:bookmarkEnd w:id="68"/>
      <w:bookmarkEnd w:id="69"/>
      <w:r w:rsidRPr="008873B1">
        <w:t xml:space="preserve">.  Applying these standards to the impugned Swedish regime, the applicant stated that the general scope of application of </w:t>
      </w:r>
      <w:r w:rsidR="003615AF">
        <w:t xml:space="preserve">the </w:t>
      </w:r>
      <w:r w:rsidRPr="008873B1">
        <w:t xml:space="preserve">FRA’s powers is sufficiently constrained </w:t>
      </w:r>
      <w:proofErr w:type="gramStart"/>
      <w:r w:rsidRPr="008873B1">
        <w:t>with the exception of</w:t>
      </w:r>
      <w:proofErr w:type="gramEnd"/>
      <w:r w:rsidRPr="008873B1">
        <w:t xml:space="preserve"> the wide discretion it enjoys regarding its development activities. However, the applicant expressed concern that since 1 January 2013 the Security Police and the National Operative Department of the Police Authority (the “NOA”) had been empowered to issue tasking directives for signals intelligence, and that as of 1 March 2018, the Security Police might be granted direct access to </w:t>
      </w:r>
      <w:r w:rsidR="003615AF">
        <w:t xml:space="preserve">the </w:t>
      </w:r>
      <w:r w:rsidRPr="008873B1">
        <w:t>FRA’s databases with analysis material. The risk of signals intelligence being used outside the scope of foreign intelligence activities must be sufficiently contained by clear legal provisions and effective supervision.</w:t>
      </w:r>
    </w:p>
    <w:p w:rsidRPr="008873B1" w:rsidR="004D0549" w:rsidP="000E43DD" w:rsidRDefault="004D0549" w14:paraId="0D49D469" w14:textId="3B4936CC">
      <w:pPr>
        <w:pStyle w:val="JuPara"/>
      </w:pPr>
      <w:r w:rsidRPr="008873B1">
        <w:fldChar w:fldCharType="begin"/>
      </w:r>
      <w:r w:rsidRPr="008873B1">
        <w:instrText xml:space="preserve"> SEQ level0 \*arabic </w:instrText>
      </w:r>
      <w:r w:rsidRPr="008873B1">
        <w:fldChar w:fldCharType="separate"/>
      </w:r>
      <w:r w:rsidR="004F11CA">
        <w:rPr>
          <w:noProof/>
        </w:rPr>
        <w:t>194</w:t>
      </w:r>
      <w:r w:rsidRPr="008873B1">
        <w:fldChar w:fldCharType="end"/>
      </w:r>
      <w:r w:rsidRPr="008873B1">
        <w:t>.  The applicant also alleged that while warrants under the Swedish Signals Intelligence Act have a clear expiry date, there is no requirement that a warrant must be cancelled if collection of communication under the warrant ceases to be necessary.</w:t>
      </w:r>
    </w:p>
    <w:p w:rsidRPr="008873B1" w:rsidR="004D0549" w:rsidP="000E43DD" w:rsidRDefault="004D0549" w14:paraId="64666BC0" w14:textId="76A8EFC6">
      <w:pPr>
        <w:pStyle w:val="JuPara"/>
      </w:pPr>
      <w:r w:rsidRPr="008873B1">
        <w:fldChar w:fldCharType="begin"/>
      </w:r>
      <w:r w:rsidRPr="008873B1">
        <w:instrText xml:space="preserve"> SEQ level0 \*arabic </w:instrText>
      </w:r>
      <w:r w:rsidRPr="008873B1">
        <w:fldChar w:fldCharType="separate"/>
      </w:r>
      <w:r w:rsidR="004F11CA">
        <w:rPr>
          <w:noProof/>
        </w:rPr>
        <w:t>195</w:t>
      </w:r>
      <w:r w:rsidRPr="008873B1">
        <w:fldChar w:fldCharType="end"/>
      </w:r>
      <w:r w:rsidRPr="008873B1">
        <w:t>.  The applicant further considered that the scope of judicial review by the authorising body in Sweden, the Foreign Intelligence Court, was too narrow to be effective. In particular, the existence of a reasonable suspicion in relation to a person who is singled out is not verified and the “exceptional importance” criterion, justifying selectors relating directly to an individual, only refers to selectors employed in the automated collection of data, not to the stage when the collected data is further searched. Also, the Foreign Intelligence Court is not required to review the intended subsequent use of the collected data and, indeed, the warrant request does not specify how the data will be analysed – for example, via subject-based data mining or through compilation of profiles of individuals.</w:t>
      </w:r>
    </w:p>
    <w:bookmarkStart w:name="appls_police_argument_2" w:id="70"/>
    <w:p w:rsidRPr="008873B1" w:rsidR="004D0549" w:rsidP="000E43DD" w:rsidRDefault="004D0549" w14:paraId="48409A03" w14:textId="79016063">
      <w:pPr>
        <w:pStyle w:val="JuPara"/>
      </w:pPr>
      <w:r w:rsidRPr="008873B1">
        <w:fldChar w:fldCharType="begin"/>
      </w:r>
      <w:r w:rsidRPr="008873B1">
        <w:instrText xml:space="preserve"> SEQ level0 \*arabic </w:instrText>
      </w:r>
      <w:r w:rsidRPr="008873B1">
        <w:fldChar w:fldCharType="separate"/>
      </w:r>
      <w:r w:rsidR="004F11CA">
        <w:rPr>
          <w:noProof/>
        </w:rPr>
        <w:t>196</w:t>
      </w:r>
      <w:r w:rsidRPr="008873B1">
        <w:fldChar w:fldCharType="end"/>
      </w:r>
      <w:bookmarkEnd w:id="70"/>
      <w:r w:rsidRPr="008873B1">
        <w:t>.  As regards storing, accessing, examining, using and destroying intercepted data, the applicant identified two major flaws in the Swedish system: lack of legal obligation for</w:t>
      </w:r>
      <w:r w:rsidR="003615AF">
        <w:t xml:space="preserve"> the</w:t>
      </w:r>
      <w:r w:rsidRPr="008873B1">
        <w:t xml:space="preserve"> FRA to keep detailed records of the interception, use and communication of data, for which it had been repeatedly criticised by the Swedish Data Protection Authority, and lack of rules specifically adapted to bulk interception as opposed to general rules on data processing. The applicant was further concerned that as of 1</w:t>
      </w:r>
      <w:r w:rsidR="0076626B">
        <w:t> </w:t>
      </w:r>
      <w:r w:rsidRPr="008873B1">
        <w:t>March</w:t>
      </w:r>
      <w:r w:rsidR="0076626B">
        <w:t> </w:t>
      </w:r>
      <w:r w:rsidRPr="008873B1">
        <w:t>2018 the Security Police may be granted direct access to FRA’s databases with analysis material.</w:t>
      </w:r>
    </w:p>
    <w:p w:rsidRPr="008873B1" w:rsidR="004D0549" w:rsidP="000E43DD" w:rsidRDefault="004D0549" w14:paraId="71614931" w14:textId="4A80E1D2">
      <w:pPr>
        <w:pStyle w:val="JuPara"/>
      </w:pPr>
      <w:r w:rsidRPr="008873B1">
        <w:fldChar w:fldCharType="begin"/>
      </w:r>
      <w:r w:rsidRPr="008873B1">
        <w:instrText xml:space="preserve"> SEQ level0 \*arabic </w:instrText>
      </w:r>
      <w:r w:rsidRPr="008873B1">
        <w:fldChar w:fldCharType="separate"/>
      </w:r>
      <w:r w:rsidR="004F11CA">
        <w:rPr>
          <w:noProof/>
        </w:rPr>
        <w:t>197</w:t>
      </w:r>
      <w:r w:rsidRPr="008873B1">
        <w:fldChar w:fldCharType="end"/>
      </w:r>
      <w:r w:rsidRPr="008873B1">
        <w:t>.  The applicant also alleged that legal persons did not enjoy adequate protection since the FRA Data Processing Act only applies to intercept material containing personal data. This allegedly resulted in a situation where material not containing personal data may be kept forever and used for purposes incompatible with the original purpose of collection.</w:t>
      </w:r>
    </w:p>
    <w:bookmarkStart w:name="appls_on_supervision" w:id="71"/>
    <w:p w:rsidRPr="008873B1" w:rsidR="004D0549" w:rsidP="000E43DD" w:rsidRDefault="004D0549" w14:paraId="3C41D06A" w14:textId="20B17FE9">
      <w:pPr>
        <w:pStyle w:val="JuPara"/>
      </w:pPr>
      <w:r w:rsidRPr="008873B1">
        <w:fldChar w:fldCharType="begin"/>
      </w:r>
      <w:r w:rsidRPr="008873B1">
        <w:instrText xml:space="preserve"> SEQ level0 \*arabic </w:instrText>
      </w:r>
      <w:r w:rsidRPr="008873B1">
        <w:fldChar w:fldCharType="separate"/>
      </w:r>
      <w:r w:rsidR="004F11CA">
        <w:rPr>
          <w:noProof/>
        </w:rPr>
        <w:t>198</w:t>
      </w:r>
      <w:r w:rsidRPr="008873B1">
        <w:fldChar w:fldCharType="end"/>
      </w:r>
      <w:bookmarkEnd w:id="71"/>
      <w:r w:rsidRPr="008873B1">
        <w:t xml:space="preserve">.  The applicant criticised the following features of the existing supervision system. First, while the Inspectorate may decide that an operation shall cease or that the collected intelligence must be destroyed if it finds incompatibility with a warrant granted by the Foreign Intelligence Court, it does not have the power to issue binding decisions where the warrant is deemed unlawful. The Inspectorate cannot grant compensation or seek the liability of those responsible for breaches. Second, neither the Data Protection Authority, nor the Chancellor of Justice or the Ombudsmen may issue legally binding decisions. The Data Protection Authority may only apply to the Administrative Court in Stockholm to have illegally processed data destroyed. Furthermore, none of the complaints that have been submitted to the Chancellor and the Ombudsmen in relation to </w:t>
      </w:r>
      <w:r w:rsidR="003B2881">
        <w:t xml:space="preserve">the </w:t>
      </w:r>
      <w:r w:rsidRPr="008873B1">
        <w:t xml:space="preserve">FRA’s activities has been successful. Those bodies are not specialised in </w:t>
      </w:r>
      <w:r w:rsidR="003B2881">
        <w:t xml:space="preserve">the </w:t>
      </w:r>
      <w:r w:rsidRPr="008873B1">
        <w:t>FRA’s activities and do not possess the knowledge and capacity to supervise them effectively.</w:t>
      </w:r>
    </w:p>
    <w:bookmarkStart w:name="appls_on_remedies" w:id="72"/>
    <w:p w:rsidRPr="008873B1" w:rsidR="004D0549" w:rsidP="000E43DD" w:rsidRDefault="004D0549" w14:paraId="43E556D6" w14:textId="15C8A244">
      <w:pPr>
        <w:pStyle w:val="JuPara"/>
      </w:pPr>
      <w:r w:rsidRPr="008873B1">
        <w:fldChar w:fldCharType="begin"/>
      </w:r>
      <w:r w:rsidRPr="008873B1">
        <w:instrText xml:space="preserve"> SEQ level0 \*arabic </w:instrText>
      </w:r>
      <w:r w:rsidRPr="008873B1">
        <w:fldChar w:fldCharType="separate"/>
      </w:r>
      <w:r w:rsidR="004F11CA">
        <w:rPr>
          <w:noProof/>
        </w:rPr>
        <w:t>199</w:t>
      </w:r>
      <w:r w:rsidRPr="008873B1">
        <w:fldChar w:fldCharType="end"/>
      </w:r>
      <w:bookmarkEnd w:id="72"/>
      <w:r w:rsidRPr="008873B1">
        <w:t>.  The applicant made the following submissions as regards the remedies available under the impugned Swedish regime.</w:t>
      </w:r>
    </w:p>
    <w:p w:rsidRPr="008873B1" w:rsidR="004D0549" w:rsidP="000E43DD" w:rsidRDefault="004D0549" w14:paraId="504131E6" w14:textId="1D141A25">
      <w:pPr>
        <w:pStyle w:val="JuPara"/>
      </w:pPr>
      <w:r w:rsidRPr="008873B1">
        <w:t xml:space="preserve">First, in its view the notification provided for under section 11(a) of the Signals Intelligence Act only concerns natural persons, not organisations, and may be disapplied if required for reasons of secrecy, which has happened invariably in practice. This remedy was therefore “theoretical and illusory”. The possibility to request </w:t>
      </w:r>
      <w:r w:rsidR="003B2881">
        <w:t xml:space="preserve">the </w:t>
      </w:r>
      <w:r w:rsidRPr="008873B1">
        <w:t xml:space="preserve">FRA to inform an individual whether personal data concerning him or her had been processed was also subject to the secrecy rule and the Administrative Court that examines ensuing appeals would not have access to secret documents and would be unable to review </w:t>
      </w:r>
      <w:r w:rsidR="003B2881">
        <w:t xml:space="preserve">the </w:t>
      </w:r>
      <w:r w:rsidRPr="008873B1">
        <w:t>FRA’s assessment on whether secrecy applies. This remedy too is unavailable to legal persons as the applicant.</w:t>
      </w:r>
    </w:p>
    <w:p w:rsidRPr="008873B1" w:rsidR="004D0549" w:rsidP="000E43DD" w:rsidRDefault="004D0549" w14:paraId="70241C71" w14:textId="77777777">
      <w:pPr>
        <w:pStyle w:val="JuPara"/>
      </w:pPr>
      <w:r w:rsidRPr="008873B1">
        <w:t>Second, the applicant referred to powers of the IPT in the United Kingdom to hear complaints of unlawful interception without the need for the complainant to prove that they had been subject to surveillance. The IPT, an independent judicial body, had access to secret documents, could take binding decisions and award compensation. Its decisions were published. The applicant submitted that a similar remedy was lacking in Sweden.</w:t>
      </w:r>
    </w:p>
    <w:p w:rsidRPr="008873B1" w:rsidR="004D0549" w:rsidP="000E43DD" w:rsidRDefault="004D0549" w14:paraId="34641DBA" w14:textId="77777777">
      <w:pPr>
        <w:pStyle w:val="JuPara"/>
      </w:pPr>
      <w:r w:rsidRPr="008873B1">
        <w:t>Third, as regards the possibility under Swedish law to ask the Inspectorate to investigate whether an individual’s communications have been intercepted, the applicant noted that the Inspectorate did not inform the individual concerned of its findings and only sent standardised replies that no unlawful surveillance had taken pace. The applicant reiterated their view that the Inspectorate had no power to control compliance with the law and the Constitution and could not order the payment of compensation.</w:t>
      </w:r>
    </w:p>
    <w:p w:rsidRPr="008873B1" w:rsidR="004D0549" w:rsidP="000E43DD" w:rsidRDefault="004D0549" w14:paraId="7FD53A04" w14:textId="352B6475">
      <w:pPr>
        <w:pStyle w:val="JuPara"/>
      </w:pPr>
      <w:r w:rsidRPr="008873B1">
        <w:t>Fourth, the applicant considered that seeking compensation from the Chancellor of Justice was not an effective remedy because</w:t>
      </w:r>
      <w:r w:rsidR="003B2881">
        <w:t>:</w:t>
      </w:r>
      <w:r w:rsidRPr="008873B1">
        <w:t xml:space="preserve"> (</w:t>
      </w:r>
      <w:proofErr w:type="spellStart"/>
      <w:r w:rsidRPr="008873B1">
        <w:t>i</w:t>
      </w:r>
      <w:proofErr w:type="spellEnd"/>
      <w:r w:rsidRPr="008873B1">
        <w:t>) the individual bears the burden to prove that there had been unlawful surveillance</w:t>
      </w:r>
      <w:r w:rsidR="003B2881">
        <w:t>;</w:t>
      </w:r>
      <w:r w:rsidRPr="008873B1">
        <w:t xml:space="preserve"> (ii) compensation without erasing the unlawfully processed data could not be regarded as an effective remedy; (iii) to date the Chancellor, who enjoys discretion as to which complaints to review, had dismissed all complaints concerning </w:t>
      </w:r>
      <w:r w:rsidR="003B2881">
        <w:t xml:space="preserve">the </w:t>
      </w:r>
      <w:r w:rsidRPr="008873B1">
        <w:t xml:space="preserve">FRA’s activities; (iv) the Government had not shown the effectiveness of this remedy, seeing that it is unclear what action must be undertaken by the Chancellor upon receipt of a report from the Inspectorate informing about actions of </w:t>
      </w:r>
      <w:r w:rsidR="003B2881">
        <w:t xml:space="preserve">the </w:t>
      </w:r>
      <w:r w:rsidRPr="008873B1">
        <w:t xml:space="preserve">FRA that may give rise to a claim of damages: in particular, if the Chancellor were to provide the individual with an opportunity to claim damages, that would require advising him or her of the unlawful conduct of </w:t>
      </w:r>
      <w:r w:rsidR="003B2881">
        <w:t xml:space="preserve">the </w:t>
      </w:r>
      <w:r w:rsidRPr="008873B1">
        <w:t>FRA which could be precluded by secrecy.</w:t>
      </w:r>
    </w:p>
    <w:p w:rsidRPr="008873B1" w:rsidR="004D0549" w:rsidP="000E43DD" w:rsidRDefault="004D0549" w14:paraId="321F964D" w14:textId="77777777">
      <w:pPr>
        <w:pStyle w:val="JuPara"/>
      </w:pPr>
      <w:r w:rsidRPr="008873B1">
        <w:t>Fifth, in the absence of notification or access to documents it is virtually impossible for an individual to discharge the burden of proof in a civil action for damages.</w:t>
      </w:r>
    </w:p>
    <w:p w:rsidRPr="008873B1" w:rsidR="004D0549" w:rsidP="000E43DD" w:rsidRDefault="004D0549" w14:paraId="00D5E2B7" w14:textId="77777777">
      <w:pPr>
        <w:pStyle w:val="JuPara"/>
      </w:pPr>
      <w:r w:rsidRPr="008873B1">
        <w:t>Sixth, the Ombudsmen could not order any redress and no examples of the effectiveness of this remedy have been shown.</w:t>
      </w:r>
    </w:p>
    <w:p w:rsidRPr="008873B1" w:rsidR="004D0549" w:rsidP="000E43DD" w:rsidRDefault="004D0549" w14:paraId="286738AF" w14:textId="753225C9">
      <w:pPr>
        <w:pStyle w:val="JuPara"/>
      </w:pPr>
      <w:r w:rsidRPr="008873B1">
        <w:t xml:space="preserve">Seventh, the procedure according to which </w:t>
      </w:r>
      <w:r w:rsidR="00DE1D4C">
        <w:t xml:space="preserve">the </w:t>
      </w:r>
      <w:r w:rsidRPr="008873B1">
        <w:t>FRA could correct or destroy unlawfully processed personal data was dependent on the individual’s knowledge that data had been processed and was ineffective due to the secrecy requirement. Also, the Administrative Court has never received applications form the Data Protection Authority seeking the erasure of unlawfully processed data.</w:t>
      </w:r>
    </w:p>
    <w:p w:rsidRPr="008873B1" w:rsidR="004D0549" w:rsidP="000E43DD" w:rsidRDefault="004D0549" w14:paraId="1AF65FE1" w14:textId="77777777">
      <w:pPr>
        <w:pStyle w:val="JuPara"/>
      </w:pPr>
      <w:r w:rsidRPr="008873B1">
        <w:t>Finally, the possibility to seek prosecution was also dependent on the individual knowing of relevant wrongdoing and thus ineffective.</w:t>
      </w:r>
    </w:p>
    <w:bookmarkStart w:name="appls_on_sharing" w:id="73"/>
    <w:p w:rsidRPr="008873B1" w:rsidR="004D0549" w:rsidP="000E43DD" w:rsidRDefault="004D0549" w14:paraId="78C8F298" w14:textId="57FE7F54">
      <w:pPr>
        <w:pStyle w:val="JuPara"/>
      </w:pPr>
      <w:r w:rsidRPr="008873B1">
        <w:fldChar w:fldCharType="begin"/>
      </w:r>
      <w:r w:rsidRPr="008873B1">
        <w:instrText xml:space="preserve"> SEQ level0 \*arabic </w:instrText>
      </w:r>
      <w:r w:rsidRPr="008873B1">
        <w:fldChar w:fldCharType="separate"/>
      </w:r>
      <w:r w:rsidR="004F11CA">
        <w:rPr>
          <w:noProof/>
        </w:rPr>
        <w:t>200</w:t>
      </w:r>
      <w:r w:rsidRPr="008873B1">
        <w:fldChar w:fldCharType="end"/>
      </w:r>
      <w:bookmarkEnd w:id="73"/>
      <w:r w:rsidRPr="008873B1">
        <w:t xml:space="preserve">.  On the issue of transfers of intercepted data to foreign third parties, the applicant submitted that the deficiencies in the Swedish legal regime and practice were glaring. The legal limitations on such transfers consisted of nothing more than a vague and broadly defined obligation to act in the national interest. There was no requirement that possible harm to the individual is to be </w:t>
      </w:r>
      <w:proofErr w:type="gramStart"/>
      <w:r w:rsidRPr="008873B1">
        <w:t>taken into account</w:t>
      </w:r>
      <w:proofErr w:type="gramEnd"/>
      <w:r w:rsidRPr="008873B1">
        <w:t xml:space="preserve"> or that the recipient is to be required to protect the data with similar safeguards as those applicable in Sweden.</w:t>
      </w:r>
    </w:p>
    <w:bookmarkStart w:name="appls_on_sharing_end" w:id="74"/>
    <w:p w:rsidRPr="008873B1" w:rsidR="004D0549" w:rsidP="000E43DD" w:rsidRDefault="004D0549" w14:paraId="500FAE16" w14:textId="49D3AAAF">
      <w:pPr>
        <w:pStyle w:val="JuPara"/>
      </w:pPr>
      <w:r w:rsidRPr="008873B1">
        <w:fldChar w:fldCharType="begin"/>
      </w:r>
      <w:r w:rsidRPr="008873B1">
        <w:instrText xml:space="preserve"> SEQ level0 \*arabic </w:instrText>
      </w:r>
      <w:r w:rsidRPr="008873B1">
        <w:fldChar w:fldCharType="separate"/>
      </w:r>
      <w:r w:rsidR="004F11CA">
        <w:rPr>
          <w:noProof/>
        </w:rPr>
        <w:t>201</w:t>
      </w:r>
      <w:r w:rsidRPr="008873B1">
        <w:fldChar w:fldCharType="end"/>
      </w:r>
      <w:bookmarkEnd w:id="74"/>
      <w:r w:rsidRPr="008873B1">
        <w:t xml:space="preserve">.  The applicant disagreed with the finding of the Chamber that the above shortcomings were counterbalanced by the supervisory mechanisms of the Swedish system. It considered that this supervision was inadequate </w:t>
      </w:r>
      <w:proofErr w:type="gramStart"/>
      <w:r w:rsidRPr="008873B1">
        <w:t>and in any event</w:t>
      </w:r>
      <w:proofErr w:type="gramEnd"/>
      <w:r w:rsidRPr="008873B1">
        <w:t xml:space="preserve"> did not cover the transfer of intercepted data to foreign parties. The FRA was merely required to inform the Inspectorate of the principles governing its cooperation with foreign parties, identify the countries or international organisations to which data was transferred and provide general details of operations. As the Inspectorate monitors </w:t>
      </w:r>
      <w:r w:rsidR="00712838">
        <w:t xml:space="preserve">the </w:t>
      </w:r>
      <w:r w:rsidRPr="008873B1">
        <w:t>FRA’s activities for compliance with existing legal requirements and the law allows excessive discretion to the FRA in this area, even the most stringent policing by the Inspectorate could do little to provide safeguards against abuse. In the applicant’s view, the arrangements described above cannot constitute a practice compatible with the Convention as they allow to simply outsource otherwise unlawful activities without appropriate limits safeguarding fundamental rights.</w:t>
      </w:r>
    </w:p>
    <w:p w:rsidRPr="008873B1" w:rsidR="004D0549" w:rsidP="004D0549" w:rsidRDefault="004D0549" w14:paraId="049663C7" w14:textId="77777777">
      <w:pPr>
        <w:pStyle w:val="JuHa0"/>
        <w:numPr>
          <w:ilvl w:val="0"/>
          <w:numId w:val="0"/>
        </w:numPr>
        <w:ind w:left="635"/>
      </w:pPr>
      <w:r w:rsidRPr="008873B1">
        <w:t>(b) The Government</w:t>
      </w:r>
    </w:p>
    <w:p w:rsidRPr="008873B1" w:rsidR="004D0549" w:rsidP="004D0549" w:rsidRDefault="004D0549" w14:paraId="187E7E58" w14:textId="21E49D1A">
      <w:pPr>
        <w:pStyle w:val="JuPara"/>
      </w:pPr>
      <w:r w:rsidRPr="008873B1">
        <w:fldChar w:fldCharType="begin"/>
      </w:r>
      <w:r w:rsidRPr="008873B1">
        <w:instrText xml:space="preserve"> SEQ level0 \*arabic </w:instrText>
      </w:r>
      <w:r w:rsidRPr="008873B1">
        <w:fldChar w:fldCharType="separate"/>
      </w:r>
      <w:r w:rsidR="004F11CA">
        <w:rPr>
          <w:noProof/>
        </w:rPr>
        <w:t>202</w:t>
      </w:r>
      <w:r w:rsidRPr="008873B1">
        <w:fldChar w:fldCharType="end"/>
      </w:r>
      <w:r w:rsidRPr="008873B1">
        <w:t xml:space="preserve">.  The Government submitted that the purpose of signals intelligence was to obtain information and identify phenomena of relevance for foreign intelligence. Foreign intelligence was essential for Sweden’s national security </w:t>
      </w:r>
      <w:proofErr w:type="gramStart"/>
      <w:r w:rsidRPr="008873B1">
        <w:t>and also</w:t>
      </w:r>
      <w:proofErr w:type="gramEnd"/>
      <w:r w:rsidRPr="008873B1">
        <w:t xml:space="preserve"> relevant with regard to Sweden’s positive obligations under the Convention to protect the lives and safety of the public.</w:t>
      </w:r>
    </w:p>
    <w:p w:rsidRPr="008873B1" w:rsidR="004D0549" w:rsidP="000E43DD" w:rsidRDefault="004D0549" w14:paraId="47C1C086" w14:textId="01D0888D">
      <w:pPr>
        <w:pStyle w:val="JuPara"/>
      </w:pPr>
      <w:r w:rsidRPr="008873B1">
        <w:fldChar w:fldCharType="begin"/>
      </w:r>
      <w:r w:rsidRPr="008873B1">
        <w:instrText xml:space="preserve"> SEQ level0 \*arabic </w:instrText>
      </w:r>
      <w:r w:rsidRPr="008873B1">
        <w:fldChar w:fldCharType="separate"/>
      </w:r>
      <w:r w:rsidR="004F11CA">
        <w:rPr>
          <w:noProof/>
        </w:rPr>
        <w:t>203</w:t>
      </w:r>
      <w:r w:rsidRPr="008873B1">
        <w:fldChar w:fldCharType="end"/>
      </w:r>
      <w:r w:rsidRPr="008873B1">
        <w:t>.  In the Government’s view, owing to the fact that the Court’s case</w:t>
      </w:r>
      <w:r w:rsidR="00712838">
        <w:t>-</w:t>
      </w:r>
      <w:r w:rsidRPr="008873B1">
        <w:t xml:space="preserve">law setting out minimum safeguards for secret surveillance measures concerns, with the exception of the present case and </w:t>
      </w:r>
      <w:r w:rsidRPr="008873B1">
        <w:rPr>
          <w:i/>
        </w:rPr>
        <w:t>Big Brother Watch</w:t>
      </w:r>
      <w:r w:rsidRPr="008873B1">
        <w:t xml:space="preserve">, criminal investigations, some of the minimum safeguards required by the Court presuppose a link to a certain individual or to a certain place. This is very different from signals intelligence, which cannot be used to investigate criminal offences and one of the duties of the Foreign Intelligence Court is to ensure that it is not so used. Signals intelligence as part of foreign intelligence may in many cases target specific individuals’ communications but the individuals are most often not of interest </w:t>
      </w:r>
      <w:r w:rsidRPr="008873B1">
        <w:rPr>
          <w:i/>
        </w:rPr>
        <w:t>per se</w:t>
      </w:r>
      <w:r w:rsidRPr="008873B1">
        <w:t>: they are only carriers of information.</w:t>
      </w:r>
    </w:p>
    <w:p w:rsidRPr="008873B1" w:rsidR="004D0549" w:rsidP="000E43DD" w:rsidRDefault="004D0549" w14:paraId="6F03A440" w14:textId="43596175">
      <w:pPr>
        <w:pStyle w:val="JuPara"/>
      </w:pPr>
      <w:r w:rsidRPr="008873B1">
        <w:fldChar w:fldCharType="begin"/>
      </w:r>
      <w:r w:rsidRPr="008873B1">
        <w:instrText xml:space="preserve"> SEQ level0 \*arabic </w:instrText>
      </w:r>
      <w:r w:rsidRPr="008873B1">
        <w:fldChar w:fldCharType="separate"/>
      </w:r>
      <w:r w:rsidR="004F11CA">
        <w:rPr>
          <w:noProof/>
        </w:rPr>
        <w:t>204</w:t>
      </w:r>
      <w:r w:rsidRPr="008873B1">
        <w:fldChar w:fldCharType="end"/>
      </w:r>
      <w:r w:rsidRPr="008873B1">
        <w:t>.  It was necessary, therefore, to adapt the relevant requirements, including by reformulating some of the criteria set out in the Court’s case-law as follows: introducing the criterion “the circumstances in which the measures may be used” instead of “the nature of the offences” and “categories of persons targeted”. Also, account must be taken of the fact that national security threats are by their nature variable and difficult to define in advance.</w:t>
      </w:r>
    </w:p>
    <w:p w:rsidRPr="008873B1" w:rsidR="004D0549" w:rsidP="000E43DD" w:rsidRDefault="004D0549" w14:paraId="79C127B4" w14:textId="5C618822">
      <w:pPr>
        <w:pStyle w:val="JuPara"/>
      </w:pPr>
      <w:r w:rsidRPr="008873B1">
        <w:fldChar w:fldCharType="begin"/>
      </w:r>
      <w:r w:rsidRPr="008873B1">
        <w:instrText xml:space="preserve"> SEQ level0 \*arabic </w:instrText>
      </w:r>
      <w:r w:rsidRPr="008873B1">
        <w:fldChar w:fldCharType="separate"/>
      </w:r>
      <w:r w:rsidR="004F11CA">
        <w:rPr>
          <w:noProof/>
        </w:rPr>
        <w:t>205</w:t>
      </w:r>
      <w:r w:rsidRPr="008873B1">
        <w:fldChar w:fldCharType="end"/>
      </w:r>
      <w:r w:rsidRPr="008873B1">
        <w:t xml:space="preserve">.  The Government strongly disagreed with the applicant who had claimed, on the basis of </w:t>
      </w:r>
      <w:r w:rsidRPr="008873B1">
        <w:rPr>
          <w:i/>
        </w:rPr>
        <w:t xml:space="preserve">Roman </w:t>
      </w:r>
      <w:proofErr w:type="spellStart"/>
      <w:r w:rsidRPr="008873B1">
        <w:rPr>
          <w:i/>
        </w:rPr>
        <w:t>Zakharov</w:t>
      </w:r>
      <w:proofErr w:type="spellEnd"/>
      <w:r w:rsidRPr="008873B1">
        <w:t xml:space="preserve"> (cited above) and </w:t>
      </w:r>
      <w:proofErr w:type="spellStart"/>
      <w:r w:rsidRPr="008873B1">
        <w:rPr>
          <w:i/>
        </w:rPr>
        <w:t>Szabó</w:t>
      </w:r>
      <w:proofErr w:type="spellEnd"/>
      <w:r w:rsidRPr="008873B1">
        <w:rPr>
          <w:i/>
        </w:rPr>
        <w:t xml:space="preserve"> and </w:t>
      </w:r>
      <w:proofErr w:type="spellStart"/>
      <w:r w:rsidRPr="008873B1">
        <w:rPr>
          <w:i/>
        </w:rPr>
        <w:t>Vissy</w:t>
      </w:r>
      <w:proofErr w:type="spellEnd"/>
      <w:r w:rsidRPr="008873B1">
        <w:t xml:space="preserve"> </w:t>
      </w:r>
      <w:r w:rsidRPr="008873B1">
        <w:rPr>
          <w:i/>
        </w:rPr>
        <w:t>v. Hungary</w:t>
      </w:r>
      <w:r w:rsidRPr="008873B1">
        <w:rPr>
          <w:snapToGrid w:val="0"/>
        </w:rPr>
        <w:t xml:space="preserve"> (</w:t>
      </w:r>
      <w:r w:rsidRPr="008873B1">
        <w:t>no. 37138/14</w:t>
      </w:r>
      <w:r w:rsidRPr="008873B1">
        <w:rPr>
          <w:snapToGrid w:val="0"/>
        </w:rPr>
        <w:t xml:space="preserve">, 12 January 2016), </w:t>
      </w:r>
      <w:r w:rsidRPr="008873B1">
        <w:t xml:space="preserve">that the existence of a reasonable suspicion was required at least when selectors linked to a specific individual were used. In the Government’s view no such requirement could be deducted from the above-cited case-law. The Government supported the Chamber’s reasoning in paragraph 317 in </w:t>
      </w:r>
      <w:r w:rsidRPr="008873B1">
        <w:rPr>
          <w:i/>
        </w:rPr>
        <w:t>Big Brother Watch</w:t>
      </w:r>
      <w:r w:rsidRPr="008873B1">
        <w:t>, where the Court held that the requirements of “reasonable suspicion” and “subsequent notification” are incompatible with bulk interception regimes.</w:t>
      </w:r>
    </w:p>
    <w:bookmarkStart w:name="Gov_says_provided_bylaw" w:id="75"/>
    <w:p w:rsidRPr="008873B1" w:rsidR="004D0549" w:rsidP="000E43DD" w:rsidRDefault="004D0549" w14:paraId="021D195C" w14:textId="149C17A1">
      <w:pPr>
        <w:pStyle w:val="JuPara"/>
      </w:pPr>
      <w:r w:rsidRPr="008873B1">
        <w:fldChar w:fldCharType="begin"/>
      </w:r>
      <w:r w:rsidRPr="008873B1">
        <w:instrText xml:space="preserve"> SEQ level0 \*arabic </w:instrText>
      </w:r>
      <w:r w:rsidRPr="008873B1">
        <w:fldChar w:fldCharType="separate"/>
      </w:r>
      <w:r w:rsidR="004F11CA">
        <w:rPr>
          <w:noProof/>
        </w:rPr>
        <w:t>206</w:t>
      </w:r>
      <w:r w:rsidRPr="008873B1">
        <w:fldChar w:fldCharType="end"/>
      </w:r>
      <w:bookmarkEnd w:id="75"/>
      <w:r w:rsidRPr="008873B1">
        <w:t>.  The Government further asserted that bulk interception in Sweden was regulated by a comprehensive legal regime that was based on published legal provisions and provided for significant safeguards, including independent supervision, covering both surveillance activities related to communications data and to the content of communications. The law clearly delimited the scope of the surveillance activities, the mandate given to the competent authorities in this regard and the manner of its exercise.</w:t>
      </w:r>
    </w:p>
    <w:bookmarkStart w:name="Gov_on_developm_activities" w:id="76"/>
    <w:p w:rsidRPr="008873B1" w:rsidR="004D0549" w:rsidP="000E43DD" w:rsidRDefault="004D0549" w14:paraId="3162805E" w14:textId="638BCE36">
      <w:pPr>
        <w:pStyle w:val="JuPara"/>
      </w:pPr>
      <w:r w:rsidRPr="008873B1">
        <w:fldChar w:fldCharType="begin"/>
      </w:r>
      <w:r w:rsidRPr="008873B1">
        <w:instrText xml:space="preserve"> SEQ level0 \*arabic </w:instrText>
      </w:r>
      <w:r w:rsidRPr="008873B1">
        <w:fldChar w:fldCharType="separate"/>
      </w:r>
      <w:r w:rsidR="004F11CA">
        <w:rPr>
          <w:noProof/>
        </w:rPr>
        <w:t>207</w:t>
      </w:r>
      <w:r w:rsidRPr="008873B1">
        <w:fldChar w:fldCharType="end"/>
      </w:r>
      <w:bookmarkEnd w:id="76"/>
      <w:r w:rsidRPr="008873B1">
        <w:t xml:space="preserve">.  As regards </w:t>
      </w:r>
      <w:r w:rsidR="004E453D">
        <w:t xml:space="preserve">the </w:t>
      </w:r>
      <w:r w:rsidRPr="008873B1">
        <w:t xml:space="preserve">FRA’s development activities, the Government emphasised that they are rigorously regulated and subject to all substantive and procedural requirements applicable to signals intelligence in general. In development activities, which are crucial to permit the FRA to adjust its tools, systems and methods to an ever-changing signals environment and technical developments, it is the flow of traffic and the systems through which information is transmitted that are of interest. To maintain </w:t>
      </w:r>
      <w:r w:rsidR="004E453D">
        <w:t xml:space="preserve">the </w:t>
      </w:r>
      <w:r w:rsidRPr="008873B1">
        <w:t>FRA’s capabilities, it would be far too restrictive if development activities were only allowed for the eight purposes that circumscribe signals intelligence.</w:t>
      </w:r>
    </w:p>
    <w:p w:rsidRPr="008873B1" w:rsidR="004D0549" w:rsidP="000E43DD" w:rsidRDefault="004D0549" w14:paraId="2AE3547E" w14:textId="55487D9F">
      <w:pPr>
        <w:pStyle w:val="JuPara"/>
      </w:pPr>
      <w:r w:rsidRPr="008873B1">
        <w:fldChar w:fldCharType="begin"/>
      </w:r>
      <w:r w:rsidRPr="008873B1">
        <w:instrText xml:space="preserve"> SEQ level0 \*arabic </w:instrText>
      </w:r>
      <w:r w:rsidRPr="008873B1">
        <w:fldChar w:fldCharType="separate"/>
      </w:r>
      <w:r w:rsidR="004F11CA">
        <w:rPr>
          <w:noProof/>
        </w:rPr>
        <w:t>208</w:t>
      </w:r>
      <w:r w:rsidRPr="008873B1">
        <w:fldChar w:fldCharType="end"/>
      </w:r>
      <w:r w:rsidRPr="008873B1">
        <w:t>.  There was, furthermore, a prior authorisation procedure before the Foreign Intelligence Court, whose president is a permanent judge and the other members are appointed by the Government on four-year terms. In the exceptional cases of urgency when the FRA may itself grant a signals intelligence permit, that court must be immediately notified and it may modify or revoke the permit, with the consequence that collected data must be destroyed. If the permit granted by the FRA, not by the court, contains access to certain communications bearers, such access can only be realised by the Swedish Foreign Intelligence Inspectorate which will have the possibility to estimate the relevant legal aspects.</w:t>
      </w:r>
    </w:p>
    <w:p w:rsidRPr="008873B1" w:rsidR="004D0549" w:rsidP="000E43DD" w:rsidRDefault="004D0549" w14:paraId="6E2D350C" w14:textId="41D884B8">
      <w:pPr>
        <w:pStyle w:val="JuPara"/>
      </w:pPr>
      <w:r w:rsidRPr="008873B1">
        <w:fldChar w:fldCharType="begin"/>
      </w:r>
      <w:r w:rsidRPr="008873B1">
        <w:instrText xml:space="preserve"> SEQ level0 \*arabic </w:instrText>
      </w:r>
      <w:r w:rsidRPr="008873B1">
        <w:fldChar w:fldCharType="separate"/>
      </w:r>
      <w:r w:rsidR="004F11CA">
        <w:rPr>
          <w:noProof/>
        </w:rPr>
        <w:t>209</w:t>
      </w:r>
      <w:r w:rsidRPr="008873B1">
        <w:fldChar w:fldCharType="end"/>
      </w:r>
      <w:r w:rsidRPr="008873B1">
        <w:t>.  The Foreign Intelligence Court holds public hearings except when required by secrecy considerations. The Government submitted that the latter limitation on transparency was justified and was compensated by safeguards, such as the presence of a privacy protection representative at the court’s private hearings. The representative defends the public interest, is given full access to case documents and can make statements. He or she is a permanent judge or a former permanent judge or a member of the Swedish Bar Association.</w:t>
      </w:r>
    </w:p>
    <w:p w:rsidRPr="008873B1" w:rsidR="004D0549" w:rsidP="000E43DD" w:rsidRDefault="004D0549" w14:paraId="5758EDF1" w14:textId="580692F6">
      <w:pPr>
        <w:pStyle w:val="JuPara"/>
      </w:pPr>
      <w:r w:rsidRPr="008873B1">
        <w:fldChar w:fldCharType="begin"/>
      </w:r>
      <w:r w:rsidRPr="008873B1">
        <w:instrText xml:space="preserve"> SEQ level0 \*arabic </w:instrText>
      </w:r>
      <w:r w:rsidRPr="008873B1">
        <w:fldChar w:fldCharType="separate"/>
      </w:r>
      <w:r w:rsidR="004F11CA">
        <w:rPr>
          <w:noProof/>
        </w:rPr>
        <w:t>210</w:t>
      </w:r>
      <w:r w:rsidRPr="008873B1">
        <w:fldChar w:fldCharType="end"/>
      </w:r>
      <w:r w:rsidRPr="008873B1">
        <w:t>.  The Government emphasised that the FRA must seek a permit in respect of each mission and must specify the assignment, the bearers to which access is sought and the selectors or at least the categories of selectors to be used. The court examines not only the formal lawfulness but also the proportionality to the expected interference. The permit must specify all parameters</w:t>
      </w:r>
      <w:r w:rsidR="004E453D">
        <w:t>,</w:t>
      </w:r>
      <w:r w:rsidRPr="008873B1">
        <w:t xml:space="preserve"> including </w:t>
      </w:r>
      <w:r w:rsidR="004E453D">
        <w:t xml:space="preserve">the </w:t>
      </w:r>
      <w:r w:rsidRPr="008873B1">
        <w:t>conditions needed to limit such interference.</w:t>
      </w:r>
    </w:p>
    <w:p w:rsidRPr="008873B1" w:rsidR="004D0549" w:rsidP="000E43DD" w:rsidRDefault="004D0549" w14:paraId="09AD15A3" w14:textId="7D01E65E">
      <w:pPr>
        <w:pStyle w:val="JuPara"/>
      </w:pPr>
      <w:r w:rsidRPr="008873B1">
        <w:fldChar w:fldCharType="begin"/>
      </w:r>
      <w:r w:rsidRPr="008873B1">
        <w:instrText xml:space="preserve"> SEQ level0 \*arabic </w:instrText>
      </w:r>
      <w:r w:rsidRPr="008873B1">
        <w:fldChar w:fldCharType="separate"/>
      </w:r>
      <w:r w:rsidR="004F11CA">
        <w:rPr>
          <w:noProof/>
        </w:rPr>
        <w:t>211</w:t>
      </w:r>
      <w:r w:rsidRPr="008873B1">
        <w:fldChar w:fldCharType="end"/>
      </w:r>
      <w:r w:rsidRPr="008873B1">
        <w:t>.  As regards safeguards on the duration of the interception, Swedish law limited it to six months, subject to extension following full review by the Foreign Intelligence Court. Also, interception is discontinued if a tasking directive is revoked or expires, if interception is not in accordance with the permit and if it is no longer needed.</w:t>
      </w:r>
    </w:p>
    <w:p w:rsidRPr="008873B1" w:rsidR="004D0549" w:rsidP="000E43DD" w:rsidRDefault="004D0549" w14:paraId="5023D4F2" w14:textId="79C878F6">
      <w:pPr>
        <w:pStyle w:val="JuPara"/>
      </w:pPr>
      <w:r w:rsidRPr="008873B1">
        <w:fldChar w:fldCharType="begin"/>
      </w:r>
      <w:r w:rsidRPr="008873B1">
        <w:instrText xml:space="preserve"> SEQ level0 \*arabic </w:instrText>
      </w:r>
      <w:r w:rsidRPr="008873B1">
        <w:fldChar w:fldCharType="separate"/>
      </w:r>
      <w:r w:rsidR="004F11CA">
        <w:rPr>
          <w:noProof/>
        </w:rPr>
        <w:t>212</w:t>
      </w:r>
      <w:r w:rsidRPr="008873B1">
        <w:fldChar w:fldCharType="end"/>
      </w:r>
      <w:r w:rsidRPr="008873B1">
        <w:t xml:space="preserve">.  Adequate safeguards also exist in respect of the procedures for storing, accessing, examining, using and destroying intercepted data. These safeguards include limiting processing to what is adequate and relevant to its purpose, vetting of staff and their duty of confidentiality and sanctions in case of mismanagement of data. Also, intelligence must be destroyed immediately in </w:t>
      </w:r>
      <w:proofErr w:type="gramStart"/>
      <w:r w:rsidRPr="008873B1">
        <w:t>a number of</w:t>
      </w:r>
      <w:proofErr w:type="gramEnd"/>
      <w:r w:rsidRPr="008873B1">
        <w:t xml:space="preserve"> circumstances, including, </w:t>
      </w:r>
      <w:r w:rsidRPr="008873B1">
        <w:rPr>
          <w:i/>
        </w:rPr>
        <w:t>inter alia</w:t>
      </w:r>
      <w:r w:rsidRPr="008873B1">
        <w:t>, where it concerns constitutionally protected media sources or legal professional privilege in relations between a criminal suspect and his lawyer. Moreover, if the intercepted communications prove to be entirely domestic, the intercepted data must also be destroyed.</w:t>
      </w:r>
    </w:p>
    <w:p w:rsidRPr="008873B1" w:rsidR="004D0549" w:rsidP="000E43DD" w:rsidRDefault="004D0549" w14:paraId="09AD33BD" w14:textId="7835AA03">
      <w:pPr>
        <w:pStyle w:val="JuPara"/>
      </w:pPr>
      <w:r w:rsidRPr="008873B1">
        <w:fldChar w:fldCharType="begin"/>
      </w:r>
      <w:r w:rsidRPr="008873B1">
        <w:instrText xml:space="preserve"> SEQ level0 \*arabic </w:instrText>
      </w:r>
      <w:r w:rsidRPr="008873B1">
        <w:fldChar w:fldCharType="separate"/>
      </w:r>
      <w:r w:rsidR="004F11CA">
        <w:rPr>
          <w:noProof/>
        </w:rPr>
        <w:t>213</w:t>
      </w:r>
      <w:r w:rsidRPr="008873B1">
        <w:fldChar w:fldCharType="end"/>
      </w:r>
      <w:r w:rsidRPr="008873B1">
        <w:t>.  As regards the conditions for communicating the intercepted data to other parties, the FRA has a regulated obligation to report to the Swedish authorities concerned but ensures that personal data is only reported if it is of relevance for the purposes for which foreign intelligence may be conducted. Compliance with this requirement is monitored by the Foreign Intelligence Inspectorate.</w:t>
      </w:r>
    </w:p>
    <w:bookmarkStart w:name="Gov_on_police" w:id="77"/>
    <w:p w:rsidRPr="008873B1" w:rsidR="004D0549" w:rsidP="000E43DD" w:rsidRDefault="004D0549" w14:paraId="54A69BBF" w14:textId="402D34AF">
      <w:pPr>
        <w:pStyle w:val="JuPara"/>
      </w:pPr>
      <w:r w:rsidRPr="008873B1">
        <w:fldChar w:fldCharType="begin"/>
      </w:r>
      <w:r w:rsidRPr="008873B1">
        <w:instrText xml:space="preserve"> SEQ level0 \*arabic </w:instrText>
      </w:r>
      <w:r w:rsidRPr="008873B1">
        <w:fldChar w:fldCharType="separate"/>
      </w:r>
      <w:r w:rsidR="004F11CA">
        <w:rPr>
          <w:noProof/>
        </w:rPr>
        <w:t>214</w:t>
      </w:r>
      <w:r w:rsidRPr="008873B1">
        <w:fldChar w:fldCharType="end"/>
      </w:r>
      <w:bookmarkEnd w:id="77"/>
      <w:r w:rsidRPr="008873B1">
        <w:t xml:space="preserve">.  The Government emphasised that despite the provision allowing </w:t>
      </w:r>
      <w:r w:rsidR="004E453D">
        <w:t xml:space="preserve">the </w:t>
      </w:r>
      <w:r w:rsidRPr="008873B1">
        <w:t>FRA to give direct access to its completed intelligence reports to the Government Offices, the Armed Forces, the Security Police and three other bodies, no decisions permitting such access have yet been taken by the FRA. The Government clarified in addition that</w:t>
      </w:r>
      <w:r w:rsidR="004E453D">
        <w:t>,</w:t>
      </w:r>
      <w:r w:rsidRPr="008873B1">
        <w:t xml:space="preserve"> since 1 March 2018, under </w:t>
      </w:r>
      <w:r w:rsidR="004E453D">
        <w:t>s</w:t>
      </w:r>
      <w:r w:rsidRPr="008873B1">
        <w:t xml:space="preserve">ection 15 of the FRA Personal Data Protection Act, the Security Police and the Armed Forces </w:t>
      </w:r>
      <w:bookmarkStart w:name="_Hlk52715123" w:id="78"/>
      <w:r w:rsidRPr="008873B1">
        <w:t xml:space="preserve">may be granted direct access to data that constitutes the analysis results in a data compilation for analyses, so as to allow these two authorities to be able to make strategic assessments of terrorist threats. This changes nothing </w:t>
      </w:r>
      <w:proofErr w:type="gramStart"/>
      <w:r w:rsidRPr="008873B1">
        <w:t>with regard to</w:t>
      </w:r>
      <w:proofErr w:type="gramEnd"/>
      <w:r w:rsidRPr="008873B1">
        <w:t xml:space="preserve"> the prohibition to use signals intelligence within foreign intelligence for the purposes of investigating criminal offences.</w:t>
      </w:r>
    </w:p>
    <w:bookmarkStart w:name="Gov_on_sharing_endofit" w:id="79"/>
    <w:bookmarkEnd w:id="78"/>
    <w:p w:rsidRPr="008873B1" w:rsidR="004D0549" w:rsidP="000E43DD" w:rsidRDefault="004D0549" w14:paraId="16B1D02C" w14:textId="58507053">
      <w:pPr>
        <w:pStyle w:val="JuPara"/>
      </w:pPr>
      <w:r w:rsidRPr="008873B1">
        <w:fldChar w:fldCharType="begin"/>
      </w:r>
      <w:r w:rsidRPr="008873B1">
        <w:instrText xml:space="preserve"> SEQ level0 \*arabic </w:instrText>
      </w:r>
      <w:r w:rsidRPr="008873B1">
        <w:fldChar w:fldCharType="separate"/>
      </w:r>
      <w:r w:rsidR="004F11CA">
        <w:rPr>
          <w:noProof/>
        </w:rPr>
        <w:t>215</w:t>
      </w:r>
      <w:r w:rsidRPr="008873B1">
        <w:fldChar w:fldCharType="end"/>
      </w:r>
      <w:bookmarkEnd w:id="79"/>
      <w:r w:rsidRPr="008873B1">
        <w:t xml:space="preserve">.  Finally, </w:t>
      </w:r>
      <w:proofErr w:type="gramStart"/>
      <w:r w:rsidRPr="008873B1">
        <w:t>with regard to</w:t>
      </w:r>
      <w:proofErr w:type="gramEnd"/>
      <w:r w:rsidRPr="008873B1">
        <w:t xml:space="preserve"> communication of personal data to other States and to international organisations, the Government disagreed with the Chamber which had found shortcomings in the relevant legal regime (see paragraph 150 of the Chamber judgment). They submitted, </w:t>
      </w:r>
      <w:r w:rsidRPr="008873B1">
        <w:rPr>
          <w:i/>
        </w:rPr>
        <w:t>inter alia</w:t>
      </w:r>
      <w:r w:rsidRPr="008873B1">
        <w:t>, that the FRA must report to the Ministry of Defence before it establishes and maintains cooperation with other states and international organisations and inform the ministry about important issues that occur in the process of such cooperation. Furthermore, the FRA must inform the Swedish Foreign Intelligence Inspectorate of the principles that apply to its relevant cooperation and provide details of the countries and organisations with which such cooperation takes place. When cooperation is established, the FRA must inform the Inspectorate of the scope of the cooperation and, where deemed warranted, of the results, experience and continued direction of the cooperation.</w:t>
      </w:r>
    </w:p>
    <w:bookmarkStart w:name="Gov_on_sharing_end" w:id="80"/>
    <w:p w:rsidRPr="008873B1" w:rsidR="004D0549" w:rsidP="000E43DD" w:rsidRDefault="004D0549" w14:paraId="3E8BDD09" w14:textId="02889403">
      <w:pPr>
        <w:pStyle w:val="JuPara"/>
      </w:pPr>
      <w:r w:rsidRPr="008873B1">
        <w:fldChar w:fldCharType="begin"/>
      </w:r>
      <w:r w:rsidRPr="008873B1">
        <w:instrText xml:space="preserve"> SEQ level0 \*arabic </w:instrText>
      </w:r>
      <w:r w:rsidRPr="008873B1">
        <w:fldChar w:fldCharType="separate"/>
      </w:r>
      <w:r w:rsidR="004F11CA">
        <w:rPr>
          <w:noProof/>
        </w:rPr>
        <w:t>216</w:t>
      </w:r>
      <w:r w:rsidRPr="008873B1">
        <w:fldChar w:fldCharType="end"/>
      </w:r>
      <w:bookmarkEnd w:id="80"/>
      <w:r w:rsidRPr="008873B1">
        <w:t xml:space="preserve">.  The Government also pointed to the fact that in international cooperation data is exclusively communicated to parties that are themselves engaged in foreign intelligence, which meant that it is in the recipient’s interest to protect the data received. The trust between the parties is based on a mutual interest in maintaining the security of the data. Also, </w:t>
      </w:r>
      <w:r w:rsidR="004E453D">
        <w:t xml:space="preserve">the </w:t>
      </w:r>
      <w:r w:rsidRPr="008873B1">
        <w:t xml:space="preserve">FRA’s general guidelines stipulate that international cooperation is conditional on the receiving State respecting Swedish legislation. Foreign partners receive information and training on the relevant content of Swedish legislation. As the Inspectorate has a clear mandate to control </w:t>
      </w:r>
      <w:r w:rsidR="004E453D">
        <w:t xml:space="preserve">the </w:t>
      </w:r>
      <w:r w:rsidRPr="008873B1">
        <w:t>FRA’s international cooperation, any change to its internal guidelines would not go unnoticed. There are therefore clear safeguards against circumventing Swedish law.</w:t>
      </w:r>
    </w:p>
    <w:bookmarkStart w:name="Gov_on_supervision" w:id="81"/>
    <w:p w:rsidRPr="008873B1" w:rsidR="004D0549" w:rsidP="000E43DD" w:rsidRDefault="004D0549" w14:paraId="16AB6CD3" w14:textId="14109C1D">
      <w:pPr>
        <w:pStyle w:val="JuPara"/>
      </w:pPr>
      <w:r w:rsidRPr="008873B1">
        <w:fldChar w:fldCharType="begin"/>
      </w:r>
      <w:r w:rsidRPr="008873B1">
        <w:instrText xml:space="preserve"> SEQ level0 \*arabic </w:instrText>
      </w:r>
      <w:r w:rsidRPr="008873B1">
        <w:fldChar w:fldCharType="separate"/>
      </w:r>
      <w:r w:rsidR="004F11CA">
        <w:rPr>
          <w:noProof/>
        </w:rPr>
        <w:t>217</w:t>
      </w:r>
      <w:r w:rsidRPr="008873B1">
        <w:fldChar w:fldCharType="end"/>
      </w:r>
      <w:bookmarkEnd w:id="81"/>
      <w:r w:rsidRPr="008873B1">
        <w:t>.  In the Government’s view, Sweden’s system of supervision on signals intelligence offered important safeguards. The Foreign Intelligence Inspectorate is independent, has access to all relevant documents, examines the selectors used and has the power to decide that data collection must cease or the data collected be destroyed if the terms of the relevant permit have not been complied with. The Inspectorate also ensures that the FRA is only provided access to communications bearers insofar as such access is covered by a permit. The Inspectorate submits annual public reports and is subject to audit by the National Audit Office and supervision by the Parliamentary Ombudsmen and the Chancellor of Justice. As regards personal data, the Swedish Data Protection Authority has general supervisory functions. In the Government’s view, this kind of supervision by independent non-judicial bodies is adequate and in conformity with the Court’s case-law.</w:t>
      </w:r>
    </w:p>
    <w:p w:rsidRPr="008873B1" w:rsidR="004D0549" w:rsidP="000E43DD" w:rsidRDefault="004D0549" w14:paraId="497AAA3A" w14:textId="6ADD8F10">
      <w:pPr>
        <w:pStyle w:val="JuPara"/>
      </w:pPr>
      <w:r w:rsidRPr="008873B1">
        <w:fldChar w:fldCharType="begin"/>
      </w:r>
      <w:r w:rsidRPr="008873B1">
        <w:instrText xml:space="preserve"> SEQ level0 \*arabic </w:instrText>
      </w:r>
      <w:r w:rsidRPr="008873B1">
        <w:fldChar w:fldCharType="separate"/>
      </w:r>
      <w:bookmarkStart w:name="Gov_on_supervision_2" w:id="82"/>
      <w:r w:rsidR="004F11CA">
        <w:rPr>
          <w:noProof/>
        </w:rPr>
        <w:t>218</w:t>
      </w:r>
      <w:bookmarkEnd w:id="82"/>
      <w:r w:rsidRPr="008873B1">
        <w:fldChar w:fldCharType="end"/>
      </w:r>
      <w:r w:rsidRPr="008873B1">
        <w:t xml:space="preserve">.  The Government submitted that between 2009 and 2018 the Inspectorate had conducted 113 audits of the FRA resulting in 18 opinions. At least seventeen of these audits served, </w:t>
      </w:r>
      <w:r w:rsidRPr="008873B1">
        <w:rPr>
          <w:i/>
        </w:rPr>
        <w:t>inter alia</w:t>
      </w:r>
      <w:r w:rsidRPr="008873B1">
        <w:t xml:space="preserve">, to control that the FRA was using selectors in a way compatible with the permit issued by the Foreign Intelligence Court and at least nine audits included issues of data destruction. </w:t>
      </w:r>
      <w:proofErr w:type="gramStart"/>
      <w:r w:rsidRPr="008873B1">
        <w:t>A number of</w:t>
      </w:r>
      <w:proofErr w:type="gramEnd"/>
      <w:r w:rsidRPr="008873B1">
        <w:t xml:space="preserve"> audits also concerned </w:t>
      </w:r>
      <w:r w:rsidR="004E453D">
        <w:t xml:space="preserve">the </w:t>
      </w:r>
      <w:r w:rsidRPr="008873B1">
        <w:t xml:space="preserve">FRA’s handling of personal data. Only very few observations or opinions ensued from the audits. During the same time period, the Inspectorate carried out 141 controls at the request of an individual on whether his or her communications had been the subject of unlawful signals intelligence. None of those showed improper signals collection. There were also several thematic reviews of </w:t>
      </w:r>
      <w:r w:rsidR="004E453D">
        <w:t xml:space="preserve">the </w:t>
      </w:r>
      <w:r w:rsidRPr="008873B1">
        <w:t>FRA’s activities, such as on compliance with the limits imposed by the permits.</w:t>
      </w:r>
    </w:p>
    <w:bookmarkStart w:name="Gov_on_remedies" w:id="83"/>
    <w:p w:rsidRPr="008873B1" w:rsidR="004D0549" w:rsidP="000E43DD" w:rsidRDefault="004D0549" w14:paraId="01E1492B" w14:textId="3A49CCC6">
      <w:pPr>
        <w:pStyle w:val="JuPara"/>
      </w:pPr>
      <w:r w:rsidRPr="008873B1">
        <w:fldChar w:fldCharType="begin"/>
      </w:r>
      <w:r w:rsidRPr="008873B1">
        <w:instrText xml:space="preserve"> SEQ level0 \*arabic </w:instrText>
      </w:r>
      <w:r w:rsidRPr="008873B1">
        <w:fldChar w:fldCharType="separate"/>
      </w:r>
      <w:r w:rsidR="004F11CA">
        <w:rPr>
          <w:noProof/>
        </w:rPr>
        <w:t>219</w:t>
      </w:r>
      <w:r w:rsidRPr="008873B1">
        <w:fldChar w:fldCharType="end"/>
      </w:r>
      <w:bookmarkEnd w:id="83"/>
      <w:r w:rsidRPr="008873B1">
        <w:t>.  The Government also submitted that there are several remedies by which an individual may initiate an examination of the lawfulness of measures taken during the operation of the signals intelligence system. These include a request to the Inspectorate which may result in notification whether anything improper had taken place, a request to the FRA on whether personal data concerning him or her has been processed, applications to the Parliamentary Ombudsmen, the Chancellor of Justice and the Data Protection Authority, an action for damages and reporting a matter for prosecution. Some of these remedies are not dependent on prior notification being made to an individual. While systematic notification was impossible, it is significant that the FRA is obliged to inform a natural person if selectors directly related to him or her have been used, except where secrecy applies.</w:t>
      </w:r>
    </w:p>
    <w:bookmarkStart w:name="Gov_on_comm_data" w:id="84"/>
    <w:p w:rsidRPr="008873B1" w:rsidR="004D0549" w:rsidP="000E43DD" w:rsidRDefault="004D0549" w14:paraId="3AC09EC9" w14:textId="3A3B5942">
      <w:pPr>
        <w:pStyle w:val="JuPara"/>
      </w:pPr>
      <w:r w:rsidRPr="008873B1">
        <w:fldChar w:fldCharType="begin"/>
      </w:r>
      <w:r w:rsidRPr="008873B1">
        <w:instrText xml:space="preserve"> SEQ level0 \*arabic </w:instrText>
      </w:r>
      <w:r w:rsidRPr="008873B1">
        <w:fldChar w:fldCharType="separate"/>
      </w:r>
      <w:r w:rsidR="004F11CA">
        <w:rPr>
          <w:noProof/>
        </w:rPr>
        <w:t>220</w:t>
      </w:r>
      <w:r w:rsidRPr="008873B1">
        <w:fldChar w:fldCharType="end"/>
      </w:r>
      <w:bookmarkEnd w:id="84"/>
      <w:r w:rsidRPr="008873B1">
        <w:t xml:space="preserve">.  The Government also stated that no distinction is made in Swedish law on bulk interception between content and communications data, all safeguards applying equally to both. In practice, using communications data to discover unknown threats requires putting together various pieces of such data to establish a picture from which conclusions can be drawn. This requires that the selectors used for intercepting communications data are less specific than those used for the content of communications and that data is available for examination by an analyst over </w:t>
      </w:r>
      <w:proofErr w:type="gramStart"/>
      <w:r w:rsidRPr="008873B1">
        <w:t>a period of time</w:t>
      </w:r>
      <w:proofErr w:type="gramEnd"/>
      <w:r w:rsidRPr="008873B1">
        <w:t>. No other differences exist.</w:t>
      </w:r>
    </w:p>
    <w:p w:rsidRPr="008873B1" w:rsidR="004D0549" w:rsidP="000E43DD" w:rsidRDefault="004D0549" w14:paraId="0A98464A" w14:textId="33B6FA0E">
      <w:pPr>
        <w:pStyle w:val="JuPara"/>
      </w:pPr>
      <w:r w:rsidRPr="008873B1">
        <w:fldChar w:fldCharType="begin"/>
      </w:r>
      <w:r w:rsidRPr="008873B1">
        <w:instrText xml:space="preserve"> SEQ level0 \*arabic </w:instrText>
      </w:r>
      <w:r w:rsidRPr="008873B1">
        <w:fldChar w:fldCharType="separate"/>
      </w:r>
      <w:r w:rsidR="004F11CA">
        <w:rPr>
          <w:noProof/>
        </w:rPr>
        <w:t>221</w:t>
      </w:r>
      <w:r w:rsidRPr="008873B1">
        <w:fldChar w:fldCharType="end"/>
      </w:r>
      <w:r w:rsidRPr="008873B1">
        <w:t xml:space="preserve">.  In conclusion, the Government submitted that the impugned regime on signals intelligence within foreign intelligence reveals no significant shortcomings in its structure and operation. The risk of interference with privacy is minimised and </w:t>
      </w:r>
      <w:proofErr w:type="gramStart"/>
      <w:r w:rsidRPr="008873B1">
        <w:t>sufficient</w:t>
      </w:r>
      <w:proofErr w:type="gramEnd"/>
      <w:r w:rsidRPr="008873B1">
        <w:t xml:space="preserve"> guarantees against arbitrariness are in place. The regime </w:t>
      </w:r>
      <w:proofErr w:type="gramStart"/>
      <w:r w:rsidRPr="008873B1">
        <w:t>as a whole is</w:t>
      </w:r>
      <w:proofErr w:type="gramEnd"/>
      <w:r w:rsidRPr="008873B1">
        <w:t xml:space="preserve"> lawful and proportionate to the legitimate aim of protecting national security.</w:t>
      </w:r>
    </w:p>
    <w:p w:rsidRPr="008873B1" w:rsidR="004D0549" w:rsidP="008873B1" w:rsidRDefault="004D0549" w14:paraId="0ECD3105" w14:textId="77777777">
      <w:pPr>
        <w:pStyle w:val="JuH1"/>
        <w:numPr>
          <w:ilvl w:val="3"/>
          <w:numId w:val="1"/>
        </w:numPr>
        <w:ind w:left="731"/>
      </w:pPr>
      <w:r w:rsidRPr="008873B1">
        <w:t>Third intervening parties</w:t>
      </w:r>
    </w:p>
    <w:p w:rsidRPr="008873B1" w:rsidR="004D0549" w:rsidP="008873B1" w:rsidRDefault="004D0549" w14:paraId="70DE3FC4" w14:textId="77777777">
      <w:pPr>
        <w:pStyle w:val="JuHa0"/>
        <w:numPr>
          <w:ilvl w:val="4"/>
          <w:numId w:val="1"/>
        </w:numPr>
      </w:pPr>
      <w:r w:rsidRPr="008873B1">
        <w:t>The Government of the Republic of Estonia</w:t>
      </w:r>
    </w:p>
    <w:p w:rsidRPr="008873B1" w:rsidR="004D0549" w:rsidP="004D0549" w:rsidRDefault="004D0549" w14:paraId="19412FD3" w14:textId="5DF92B2D">
      <w:pPr>
        <w:pStyle w:val="JuPara"/>
      </w:pPr>
      <w:r w:rsidRPr="008873B1">
        <w:fldChar w:fldCharType="begin"/>
      </w:r>
      <w:r w:rsidRPr="008873B1">
        <w:instrText xml:space="preserve"> SEQ level0 \*arabic </w:instrText>
      </w:r>
      <w:r w:rsidRPr="008873B1">
        <w:fldChar w:fldCharType="separate"/>
      </w:r>
      <w:r w:rsidR="004F11CA">
        <w:rPr>
          <w:noProof/>
        </w:rPr>
        <w:t>222</w:t>
      </w:r>
      <w:r w:rsidRPr="008873B1">
        <w:fldChar w:fldCharType="end"/>
      </w:r>
      <w:r w:rsidRPr="008873B1">
        <w:t xml:space="preserve">.  The Estonian Government considered that the criteria for the assessment of the Convention compatibility of secret surveillance regimes, as developed in the Court’s case-law, needed adaptation to reflect the specific nature of bulk interception of communications as a foreign intelligence activity. The differences between such an activity and surveillance in the criminal investigation context must be </w:t>
      </w:r>
      <w:proofErr w:type="gramStart"/>
      <w:r w:rsidRPr="008873B1">
        <w:t>taken into account</w:t>
      </w:r>
      <w:proofErr w:type="gramEnd"/>
      <w:r w:rsidRPr="008873B1">
        <w:t xml:space="preserve">. Foreign intelligence aims at detecting threats to national security and is therefore broader in its scope. Also, it is a long-term activity that requires a higher level of secrecy over a very long </w:t>
      </w:r>
      <w:proofErr w:type="gramStart"/>
      <w:r w:rsidRPr="008873B1">
        <w:t>period of time</w:t>
      </w:r>
      <w:proofErr w:type="gramEnd"/>
      <w:r w:rsidRPr="008873B1">
        <w:t>.</w:t>
      </w:r>
    </w:p>
    <w:p w:rsidRPr="008873B1" w:rsidR="004D0549" w:rsidP="004D0549" w:rsidRDefault="004D0549" w14:paraId="74D48199" w14:textId="22A95D62">
      <w:pPr>
        <w:pStyle w:val="JuPara"/>
      </w:pPr>
      <w:r w:rsidRPr="008873B1">
        <w:fldChar w:fldCharType="begin"/>
      </w:r>
      <w:r w:rsidRPr="008873B1">
        <w:instrText xml:space="preserve"> SEQ level0 \*arabic </w:instrText>
      </w:r>
      <w:r w:rsidRPr="008873B1">
        <w:fldChar w:fldCharType="separate"/>
      </w:r>
      <w:r w:rsidR="004F11CA">
        <w:rPr>
          <w:noProof/>
        </w:rPr>
        <w:t>223</w:t>
      </w:r>
      <w:r w:rsidRPr="008873B1">
        <w:fldChar w:fldCharType="end"/>
      </w:r>
      <w:r w:rsidRPr="008873B1">
        <w:t xml:space="preserve">.  On this basis, the Estonian Government, referring to the criteria for assessment used in </w:t>
      </w:r>
      <w:r w:rsidRPr="008873B1">
        <w:rPr>
          <w:i/>
        </w:rPr>
        <w:t xml:space="preserve">Roman </w:t>
      </w:r>
      <w:proofErr w:type="spellStart"/>
      <w:r w:rsidRPr="008873B1">
        <w:rPr>
          <w:i/>
        </w:rPr>
        <w:t>Zakharov</w:t>
      </w:r>
      <w:proofErr w:type="spellEnd"/>
      <w:r w:rsidRPr="008873B1">
        <w:rPr>
          <w:i/>
        </w:rPr>
        <w:t xml:space="preserve"> </w:t>
      </w:r>
      <w:r w:rsidRPr="008873B1">
        <w:t>(cited above, § 231), agreed with the Chamber that the “nature of the offences” and “reasonable suspicion” criteria were not appropriate and stated that, instead of the “categories of people” criterion, domestic law should indicate “the fields in which bulk interception of cross-border communications may be used to gather intelligence”. As to notification of affected persons, in the view of the intervening Estonian Government no such obligation should be imposed because of the importance of secrecy in foreign intelligence.</w:t>
      </w:r>
    </w:p>
    <w:p w:rsidRPr="008873B1" w:rsidR="004D0549" w:rsidP="008873B1" w:rsidRDefault="004D0549" w14:paraId="177CC385" w14:textId="77777777">
      <w:pPr>
        <w:pStyle w:val="JuHa0"/>
        <w:numPr>
          <w:ilvl w:val="4"/>
          <w:numId w:val="1"/>
        </w:numPr>
      </w:pPr>
      <w:r w:rsidRPr="008873B1">
        <w:t>The Government of the French Republic</w:t>
      </w:r>
    </w:p>
    <w:p w:rsidRPr="008873B1" w:rsidR="004D0549" w:rsidP="004D0549" w:rsidRDefault="004D0549" w14:paraId="28657F63" w14:textId="1D2B89E4">
      <w:pPr>
        <w:pStyle w:val="JuPara"/>
      </w:pPr>
      <w:r w:rsidRPr="008873B1">
        <w:fldChar w:fldCharType="begin"/>
      </w:r>
      <w:r w:rsidRPr="008873B1">
        <w:instrText xml:space="preserve"> SEQ level0 \*arabic </w:instrText>
      </w:r>
      <w:r w:rsidRPr="008873B1">
        <w:fldChar w:fldCharType="separate"/>
      </w:r>
      <w:r w:rsidR="004F11CA">
        <w:rPr>
          <w:noProof/>
        </w:rPr>
        <w:t>224</w:t>
      </w:r>
      <w:r w:rsidRPr="008873B1">
        <w:fldChar w:fldCharType="end"/>
      </w:r>
      <w:r w:rsidRPr="008873B1">
        <w:t xml:space="preserve">.  The French Government, emphasising the importance of bulk interception activities for the identification of unknown threats, considered that the criteria for assessing their Convention compatibility, as developed in </w:t>
      </w:r>
      <w:r w:rsidRPr="008873B1">
        <w:rPr>
          <w:i/>
        </w:rPr>
        <w:t>Weber and Saravia v. Germany</w:t>
      </w:r>
      <w:r w:rsidRPr="008873B1">
        <w:t xml:space="preserve"> ((</w:t>
      </w:r>
      <w:proofErr w:type="spellStart"/>
      <w:r w:rsidRPr="008873B1">
        <w:t>dec.</w:t>
      </w:r>
      <w:proofErr w:type="spellEnd"/>
      <w:r w:rsidRPr="008873B1">
        <w:t>), no. 54934/00, ECHR 2006</w:t>
      </w:r>
      <w:r w:rsidRPr="008873B1">
        <w:noBreakHyphen/>
        <w:t xml:space="preserve">XI) and </w:t>
      </w:r>
      <w:r w:rsidRPr="008873B1">
        <w:rPr>
          <w:i/>
        </w:rPr>
        <w:t xml:space="preserve">Roman </w:t>
      </w:r>
      <w:proofErr w:type="spellStart"/>
      <w:r w:rsidRPr="008873B1">
        <w:rPr>
          <w:i/>
        </w:rPr>
        <w:t>Zakharov</w:t>
      </w:r>
      <w:proofErr w:type="spellEnd"/>
      <w:r w:rsidRPr="008873B1">
        <w:rPr>
          <w:i/>
        </w:rPr>
        <w:t xml:space="preserve"> </w:t>
      </w:r>
      <w:r w:rsidRPr="008873B1">
        <w:t>(cited above), were relevant in the present case. However, in their view, there should be no “reasonable suspicion” requirement, having regard to the specific nature of bulk interception operations, which are different from the secret surveillance of a specific individual.</w:t>
      </w:r>
    </w:p>
    <w:p w:rsidRPr="008873B1" w:rsidR="004D0549" w:rsidP="004D0549" w:rsidRDefault="004D0549" w14:paraId="58D4CA09" w14:textId="17A47F0F">
      <w:pPr>
        <w:pStyle w:val="JuPara"/>
      </w:pPr>
      <w:r w:rsidRPr="008873B1">
        <w:fldChar w:fldCharType="begin"/>
      </w:r>
      <w:r w:rsidRPr="008873B1">
        <w:instrText xml:space="preserve"> SEQ level0 \*arabic </w:instrText>
      </w:r>
      <w:r w:rsidRPr="008873B1">
        <w:fldChar w:fldCharType="separate"/>
      </w:r>
      <w:r w:rsidR="004F11CA">
        <w:rPr>
          <w:noProof/>
        </w:rPr>
        <w:t>225</w:t>
      </w:r>
      <w:r w:rsidRPr="008873B1">
        <w:fldChar w:fldCharType="end"/>
      </w:r>
      <w:r w:rsidRPr="008873B1">
        <w:t xml:space="preserve">.  The French Government further considered that States enjoy a wide margin of appreciation in operating bulk interception regimes and that the assessment whether the applicable guarantees against abuse were </w:t>
      </w:r>
      <w:proofErr w:type="gramStart"/>
      <w:r w:rsidRPr="008873B1">
        <w:t>sufficient</w:t>
      </w:r>
      <w:proofErr w:type="gramEnd"/>
      <w:r w:rsidRPr="008873B1">
        <w:t xml:space="preserve"> must always be made </w:t>
      </w:r>
      <w:r w:rsidRPr="008873B1">
        <w:rPr>
          <w:i/>
        </w:rPr>
        <w:t xml:space="preserve">in </w:t>
      </w:r>
      <w:proofErr w:type="spellStart"/>
      <w:r w:rsidRPr="008873B1">
        <w:rPr>
          <w:i/>
        </w:rPr>
        <w:t>concreto</w:t>
      </w:r>
      <w:proofErr w:type="spellEnd"/>
      <w:r w:rsidRPr="008873B1">
        <w:t xml:space="preserve">, having regard to the relevant legislation seen as a whole. The Chamber in the present case </w:t>
      </w:r>
      <w:r w:rsidR="004E453D">
        <w:t>had done</w:t>
      </w:r>
      <w:r w:rsidRPr="008873B1">
        <w:t xml:space="preserve"> exactly that, noting that </w:t>
      </w:r>
      <w:proofErr w:type="gramStart"/>
      <w:r w:rsidRPr="008873B1">
        <w:t>despite the fact that</w:t>
      </w:r>
      <w:proofErr w:type="gramEnd"/>
      <w:r w:rsidRPr="008873B1">
        <w:t xml:space="preserve"> some improvements were desirable, the Swedish system as a whole did not disclose significant shortcomings. However, in the case of </w:t>
      </w:r>
      <w:r w:rsidRPr="008873B1">
        <w:rPr>
          <w:i/>
        </w:rPr>
        <w:t xml:space="preserve">Big Brother Watch and Others </w:t>
      </w:r>
      <w:r w:rsidRPr="008873B1">
        <w:t xml:space="preserve">(cited above), the Chamber </w:t>
      </w:r>
      <w:r w:rsidR="00930D70">
        <w:t xml:space="preserve">had </w:t>
      </w:r>
      <w:r w:rsidRPr="008873B1">
        <w:t xml:space="preserve">applied a stricter scrutiny and unjustifiably found violations of Articles 8 and 10 of the Convention. The French Government advocated against the latter approach. </w:t>
      </w:r>
      <w:proofErr w:type="gramStart"/>
      <w:r w:rsidRPr="008873B1">
        <w:t>In particular, they</w:t>
      </w:r>
      <w:proofErr w:type="gramEnd"/>
      <w:r w:rsidRPr="008873B1">
        <w:t xml:space="preserve"> considered that a bulk interception regime that did not include judicial pre-authorisation was compatible with Article 8 as long as there was a mechanism for </w:t>
      </w:r>
      <w:r w:rsidRPr="008873B1">
        <w:rPr>
          <w:i/>
        </w:rPr>
        <w:t>a posteriori</w:t>
      </w:r>
      <w:r w:rsidRPr="008873B1">
        <w:t xml:space="preserve"> supervision by an independent body.</w:t>
      </w:r>
    </w:p>
    <w:p w:rsidRPr="008873B1" w:rsidR="004D0549" w:rsidP="004D0549" w:rsidRDefault="004D0549" w14:paraId="7657A9A3" w14:textId="5166EA81">
      <w:pPr>
        <w:pStyle w:val="JuPara"/>
      </w:pPr>
      <w:r w:rsidRPr="008873B1">
        <w:fldChar w:fldCharType="begin"/>
      </w:r>
      <w:r w:rsidRPr="008873B1">
        <w:instrText xml:space="preserve"> SEQ level0 \*arabic </w:instrText>
      </w:r>
      <w:r w:rsidRPr="008873B1">
        <w:fldChar w:fldCharType="separate"/>
      </w:r>
      <w:r w:rsidR="004F11CA">
        <w:rPr>
          <w:noProof/>
        </w:rPr>
        <w:t>226</w:t>
      </w:r>
      <w:r w:rsidRPr="008873B1">
        <w:fldChar w:fldCharType="end"/>
      </w:r>
      <w:r w:rsidRPr="008873B1">
        <w:t>.  The French Government also expressed the view, supported by references to case-law, that the interception and processing of communications data interfered with privacy rights in a less significant manner than the interception and processing of the content of communications and that, therefore, should not be subject to the same guarantees for the protection of the right to private life.</w:t>
      </w:r>
    </w:p>
    <w:p w:rsidRPr="008873B1" w:rsidR="004D0549" w:rsidP="004D0549" w:rsidRDefault="004D0549" w14:paraId="1C13C169" w14:textId="2A4310FF">
      <w:pPr>
        <w:pStyle w:val="JuPara"/>
      </w:pPr>
      <w:r w:rsidRPr="008873B1">
        <w:fldChar w:fldCharType="begin"/>
      </w:r>
      <w:r w:rsidRPr="008873B1">
        <w:instrText xml:space="preserve"> SEQ level0 \*arabic </w:instrText>
      </w:r>
      <w:r w:rsidRPr="008873B1">
        <w:fldChar w:fldCharType="separate"/>
      </w:r>
      <w:r w:rsidR="004F11CA">
        <w:rPr>
          <w:noProof/>
        </w:rPr>
        <w:t>227</w:t>
      </w:r>
      <w:r w:rsidRPr="008873B1">
        <w:fldChar w:fldCharType="end"/>
      </w:r>
      <w:r w:rsidRPr="008873B1">
        <w:t>.  As regards intelligence sharing, the French Government stressed the importance of secrecy and the fact that the procedures and guarantees applied can vary from one State to another. They further elaborated on several relevant criteria</w:t>
      </w:r>
      <w:proofErr w:type="gramStart"/>
      <w:r w:rsidRPr="008873B1">
        <w:t>, in particular, in</w:t>
      </w:r>
      <w:proofErr w:type="gramEnd"/>
      <w:r w:rsidRPr="008873B1">
        <w:t xml:space="preserve"> the context of receiving and using intercepted data from foreign partners.</w:t>
      </w:r>
    </w:p>
    <w:p w:rsidRPr="008873B1" w:rsidR="004D0549" w:rsidP="008873B1" w:rsidRDefault="004D0549" w14:paraId="3CEFA1E7" w14:textId="77777777">
      <w:pPr>
        <w:pStyle w:val="JuHa0"/>
        <w:numPr>
          <w:ilvl w:val="4"/>
          <w:numId w:val="1"/>
        </w:numPr>
      </w:pPr>
      <w:r w:rsidRPr="008873B1">
        <w:t>The Government of the Kingdom of the Netherlands</w:t>
      </w:r>
    </w:p>
    <w:bookmarkStart w:name="DutchGovbegin" w:id="85"/>
    <w:p w:rsidRPr="008873B1" w:rsidR="004D0549" w:rsidP="004D0549" w:rsidRDefault="004D0549" w14:paraId="5022DCB4" w14:textId="1E535F63">
      <w:pPr>
        <w:pStyle w:val="JuPara"/>
      </w:pPr>
      <w:r w:rsidRPr="008873B1">
        <w:fldChar w:fldCharType="begin"/>
      </w:r>
      <w:r w:rsidRPr="008873B1">
        <w:instrText xml:space="preserve"> SEQ level0 \*arabic </w:instrText>
      </w:r>
      <w:r w:rsidRPr="008873B1">
        <w:fldChar w:fldCharType="separate"/>
      </w:r>
      <w:r w:rsidR="004F11CA">
        <w:rPr>
          <w:noProof/>
        </w:rPr>
        <w:t>228</w:t>
      </w:r>
      <w:r w:rsidRPr="008873B1">
        <w:fldChar w:fldCharType="end"/>
      </w:r>
      <w:bookmarkEnd w:id="85"/>
      <w:r w:rsidRPr="008873B1">
        <w:t>.  The Government of the Kingdom of the Netherlands submitted that bulk interception was necessary to identify hitherto unknown threats to national security. In order to protect national security, intelligence services needed the tools to investigate emerging threats in a timely and effective manner. For this they needed the powers necessary to enable them to detect and/or prevent not only terrorist activities (such as planning</w:t>
      </w:r>
      <w:r w:rsidR="00FB64FB">
        <w:t xml:space="preserve"> of attacks</w:t>
      </w:r>
      <w:r w:rsidRPr="008873B1">
        <w:t xml:space="preserve">, recruitment, propaganda and funding), but also intrusive State or non-State actors’ cyber activities aimed at disrupting democracy (for example, by influencing national elections or obstructing investigations by national and international organisations). An example of this </w:t>
      </w:r>
      <w:r w:rsidR="007672A2">
        <w:t>was</w:t>
      </w:r>
      <w:r w:rsidRPr="008873B1">
        <w:t xml:space="preserve"> the attempted hacking of the investigation of the use of chemical weapons in Syria by the Organisation for the Prohibition of Chemical Weapons in The Hague. Moreover, the increasing dependency of vital sectors on digital infrastructures meant that such sectors, including water management, energy, telecoms, transport, logistics, harbours and airports, were increasingly vulnerable to cyber-attacks. The consequences of disruption in such sectors would have a deep impact on society, far beyond the substantial monetary damage.</w:t>
      </w:r>
    </w:p>
    <w:p w:rsidRPr="008873B1" w:rsidR="004D0549" w:rsidP="004D0549" w:rsidRDefault="004D0549" w14:paraId="6479D1A9" w14:textId="42175A07">
      <w:pPr>
        <w:pStyle w:val="JuPara"/>
      </w:pPr>
      <w:r w:rsidRPr="008873B1">
        <w:fldChar w:fldCharType="begin"/>
      </w:r>
      <w:r w:rsidRPr="008873B1">
        <w:instrText xml:space="preserve"> SEQ level0 \*arabic </w:instrText>
      </w:r>
      <w:r w:rsidRPr="008873B1">
        <w:fldChar w:fldCharType="separate"/>
      </w:r>
      <w:r w:rsidR="004F11CA">
        <w:rPr>
          <w:noProof/>
        </w:rPr>
        <w:t>229</w:t>
      </w:r>
      <w:r w:rsidRPr="008873B1">
        <w:fldChar w:fldCharType="end"/>
      </w:r>
      <w:r w:rsidRPr="008873B1">
        <w:t xml:space="preserve">.  A complicating factor in all of this was the development of new means of digital communication and the exponential increase of data that was transmitted and stored globally. In many instances the nature and origin of a particular threat was </w:t>
      </w:r>
      <w:proofErr w:type="gramStart"/>
      <w:r w:rsidRPr="008873B1">
        <w:t>unknown</w:t>
      </w:r>
      <w:proofErr w:type="gramEnd"/>
      <w:r w:rsidRPr="008873B1">
        <w:t xml:space="preserve"> and the use of targeted interception was not feasible. However, while bulk interception was not as tightly defined as targeted interception, it was never completely untargeted. Rather, it was applied for specific aims.</w:t>
      </w:r>
    </w:p>
    <w:p w:rsidRPr="008873B1" w:rsidR="004D0549" w:rsidP="004D0549" w:rsidRDefault="004D0549" w14:paraId="306D2C4B" w14:textId="6039C658">
      <w:pPr>
        <w:pStyle w:val="JuPara"/>
      </w:pPr>
      <w:r w:rsidRPr="008873B1">
        <w:fldChar w:fldCharType="begin"/>
      </w:r>
      <w:r w:rsidRPr="008873B1">
        <w:instrText xml:space="preserve"> SEQ level0 \*arabic </w:instrText>
      </w:r>
      <w:r w:rsidRPr="008873B1">
        <w:fldChar w:fldCharType="separate"/>
      </w:r>
      <w:r w:rsidR="004F11CA">
        <w:rPr>
          <w:noProof/>
        </w:rPr>
        <w:t>230</w:t>
      </w:r>
      <w:r w:rsidRPr="008873B1">
        <w:fldChar w:fldCharType="end"/>
      </w:r>
      <w:r w:rsidRPr="008873B1">
        <w:t>.  In the intervening Government’s view, there was no need for additional or updated minimum requirement; the minimum safeguards; those previously identified by the Court were sufficiently robust and “future proof”. The additional requirements proposed by the applicant – in particular, the requirement to demonstrate “reasonable suspicion” – would unacceptably reduce the effectiveness of the intelligence services without providing any meaningful additional protection of individuals’ fundamental rights.</w:t>
      </w:r>
    </w:p>
    <w:p w:rsidRPr="008873B1" w:rsidR="004D0549" w:rsidP="004D0549" w:rsidRDefault="004D0549" w14:paraId="6749024D" w14:textId="23E0FC11">
      <w:pPr>
        <w:pStyle w:val="JuPara"/>
      </w:pPr>
      <w:r w:rsidRPr="008873B1">
        <w:fldChar w:fldCharType="begin"/>
      </w:r>
      <w:r w:rsidRPr="008873B1">
        <w:instrText xml:space="preserve"> SEQ level0 \*arabic </w:instrText>
      </w:r>
      <w:r w:rsidRPr="008873B1">
        <w:fldChar w:fldCharType="separate"/>
      </w:r>
      <w:r w:rsidR="004F11CA">
        <w:rPr>
          <w:noProof/>
        </w:rPr>
        <w:t>231</w:t>
      </w:r>
      <w:r w:rsidRPr="008873B1">
        <w:fldChar w:fldCharType="end"/>
      </w:r>
      <w:r w:rsidRPr="008873B1">
        <w:t>. Furthermore, according to the intervening Government, it was still relevant to distinguish between content and communications data, as the content of communications was likely to be more sensitive than communications data. The intervening Government also agreed with the Chamber that it was wrong automatically to assume that bulk interception constituted a greater intrusion into the private life of an individual than targeted interception, since once targeted interception takes place it was likely that all, or nearly all, of the intercepted communications would be analysed. This was not true of bulk interception, where restrictions on the examination and use of data determined the intrusiveness of the interception on the individuals’ fundamental rights.</w:t>
      </w:r>
    </w:p>
    <w:bookmarkStart w:name="DutchGovEnd" w:id="86"/>
    <w:p w:rsidRPr="008873B1" w:rsidR="004D0549" w:rsidP="004D0549" w:rsidRDefault="004D0549" w14:paraId="76EA21A1" w14:textId="54B96D20">
      <w:pPr>
        <w:pStyle w:val="JuPara"/>
      </w:pPr>
      <w:r w:rsidRPr="008873B1">
        <w:fldChar w:fldCharType="begin"/>
      </w:r>
      <w:r w:rsidRPr="008873B1">
        <w:instrText xml:space="preserve"> SEQ level0 \*arabic </w:instrText>
      </w:r>
      <w:r w:rsidRPr="008873B1">
        <w:fldChar w:fldCharType="separate"/>
      </w:r>
      <w:r w:rsidR="004F11CA">
        <w:rPr>
          <w:noProof/>
        </w:rPr>
        <w:t>232</w:t>
      </w:r>
      <w:r w:rsidRPr="008873B1">
        <w:fldChar w:fldCharType="end"/>
      </w:r>
      <w:bookmarkEnd w:id="86"/>
      <w:r w:rsidRPr="008873B1">
        <w:t xml:space="preserve">. Finally, the intervening Government submitted that any requirement to explain or substantiate selectors or search criteria in the authorisation would seriously restrict the effectiveness of bulk interception in </w:t>
      </w:r>
      <w:r w:rsidR="00FB64FB">
        <w:t>view</w:t>
      </w:r>
      <w:r w:rsidRPr="008873B1">
        <w:t xml:space="preserve"> of the high degree of uncertainty regarding the source of a threat. </w:t>
      </w:r>
      <w:r w:rsidRPr="008873B1">
        <w:rPr>
          <w:i/>
        </w:rPr>
        <w:t>Ex post</w:t>
      </w:r>
      <w:r w:rsidRPr="008873B1">
        <w:t xml:space="preserve"> oversight provided </w:t>
      </w:r>
      <w:proofErr w:type="gramStart"/>
      <w:r w:rsidRPr="008873B1">
        <w:t>sufficient</w:t>
      </w:r>
      <w:proofErr w:type="gramEnd"/>
      <w:r w:rsidRPr="008873B1">
        <w:t xml:space="preserve"> safeguards.</w:t>
      </w:r>
    </w:p>
    <w:p w:rsidRPr="008873B1" w:rsidR="004D0549" w:rsidP="008873B1" w:rsidRDefault="004D0549" w14:paraId="0F191FA4" w14:textId="77777777">
      <w:pPr>
        <w:pStyle w:val="JuHa0"/>
        <w:numPr>
          <w:ilvl w:val="4"/>
          <w:numId w:val="1"/>
        </w:numPr>
      </w:pPr>
      <w:r w:rsidRPr="008873B1">
        <w:t>The Government of the Kingdom of Norway</w:t>
      </w:r>
    </w:p>
    <w:p w:rsidRPr="008873B1" w:rsidR="004D0549" w:rsidP="004D0549" w:rsidRDefault="004D0549" w14:paraId="51DF9DAF" w14:textId="353CB7F6">
      <w:pPr>
        <w:pStyle w:val="JuPara"/>
      </w:pPr>
      <w:r w:rsidRPr="008873B1">
        <w:fldChar w:fldCharType="begin"/>
      </w:r>
      <w:r w:rsidRPr="008873B1">
        <w:instrText xml:space="preserve"> SEQ level0 \*arabic </w:instrText>
      </w:r>
      <w:r w:rsidRPr="008873B1">
        <w:fldChar w:fldCharType="separate"/>
      </w:r>
      <w:r w:rsidR="004F11CA">
        <w:rPr>
          <w:noProof/>
        </w:rPr>
        <w:t>233</w:t>
      </w:r>
      <w:r w:rsidRPr="008873B1">
        <w:fldChar w:fldCharType="end"/>
      </w:r>
      <w:r w:rsidRPr="008873B1">
        <w:t xml:space="preserve">.  The Norwegian Government submitted that, </w:t>
      </w:r>
      <w:proofErr w:type="gramStart"/>
      <w:r w:rsidRPr="008873B1">
        <w:t>with regard to</w:t>
      </w:r>
      <w:proofErr w:type="gramEnd"/>
      <w:r w:rsidRPr="008873B1">
        <w:t xml:space="preserve"> the decision of States to introduce and operate some form of bulk interception regime for national security purposes, the margin of appreciation had to be wide. This was because intelligence services had to keep pace with the rapid advances in information and communications technology. Hostile actors changed their devices and digital identities at a pace which made it difficult to track them over time. It was also difficult to discover and counteract hostile cyber operations in a timely manner without tools capable of discovering anomalies and relevant signatures. It was therefore without doubt that modern capacities like bulk interception were needed in order to find unknown threats operating in the digital domain and to enable the services to discover and follow relevant intelligence threats.</w:t>
      </w:r>
    </w:p>
    <w:p w:rsidRPr="008873B1" w:rsidR="004D0549" w:rsidP="004D0549" w:rsidRDefault="004D0549" w14:paraId="0AB12AE1" w14:textId="57110433">
      <w:pPr>
        <w:pStyle w:val="JuPara"/>
      </w:pPr>
      <w:r w:rsidRPr="008873B1">
        <w:fldChar w:fldCharType="begin"/>
      </w:r>
      <w:r w:rsidRPr="008873B1">
        <w:instrText xml:space="preserve"> SEQ level0 \*arabic </w:instrText>
      </w:r>
      <w:r w:rsidRPr="008873B1">
        <w:fldChar w:fldCharType="separate"/>
      </w:r>
      <w:r w:rsidR="004F11CA">
        <w:rPr>
          <w:noProof/>
        </w:rPr>
        <w:t>234</w:t>
      </w:r>
      <w:r w:rsidRPr="008873B1">
        <w:fldChar w:fldCharType="end"/>
      </w:r>
      <w:r w:rsidRPr="008873B1">
        <w:t>.  </w:t>
      </w:r>
      <w:proofErr w:type="gramStart"/>
      <w:r w:rsidRPr="008873B1">
        <w:t>As a consequence</w:t>
      </w:r>
      <w:proofErr w:type="gramEnd"/>
      <w:r w:rsidRPr="008873B1">
        <w:t>, the Court’s oversight should be based on an overall assessment of whether the procedural safeguards against abuse which are in place are sufficient and adequate. It should therefore avoid enumerated and absolute requirements. It should also not apply criteria that would undermine indirectly the wide margin of appreciation afforded to States in deciding to operate a bulk interception regime for national security reasons. A “reasonable suspicion” or “subsequent notification” requirement would have this effect.</w:t>
      </w:r>
    </w:p>
    <w:p w:rsidRPr="008873B1" w:rsidR="004D0549" w:rsidP="004D0549" w:rsidRDefault="004D0549" w14:paraId="49C6A738" w14:textId="3F092CDE">
      <w:pPr>
        <w:pStyle w:val="JuPara"/>
      </w:pPr>
      <w:r w:rsidRPr="008873B1">
        <w:fldChar w:fldCharType="begin"/>
      </w:r>
      <w:r w:rsidRPr="008873B1">
        <w:instrText xml:space="preserve"> SEQ level0 \*arabic </w:instrText>
      </w:r>
      <w:r w:rsidRPr="008873B1">
        <w:fldChar w:fldCharType="separate"/>
      </w:r>
      <w:r w:rsidR="004F11CA">
        <w:rPr>
          <w:noProof/>
        </w:rPr>
        <w:t>235</w:t>
      </w:r>
      <w:r w:rsidRPr="008873B1">
        <w:fldChar w:fldCharType="end"/>
      </w:r>
      <w:r w:rsidRPr="008873B1">
        <w:t xml:space="preserve">.  Finally, the Norwegian Government encouraged the Court to refrain from importing concepts and criteria from the CJEU. </w:t>
      </w:r>
      <w:proofErr w:type="gramStart"/>
      <w:r w:rsidRPr="008873B1">
        <w:t>First of all</w:t>
      </w:r>
      <w:proofErr w:type="gramEnd"/>
      <w:r w:rsidRPr="008873B1">
        <w:t>, at the relevant time nineteen Council of Europe Contracting States were not members of the European Union. Secondly, while the Convention and the Charter of Fundamental Rights had many features in common, there were also differences, most notably Article 8 of the Charter which contained a right to the protection of personal data. The CJEU also formulated “proportionality” differently, using a “strict necessity” method which did not compare to that used by the Court.</w:t>
      </w:r>
    </w:p>
    <w:p w:rsidRPr="008873B1" w:rsidR="004D0549" w:rsidP="008873B1" w:rsidRDefault="004D0549" w14:paraId="6509F2FF" w14:textId="77777777">
      <w:pPr>
        <w:pStyle w:val="JuH1"/>
        <w:numPr>
          <w:ilvl w:val="3"/>
          <w:numId w:val="1"/>
        </w:numPr>
        <w:ind w:left="731"/>
      </w:pPr>
      <w:r w:rsidRPr="008873B1">
        <w:t>The Court’s assessment</w:t>
      </w:r>
    </w:p>
    <w:p w:rsidRPr="008873B1" w:rsidR="004D0549" w:rsidP="008873B1" w:rsidRDefault="004D0549" w14:paraId="49BC10CE" w14:textId="77777777">
      <w:pPr>
        <w:pStyle w:val="JuHa0"/>
        <w:numPr>
          <w:ilvl w:val="4"/>
          <w:numId w:val="1"/>
        </w:numPr>
        <w:ind w:left="1758"/>
      </w:pPr>
      <w:bookmarkStart w:name="gen_princip_A8_begin" w:id="87"/>
      <w:r w:rsidRPr="008873B1">
        <w:t>Preliminary remarks</w:t>
      </w:r>
    </w:p>
    <w:p w:rsidRPr="008873B1" w:rsidR="004D0549" w:rsidP="004D0549" w:rsidRDefault="004D0549" w14:paraId="4EDD8574" w14:textId="4B9EACDA">
      <w:pPr>
        <w:pStyle w:val="JuPara"/>
        <w:rPr>
          <w:rStyle w:val="JuParaCar"/>
        </w:rPr>
      </w:pPr>
      <w:r w:rsidRPr="008873B1">
        <w:rPr>
          <w:rStyle w:val="JuParaCar"/>
        </w:rPr>
        <w:fldChar w:fldCharType="begin"/>
      </w:r>
      <w:r w:rsidRPr="008873B1">
        <w:rPr>
          <w:rStyle w:val="JuParaCar"/>
        </w:rPr>
        <w:instrText xml:space="preserve"> SEQ level0 \*arabic </w:instrText>
      </w:r>
      <w:r w:rsidRPr="008873B1">
        <w:rPr>
          <w:rStyle w:val="JuParaCar"/>
        </w:rPr>
        <w:fldChar w:fldCharType="separate"/>
      </w:r>
      <w:r w:rsidR="004F11CA">
        <w:rPr>
          <w:rStyle w:val="JuParaCar"/>
          <w:noProof/>
        </w:rPr>
        <w:t>236</w:t>
      </w:r>
      <w:r w:rsidRPr="008873B1">
        <w:rPr>
          <w:rStyle w:val="JuParaCar"/>
        </w:rPr>
        <w:fldChar w:fldCharType="end"/>
      </w:r>
      <w:r w:rsidRPr="008873B1">
        <w:rPr>
          <w:rStyle w:val="JuParaCar"/>
        </w:rPr>
        <w:t>.  The present complaint concerns the bulk interception of cross-border communications by the intelligence services. While it is not the first time the Court has considered this kind of surveillance (see</w:t>
      </w:r>
      <w:r w:rsidRPr="008873B1">
        <w:rPr>
          <w:i/>
        </w:rPr>
        <w:t xml:space="preserve"> Weber and Saravia</w:t>
      </w:r>
      <w:r w:rsidRPr="008873B1">
        <w:t xml:space="preserve"> and </w:t>
      </w:r>
      <w:r w:rsidRPr="008873B1">
        <w:rPr>
          <w:i/>
        </w:rPr>
        <w:t xml:space="preserve">Liberty and Others, </w:t>
      </w:r>
      <w:r w:rsidRPr="008873B1">
        <w:t>both cited above</w:t>
      </w:r>
      <w:r w:rsidRPr="008873B1">
        <w:rPr>
          <w:rStyle w:val="JuParaCar"/>
        </w:rPr>
        <w:t xml:space="preserve">), in the course of the proceedings it has become apparent that the assessment of any such regime faces specific difficulties. In the current, increasingly digital, age </w:t>
      </w:r>
      <w:proofErr w:type="gramStart"/>
      <w:r w:rsidRPr="008873B1">
        <w:rPr>
          <w:rStyle w:val="JuParaCar"/>
        </w:rPr>
        <w:t>the vast majority of</w:t>
      </w:r>
      <w:proofErr w:type="gramEnd"/>
      <w:r w:rsidRPr="008873B1">
        <w:rPr>
          <w:rStyle w:val="JuParaCar"/>
        </w:rPr>
        <w:t xml:space="preserve"> communications take digital form and are transported across global telecommunications networks using a combination of the quickest and cheapest paths without any meaningful reference to national borders. Surveillance which is not targeted directly at individuals therefore has the capacity to have a very wide reach indeed, both inside and outside the territory of the </w:t>
      </w:r>
      <w:proofErr w:type="spellStart"/>
      <w:r w:rsidRPr="008873B1">
        <w:rPr>
          <w:rStyle w:val="JuParaCar"/>
        </w:rPr>
        <w:t>surveilling</w:t>
      </w:r>
      <w:proofErr w:type="spellEnd"/>
      <w:r w:rsidRPr="008873B1">
        <w:rPr>
          <w:rStyle w:val="JuParaCar"/>
        </w:rPr>
        <w:t xml:space="preserve"> State. Safeguards are therefore pivotal and yet elusive. Unlike the targeted interception which has been the subject of much of the Court’s case-law, and which is primarily used for the investigation of crime, bulk interception is also – perhaps even predominantly – used for foreign intelligence gathering and the identification of new threats from both known and unknown actors. When operating in this realm, Contracting States have a legitimate need for secrecy which means that little if any information about the operation of the scheme will be in the public domain, and such information as is available may be couched in terminology which is obscure and which may vary significantly from one State to the next.</w:t>
      </w:r>
    </w:p>
    <w:bookmarkStart w:name="Threats" w:id="88"/>
    <w:p w:rsidRPr="008873B1" w:rsidR="004D0549" w:rsidP="000E43DD" w:rsidRDefault="004D0549" w14:paraId="23558C15" w14:textId="4D7B0C0A">
      <w:pPr>
        <w:pStyle w:val="JuPara"/>
        <w:rPr>
          <w:rStyle w:val="JuParaChar"/>
          <w:rFonts w:ascii="Times New Roman" w:hAnsi="Times New Roman" w:eastAsia="Times New Roman" w:cs="Times New Roman"/>
        </w:rPr>
      </w:pPr>
      <w:r w:rsidRPr="008873B1">
        <w:rPr>
          <w:rStyle w:val="JuParaCar"/>
        </w:rPr>
        <w:fldChar w:fldCharType="begin"/>
      </w:r>
      <w:r w:rsidRPr="008873B1">
        <w:rPr>
          <w:rStyle w:val="JuParaCar"/>
        </w:rPr>
        <w:instrText xml:space="preserve"> SEQ level0 \*arabic </w:instrText>
      </w:r>
      <w:r w:rsidRPr="008873B1">
        <w:rPr>
          <w:rStyle w:val="JuParaCar"/>
        </w:rPr>
        <w:fldChar w:fldCharType="separate"/>
      </w:r>
      <w:r w:rsidR="004F11CA">
        <w:rPr>
          <w:rStyle w:val="JuParaCar"/>
          <w:noProof/>
        </w:rPr>
        <w:t>237</w:t>
      </w:r>
      <w:r w:rsidRPr="008873B1">
        <w:rPr>
          <w:rStyle w:val="JuParaCar"/>
        </w:rPr>
        <w:fldChar w:fldCharType="end"/>
      </w:r>
      <w:bookmarkEnd w:id="88"/>
      <w:r w:rsidRPr="008873B1">
        <w:rPr>
          <w:rStyle w:val="JuParaCar"/>
        </w:rPr>
        <w:t>.  </w:t>
      </w:r>
      <w:r w:rsidRPr="008873B1">
        <w:rPr>
          <w:rFonts w:eastAsia="Times New Roman"/>
        </w:rPr>
        <w:t>While technological capabilities have greatly increased the volume of communications traversing the global Internet, the threats being faced by Contracting States and their citizens have also proliferated. These include, but are not limited to, global terrorism, drug trafficking, human trafficking and the sexual exploitation of children. Many of these threats come from international networks of hostile actors with access to increasingly sophisticated technology enabling them to communicate undetected. Access to such technology also permits hostile State and non-State actors to disrupt digital infrastructure and even the proper functioning of democratic processes through the use of cyberattacks, a serious threat to national security which by definition exists only in the digital domain and as such can only be detected and investigated there. Consequently, the Court is required to carry out its assessment of Contracting States’ bulk interception regimes, a valuable technological capacity to identify new threats in the digital domain, for Convention compliance by reference to the existence of safeguards against arbitrariness and abuse, on the basis of limited information about the manner in which those regimes operate.</w:t>
      </w:r>
    </w:p>
    <w:p w:rsidRPr="008873B1" w:rsidR="004D0549" w:rsidP="008873B1" w:rsidRDefault="004D0549" w14:paraId="23EBCC69" w14:textId="77777777">
      <w:pPr>
        <w:pStyle w:val="JuHa0"/>
        <w:numPr>
          <w:ilvl w:val="4"/>
          <w:numId w:val="1"/>
        </w:numPr>
      </w:pPr>
      <w:r w:rsidRPr="008873B1">
        <w:t>The existence of an interference</w:t>
      </w:r>
    </w:p>
    <w:p w:rsidRPr="008873B1" w:rsidR="004D0549" w:rsidP="000E43DD" w:rsidRDefault="004D0549" w14:paraId="280D9643" w14:textId="2CF535D7">
      <w:pPr>
        <w:pStyle w:val="JuPara"/>
      </w:pPr>
      <w:r w:rsidRPr="008873B1">
        <w:fldChar w:fldCharType="begin"/>
      </w:r>
      <w:r w:rsidRPr="008873B1">
        <w:instrText xml:space="preserve"> SEQ level0 \*arabic </w:instrText>
      </w:r>
      <w:r w:rsidRPr="008873B1">
        <w:fldChar w:fldCharType="separate"/>
      </w:r>
      <w:r w:rsidR="004F11CA">
        <w:rPr>
          <w:noProof/>
        </w:rPr>
        <w:t>238</w:t>
      </w:r>
      <w:r w:rsidRPr="008873B1">
        <w:fldChar w:fldCharType="end"/>
      </w:r>
      <w:r w:rsidRPr="008873B1">
        <w:t>.  The Government considered that there was no interference with the applicant’s Article 8 rights since it did not belong to a group of persons or entities targeted by the relevant legislation and in view of the fact that it was highly unlikely that the applicant’s communications would be subject to analytical examination, there allegedly being no interference with Article 8 rights at the preceding stages of bulk interception of communications as it functioned in Sweden.</w:t>
      </w:r>
    </w:p>
    <w:bookmarkStart w:name="Stages" w:id="89"/>
    <w:p w:rsidRPr="008873B1" w:rsidR="004D0549" w:rsidP="004D0549" w:rsidRDefault="004D0549" w14:paraId="2C4A5212" w14:textId="274751FF">
      <w:pPr>
        <w:pStyle w:val="JuPara"/>
      </w:pPr>
      <w:r w:rsidRPr="008873B1">
        <w:fldChar w:fldCharType="begin"/>
      </w:r>
      <w:r w:rsidRPr="008873B1">
        <w:instrText xml:space="preserve"> SEQ level0 \*arabic </w:instrText>
      </w:r>
      <w:r w:rsidRPr="008873B1">
        <w:fldChar w:fldCharType="separate"/>
      </w:r>
      <w:r w:rsidR="004F11CA">
        <w:rPr>
          <w:noProof/>
        </w:rPr>
        <w:t>239</w:t>
      </w:r>
      <w:r w:rsidRPr="008873B1">
        <w:fldChar w:fldCharType="end"/>
      </w:r>
      <w:bookmarkEnd w:id="89"/>
      <w:r w:rsidRPr="008873B1">
        <w:t xml:space="preserve">.  The Court views bulk interception as a gradual process in which the degree of interference with individuals’ Article 8 rights increases as the process progresses. Bulk interception regimes may not all follow </w:t>
      </w:r>
      <w:proofErr w:type="gramStart"/>
      <w:r w:rsidRPr="008873B1">
        <w:t>exactly the same</w:t>
      </w:r>
      <w:proofErr w:type="gramEnd"/>
      <w:r w:rsidRPr="008873B1">
        <w:t xml:space="preserve"> model, and the different stages of the process will not necessarily be discrete or followed in strict chronological order. Nevertheless, subject to the </w:t>
      </w:r>
      <w:proofErr w:type="gramStart"/>
      <w:r w:rsidRPr="008873B1">
        <w:t>aforementioned caveats</w:t>
      </w:r>
      <w:proofErr w:type="gramEnd"/>
      <w:r w:rsidRPr="008873B1">
        <w:t>, the Court considers that the stages of the bulk interception process which fall to be considered can be described as follows:</w:t>
      </w:r>
    </w:p>
    <w:p w:rsidRPr="008873B1" w:rsidR="004D0549" w:rsidP="004D0549" w:rsidRDefault="004D0549" w14:paraId="3A3B4C30" w14:textId="77777777">
      <w:pPr>
        <w:pStyle w:val="JuPara"/>
      </w:pPr>
    </w:p>
    <w:p w:rsidRPr="008873B1" w:rsidR="004D0549" w:rsidP="008873B1" w:rsidRDefault="00C04DAD" w14:paraId="0FE6AA80" w14:textId="2A7EBC87">
      <w:pPr>
        <w:pStyle w:val="JuPara"/>
        <w:numPr>
          <w:ilvl w:val="0"/>
          <w:numId w:val="3"/>
        </w:numPr>
      </w:pPr>
      <w:r>
        <w:t>t</w:t>
      </w:r>
      <w:r w:rsidRPr="008873B1" w:rsidR="004D0549">
        <w:t>he interception and initial retention of communications and related communications data (that is, the traffic data belonging to the intercepted communications);</w:t>
      </w:r>
    </w:p>
    <w:p w:rsidRPr="008873B1" w:rsidR="004D0549" w:rsidP="008873B1" w:rsidRDefault="00C04DAD" w14:paraId="1F27BAE8" w14:textId="0F0E8B95">
      <w:pPr>
        <w:pStyle w:val="JuPara"/>
        <w:numPr>
          <w:ilvl w:val="0"/>
          <w:numId w:val="3"/>
        </w:numPr>
      </w:pPr>
      <w:r>
        <w:t>t</w:t>
      </w:r>
      <w:r w:rsidRPr="008873B1" w:rsidR="004D0549">
        <w:t>he application of specific selectors to the retained communications/related communications data;</w:t>
      </w:r>
    </w:p>
    <w:p w:rsidRPr="008873B1" w:rsidR="004D0549" w:rsidP="008873B1" w:rsidRDefault="00C04DAD" w14:paraId="523A17EB" w14:textId="6E6D546B">
      <w:pPr>
        <w:pStyle w:val="JuPara"/>
        <w:numPr>
          <w:ilvl w:val="0"/>
          <w:numId w:val="3"/>
        </w:numPr>
      </w:pPr>
      <w:r>
        <w:t>t</w:t>
      </w:r>
      <w:r w:rsidRPr="008873B1" w:rsidR="004D0549">
        <w:t>he examination of selected communications/related communications data by analysts; and</w:t>
      </w:r>
    </w:p>
    <w:p w:rsidRPr="008873B1" w:rsidR="004D0549" w:rsidP="008873B1" w:rsidRDefault="00C04DAD" w14:paraId="19B470B5" w14:textId="572C6D58">
      <w:pPr>
        <w:pStyle w:val="JuPara"/>
        <w:numPr>
          <w:ilvl w:val="0"/>
          <w:numId w:val="3"/>
        </w:numPr>
      </w:pPr>
      <w:r>
        <w:t>t</w:t>
      </w:r>
      <w:r w:rsidRPr="008873B1" w:rsidR="004D0549">
        <w:t>he subsequent retention of data and use of the “final product”, including the sharing of data with third parties.</w:t>
      </w:r>
    </w:p>
    <w:p w:rsidRPr="008873B1" w:rsidR="004D0549" w:rsidP="004D0549" w:rsidRDefault="004D0549" w14:paraId="3A549D88" w14:textId="77777777">
      <w:pPr>
        <w:pStyle w:val="JuPara"/>
      </w:pPr>
    </w:p>
    <w:p w:rsidRPr="008873B1" w:rsidR="004D0549" w:rsidP="004D0549" w:rsidRDefault="004D0549" w14:paraId="5B2C32B6" w14:textId="5596C54F">
      <w:pPr>
        <w:pStyle w:val="JuPara"/>
      </w:pPr>
      <w:r w:rsidRPr="008873B1">
        <w:fldChar w:fldCharType="begin"/>
      </w:r>
      <w:r w:rsidRPr="008873B1">
        <w:instrText xml:space="preserve"> SEQ level0 \*arabic </w:instrText>
      </w:r>
      <w:r w:rsidRPr="008873B1">
        <w:fldChar w:fldCharType="separate"/>
      </w:r>
      <w:r w:rsidR="004F11CA">
        <w:rPr>
          <w:noProof/>
        </w:rPr>
        <w:t>240</w:t>
      </w:r>
      <w:r w:rsidRPr="008873B1">
        <w:fldChar w:fldCharType="end"/>
      </w:r>
      <w:r w:rsidRPr="008873B1">
        <w:t xml:space="preserve">.  At what the Court has taken to be the first stage, electronic communications (or “packets” of electronic communications) will be intercepted in bulk by the intelligence services. These communications will belong to </w:t>
      </w:r>
      <w:proofErr w:type="gramStart"/>
      <w:r w:rsidRPr="008873B1">
        <w:t>a large number of</w:t>
      </w:r>
      <w:proofErr w:type="gramEnd"/>
      <w:r w:rsidRPr="008873B1">
        <w:t xml:space="preserve"> individuals, many of whom will be of no interest whatsoever to the intelligence services. Some communications of a type unlikely to be of intelligence interest may be filtered out at this stage.</w:t>
      </w:r>
    </w:p>
    <w:p w:rsidRPr="008873B1" w:rsidR="004D0549" w:rsidP="004D0549" w:rsidRDefault="004D0549" w14:paraId="49A254D2" w14:textId="47600318">
      <w:pPr>
        <w:pStyle w:val="JuPara"/>
      </w:pPr>
      <w:r w:rsidRPr="008873B1">
        <w:fldChar w:fldCharType="begin"/>
      </w:r>
      <w:r w:rsidRPr="008873B1">
        <w:instrText xml:space="preserve"> SEQ level0 \*arabic </w:instrText>
      </w:r>
      <w:r w:rsidRPr="008873B1">
        <w:fldChar w:fldCharType="separate"/>
      </w:r>
      <w:r w:rsidR="004F11CA">
        <w:rPr>
          <w:noProof/>
        </w:rPr>
        <w:t>241</w:t>
      </w:r>
      <w:r w:rsidRPr="008873B1">
        <w:fldChar w:fldCharType="end"/>
      </w:r>
      <w:r w:rsidRPr="008873B1">
        <w:t xml:space="preserve">.  The initial searching, which is mostly automated, takes place at what the Court has taken to be the second stage, when different types of selectors, including “strong selectors” (such as an email address) and/or complex queries are applied to the retained packets of communications and related communications data. This may be the stage where the process begins to target individuals </w:t>
      </w:r>
      <w:proofErr w:type="gramStart"/>
      <w:r w:rsidRPr="008873B1">
        <w:t>through the use of</w:t>
      </w:r>
      <w:proofErr w:type="gramEnd"/>
      <w:r w:rsidRPr="008873B1">
        <w:t xml:space="preserve"> strong selectors.</w:t>
      </w:r>
    </w:p>
    <w:p w:rsidRPr="008873B1" w:rsidR="004D0549" w:rsidP="004D0549" w:rsidRDefault="004D0549" w14:paraId="739CDAEC" w14:textId="4C6B76CD">
      <w:pPr>
        <w:pStyle w:val="JuPara"/>
      </w:pPr>
      <w:r w:rsidRPr="008873B1">
        <w:fldChar w:fldCharType="begin"/>
      </w:r>
      <w:r w:rsidRPr="008873B1">
        <w:instrText xml:space="preserve"> SEQ level0 \*arabic </w:instrText>
      </w:r>
      <w:r w:rsidRPr="008873B1">
        <w:fldChar w:fldCharType="separate"/>
      </w:r>
      <w:r w:rsidR="004F11CA">
        <w:rPr>
          <w:noProof/>
        </w:rPr>
        <w:t>242</w:t>
      </w:r>
      <w:r w:rsidRPr="008873B1">
        <w:fldChar w:fldCharType="end"/>
      </w:r>
      <w:r w:rsidRPr="008873B1">
        <w:t>.  At what the Court has taken to be the third stage, intercept material is examined for the first time by an analyst.</w:t>
      </w:r>
    </w:p>
    <w:p w:rsidRPr="008873B1" w:rsidR="004D0549" w:rsidP="004D0549" w:rsidRDefault="004D0549" w14:paraId="63877962" w14:textId="6D6B58FA">
      <w:pPr>
        <w:pStyle w:val="JuPara"/>
      </w:pPr>
      <w:r w:rsidRPr="008873B1">
        <w:fldChar w:fldCharType="begin"/>
      </w:r>
      <w:r w:rsidRPr="008873B1">
        <w:instrText xml:space="preserve"> SEQ level0 \*arabic </w:instrText>
      </w:r>
      <w:r w:rsidRPr="008873B1">
        <w:fldChar w:fldCharType="separate"/>
      </w:r>
      <w:r w:rsidR="004F11CA">
        <w:rPr>
          <w:noProof/>
        </w:rPr>
        <w:t>243</w:t>
      </w:r>
      <w:r w:rsidRPr="008873B1">
        <w:fldChar w:fldCharType="end"/>
      </w:r>
      <w:r w:rsidRPr="008873B1">
        <w:t xml:space="preserve">.  What the Court has taken to be the final stage is when the intercept material is </w:t>
      </w:r>
      <w:proofErr w:type="gramStart"/>
      <w:r w:rsidRPr="008873B1">
        <w:t>actually used</w:t>
      </w:r>
      <w:proofErr w:type="gramEnd"/>
      <w:r w:rsidRPr="008873B1">
        <w:t xml:space="preserve"> by the intelligence services. This may involve the creation of an intelligence report, the sharing of the material with other intelligence services within the intercepting State or even the transmission of material to foreign intelligence services.</w:t>
      </w:r>
    </w:p>
    <w:p w:rsidRPr="008873B1" w:rsidR="004D0549" w:rsidP="004D0549" w:rsidRDefault="004D0549" w14:paraId="5F4882EF" w14:textId="1B6C2C11">
      <w:pPr>
        <w:pStyle w:val="JuPara"/>
      </w:pPr>
      <w:r w:rsidRPr="008873B1">
        <w:fldChar w:fldCharType="begin"/>
      </w:r>
      <w:r w:rsidRPr="008873B1">
        <w:instrText xml:space="preserve"> SEQ level0 \*arabic </w:instrText>
      </w:r>
      <w:r w:rsidRPr="008873B1">
        <w:fldChar w:fldCharType="separate"/>
      </w:r>
      <w:r w:rsidR="004F11CA">
        <w:rPr>
          <w:noProof/>
        </w:rPr>
        <w:t>244</w:t>
      </w:r>
      <w:r w:rsidRPr="008873B1">
        <w:fldChar w:fldCharType="end"/>
      </w:r>
      <w:r w:rsidRPr="008873B1">
        <w:t xml:space="preserve">.  The Court considers that Article 8 applies at each of the above stages. While the initial interception followed by the immediate discarding of parts of the communications does not constitute a particularly significant interference, the degree of interference with individuals’ Article 8 rights will increase as the bulk interception process progresses. In this regard, the Court has clearly stated that even the mere storing of data relating to the private life of an individual amounts to an interference within the meaning of Article 8 (see </w:t>
      </w:r>
      <w:r w:rsidRPr="008873B1">
        <w:rPr>
          <w:i/>
        </w:rPr>
        <w:t>Leander v. Sweden</w:t>
      </w:r>
      <w:r w:rsidRPr="008873B1">
        <w:t xml:space="preserve">, 26 March 1987, § 48, Series A no. 116), and that the need for safeguards will be all the greater where the protection of personal data undergoing automatic processing is concerned (see </w:t>
      </w:r>
      <w:r w:rsidRPr="008873B1">
        <w:rPr>
          <w:i/>
        </w:rPr>
        <w:t xml:space="preserve">S. and </w:t>
      </w:r>
      <w:proofErr w:type="spellStart"/>
      <w:r w:rsidRPr="008873B1">
        <w:rPr>
          <w:i/>
        </w:rPr>
        <w:t>Marper</w:t>
      </w:r>
      <w:proofErr w:type="spellEnd"/>
      <w:r w:rsidRPr="008873B1">
        <w:t>, cited above, §</w:t>
      </w:r>
      <w:r w:rsidRPr="008873B1">
        <w:rPr>
          <w:rFonts w:cstheme="minorHAnsi"/>
        </w:rPr>
        <w:t xml:space="preserve"> 103</w:t>
      </w:r>
      <w:r w:rsidRPr="008873B1">
        <w:t xml:space="preserve">). The fact that the stored material is in coded form, intelligible only with the use of computer technology and capable of being interpreted only by a limited number of persons, can have no bearing on that finding (see </w:t>
      </w:r>
      <w:r w:rsidRPr="008873B1">
        <w:rPr>
          <w:i/>
        </w:rPr>
        <w:t>Amann v. Switzerland</w:t>
      </w:r>
      <w:r w:rsidRPr="008873B1">
        <w:t xml:space="preserve"> [GC], no. 27798/95, §</w:t>
      </w:r>
      <w:r w:rsidR="00A81810">
        <w:t> </w:t>
      </w:r>
      <w:r w:rsidRPr="008873B1">
        <w:t>69, ECHR 2000</w:t>
      </w:r>
      <w:r w:rsidRPr="008873B1">
        <w:noBreakHyphen/>
        <w:t xml:space="preserve">II and </w:t>
      </w:r>
      <w:r w:rsidRPr="008873B1">
        <w:rPr>
          <w:i/>
        </w:rPr>
        <w:t xml:space="preserve">S. and </w:t>
      </w:r>
      <w:proofErr w:type="spellStart"/>
      <w:r w:rsidRPr="008873B1">
        <w:rPr>
          <w:i/>
        </w:rPr>
        <w:t>Marper</w:t>
      </w:r>
      <w:proofErr w:type="spellEnd"/>
      <w:r w:rsidRPr="008873B1">
        <w:t>, cited above, §</w:t>
      </w:r>
      <w:r w:rsidRPr="008873B1">
        <w:rPr>
          <w:rFonts w:cstheme="minorHAnsi"/>
        </w:rPr>
        <w:t>§</w:t>
      </w:r>
      <w:r w:rsidRPr="008873B1">
        <w:t xml:space="preserve"> 67 and 75). Finally, at the end of the process, where information about a </w:t>
      </w:r>
      <w:proofErr w:type="gramStart"/>
      <w:r w:rsidRPr="008873B1">
        <w:t>particular person</w:t>
      </w:r>
      <w:proofErr w:type="gramEnd"/>
      <w:r w:rsidRPr="008873B1">
        <w:t xml:space="preserve"> will be analysed or the content of the communications is being examined by an analyst, the need for safeguards will be at its highest. This approach of the Court is in line with the finding of the Venice Commission, which in its report on the Democratic Oversight of Signals Intelligence Agencies considered that in bulk interception the main interference with privacy occurred when stored personal data were processed and/or accessed by the agencies (see paragraphs 86-91 above).</w:t>
      </w:r>
    </w:p>
    <w:bookmarkStart w:name="degree_interference_increases" w:id="90"/>
    <w:p w:rsidRPr="008873B1" w:rsidR="004D0549" w:rsidP="00BF75EF" w:rsidRDefault="004D0549" w14:paraId="7BD3FEF6" w14:textId="6CB4F3F7">
      <w:pPr>
        <w:pStyle w:val="JuPara"/>
      </w:pPr>
      <w:r w:rsidRPr="008873B1">
        <w:fldChar w:fldCharType="begin"/>
      </w:r>
      <w:r w:rsidRPr="008873B1">
        <w:instrText xml:space="preserve"> SEQ level0 \*arabic </w:instrText>
      </w:r>
      <w:r w:rsidRPr="008873B1">
        <w:fldChar w:fldCharType="separate"/>
      </w:r>
      <w:r w:rsidR="004F11CA">
        <w:rPr>
          <w:noProof/>
        </w:rPr>
        <w:t>245</w:t>
      </w:r>
      <w:r w:rsidRPr="008873B1">
        <w:fldChar w:fldCharType="end"/>
      </w:r>
      <w:bookmarkEnd w:id="90"/>
      <w:r w:rsidRPr="008873B1">
        <w:t xml:space="preserve">.  Thus, the degree of interference with privacy rights will increase as the process moves through the different stages. In examining whether this increasing interference was justified, the Court will carry out its assessment of the relevant Swedish regime </w:t>
      </w:r>
      <w:proofErr w:type="gramStart"/>
      <w:r w:rsidRPr="008873B1">
        <w:t>on the basis of</w:t>
      </w:r>
      <w:proofErr w:type="gramEnd"/>
      <w:r w:rsidRPr="008873B1">
        <w:t xml:space="preserve"> this understanding of the nature of the interference.</w:t>
      </w:r>
    </w:p>
    <w:bookmarkEnd w:id="87"/>
    <w:p w:rsidRPr="008873B1" w:rsidR="004D0549" w:rsidP="008873B1" w:rsidRDefault="004D0549" w14:paraId="0EE9120A" w14:textId="77777777">
      <w:pPr>
        <w:pStyle w:val="JuHa0"/>
        <w:numPr>
          <w:ilvl w:val="4"/>
          <w:numId w:val="1"/>
        </w:numPr>
      </w:pPr>
      <w:r w:rsidRPr="008873B1">
        <w:t>Whether the interference was justified</w:t>
      </w:r>
    </w:p>
    <w:p w:rsidRPr="008873B1" w:rsidR="004D0549" w:rsidP="008873B1" w:rsidRDefault="004D0549" w14:paraId="1E65C80D" w14:textId="77777777">
      <w:pPr>
        <w:pStyle w:val="JuHi"/>
        <w:numPr>
          <w:ilvl w:val="5"/>
          <w:numId w:val="1"/>
        </w:numPr>
        <w:tabs>
          <w:tab w:val="clear" w:pos="1077"/>
          <w:tab w:val="clear" w:pos="1134"/>
          <w:tab w:val="clear" w:pos="1191"/>
          <w:tab w:val="clear" w:pos="1247"/>
        </w:tabs>
        <w:spacing w:line="240" w:lineRule="auto"/>
      </w:pPr>
      <w:r w:rsidRPr="008873B1">
        <w:t>General principles relating to secret measures of surveillance, including the interception of communications</w:t>
      </w:r>
    </w:p>
    <w:p w:rsidRPr="008873B1" w:rsidR="004D0549" w:rsidP="00674632" w:rsidRDefault="004D0549" w14:paraId="41B859F6" w14:textId="705DF17A">
      <w:pPr>
        <w:pStyle w:val="JuPara"/>
      </w:pPr>
      <w:r w:rsidRPr="008873B1">
        <w:fldChar w:fldCharType="begin"/>
      </w:r>
      <w:r w:rsidRPr="008873B1">
        <w:instrText xml:space="preserve"> SEQ level0 \*arabic </w:instrText>
      </w:r>
      <w:r w:rsidRPr="008873B1">
        <w:fldChar w:fldCharType="separate"/>
      </w:r>
      <w:r w:rsidR="004F11CA">
        <w:rPr>
          <w:noProof/>
        </w:rPr>
        <w:t>246</w:t>
      </w:r>
      <w:r w:rsidRPr="008873B1">
        <w:fldChar w:fldCharType="end"/>
      </w:r>
      <w:r w:rsidRPr="008873B1">
        <w:t>.  </w:t>
      </w:r>
      <w:r w:rsidRPr="008873B1">
        <w:rPr>
          <w:rFonts w:eastAsia="Times New Roman"/>
        </w:rPr>
        <w:t xml:space="preserve">Any interference with an individual’s Article 8 rights can only be justified under Article 8 § 2 if it is in accordance with the law, pursues one or more of the legitimate aims to which that paragraph refers and is necessary in a democratic society in order to achieve any such aim (see </w:t>
      </w:r>
      <w:r w:rsidRPr="008873B1">
        <w:rPr>
          <w:rFonts w:eastAsia="Times New Roman"/>
          <w:i/>
        </w:rPr>
        <w:t xml:space="preserve">Roman </w:t>
      </w:r>
      <w:proofErr w:type="spellStart"/>
      <w:r w:rsidRPr="008873B1">
        <w:rPr>
          <w:rFonts w:eastAsia="Times New Roman"/>
          <w:i/>
        </w:rPr>
        <w:t>Zakharov</w:t>
      </w:r>
      <w:proofErr w:type="spellEnd"/>
      <w:r w:rsidRPr="008873B1">
        <w:rPr>
          <w:rFonts w:eastAsia="Times New Roman"/>
        </w:rPr>
        <w:t xml:space="preserve">, cited above, § 227; see also </w:t>
      </w:r>
      <w:r w:rsidRPr="008873B1">
        <w:rPr>
          <w:i/>
        </w:rPr>
        <w:t>Kennedy</w:t>
      </w:r>
      <w:r w:rsidRPr="008873B1">
        <w:t>, cited above, § 130</w:t>
      </w:r>
      <w:r w:rsidRPr="008873B1">
        <w:rPr>
          <w:rFonts w:eastAsia="Times New Roman"/>
        </w:rPr>
        <w:t xml:space="preserve">). </w:t>
      </w:r>
      <w:r w:rsidRPr="008873B1">
        <w:rPr>
          <w:rFonts w:ascii="Times New Roman" w:hAnsi="Times New Roman" w:eastAsia="Times New Roman" w:cs="Times New Roman"/>
        </w:rPr>
        <w:t xml:space="preserve">The wording “in accordance with the law” requires the impugned measure to have some basis in domestic law (as opposed to a practice which does not have a specific legal basis – see </w:t>
      </w:r>
      <w:proofErr w:type="spellStart"/>
      <w:r w:rsidRPr="008873B1">
        <w:rPr>
          <w:rFonts w:ascii="Times New Roman" w:hAnsi="Times New Roman" w:eastAsia="Times New Roman" w:cs="Times New Roman"/>
          <w:i/>
        </w:rPr>
        <w:t>Heglas</w:t>
      </w:r>
      <w:proofErr w:type="spellEnd"/>
      <w:r w:rsidRPr="008873B1">
        <w:rPr>
          <w:rFonts w:ascii="Times New Roman" w:hAnsi="Times New Roman" w:eastAsia="Times New Roman" w:cs="Times New Roman"/>
          <w:i/>
        </w:rPr>
        <w:t xml:space="preserve"> v. the Czech Republic</w:t>
      </w:r>
      <w:r w:rsidRPr="008873B1">
        <w:rPr>
          <w:rFonts w:ascii="Times New Roman" w:hAnsi="Times New Roman" w:eastAsia="Times New Roman" w:cs="Times New Roman"/>
        </w:rPr>
        <w:t xml:space="preserve">, no. 5935/02, § 74, 1 March 2007). It must also be compatible with the rule of law, which is expressly mentioned in the Preamble to the Convention and inherent in the object and purpose of Article 8. The law must therefore be accessible to the person concerned and foreseeable as to its effects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228; see also, among many other authorities, </w:t>
      </w:r>
      <w:proofErr w:type="spellStart"/>
      <w:r w:rsidRPr="008873B1">
        <w:rPr>
          <w:rFonts w:ascii="Times New Roman" w:hAnsi="Times New Roman" w:eastAsia="Times New Roman" w:cs="Times New Roman"/>
          <w:i/>
        </w:rPr>
        <w:t>Rotaru</w:t>
      </w:r>
      <w:proofErr w:type="spellEnd"/>
      <w:r w:rsidRPr="008873B1">
        <w:rPr>
          <w:rFonts w:ascii="Times New Roman" w:hAnsi="Times New Roman" w:eastAsia="Times New Roman" w:cs="Times New Roman"/>
          <w:i/>
        </w:rPr>
        <w:t xml:space="preserve"> v. Romania</w:t>
      </w:r>
      <w:r w:rsidRPr="008873B1">
        <w:rPr>
          <w:rFonts w:ascii="Times New Roman" w:hAnsi="Times New Roman" w:eastAsia="Times New Roman" w:cs="Times New Roman"/>
        </w:rPr>
        <w:t xml:space="preserve"> </w:t>
      </w:r>
      <w:r w:rsidRPr="008873B1">
        <w:t>[GC], no. 28341/95, ECHR 2000-V</w:t>
      </w:r>
      <w:r w:rsidRPr="008873B1">
        <w:rPr>
          <w:rFonts w:ascii="Times New Roman" w:hAnsi="Times New Roman" w:eastAsia="Times New Roman" w:cs="Times New Roman"/>
        </w:rPr>
        <w:t xml:space="preserve">, § 52; </w:t>
      </w:r>
      <w:r w:rsidRPr="008873B1">
        <w:rPr>
          <w:rFonts w:ascii="Times New Roman" w:hAnsi="Times New Roman" w:eastAsia="Times New Roman" w:cs="Times New Roman"/>
          <w:i/>
        </w:rPr>
        <w:t xml:space="preserve">S. and </w:t>
      </w:r>
      <w:proofErr w:type="spellStart"/>
      <w:r w:rsidRPr="008873B1">
        <w:rPr>
          <w:rFonts w:ascii="Times New Roman" w:hAnsi="Times New Roman" w:eastAsia="Times New Roman" w:cs="Times New Roman"/>
          <w:i/>
        </w:rPr>
        <w:t>Marper</w:t>
      </w:r>
      <w:proofErr w:type="spellEnd"/>
      <w:r w:rsidRPr="008873B1">
        <w:rPr>
          <w:rFonts w:ascii="Times New Roman" w:hAnsi="Times New Roman" w:eastAsia="Times New Roman" w:cs="Times New Roman"/>
        </w:rPr>
        <w:t xml:space="preserve">, cited above, § 95; and </w:t>
      </w:r>
      <w:r w:rsidRPr="008873B1">
        <w:rPr>
          <w:rFonts w:ascii="Times New Roman" w:hAnsi="Times New Roman" w:eastAsia="Times New Roman" w:cs="Times New Roman"/>
          <w:i/>
        </w:rPr>
        <w:t>Kennedy</w:t>
      </w:r>
      <w:r w:rsidRPr="008873B1">
        <w:rPr>
          <w:rFonts w:ascii="Times New Roman" w:hAnsi="Times New Roman" w:eastAsia="Times New Roman" w:cs="Times New Roman"/>
        </w:rPr>
        <w:t>, cited above, § 151).</w:t>
      </w:r>
    </w:p>
    <w:p w:rsidRPr="008873B1" w:rsidR="004D0549" w:rsidP="004D0549" w:rsidRDefault="004D0549" w14:paraId="586017E5" w14:textId="3063D5D2">
      <w:pPr>
        <w:pStyle w:val="JuPara"/>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247</w:t>
      </w:r>
      <w:r w:rsidRPr="008873B1">
        <w:rPr>
          <w:rFonts w:ascii="Times New Roman" w:hAnsi="Times New Roman" w:eastAsia="Times New Roman" w:cs="Times New Roman"/>
        </w:rPr>
        <w:fldChar w:fldCharType="end"/>
      </w:r>
      <w:r w:rsidRPr="008873B1">
        <w:rPr>
          <w:rFonts w:ascii="Times New Roman" w:hAnsi="Times New Roman" w:eastAsia="Times New Roman" w:cs="Times New Roman"/>
        </w:rPr>
        <w:t xml:space="preserve">.  The meaning of “foreseeability” in the context of secret surveillance is not the same as in many other fields. In the special context of secret measures of surveillance, such as the interception of communications, “foreseeability” cannot mean that individuals should be able to foresee when the authorities are likely to resort to such measures so that they can adapt their conduct accordingly. However, especially where a power vested in the executive is exercised in secret, the risks of arbitrariness are evident. It is therefore essential to have clear, detailed rules on secret surveillance measures, especially as the technology available for use is continually becoming more sophisticated. The domestic law must be sufficiently clear to give citizens an adequate indication as to the circumstances in which and the conditions on which public authorities are empowered to resort to any such measures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229; see also </w:t>
      </w:r>
      <w:r w:rsidRPr="008873B1">
        <w:rPr>
          <w:i/>
        </w:rPr>
        <w:t>Malone v. the United Kingdom</w:t>
      </w:r>
      <w:r w:rsidRPr="008873B1">
        <w:t>, 2 August 1984, § 67, Series A no. 82</w:t>
      </w:r>
      <w:r w:rsidRPr="008873B1">
        <w:rPr>
          <w:rFonts w:ascii="Times New Roman" w:hAnsi="Times New Roman" w:eastAsia="Times New Roman" w:cs="Times New Roman"/>
        </w:rPr>
        <w:t xml:space="preserve">; </w:t>
      </w:r>
      <w:r w:rsidRPr="008873B1">
        <w:rPr>
          <w:i/>
        </w:rPr>
        <w:t>Leander</w:t>
      </w:r>
      <w:r w:rsidRPr="008873B1">
        <w:t>, cited above, § 51</w:t>
      </w:r>
      <w:r w:rsidRPr="008873B1">
        <w:rPr>
          <w:rFonts w:ascii="Times New Roman" w:hAnsi="Times New Roman" w:eastAsia="Times New Roman" w:cs="Times New Roman"/>
        </w:rPr>
        <w:t xml:space="preserve">; </w:t>
      </w:r>
      <w:proofErr w:type="spellStart"/>
      <w:r w:rsidRPr="008873B1">
        <w:rPr>
          <w:i/>
        </w:rPr>
        <w:t>Huvig</w:t>
      </w:r>
      <w:proofErr w:type="spellEnd"/>
      <w:r w:rsidRPr="008873B1">
        <w:rPr>
          <w:i/>
        </w:rPr>
        <w:t xml:space="preserve"> v. France</w:t>
      </w:r>
      <w:r w:rsidRPr="008873B1">
        <w:t>, 24 April 1990, § 29, Series A no. 176</w:t>
      </w:r>
      <w:r w:rsidRPr="008873B1">
        <w:noBreakHyphen/>
        <w:t>B</w:t>
      </w:r>
      <w:r w:rsidRPr="008873B1">
        <w:rPr>
          <w:rFonts w:ascii="Times New Roman" w:hAnsi="Times New Roman" w:eastAsia="Times New Roman" w:cs="Times New Roman"/>
        </w:rPr>
        <w:t xml:space="preserve">; </w:t>
      </w:r>
      <w:r w:rsidRPr="008873B1">
        <w:rPr>
          <w:rFonts w:ascii="Times New Roman" w:hAnsi="Times New Roman" w:eastAsia="Times New Roman" w:cs="Times New Roman"/>
          <w:i/>
        </w:rPr>
        <w:t>Valenzuela Contreras v. Spain</w:t>
      </w:r>
      <w:r w:rsidRPr="008873B1">
        <w:rPr>
          <w:rFonts w:ascii="Times New Roman" w:hAnsi="Times New Roman" w:eastAsia="Times New Roman" w:cs="Times New Roman"/>
        </w:rPr>
        <w:t>, 30 July 1998, § 46, Reports of Judgments and Decisions 1998</w:t>
      </w:r>
      <w:r w:rsidRPr="008873B1">
        <w:rPr>
          <w:rFonts w:ascii="Times New Roman" w:hAnsi="Times New Roman" w:eastAsia="Times New Roman" w:cs="Times New Roman"/>
        </w:rPr>
        <w:noBreakHyphen/>
        <w:t xml:space="preserve">V; </w:t>
      </w:r>
      <w:proofErr w:type="spellStart"/>
      <w:r w:rsidRPr="008873B1">
        <w:rPr>
          <w:rFonts w:ascii="Times New Roman" w:hAnsi="Times New Roman" w:eastAsia="Times New Roman" w:cs="Times New Roman"/>
          <w:i/>
        </w:rPr>
        <w:t>Rotaru</w:t>
      </w:r>
      <w:proofErr w:type="spellEnd"/>
      <w:r w:rsidRPr="008873B1">
        <w:rPr>
          <w:rFonts w:ascii="Times New Roman" w:hAnsi="Times New Roman" w:eastAsia="Times New Roman" w:cs="Times New Roman"/>
        </w:rPr>
        <w:t xml:space="preserve">, cited above, § 55; </w:t>
      </w:r>
      <w:r w:rsidRPr="008873B1">
        <w:rPr>
          <w:rFonts w:ascii="Times New Roman" w:hAnsi="Times New Roman" w:eastAsia="Times New Roman" w:cs="Times New Roman"/>
          <w:i/>
        </w:rPr>
        <w:t>Weber and Saravia</w:t>
      </w:r>
      <w:r w:rsidRPr="008873B1">
        <w:rPr>
          <w:rFonts w:ascii="Times New Roman" w:hAnsi="Times New Roman" w:eastAsia="Times New Roman" w:cs="Times New Roman"/>
        </w:rPr>
        <w:t xml:space="preserve">, cited above, § 93; and </w:t>
      </w:r>
      <w:r w:rsidRPr="008873B1">
        <w:rPr>
          <w:rFonts w:ascii="Times New Roman" w:hAnsi="Times New Roman" w:eastAsia="Times New Roman" w:cs="Times New Roman"/>
          <w:i/>
        </w:rPr>
        <w:t xml:space="preserve">Association for European Integration and Human Rights and </w:t>
      </w:r>
      <w:proofErr w:type="spellStart"/>
      <w:r w:rsidRPr="008873B1">
        <w:rPr>
          <w:rFonts w:ascii="Times New Roman" w:hAnsi="Times New Roman" w:eastAsia="Times New Roman" w:cs="Times New Roman"/>
          <w:i/>
        </w:rPr>
        <w:t>Ekimdzhiev</w:t>
      </w:r>
      <w:proofErr w:type="spellEnd"/>
      <w:r w:rsidRPr="008873B1">
        <w:rPr>
          <w:rFonts w:ascii="Times New Roman" w:hAnsi="Times New Roman" w:eastAsia="Times New Roman" w:cs="Times New Roman"/>
          <w:i/>
        </w:rPr>
        <w:t xml:space="preserve"> v. Bulgaria</w:t>
      </w:r>
      <w:r w:rsidRPr="008873B1">
        <w:rPr>
          <w:rFonts w:ascii="Times New Roman" w:hAnsi="Times New Roman" w:eastAsia="Times New Roman" w:cs="Times New Roman"/>
        </w:rPr>
        <w:t xml:space="preserve">, no. 62540/00, § 75, 28 June 2007). Moreover, the law must indicate the scope of any discretion conferred on the competent authorities and the manner of its exercise with sufficient clarity to give the individual adequate protection against arbitrary interference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230; see also, among other authorities, </w:t>
      </w:r>
      <w:r w:rsidRPr="008873B1">
        <w:rPr>
          <w:rFonts w:ascii="Times New Roman" w:hAnsi="Times New Roman" w:eastAsia="Times New Roman" w:cs="Times New Roman"/>
          <w:i/>
        </w:rPr>
        <w:t>Malone</w:t>
      </w:r>
      <w:r w:rsidRPr="008873B1">
        <w:rPr>
          <w:rFonts w:ascii="Times New Roman" w:hAnsi="Times New Roman" w:eastAsia="Times New Roman" w:cs="Times New Roman"/>
        </w:rPr>
        <w:t xml:space="preserve">, cited above, § 68; </w:t>
      </w:r>
      <w:r w:rsidRPr="008873B1">
        <w:rPr>
          <w:rFonts w:ascii="Times New Roman" w:hAnsi="Times New Roman" w:eastAsia="Times New Roman" w:cs="Times New Roman"/>
          <w:i/>
        </w:rPr>
        <w:t>Leander</w:t>
      </w:r>
      <w:r w:rsidRPr="008873B1">
        <w:rPr>
          <w:rFonts w:ascii="Times New Roman" w:hAnsi="Times New Roman" w:eastAsia="Times New Roman" w:cs="Times New Roman"/>
        </w:rPr>
        <w:t xml:space="preserve">, cited above, § 51; </w:t>
      </w:r>
      <w:proofErr w:type="spellStart"/>
      <w:r w:rsidRPr="008873B1">
        <w:rPr>
          <w:rFonts w:ascii="Times New Roman" w:hAnsi="Times New Roman" w:eastAsia="Times New Roman" w:cs="Times New Roman"/>
          <w:i/>
        </w:rPr>
        <w:t>Huvig</w:t>
      </w:r>
      <w:proofErr w:type="spellEnd"/>
      <w:r w:rsidRPr="008873B1">
        <w:rPr>
          <w:rFonts w:ascii="Times New Roman" w:hAnsi="Times New Roman" w:eastAsia="Times New Roman" w:cs="Times New Roman"/>
        </w:rPr>
        <w:t>, cited above, §</w:t>
      </w:r>
      <w:r w:rsidR="00774CF7">
        <w:rPr>
          <w:rFonts w:ascii="Times New Roman" w:hAnsi="Times New Roman" w:eastAsia="Times New Roman" w:cs="Times New Roman"/>
        </w:rPr>
        <w:t> </w:t>
      </w:r>
      <w:r w:rsidRPr="008873B1">
        <w:rPr>
          <w:rFonts w:ascii="Times New Roman" w:hAnsi="Times New Roman" w:eastAsia="Times New Roman" w:cs="Times New Roman"/>
        </w:rPr>
        <w:t xml:space="preserve">29; and </w:t>
      </w:r>
      <w:r w:rsidRPr="008873B1">
        <w:rPr>
          <w:rFonts w:ascii="Times New Roman" w:hAnsi="Times New Roman" w:eastAsia="Times New Roman" w:cs="Times New Roman"/>
          <w:i/>
        </w:rPr>
        <w:t>Weber and Saravia</w:t>
      </w:r>
      <w:r w:rsidRPr="008873B1">
        <w:rPr>
          <w:rFonts w:ascii="Times New Roman" w:hAnsi="Times New Roman" w:eastAsia="Times New Roman" w:cs="Times New Roman"/>
        </w:rPr>
        <w:t>, cited above, § 94).</w:t>
      </w:r>
    </w:p>
    <w:bookmarkStart w:name="forandnec" w:id="91"/>
    <w:p w:rsidRPr="008873B1" w:rsidR="004D0549" w:rsidP="00674632" w:rsidRDefault="004D0549" w14:paraId="79818ABF" w14:textId="721C3E77">
      <w:pPr>
        <w:pStyle w:val="JuPara"/>
        <w:rPr>
          <w:lang w:eastAsia="fr-FR"/>
        </w:rPr>
      </w:pPr>
      <w:r w:rsidRPr="008873B1">
        <w:fldChar w:fldCharType="begin"/>
      </w:r>
      <w:r w:rsidRPr="008873B1">
        <w:instrText xml:space="preserve"> SEQ level0 \*arabic </w:instrText>
      </w:r>
      <w:r w:rsidRPr="008873B1">
        <w:fldChar w:fldCharType="separate"/>
      </w:r>
      <w:r w:rsidR="004F11CA">
        <w:rPr>
          <w:noProof/>
        </w:rPr>
        <w:t>248</w:t>
      </w:r>
      <w:r w:rsidRPr="008873B1">
        <w:fldChar w:fldCharType="end"/>
      </w:r>
      <w:bookmarkEnd w:id="91"/>
      <w:r w:rsidRPr="008873B1">
        <w:t xml:space="preserve">.  In cases where the legislation permitting secret surveillance is contested before the Court, the lawfulness of the interference is closely related to the question whether the “necessity” test has been complied with and it is therefore appropriate for the Court to address jointly the “in accordance with the law” and “necessity” requirements. </w:t>
      </w:r>
      <w:r w:rsidRPr="008873B1">
        <w:rPr>
          <w:lang w:eastAsia="fr-FR"/>
        </w:rPr>
        <w:t xml:space="preserve">The “quality of law” in this sense implies that the domestic law must not only be accessible and foreseeable in its application, it must also ensure that secret surveillance measures are applied only when “necessary in a democratic society”, in particular by providing for adequate and effective safeguards and guarantees against abuse </w:t>
      </w:r>
      <w:r w:rsidRPr="008873B1">
        <w:t xml:space="preserve">(see </w:t>
      </w:r>
      <w:r w:rsidRPr="008873B1">
        <w:rPr>
          <w:i/>
        </w:rPr>
        <w:t xml:space="preserve">Roman </w:t>
      </w:r>
      <w:proofErr w:type="spellStart"/>
      <w:r w:rsidRPr="008873B1">
        <w:rPr>
          <w:i/>
        </w:rPr>
        <w:t>Zakharov</w:t>
      </w:r>
      <w:proofErr w:type="spellEnd"/>
      <w:r w:rsidRPr="008873B1">
        <w:t xml:space="preserve">, cited above, § 236; and </w:t>
      </w:r>
      <w:r w:rsidRPr="008873B1">
        <w:rPr>
          <w:i/>
        </w:rPr>
        <w:t>Kennedy</w:t>
      </w:r>
      <w:r w:rsidRPr="008873B1">
        <w:t>, cited above, § 155)</w:t>
      </w:r>
      <w:r w:rsidRPr="008873B1">
        <w:rPr>
          <w:lang w:eastAsia="fr-FR"/>
        </w:rPr>
        <w:t>.</w:t>
      </w:r>
    </w:p>
    <w:bookmarkStart w:name="the6Weber_requirements" w:id="92"/>
    <w:p w:rsidRPr="008873B1" w:rsidR="004D0549" w:rsidP="00674632" w:rsidRDefault="004D0549" w14:paraId="79B4CA6D" w14:textId="7EAE4948">
      <w:pPr>
        <w:pStyle w:val="JuPara"/>
        <w:rPr>
          <w:b/>
        </w:rPr>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249</w:t>
      </w:r>
      <w:r w:rsidRPr="008873B1">
        <w:rPr>
          <w:rFonts w:ascii="Times New Roman" w:hAnsi="Times New Roman" w:eastAsia="Times New Roman" w:cs="Times New Roman"/>
        </w:rPr>
        <w:fldChar w:fldCharType="end"/>
      </w:r>
      <w:bookmarkEnd w:id="92"/>
      <w:r w:rsidRPr="008873B1">
        <w:rPr>
          <w:rFonts w:ascii="Times New Roman" w:hAnsi="Times New Roman" w:eastAsia="Times New Roman" w:cs="Times New Roman"/>
        </w:rPr>
        <w:t xml:space="preserve">.  In this regard it should be reiterated that in its case-law on the interception of communications in criminal investigations, the Court has developed the following minimum requirements that should be set out in law in order to avoid abuses of power: (1) the nature of offences which may give rise to an interception order; (2) a definition of the categories of people liable to have their communications intercepted; (3) a limit on the duration of interception; (4) the procedure to be followed for examining, using and storing the data obtained; (5) the precautions to be taken when communicating the data to other parties; and (6) the circumstances in which intercepted data may or must be erased or destroyed (see </w:t>
      </w:r>
      <w:proofErr w:type="spellStart"/>
      <w:r w:rsidRPr="008873B1">
        <w:rPr>
          <w:rFonts w:ascii="Times New Roman" w:hAnsi="Times New Roman" w:eastAsia="Times New Roman" w:cs="Times New Roman"/>
          <w:i/>
        </w:rPr>
        <w:t>Huvig</w:t>
      </w:r>
      <w:proofErr w:type="spellEnd"/>
      <w:r w:rsidRPr="008873B1">
        <w:rPr>
          <w:rFonts w:ascii="Times New Roman" w:hAnsi="Times New Roman" w:eastAsia="Times New Roman" w:cs="Times New Roman"/>
        </w:rPr>
        <w:t xml:space="preserve">, cited above, § 34; </w:t>
      </w:r>
      <w:r w:rsidRPr="008873B1">
        <w:rPr>
          <w:rFonts w:ascii="Times New Roman" w:hAnsi="Times New Roman" w:eastAsia="Times New Roman" w:cs="Times New Roman"/>
          <w:i/>
        </w:rPr>
        <w:t>Valenzuela Contreras</w:t>
      </w:r>
      <w:r w:rsidRPr="008873B1">
        <w:rPr>
          <w:rFonts w:ascii="Times New Roman" w:hAnsi="Times New Roman" w:eastAsia="Times New Roman" w:cs="Times New Roman"/>
        </w:rPr>
        <w:t xml:space="preserve">, cited above, § 46; </w:t>
      </w:r>
      <w:r w:rsidRPr="008873B1">
        <w:rPr>
          <w:rFonts w:ascii="Times New Roman" w:hAnsi="Times New Roman" w:eastAsia="Times New Roman" w:cs="Times New Roman"/>
          <w:i/>
        </w:rPr>
        <w:t>Weber and Saravia</w:t>
      </w:r>
      <w:r w:rsidRPr="008873B1">
        <w:rPr>
          <w:rFonts w:ascii="Times New Roman" w:hAnsi="Times New Roman" w:eastAsia="Times New Roman" w:cs="Times New Roman"/>
        </w:rPr>
        <w:t xml:space="preserve">, cited above, § 95; and </w:t>
      </w:r>
      <w:r w:rsidRPr="008873B1">
        <w:rPr>
          <w:rFonts w:ascii="Times New Roman" w:hAnsi="Times New Roman" w:eastAsia="Times New Roman" w:cs="Times New Roman"/>
          <w:i/>
        </w:rPr>
        <w:t xml:space="preserve">Association for European Integration and Human Rights and </w:t>
      </w:r>
      <w:proofErr w:type="spellStart"/>
      <w:r w:rsidRPr="008873B1">
        <w:rPr>
          <w:rFonts w:ascii="Times New Roman" w:hAnsi="Times New Roman" w:eastAsia="Times New Roman" w:cs="Times New Roman"/>
          <w:i/>
        </w:rPr>
        <w:t>Ekimdzhiev</w:t>
      </w:r>
      <w:proofErr w:type="spellEnd"/>
      <w:r w:rsidRPr="008873B1">
        <w:rPr>
          <w:rFonts w:ascii="Times New Roman" w:hAnsi="Times New Roman" w:eastAsia="Times New Roman" w:cs="Times New Roman"/>
        </w:rPr>
        <w:t xml:space="preserve">, cited above, § 76). In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231) the Court confirmed that the same six minimum safeguards also applied in cases where the interception was for reasons of national security; however, in determining whether the impugned legislation was in breach of Article 8, it also had regard to the arrangements for supervising the implementation of secret surveillance measures, any notification mechanisms and the remedies provided for by national law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cited above, § 238).</w:t>
      </w:r>
    </w:p>
    <w:p w:rsidRPr="008873B1" w:rsidR="004D0549" w:rsidP="00674632" w:rsidRDefault="004D0549" w14:paraId="27C6C058" w14:textId="770F328B">
      <w:pPr>
        <w:pStyle w:val="JuPara"/>
        <w:rPr>
          <w:rFonts w:ascii="Times New Roman" w:hAnsi="Times New Roman" w:eastAsia="Times New Roman" w:cs="Times New Roman"/>
        </w:rPr>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250</w:t>
      </w:r>
      <w:r w:rsidRPr="008873B1">
        <w:rPr>
          <w:rFonts w:ascii="Times New Roman" w:hAnsi="Times New Roman" w:eastAsia="Times New Roman" w:cs="Times New Roman"/>
        </w:rPr>
        <w:fldChar w:fldCharType="end"/>
      </w:r>
      <w:r w:rsidRPr="008873B1">
        <w:rPr>
          <w:rFonts w:ascii="Times New Roman" w:hAnsi="Times New Roman" w:eastAsia="Times New Roman" w:cs="Times New Roman"/>
        </w:rPr>
        <w:t xml:space="preserve">.  Review and supervision of secret surveillance measures may come into play at three stages: when the surveillance is first ordered, while it is being carried out, or after it has been terminated. As regards the first two stages, the very nature and logic of secret surveillance dictate that not only the surveillance itself but also the accompanying review should be </w:t>
      </w:r>
      <w:proofErr w:type="gramStart"/>
      <w:r w:rsidRPr="008873B1">
        <w:rPr>
          <w:rFonts w:ascii="Times New Roman" w:hAnsi="Times New Roman" w:eastAsia="Times New Roman" w:cs="Times New Roman"/>
        </w:rPr>
        <w:t>effected</w:t>
      </w:r>
      <w:proofErr w:type="gramEnd"/>
      <w:r w:rsidRPr="008873B1">
        <w:rPr>
          <w:rFonts w:ascii="Times New Roman" w:hAnsi="Times New Roman" w:eastAsia="Times New Roman" w:cs="Times New Roman"/>
        </w:rPr>
        <w:t xml:space="preserve"> without the individual’s knowledge. Consequently, since the individual will necessarily be prevented from seeking an effective remedy of his or her own accord or from taking a direct part in any review proceedings, it is essential that the procedures established should themselves provide adequate and equivalent guarantees safeguarding his or her rights. In a field where abuse in individual cases is potentially so easy and could have such harmful consequences for democratic society as a whole, the Court has held that it is in principle desirable to entrust supervisory control to a judge, judicial control offering the best guarantees of independence, impartiality and a proper procedure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233; see also </w:t>
      </w:r>
      <w:proofErr w:type="spellStart"/>
      <w:r w:rsidRPr="008873B1">
        <w:rPr>
          <w:rFonts w:ascii="Times New Roman" w:hAnsi="Times New Roman" w:eastAsia="Times New Roman" w:cs="Times New Roman"/>
          <w:i/>
        </w:rPr>
        <w:t>Klass</w:t>
      </w:r>
      <w:proofErr w:type="spellEnd"/>
      <w:r w:rsidRPr="008873B1">
        <w:rPr>
          <w:rFonts w:ascii="Times New Roman" w:hAnsi="Times New Roman" w:eastAsia="Times New Roman" w:cs="Times New Roman"/>
          <w:i/>
        </w:rPr>
        <w:t xml:space="preserve"> and Others</w:t>
      </w:r>
      <w:r w:rsidRPr="008873B1">
        <w:rPr>
          <w:rFonts w:ascii="Times New Roman" w:hAnsi="Times New Roman" w:eastAsia="Times New Roman" w:cs="Times New Roman"/>
        </w:rPr>
        <w:t>,</w:t>
      </w:r>
      <w:r w:rsidRPr="008873B1">
        <w:rPr>
          <w:rFonts w:ascii="Times New Roman" w:hAnsi="Times New Roman" w:eastAsia="Times New Roman" w:cs="Times New Roman"/>
          <w:i/>
        </w:rPr>
        <w:t xml:space="preserve"> </w:t>
      </w:r>
      <w:r w:rsidRPr="008873B1">
        <w:rPr>
          <w:rFonts w:ascii="Times New Roman" w:hAnsi="Times New Roman" w:eastAsia="Times New Roman" w:cs="Times New Roman"/>
        </w:rPr>
        <w:t>cited above, §§ 55 and 56).</w:t>
      </w:r>
    </w:p>
    <w:p w:rsidRPr="008873B1" w:rsidR="004D0549" w:rsidP="00674632" w:rsidRDefault="004D0549" w14:paraId="0ECDB67B" w14:textId="5804245E">
      <w:pPr>
        <w:pStyle w:val="JuPara"/>
        <w:rPr>
          <w:rFonts w:ascii="Times New Roman" w:hAnsi="Times New Roman" w:eastAsia="Times New Roman" w:cs="Times New Roman"/>
        </w:rPr>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251</w:t>
      </w:r>
      <w:r w:rsidRPr="008873B1">
        <w:rPr>
          <w:rFonts w:ascii="Times New Roman" w:hAnsi="Times New Roman" w:eastAsia="Times New Roman" w:cs="Times New Roman"/>
        </w:rPr>
        <w:fldChar w:fldCharType="end"/>
      </w:r>
      <w:r w:rsidRPr="008873B1">
        <w:rPr>
          <w:rFonts w:ascii="Times New Roman" w:hAnsi="Times New Roman" w:eastAsia="Times New Roman" w:cs="Times New Roman"/>
        </w:rPr>
        <w:t xml:space="preserve">.  As regards the third stage, after the surveillance has been terminated, the question of subsequent notification of surveillance measures is a relevant factor in assessing the effectiveness of remedies before the courts and hence to the existence of effective safeguards against the abuse of surveillance powers. There is in principle little scope for recourse to the courts by the individual concerned unless the latter is advised of the measures taken without his or her knowledge and thus able to challenge their legality retrospectively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234; see also </w:t>
      </w:r>
      <w:proofErr w:type="spellStart"/>
      <w:r w:rsidRPr="008873B1">
        <w:rPr>
          <w:rFonts w:ascii="Times New Roman" w:hAnsi="Times New Roman" w:eastAsia="Times New Roman" w:cs="Times New Roman"/>
          <w:i/>
        </w:rPr>
        <w:t>Klass</w:t>
      </w:r>
      <w:proofErr w:type="spellEnd"/>
      <w:r w:rsidRPr="008873B1">
        <w:rPr>
          <w:rFonts w:ascii="Times New Roman" w:hAnsi="Times New Roman" w:eastAsia="Times New Roman" w:cs="Times New Roman"/>
          <w:i/>
        </w:rPr>
        <w:t xml:space="preserve"> and Others v</w:t>
      </w:r>
      <w:r w:rsidRPr="008873B1">
        <w:rPr>
          <w:rFonts w:ascii="Times New Roman" w:hAnsi="Times New Roman" w:eastAsia="Times New Roman" w:cs="Times New Roman"/>
        </w:rPr>
        <w:t xml:space="preserve">, cited above, § 57; and </w:t>
      </w:r>
      <w:r w:rsidRPr="008873B1">
        <w:rPr>
          <w:rFonts w:ascii="Times New Roman" w:hAnsi="Times New Roman" w:eastAsia="Times New Roman" w:cs="Times New Roman"/>
          <w:i/>
        </w:rPr>
        <w:t>Weber and Saravia</w:t>
      </w:r>
      <w:r w:rsidRPr="008873B1">
        <w:rPr>
          <w:rFonts w:ascii="Times New Roman" w:hAnsi="Times New Roman" w:eastAsia="Times New Roman" w:cs="Times New Roman"/>
        </w:rPr>
        <w:t xml:space="preserve">, cited above, § 135) or, in the alternative, unless any person who suspects that he or she has been subject to surveillance can apply to courts, whose jurisdiction does not depend on notification to the surveillance subject of the measures taken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234; see also </w:t>
      </w:r>
      <w:r w:rsidRPr="008873B1">
        <w:rPr>
          <w:rFonts w:ascii="Times New Roman" w:hAnsi="Times New Roman" w:eastAsia="Times New Roman" w:cs="Times New Roman"/>
          <w:i/>
        </w:rPr>
        <w:t>Kennedy</w:t>
      </w:r>
      <w:r w:rsidRPr="008873B1">
        <w:rPr>
          <w:rFonts w:ascii="Times New Roman" w:hAnsi="Times New Roman" w:eastAsia="Times New Roman" w:cs="Times New Roman"/>
        </w:rPr>
        <w:t>, cited above, § 167).</w:t>
      </w:r>
    </w:p>
    <w:p w:rsidRPr="008873B1" w:rsidR="004D0549" w:rsidP="00674632" w:rsidRDefault="004D0549" w14:paraId="04DE3D3E" w14:textId="72B7A42A">
      <w:pPr>
        <w:pStyle w:val="JuPara"/>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252</w:t>
      </w:r>
      <w:r w:rsidRPr="008873B1">
        <w:rPr>
          <w:rFonts w:ascii="Times New Roman" w:hAnsi="Times New Roman" w:eastAsia="Times New Roman" w:cs="Times New Roman"/>
        </w:rPr>
        <w:fldChar w:fldCharType="end"/>
      </w:r>
      <w:r w:rsidRPr="008873B1">
        <w:rPr>
          <w:rFonts w:ascii="Times New Roman" w:hAnsi="Times New Roman" w:eastAsia="Times New Roman" w:cs="Times New Roman"/>
        </w:rPr>
        <w:t xml:space="preserve">.  As to the question whether an interference was “necessary in a democratic society” in pursuit of a legitimate aim, the Court has </w:t>
      </w:r>
      <w:r w:rsidRPr="008873B1">
        <w:t xml:space="preserve">recognised that the national authorities enjoy a wide margin of appreciation in choosing how best to achieve the legitimate aim of protecting national security (see </w:t>
      </w:r>
      <w:r w:rsidRPr="008873B1">
        <w:rPr>
          <w:i/>
        </w:rPr>
        <w:t>Weber and Saravia</w:t>
      </w:r>
      <w:r w:rsidRPr="008873B1">
        <w:t xml:space="preserve">, cited above, </w:t>
      </w:r>
      <w:r w:rsidRPr="008873B1">
        <w:rPr>
          <w:rFonts w:cstheme="minorHAnsi"/>
        </w:rPr>
        <w:t>§</w:t>
      </w:r>
      <w:r w:rsidRPr="008873B1">
        <w:t xml:space="preserve"> 106).</w:t>
      </w:r>
    </w:p>
    <w:p w:rsidRPr="008873B1" w:rsidR="004D0549" w:rsidP="00674632" w:rsidRDefault="004D0549" w14:paraId="5CE01B9C" w14:textId="60914642">
      <w:pPr>
        <w:pStyle w:val="JuPara"/>
        <w:rPr>
          <w:rFonts w:ascii="Times New Roman" w:hAnsi="Times New Roman" w:eastAsia="Times New Roman" w:cs="Times New Roman"/>
        </w:rPr>
      </w:pPr>
      <w:r w:rsidRPr="008873B1">
        <w:rPr>
          <w:rFonts w:ascii="Times New Roman" w:hAnsi="Times New Roman" w:eastAsia="Times New Roman" w:cs="Times New Roman"/>
        </w:rPr>
        <w:fldChar w:fldCharType="begin"/>
      </w:r>
      <w:r w:rsidRPr="008873B1">
        <w:rPr>
          <w:rFonts w:ascii="Times New Roman" w:hAnsi="Times New Roman" w:eastAsia="Times New Roman" w:cs="Times New Roman"/>
        </w:rPr>
        <w:instrText xml:space="preserve"> SEQ level0 \*arabic </w:instrText>
      </w:r>
      <w:r w:rsidRPr="008873B1">
        <w:rPr>
          <w:rFonts w:ascii="Times New Roman" w:hAnsi="Times New Roman" w:eastAsia="Times New Roman" w:cs="Times New Roman"/>
        </w:rPr>
        <w:fldChar w:fldCharType="separate"/>
      </w:r>
      <w:r w:rsidR="004F11CA">
        <w:rPr>
          <w:rFonts w:ascii="Times New Roman" w:hAnsi="Times New Roman" w:eastAsia="Times New Roman" w:cs="Times New Roman"/>
          <w:noProof/>
        </w:rPr>
        <w:t>253</w:t>
      </w:r>
      <w:r w:rsidRPr="008873B1">
        <w:rPr>
          <w:rFonts w:ascii="Times New Roman" w:hAnsi="Times New Roman" w:eastAsia="Times New Roman" w:cs="Times New Roman"/>
        </w:rPr>
        <w:fldChar w:fldCharType="end"/>
      </w:r>
      <w:r w:rsidRPr="008873B1">
        <w:rPr>
          <w:rFonts w:ascii="Times New Roman" w:hAnsi="Times New Roman" w:eastAsia="Times New Roman" w:cs="Times New Roman"/>
        </w:rPr>
        <w:t xml:space="preserve">.  However, this margin is subject to European supervision embracing both legislation and decisions applying it. In view of the risk that a system of secret surveillance set up to protect national security (and other essential national interests) may undermine or even destroy the proper functioning of democratic processes under the cloak of defending them, the Court must be satisfied that there are adequate and effective guarantees against abuse. The assessment depends on all the circumstances of the case, such as the nature, scope and duration of the possible measures, the grounds required for ordering them, the authorities competent to authorise, carry out and supervise them, and the kind of remedy provided by the national law. The Court has to determine whether the procedures for supervising the ordering and implementation of the restrictive measures are such as to keep the “interference” to what is “necessary in a democratic society” (see </w:t>
      </w:r>
      <w:r w:rsidRPr="008873B1">
        <w:rPr>
          <w:rFonts w:ascii="Times New Roman" w:hAnsi="Times New Roman" w:eastAsia="Times New Roman" w:cs="Times New Roman"/>
          <w:i/>
        </w:rPr>
        <w:t xml:space="preserve">Roman </w:t>
      </w:r>
      <w:proofErr w:type="spellStart"/>
      <w:r w:rsidRPr="008873B1">
        <w:rPr>
          <w:rFonts w:ascii="Times New Roman" w:hAnsi="Times New Roman" w:eastAsia="Times New Roman" w:cs="Times New Roman"/>
          <w:i/>
        </w:rPr>
        <w:t>Zakharov</w:t>
      </w:r>
      <w:proofErr w:type="spellEnd"/>
      <w:r w:rsidRPr="008873B1">
        <w:rPr>
          <w:rFonts w:ascii="Times New Roman" w:hAnsi="Times New Roman" w:eastAsia="Times New Roman" w:cs="Times New Roman"/>
        </w:rPr>
        <w:t xml:space="preserve">, cited above, § 232; see also </w:t>
      </w:r>
      <w:proofErr w:type="spellStart"/>
      <w:r w:rsidRPr="008873B1">
        <w:rPr>
          <w:rFonts w:ascii="Times New Roman" w:hAnsi="Times New Roman" w:eastAsia="Times New Roman" w:cs="Times New Roman"/>
          <w:i/>
        </w:rPr>
        <w:t>Klass</w:t>
      </w:r>
      <w:proofErr w:type="spellEnd"/>
      <w:r w:rsidRPr="008873B1">
        <w:rPr>
          <w:rFonts w:ascii="Times New Roman" w:hAnsi="Times New Roman" w:eastAsia="Times New Roman" w:cs="Times New Roman"/>
          <w:i/>
        </w:rPr>
        <w:t xml:space="preserve"> and Others</w:t>
      </w:r>
      <w:r w:rsidRPr="008873B1">
        <w:rPr>
          <w:rFonts w:ascii="Times New Roman" w:hAnsi="Times New Roman" w:eastAsia="Times New Roman" w:cs="Times New Roman"/>
        </w:rPr>
        <w:t xml:space="preserve">, cited above, §§ 49, 50 and 59; </w:t>
      </w:r>
      <w:r w:rsidRPr="008873B1">
        <w:rPr>
          <w:rFonts w:ascii="Times New Roman" w:hAnsi="Times New Roman" w:eastAsia="Times New Roman" w:cs="Times New Roman"/>
          <w:i/>
        </w:rPr>
        <w:t>Weber and Saravia</w:t>
      </w:r>
      <w:r w:rsidRPr="008873B1">
        <w:rPr>
          <w:rFonts w:ascii="Times New Roman" w:hAnsi="Times New Roman" w:eastAsia="Times New Roman" w:cs="Times New Roman"/>
        </w:rPr>
        <w:t xml:space="preserve">, cited above, § 106; and </w:t>
      </w:r>
      <w:r w:rsidRPr="008873B1">
        <w:rPr>
          <w:rFonts w:ascii="Times New Roman" w:hAnsi="Times New Roman" w:eastAsia="Times New Roman" w:cs="Times New Roman"/>
          <w:i/>
        </w:rPr>
        <w:t>Kennedy</w:t>
      </w:r>
      <w:r w:rsidRPr="008873B1">
        <w:rPr>
          <w:rFonts w:ascii="Times New Roman" w:hAnsi="Times New Roman" w:eastAsia="Times New Roman" w:cs="Times New Roman"/>
        </w:rPr>
        <w:t>, cited above, §§ 153 and 154).</w:t>
      </w:r>
    </w:p>
    <w:p w:rsidRPr="008873B1" w:rsidR="004D0549" w:rsidP="008873B1" w:rsidRDefault="004D0549" w14:paraId="1C901055" w14:textId="77777777">
      <w:pPr>
        <w:pStyle w:val="JuHi"/>
        <w:numPr>
          <w:ilvl w:val="5"/>
          <w:numId w:val="1"/>
        </w:numPr>
        <w:tabs>
          <w:tab w:val="clear" w:pos="1077"/>
          <w:tab w:val="clear" w:pos="1134"/>
          <w:tab w:val="clear" w:pos="1191"/>
          <w:tab w:val="clear" w:pos="1247"/>
        </w:tabs>
        <w:spacing w:line="240" w:lineRule="auto"/>
      </w:pPr>
      <w:r w:rsidRPr="008873B1">
        <w:t>Whether there is a need to develop the case-law</w:t>
      </w:r>
    </w:p>
    <w:p w:rsidRPr="008873B1" w:rsidR="004D0549" w:rsidP="004D0549" w:rsidRDefault="004D0549" w14:paraId="5DCF4C7E" w14:textId="64A284DB">
      <w:pPr>
        <w:pStyle w:val="JuPara"/>
      </w:pPr>
      <w:r w:rsidRPr="008873B1">
        <w:fldChar w:fldCharType="begin"/>
      </w:r>
      <w:r w:rsidRPr="008873B1">
        <w:instrText xml:space="preserve"> SEQ level0 \*arabic </w:instrText>
      </w:r>
      <w:r w:rsidRPr="008873B1">
        <w:fldChar w:fldCharType="separate"/>
      </w:r>
      <w:r w:rsidR="004F11CA">
        <w:rPr>
          <w:noProof/>
        </w:rPr>
        <w:t>254</w:t>
      </w:r>
      <w:r w:rsidRPr="008873B1">
        <w:fldChar w:fldCharType="end"/>
      </w:r>
      <w:r w:rsidRPr="008873B1">
        <w:t xml:space="preserve">.  In </w:t>
      </w:r>
      <w:r w:rsidRPr="008873B1">
        <w:rPr>
          <w:i/>
        </w:rPr>
        <w:t>Weber and Saravia</w:t>
      </w:r>
      <w:r w:rsidRPr="008873B1">
        <w:t xml:space="preserve"> and </w:t>
      </w:r>
      <w:r w:rsidR="00E94B40">
        <w:rPr>
          <w:i/>
        </w:rPr>
        <w:t>kingdom</w:t>
      </w:r>
      <w:r w:rsidRPr="008873B1">
        <w:rPr>
          <w:i/>
        </w:rPr>
        <w:t xml:space="preserve"> and Others</w:t>
      </w:r>
      <w:r w:rsidRPr="008873B1">
        <w:t xml:space="preserve"> (cited above) the Court accepted that bulk interception regimes did not </w:t>
      </w:r>
      <w:r w:rsidRPr="008873B1">
        <w:rPr>
          <w:i/>
        </w:rPr>
        <w:t>per se</w:t>
      </w:r>
      <w:r w:rsidRPr="008873B1">
        <w:t xml:space="preserve"> fall outside the States’ margin of appreciation. In view of the proliferation of threats that States currently face from networks of international actors, using the Internet both for communication and as a tool, and the existence of sophisticated technology which would enable these actors to avoid detection, the Court considers that the decision to operate a bulk interception regime in order to identify threats to national security or against essential national interests is one which continues to fall within this margin.</w:t>
      </w:r>
    </w:p>
    <w:p w:rsidRPr="008873B1" w:rsidR="004D0549" w:rsidP="004D0549" w:rsidRDefault="004D0549" w14:paraId="74B65FC7" w14:textId="3A5458DF">
      <w:pPr>
        <w:pStyle w:val="JuPara"/>
      </w:pPr>
      <w:r w:rsidRPr="008873B1">
        <w:fldChar w:fldCharType="begin"/>
      </w:r>
      <w:r w:rsidRPr="008873B1">
        <w:instrText xml:space="preserve"> SEQ level0 \*arabic </w:instrText>
      </w:r>
      <w:r w:rsidRPr="008873B1">
        <w:fldChar w:fldCharType="separate"/>
      </w:r>
      <w:r w:rsidR="004F11CA">
        <w:rPr>
          <w:noProof/>
        </w:rPr>
        <w:t>255</w:t>
      </w:r>
      <w:r w:rsidRPr="008873B1">
        <w:fldChar w:fldCharType="end"/>
      </w:r>
      <w:r w:rsidRPr="008873B1">
        <w:t xml:space="preserve">.  In both </w:t>
      </w:r>
      <w:r w:rsidRPr="008873B1">
        <w:rPr>
          <w:i/>
        </w:rPr>
        <w:t>Weber and Saravia</w:t>
      </w:r>
      <w:r w:rsidRPr="008873B1">
        <w:t xml:space="preserve"> and </w:t>
      </w:r>
      <w:r w:rsidRPr="008873B1">
        <w:rPr>
          <w:i/>
        </w:rPr>
        <w:t xml:space="preserve">Liberty and Others </w:t>
      </w:r>
      <w:r w:rsidRPr="008873B1">
        <w:t>(cited above) the Court applied the above-mentioned six minimum safeguards developed in its case</w:t>
      </w:r>
      <w:r w:rsidR="00C04DAD">
        <w:t>-</w:t>
      </w:r>
      <w:r w:rsidRPr="008873B1">
        <w:t>law on targeted interception. However, while the bulk interception regimes considered in those cases were on their face similar to that in issue in the present case, both cases are now more than ten years old, and in the intervening years technological developments have significantly changed the way in which people communicate. Lives are increasingly lived online, generating both a significantly larger volume of electronic communications, and communications of a significantly different nature and quality, to those likely to have been generated a decade ago. The scope of the surveillance activity considered in those cases would therefore have been much narrower.</w:t>
      </w:r>
    </w:p>
    <w:bookmarkStart w:name="RCDIntrusiveness" w:id="93"/>
    <w:bookmarkStart w:name="This_is_equally_so" w:id="94"/>
    <w:p w:rsidRPr="008873B1" w:rsidR="004D0549" w:rsidP="00674632" w:rsidRDefault="004D0549" w14:paraId="1385459D" w14:textId="7591DB65">
      <w:pPr>
        <w:pStyle w:val="JuPara"/>
      </w:pPr>
      <w:r w:rsidRPr="008873B1">
        <w:fldChar w:fldCharType="begin"/>
      </w:r>
      <w:r w:rsidRPr="008873B1">
        <w:instrText xml:space="preserve"> SEQ level0 \*arabic </w:instrText>
      </w:r>
      <w:r w:rsidRPr="008873B1">
        <w:fldChar w:fldCharType="separate"/>
      </w:r>
      <w:r w:rsidR="004F11CA">
        <w:rPr>
          <w:noProof/>
        </w:rPr>
        <w:t>256</w:t>
      </w:r>
      <w:r w:rsidRPr="008873B1">
        <w:fldChar w:fldCharType="end"/>
      </w:r>
      <w:bookmarkEnd w:id="93"/>
      <w:bookmarkEnd w:id="94"/>
      <w:r w:rsidRPr="008873B1">
        <w:t>. This is equally so with related communications data. It appears that greater volumes of communications data are currently available on an individual relative to content, since every piece of content is surrounded by multiple pieces of communications data. While the content might be encrypted and, in any event, may not reveal anything of note about the sender or recipient, the related communications data could reveal a great deal of personal information, such as the identities and geographic location of the sender and recipient and the equipment through which the communication was transmitted. Furthermore, any intrusion occasioned by the acquisition of related communications data will be magnified when they are obtained in bulk, since they are now capable of being analysed and interrogated so as to paint an intimate picture of a person through the mapping of social networks, location tracking, Internet browsing tracking, mapping of communication patterns, and insight into who a person interacted with.</w:t>
      </w:r>
    </w:p>
    <w:p w:rsidRPr="008873B1" w:rsidR="004D0549" w:rsidP="00674632" w:rsidRDefault="004D0549" w14:paraId="7ACC564C" w14:textId="0C8AD310">
      <w:pPr>
        <w:pStyle w:val="JuPara"/>
      </w:pPr>
      <w:r w:rsidRPr="008873B1">
        <w:fldChar w:fldCharType="begin"/>
      </w:r>
      <w:r w:rsidRPr="008873B1">
        <w:instrText xml:space="preserve"> SEQ level0 \*arabic </w:instrText>
      </w:r>
      <w:r w:rsidRPr="008873B1">
        <w:fldChar w:fldCharType="separate"/>
      </w:r>
      <w:r w:rsidR="004F11CA">
        <w:rPr>
          <w:noProof/>
        </w:rPr>
        <w:t>257</w:t>
      </w:r>
      <w:r w:rsidRPr="008873B1">
        <w:fldChar w:fldCharType="end"/>
      </w:r>
      <w:r w:rsidRPr="008873B1">
        <w:t xml:space="preserve">.  More importantly, however, in </w:t>
      </w:r>
      <w:r w:rsidRPr="008873B1">
        <w:rPr>
          <w:i/>
        </w:rPr>
        <w:t>Weber and Saravia</w:t>
      </w:r>
      <w:r w:rsidRPr="008873B1">
        <w:t xml:space="preserve"> and </w:t>
      </w:r>
      <w:r w:rsidRPr="008873B1">
        <w:rPr>
          <w:i/>
        </w:rPr>
        <w:t>Liberty and Others</w:t>
      </w:r>
      <w:r w:rsidRPr="008873B1">
        <w:t xml:space="preserve"> (both cited above), the Court did not expressly address the fact that it was dealing with surveillance of a different nature and scale from that considered in previous cases. Nonetheless, targeted interception and bulk interception are different in </w:t>
      </w:r>
      <w:proofErr w:type="gramStart"/>
      <w:r w:rsidRPr="008873B1">
        <w:t>a number of</w:t>
      </w:r>
      <w:proofErr w:type="gramEnd"/>
      <w:r w:rsidRPr="008873B1">
        <w:t xml:space="preserve"> important respects.</w:t>
      </w:r>
    </w:p>
    <w:bookmarkStart w:name="ThreeOneSix" w:id="95"/>
    <w:p w:rsidRPr="008873B1" w:rsidR="004D0549" w:rsidP="00674632" w:rsidRDefault="004D0549" w14:paraId="0C179FA4" w14:textId="28A24BCD">
      <w:pPr>
        <w:pStyle w:val="JuPara"/>
      </w:pPr>
      <w:r w:rsidRPr="008873B1">
        <w:fldChar w:fldCharType="begin"/>
      </w:r>
      <w:r w:rsidRPr="008873B1">
        <w:instrText xml:space="preserve"> SEQ level0 \*arabic </w:instrText>
      </w:r>
      <w:r w:rsidRPr="008873B1">
        <w:fldChar w:fldCharType="separate"/>
      </w:r>
      <w:r w:rsidR="004F11CA">
        <w:rPr>
          <w:noProof/>
        </w:rPr>
        <w:t>258</w:t>
      </w:r>
      <w:r w:rsidRPr="008873B1">
        <w:fldChar w:fldCharType="end"/>
      </w:r>
      <w:bookmarkEnd w:id="95"/>
      <w:r w:rsidRPr="008873B1">
        <w:t xml:space="preserve">.  To begin with, bulk interception is generally directed at international communications (that is, communications physically travelling across State borders), and while the interception and even examination of communications of persons within the </w:t>
      </w:r>
      <w:proofErr w:type="spellStart"/>
      <w:r w:rsidRPr="008873B1">
        <w:t>surveilling</w:t>
      </w:r>
      <w:proofErr w:type="spellEnd"/>
      <w:r w:rsidRPr="008873B1">
        <w:t xml:space="preserve"> State might not be excluded, in many cases the stated purpose of bulk interception is to monitor the communications of persons outside the State’s territorial jurisdiction, which could not be monitored by other forms of surveillance. For example, the German system aims only to monitor foreign telecommunications outside of German territory (see paragraph </w:t>
      </w:r>
      <w:r w:rsidRPr="008873B1">
        <w:fldChar w:fldCharType="begin"/>
      </w:r>
      <w:r w:rsidRPr="008873B1">
        <w:instrText xml:space="preserve"> REF Germansystem \h \* MERGEFORMAT </w:instrText>
      </w:r>
      <w:r w:rsidRPr="008873B1">
        <w:fldChar w:fldCharType="separate"/>
      </w:r>
      <w:r w:rsidR="004F11CA">
        <w:t>137</w:t>
      </w:r>
      <w:r w:rsidRPr="008873B1">
        <w:fldChar w:fldCharType="end"/>
      </w:r>
      <w:r w:rsidRPr="008873B1">
        <w:t xml:space="preserve"> above).</w:t>
      </w:r>
    </w:p>
    <w:bookmarkStart w:name="ThreeOneSeven" w:id="96"/>
    <w:bookmarkStart w:name="Twofivenine" w:id="97"/>
    <w:p w:rsidRPr="008873B1" w:rsidR="004D0549" w:rsidP="004D0549" w:rsidRDefault="004D0549" w14:paraId="01541E24" w14:textId="2213E472">
      <w:pPr>
        <w:pStyle w:val="JuPara"/>
      </w:pPr>
      <w:r w:rsidRPr="008873B1">
        <w:fldChar w:fldCharType="begin"/>
      </w:r>
      <w:r w:rsidRPr="008873B1">
        <w:instrText xml:space="preserve"> SEQ level0 \*arabic </w:instrText>
      </w:r>
      <w:r w:rsidRPr="008873B1">
        <w:fldChar w:fldCharType="separate"/>
      </w:r>
      <w:r w:rsidR="004F11CA">
        <w:rPr>
          <w:noProof/>
        </w:rPr>
        <w:t>259</w:t>
      </w:r>
      <w:r w:rsidRPr="008873B1">
        <w:fldChar w:fldCharType="end"/>
      </w:r>
      <w:bookmarkEnd w:id="96"/>
      <w:bookmarkEnd w:id="97"/>
      <w:r w:rsidRPr="008873B1">
        <w:t>.  Moreover, as already noted, the purposes for which bulk interception may be employed would appear to be different. In</w:t>
      </w:r>
      <w:r w:rsidR="00C04DAD">
        <w:t xml:space="preserve"> </w:t>
      </w:r>
      <w:r w:rsidRPr="008873B1">
        <w:t>so</w:t>
      </w:r>
      <w:r w:rsidR="00C04DAD">
        <w:t xml:space="preserve"> </w:t>
      </w:r>
      <w:r w:rsidRPr="008873B1">
        <w:t xml:space="preserve">far as the Court has considered targeted interception, it has, for the most part, been employed by respondent States for the purposes of investigating crime. However, while bulk interception may be used to investigate certain serious crimes, Council of Europe </w:t>
      </w:r>
      <w:r w:rsidR="00C04DAD">
        <w:t>m</w:t>
      </w:r>
      <w:r w:rsidRPr="008873B1">
        <w:t xml:space="preserve">ember States operating a bulk interception regime appear to use it for the purposes of foreign intelligence gathering, the early detection and investigation of cyberattacks, counter-espionage and counter-terrorism (see paragraphs </w:t>
      </w:r>
      <w:r w:rsidRPr="008873B1">
        <w:fldChar w:fldCharType="begin"/>
      </w:r>
      <w:r w:rsidRPr="008873B1">
        <w:instrText xml:space="preserve"> REF comparative_law_beguin \h \* MERGEFORMAT </w:instrText>
      </w:r>
      <w:r w:rsidRPr="008873B1">
        <w:fldChar w:fldCharType="separate"/>
      </w:r>
      <w:r w:rsidR="004F11CA">
        <w:t>131</w:t>
      </w:r>
      <w:r w:rsidRPr="008873B1">
        <w:fldChar w:fldCharType="end"/>
      </w:r>
      <w:r w:rsidRPr="008873B1">
        <w:t>-</w:t>
      </w:r>
      <w:r w:rsidRPr="008873B1">
        <w:fldChar w:fldCharType="begin"/>
      </w:r>
      <w:r w:rsidRPr="008873B1">
        <w:instrText xml:space="preserve"> REF rel_comp_law_end \h \* MERGEFORMAT </w:instrText>
      </w:r>
      <w:r w:rsidRPr="008873B1">
        <w:fldChar w:fldCharType="separate"/>
      </w:r>
      <w:r w:rsidR="004F11CA">
        <w:t>146</w:t>
      </w:r>
      <w:r w:rsidRPr="008873B1">
        <w:fldChar w:fldCharType="end"/>
      </w:r>
      <w:r w:rsidRPr="008873B1">
        <w:t xml:space="preserve"> above).</w:t>
      </w:r>
    </w:p>
    <w:p w:rsidRPr="008873B1" w:rsidR="004D0549" w:rsidP="00674632" w:rsidRDefault="004D0549" w14:paraId="1314EA1A" w14:textId="057780AB">
      <w:pPr>
        <w:pStyle w:val="JuPara"/>
      </w:pPr>
      <w:r w:rsidRPr="008873B1">
        <w:fldChar w:fldCharType="begin"/>
      </w:r>
      <w:r w:rsidRPr="008873B1">
        <w:instrText xml:space="preserve"> SEQ level0 \*arabic </w:instrText>
      </w:r>
      <w:r w:rsidRPr="008873B1">
        <w:fldChar w:fldCharType="separate"/>
      </w:r>
      <w:r w:rsidR="004F11CA">
        <w:rPr>
          <w:noProof/>
        </w:rPr>
        <w:t>260</w:t>
      </w:r>
      <w:r w:rsidRPr="008873B1">
        <w:fldChar w:fldCharType="end"/>
      </w:r>
      <w:r w:rsidRPr="008873B1">
        <w:t>.  While bulk interception is not necessarily used to target specified individuals, it evidently can be – and is – used for this purpose. However, when this is the case, the targeted individuals’ devices are not monitored. Rather, individuals are “targeted” by the application of strong selectors (such as their email addresses) to the communications intercepted in bulk by the intelligence services. Only those “packets” of the targeted individuals’ communications which were travelling across the bearers selected by the intelligence services will have been intercepted in this way, and only those intercepted communications which matched either a strong selector or complex query could be examined by an analyst.</w:t>
      </w:r>
    </w:p>
    <w:bookmarkStart w:name="MoA" w:id="98"/>
    <w:p w:rsidRPr="008873B1" w:rsidR="004D0549" w:rsidP="00674632" w:rsidRDefault="004D0549" w14:paraId="2465A291" w14:textId="237C728C">
      <w:pPr>
        <w:pStyle w:val="JuPara"/>
      </w:pPr>
      <w:r w:rsidRPr="008873B1">
        <w:rPr>
          <w:sz w:val="20"/>
        </w:rPr>
        <w:fldChar w:fldCharType="begin"/>
      </w:r>
      <w:r w:rsidRPr="008873B1">
        <w:instrText xml:space="preserve"> SEQ level0 \*arabic </w:instrText>
      </w:r>
      <w:r w:rsidRPr="008873B1">
        <w:rPr>
          <w:sz w:val="20"/>
        </w:rPr>
        <w:fldChar w:fldCharType="separate"/>
      </w:r>
      <w:r w:rsidR="004F11CA">
        <w:rPr>
          <w:noProof/>
        </w:rPr>
        <w:t>261</w:t>
      </w:r>
      <w:r w:rsidRPr="008873B1">
        <w:rPr>
          <w:sz w:val="20"/>
        </w:rPr>
        <w:fldChar w:fldCharType="end"/>
      </w:r>
      <w:bookmarkEnd w:id="98"/>
      <w:r w:rsidRPr="008873B1">
        <w:t>.  As with any interception regime, there is of course considerable potential for bulk interception to be abused in a manner adversely affecting the right of individuals to respect for private life. While Article 8 of the Convention does not prohibit the use of bulk interception to protect national security and other essential national interests against serious external threats, and States enjoy a wide margin of appreciation in deciding what type of interception regime is necessary, for these purposes, in operating such a system the margin of appreciation afforded to them must be narrower and a number of safeguards will have to be present. The Court has already identified those safeguards which should feature in a Convention</w:t>
      </w:r>
      <w:r w:rsidR="00C04DAD">
        <w:t>-</w:t>
      </w:r>
      <w:r w:rsidRPr="008873B1">
        <w:t xml:space="preserve">compliant targeted interception regime. While those principles provide a useful framework for this exercise, they will have to be adapted to reflect the specific features of a bulk interception regime and, in particular, the increasing degrees of intrusion into the Article 8 rights of individuals as the operation moves through the stages identified in paragraph </w:t>
      </w:r>
      <w:r w:rsidRPr="008873B1">
        <w:fldChar w:fldCharType="begin"/>
      </w:r>
      <w:r w:rsidRPr="008873B1">
        <w:instrText xml:space="preserve"> REF Stages \h </w:instrText>
      </w:r>
      <w:r w:rsidRPr="008873B1" w:rsidR="008873B1">
        <w:instrText xml:space="preserve"> \* MERGEFORMAT </w:instrText>
      </w:r>
      <w:r w:rsidRPr="008873B1">
        <w:fldChar w:fldCharType="separate"/>
      </w:r>
      <w:r w:rsidR="004F11CA">
        <w:t>239</w:t>
      </w:r>
      <w:r w:rsidRPr="008873B1">
        <w:fldChar w:fldCharType="end"/>
      </w:r>
      <w:r w:rsidRPr="008873B1">
        <w:t xml:space="preserve"> above.</w:t>
      </w:r>
    </w:p>
    <w:p w:rsidRPr="008873B1" w:rsidR="004D0549" w:rsidP="008873B1" w:rsidRDefault="004D0549" w14:paraId="6A1A5FB7" w14:textId="77777777">
      <w:pPr>
        <w:pStyle w:val="JuHi"/>
        <w:numPr>
          <w:ilvl w:val="5"/>
          <w:numId w:val="1"/>
        </w:numPr>
        <w:tabs>
          <w:tab w:val="clear" w:pos="1077"/>
          <w:tab w:val="clear" w:pos="1134"/>
          <w:tab w:val="clear" w:pos="1191"/>
          <w:tab w:val="clear" w:pos="1247"/>
        </w:tabs>
        <w:spacing w:line="240" w:lineRule="auto"/>
      </w:pPr>
      <w:r w:rsidRPr="008873B1">
        <w:t>The approach to be followed in bulk interception cases</w:t>
      </w:r>
    </w:p>
    <w:p w:rsidRPr="008873B1" w:rsidR="004D0549" w:rsidP="004D0549" w:rsidRDefault="004D0549" w14:paraId="10D6D92C" w14:textId="64840FC8">
      <w:pPr>
        <w:pStyle w:val="JuPara"/>
        <w:rPr>
          <w:b/>
        </w:rPr>
      </w:pPr>
      <w:r w:rsidRPr="008873B1">
        <w:fldChar w:fldCharType="begin"/>
      </w:r>
      <w:r w:rsidRPr="008873B1">
        <w:instrText xml:space="preserve"> SEQ level0 \*arabic </w:instrText>
      </w:r>
      <w:r w:rsidRPr="008873B1">
        <w:fldChar w:fldCharType="separate"/>
      </w:r>
      <w:r w:rsidR="004F11CA">
        <w:rPr>
          <w:noProof/>
        </w:rPr>
        <w:t>262</w:t>
      </w:r>
      <w:r w:rsidRPr="008873B1">
        <w:fldChar w:fldCharType="end"/>
      </w:r>
      <w:r w:rsidRPr="008873B1">
        <w:t xml:space="preserve">.  It is clear that the first two of the six “minimum safeguards” which the Court, in the context of targeted interception, has found should be defined clearly in domestic law in order to avoid abuses of power (that is, </w:t>
      </w:r>
      <w:r w:rsidRPr="008873B1">
        <w:rPr>
          <w:rFonts w:ascii="Times New Roman" w:hAnsi="Times New Roman" w:eastAsia="Times New Roman" w:cs="Times New Roman"/>
        </w:rPr>
        <w:t>the nature of offences which may give rise to an interception order and the categories of people liable to have their communications intercepted</w:t>
      </w:r>
      <w:r w:rsidRPr="008873B1">
        <w:t xml:space="preserve">: see paragraph </w:t>
      </w:r>
      <w:r w:rsidRPr="008873B1">
        <w:fldChar w:fldCharType="begin"/>
      </w:r>
      <w:r w:rsidRPr="008873B1">
        <w:instrText xml:space="preserve"> REF the6Weber_requirements \h </w:instrText>
      </w:r>
      <w:r w:rsidRPr="008873B1" w:rsidR="008873B1">
        <w:instrText xml:space="preserve"> \* MERGEFORMAT </w:instrText>
      </w:r>
      <w:r w:rsidRPr="008873B1">
        <w:fldChar w:fldCharType="separate"/>
      </w:r>
      <w:r w:rsidR="004F11CA">
        <w:rPr>
          <w:rFonts w:ascii="Times New Roman" w:hAnsi="Times New Roman" w:eastAsia="Times New Roman" w:cs="Times New Roman"/>
        </w:rPr>
        <w:t>249</w:t>
      </w:r>
      <w:r w:rsidRPr="008873B1">
        <w:fldChar w:fldCharType="end"/>
      </w:r>
      <w:r w:rsidRPr="008873B1">
        <w:t xml:space="preserve"> above), are not readily applicable to a bulk interception regime. Similarly, the requirement of “reasonable suspicion”, which can be found in the Court’s case-law on targeted interception in the context of criminal investigations is less germane in the bulk interception context, the purpose of which is in principle preventive, rather than for the investigation of a specific target and/or an identifiable criminal offence. Nevertheless, the Court considers it imperative that when a State is operating such a regime, domestic law should contain detailed rules on when the authorities may resort to such measures. </w:t>
      </w:r>
      <w:proofErr w:type="gramStart"/>
      <w:r w:rsidRPr="008873B1">
        <w:t>In particular, domestic</w:t>
      </w:r>
      <w:proofErr w:type="gramEnd"/>
      <w:r w:rsidRPr="008873B1">
        <w:t xml:space="preserve"> law should set out with sufficient clarity the grounds upon which bulk interception might be authorised and the circumstances in which an individual’s communications might be intercepted. The remaining four minimum safeguards defined by the Court in its previous judgments — that is, that domestic law should set out a limit on the duration of interception, the procedure to be followed for examining, using and storing the data obtained, the precautions to be taken when communicating the data to other parties, and the circumstances in which intercepted data may or must be erased or destroyed — are equally relevant to bulk interception.</w:t>
      </w:r>
    </w:p>
    <w:p w:rsidRPr="008873B1" w:rsidR="004D0549" w:rsidP="00674632" w:rsidRDefault="004D0549" w14:paraId="1D561526" w14:textId="43D325EC">
      <w:pPr>
        <w:pStyle w:val="JuPara"/>
      </w:pPr>
      <w:r w:rsidRPr="008873B1">
        <w:fldChar w:fldCharType="begin"/>
      </w:r>
      <w:r w:rsidRPr="008873B1">
        <w:instrText xml:space="preserve"> SEQ level0 \*arabic </w:instrText>
      </w:r>
      <w:r w:rsidRPr="008873B1">
        <w:fldChar w:fldCharType="separate"/>
      </w:r>
      <w:r w:rsidR="004F11CA">
        <w:rPr>
          <w:noProof/>
        </w:rPr>
        <w:t>263</w:t>
      </w:r>
      <w:r w:rsidRPr="008873B1">
        <w:fldChar w:fldCharType="end"/>
      </w:r>
      <w:r w:rsidRPr="008873B1">
        <w:t xml:space="preserve">.  In its case-law on targeted interception, the Court has had regard to the arrangements for supervising and reviewing the interception regime (see </w:t>
      </w:r>
      <w:r w:rsidRPr="008873B1">
        <w:rPr>
          <w:i/>
        </w:rPr>
        <w:t xml:space="preserve">Roman </w:t>
      </w:r>
      <w:proofErr w:type="spellStart"/>
      <w:r w:rsidRPr="008873B1">
        <w:rPr>
          <w:i/>
        </w:rPr>
        <w:t>Zakharov</w:t>
      </w:r>
      <w:proofErr w:type="spellEnd"/>
      <w:r w:rsidRPr="008873B1">
        <w:t xml:space="preserve">, cited above, </w:t>
      </w:r>
      <w:r w:rsidRPr="008873B1">
        <w:rPr>
          <w:rFonts w:cstheme="minorHAnsi"/>
        </w:rPr>
        <w:t>§§ 233-34)</w:t>
      </w:r>
      <w:r w:rsidRPr="008873B1">
        <w:t>. In the context of bulk interception the importance of supervision and review will be amplified, because of the inherent risk of abuse and because the legitimate need for secrecy will inevitably mean that, for reasons of national security, States will often not be at liberty to disclose information concerning the operation of the impugned regime.</w:t>
      </w:r>
    </w:p>
    <w:bookmarkStart w:name="endTOend" w:id="99"/>
    <w:p w:rsidRPr="008873B1" w:rsidR="004D0549" w:rsidP="00674632" w:rsidRDefault="004D0549" w14:paraId="0A761412" w14:textId="32EB70C8">
      <w:pPr>
        <w:pStyle w:val="JuPara"/>
      </w:pPr>
      <w:r w:rsidRPr="008873B1">
        <w:fldChar w:fldCharType="begin"/>
      </w:r>
      <w:r w:rsidRPr="008873B1">
        <w:instrText xml:space="preserve"> SEQ level0 \*arabic </w:instrText>
      </w:r>
      <w:r w:rsidRPr="008873B1">
        <w:fldChar w:fldCharType="separate"/>
      </w:r>
      <w:r w:rsidR="004F11CA">
        <w:rPr>
          <w:noProof/>
        </w:rPr>
        <w:t>264</w:t>
      </w:r>
      <w:r w:rsidRPr="008873B1">
        <w:fldChar w:fldCharType="end"/>
      </w:r>
      <w:bookmarkEnd w:id="99"/>
      <w:r w:rsidRPr="008873B1">
        <w:t>.  Therefore, in order to minimise the risk of the bulk interception being abused, the Court considers that the process must be subject to “end</w:t>
      </w:r>
      <w:r w:rsidR="00C04DAD">
        <w:t>-</w:t>
      </w:r>
      <w:r w:rsidRPr="008873B1">
        <w:t>to</w:t>
      </w:r>
      <w:r w:rsidR="00C04DAD">
        <w:t>-</w:t>
      </w:r>
      <w:r w:rsidRPr="008873B1">
        <w:t xml:space="preserve">end safeguards”, meaning that, at the domestic level, an assessment should be made at each stage of the process of the necessity and proportionality of the measures being taken; that bulk interception should be subject to independent authorisation at the outset, when the object and scope of the bulk operation are being defined; and that the operation should be subject to supervision and independent </w:t>
      </w:r>
      <w:r w:rsidRPr="008873B1">
        <w:rPr>
          <w:i/>
        </w:rPr>
        <w:t>ex post facto</w:t>
      </w:r>
      <w:r w:rsidRPr="008873B1">
        <w:t xml:space="preserve"> review. In the Court’s view, these are fundamental safeguards which will be the cornerstone of any Article 8 compliant bulk interception regime (see also the report of the Venice Commission, at paragraph </w:t>
      </w:r>
      <w:r w:rsidRPr="008873B1">
        <w:fldChar w:fldCharType="begin"/>
      </w:r>
      <w:r w:rsidRPr="008873B1">
        <w:instrText xml:space="preserve"> REF report_Venice_Comm_begin \h </w:instrText>
      </w:r>
      <w:r w:rsidRPr="008873B1" w:rsidR="008873B1">
        <w:instrText xml:space="preserve"> \* MERGEFORMAT </w:instrText>
      </w:r>
      <w:r w:rsidRPr="008873B1">
        <w:fldChar w:fldCharType="separate"/>
      </w:r>
      <w:r w:rsidR="004F11CA">
        <w:t>86</w:t>
      </w:r>
      <w:r w:rsidRPr="008873B1">
        <w:fldChar w:fldCharType="end"/>
      </w:r>
      <w:r w:rsidRPr="008873B1">
        <w:t xml:space="preserve"> above, which similarly found that two of the most significant safeguards in a bulk interception regime were the authorisation and oversight of the process).</w:t>
      </w:r>
    </w:p>
    <w:p w:rsidRPr="008873B1" w:rsidR="004D0549" w:rsidP="00674632" w:rsidRDefault="004D0549" w14:paraId="6EECB208" w14:textId="6ACCE6E1">
      <w:pPr>
        <w:pStyle w:val="JuPara"/>
      </w:pPr>
      <w:r w:rsidRPr="008873B1">
        <w:fldChar w:fldCharType="begin"/>
      </w:r>
      <w:r w:rsidRPr="008873B1">
        <w:instrText xml:space="preserve"> SEQ level0 \*arabic </w:instrText>
      </w:r>
      <w:r w:rsidRPr="008873B1">
        <w:fldChar w:fldCharType="separate"/>
      </w:r>
      <w:r w:rsidR="004F11CA">
        <w:rPr>
          <w:noProof/>
        </w:rPr>
        <w:t>265</w:t>
      </w:r>
      <w:r w:rsidRPr="008873B1">
        <w:fldChar w:fldCharType="end"/>
      </w:r>
      <w:r w:rsidRPr="008873B1">
        <w:t>.  Turning first to authorisation, the Grand Chamber considers that while judicial authorisation is an “important safeguard against arbitrariness” it is not a “necessary requirement”. Nevertheless, bulk interception should be authorised by an independent body; that is, a body which is independent of the executive.</w:t>
      </w:r>
    </w:p>
    <w:p w:rsidRPr="008873B1" w:rsidR="004D0549" w:rsidP="00674632" w:rsidRDefault="004D0549" w14:paraId="0976BF4A" w14:textId="01EC0D5E">
      <w:pPr>
        <w:pStyle w:val="JuPara"/>
      </w:pPr>
      <w:r w:rsidRPr="008873B1">
        <w:fldChar w:fldCharType="begin"/>
      </w:r>
      <w:r w:rsidRPr="008873B1">
        <w:instrText xml:space="preserve"> SEQ level0 \*arabic </w:instrText>
      </w:r>
      <w:r w:rsidRPr="008873B1">
        <w:fldChar w:fldCharType="separate"/>
      </w:r>
      <w:r w:rsidR="004F11CA">
        <w:rPr>
          <w:noProof/>
        </w:rPr>
        <w:t>266</w:t>
      </w:r>
      <w:r w:rsidRPr="008873B1">
        <w:fldChar w:fldCharType="end"/>
      </w:r>
      <w:r w:rsidRPr="008873B1">
        <w:t xml:space="preserve">.  Furthermore, in order to provide an effective safeguard against abuse, the independent authorising body should be informed of both the purpose of the interception and the bearers or communication routes likely to be intercepted. This would enable the independent authorising body to assess the necessity and proportionality of the bulk interception operation </w:t>
      </w:r>
      <w:proofErr w:type="gramStart"/>
      <w:r w:rsidRPr="008873B1">
        <w:t>and also</w:t>
      </w:r>
      <w:proofErr w:type="gramEnd"/>
      <w:r w:rsidRPr="008873B1">
        <w:t xml:space="preserve"> to assess whether the selection of bearers is necessary and proportionate to the purposes for which the interception is being conducted.</w:t>
      </w:r>
    </w:p>
    <w:bookmarkStart w:name="Selector1" w:id="100"/>
    <w:p w:rsidRPr="008873B1" w:rsidR="004D0549" w:rsidP="00674632" w:rsidRDefault="004D0549" w14:paraId="2B954064" w14:textId="6AF92AED">
      <w:pPr>
        <w:pStyle w:val="JuPara"/>
      </w:pPr>
      <w:r w:rsidRPr="008873B1">
        <w:fldChar w:fldCharType="begin"/>
      </w:r>
      <w:r w:rsidRPr="008873B1">
        <w:instrText xml:space="preserve"> SEQ level0 \*arabic </w:instrText>
      </w:r>
      <w:r w:rsidRPr="008873B1">
        <w:fldChar w:fldCharType="separate"/>
      </w:r>
      <w:r w:rsidR="004F11CA">
        <w:rPr>
          <w:noProof/>
        </w:rPr>
        <w:t>267</w:t>
      </w:r>
      <w:r w:rsidRPr="008873B1">
        <w:fldChar w:fldCharType="end"/>
      </w:r>
      <w:bookmarkEnd w:id="100"/>
      <w:r w:rsidRPr="008873B1">
        <w:t xml:space="preserve">.  The use of selectors – and strong selectors in particular – is one of the most important steps in the bulk interception process, as this is the point at which the communications of a </w:t>
      </w:r>
      <w:proofErr w:type="gramStart"/>
      <w:r w:rsidRPr="008873B1">
        <w:t>particular individual</w:t>
      </w:r>
      <w:proofErr w:type="gramEnd"/>
      <w:r w:rsidRPr="008873B1">
        <w:t xml:space="preserve"> may be targeted by the intelligence services. However, the Court notes that the intervening Government of the Netherlands have submitted that any requirement to explain or substantiate selectors or search criteria in the authorisation would seriously restrict the effectiveness of bulk interception (see paragraphs </w:t>
      </w:r>
      <w:r w:rsidRPr="008873B1">
        <w:fldChar w:fldCharType="begin"/>
      </w:r>
      <w:r w:rsidRPr="008873B1">
        <w:instrText xml:space="preserve"> REF DutchGovbegin \h \* MERGEFORMAT </w:instrText>
      </w:r>
      <w:r w:rsidRPr="008873B1">
        <w:fldChar w:fldCharType="separate"/>
      </w:r>
      <w:r w:rsidR="004F11CA">
        <w:t>228</w:t>
      </w:r>
      <w:r w:rsidRPr="008873B1">
        <w:fldChar w:fldCharType="end"/>
      </w:r>
      <w:r w:rsidRPr="008873B1">
        <w:t>-</w:t>
      </w:r>
      <w:r w:rsidRPr="008873B1">
        <w:fldChar w:fldCharType="begin"/>
      </w:r>
      <w:r w:rsidRPr="008873B1">
        <w:instrText xml:space="preserve"> REF DutchGovEnd \h \* MERGEFORMAT </w:instrText>
      </w:r>
      <w:r w:rsidRPr="008873B1">
        <w:fldChar w:fldCharType="separate"/>
      </w:r>
      <w:r w:rsidR="004F11CA">
        <w:t>232</w:t>
      </w:r>
      <w:r w:rsidRPr="008873B1">
        <w:fldChar w:fldCharType="end"/>
      </w:r>
      <w:r w:rsidRPr="008873B1">
        <w:t xml:space="preserve"> above). In the United Kingdom, the IPT found that the inclusion of the selectors in the authorisation would “unnecessarily undermine and limit the operation of the warrant and be in any event entirely unrealistic” (see </w:t>
      </w:r>
      <w:r w:rsidRPr="008873B1">
        <w:rPr>
          <w:i/>
          <w:iCs/>
        </w:rPr>
        <w:t>Big Brother Watch and Others</w:t>
      </w:r>
      <w:r w:rsidRPr="008873B1">
        <w:t>, cited above, § 49).</w:t>
      </w:r>
    </w:p>
    <w:p w:rsidRPr="008873B1" w:rsidR="004D0549" w:rsidP="00674632" w:rsidRDefault="004D0549" w14:paraId="17D4133F" w14:textId="599EE79C">
      <w:pPr>
        <w:pStyle w:val="JuPara"/>
      </w:pPr>
      <w:r w:rsidRPr="008873B1">
        <w:fldChar w:fldCharType="begin"/>
      </w:r>
      <w:r w:rsidRPr="008873B1">
        <w:instrText xml:space="preserve"> SEQ level0 \*arabic </w:instrText>
      </w:r>
      <w:r w:rsidRPr="008873B1">
        <w:fldChar w:fldCharType="separate"/>
      </w:r>
      <w:r w:rsidR="004F11CA">
        <w:rPr>
          <w:noProof/>
        </w:rPr>
        <w:t>268</w:t>
      </w:r>
      <w:r w:rsidRPr="008873B1">
        <w:fldChar w:fldCharType="end"/>
      </w:r>
      <w:r w:rsidRPr="008873B1">
        <w:t xml:space="preserve">.  Taking into account the characteristics of bulk interception (see paragraphs </w:t>
      </w:r>
      <w:r w:rsidRPr="008873B1">
        <w:fldChar w:fldCharType="begin"/>
      </w:r>
      <w:r w:rsidRPr="008873B1">
        <w:instrText xml:space="preserve"> REF ThreeOneSix \h \* MERGEFORMAT </w:instrText>
      </w:r>
      <w:r w:rsidRPr="008873B1">
        <w:fldChar w:fldCharType="separate"/>
      </w:r>
      <w:r w:rsidR="004F11CA">
        <w:t>258</w:t>
      </w:r>
      <w:r w:rsidRPr="008873B1">
        <w:fldChar w:fldCharType="end"/>
      </w:r>
      <w:r w:rsidRPr="008873B1">
        <w:t xml:space="preserve"> and </w:t>
      </w:r>
      <w:r w:rsidRPr="008873B1">
        <w:fldChar w:fldCharType="begin"/>
      </w:r>
      <w:r w:rsidRPr="008873B1">
        <w:instrText xml:space="preserve"> REF Twofivenine \h </w:instrText>
      </w:r>
      <w:r w:rsidRPr="008873B1" w:rsidR="008873B1">
        <w:instrText xml:space="preserve"> \* MERGEFORMAT </w:instrText>
      </w:r>
      <w:r w:rsidRPr="008873B1">
        <w:fldChar w:fldCharType="separate"/>
      </w:r>
      <w:r w:rsidR="004F11CA">
        <w:t>259</w:t>
      </w:r>
      <w:r w:rsidRPr="008873B1">
        <w:fldChar w:fldCharType="end"/>
      </w:r>
      <w:r w:rsidRPr="008873B1">
        <w:t xml:space="preserve"> above), the large number of selectors employed and the inherent need for flexibility in the choice of selectors, which in practice may be expressed as technical combinations of numbers or letters, the Court would accept that the inclusion of all selectors in the authorisation may not be feasible in practice. Nevertheless, given that the choice of selectors and query terms determines which communications will be eligible for examination by an analyst, the authorisation should at the very least identify the types or categories of selectors to be used.</w:t>
      </w:r>
    </w:p>
    <w:bookmarkStart w:name="authorisstrong8selectors" w:id="101"/>
    <w:bookmarkStart w:name="authoris_strong_selectors" w:id="102"/>
    <w:p w:rsidRPr="008873B1" w:rsidR="004D0549" w:rsidP="00674632" w:rsidRDefault="004D0549" w14:paraId="3DF32656" w14:textId="39E2FA21">
      <w:pPr>
        <w:pStyle w:val="JuPara"/>
      </w:pPr>
      <w:r w:rsidRPr="008873B1">
        <w:rPr>
          <w:color w:val="000000" w:themeColor="text1"/>
        </w:rPr>
        <w:fldChar w:fldCharType="begin"/>
      </w:r>
      <w:r w:rsidRPr="008873B1">
        <w:rPr>
          <w:color w:val="000000" w:themeColor="text1"/>
        </w:rPr>
        <w:instrText xml:space="preserve"> SEQ level0 \*arabic </w:instrText>
      </w:r>
      <w:r w:rsidRPr="008873B1">
        <w:rPr>
          <w:color w:val="000000" w:themeColor="text1"/>
        </w:rPr>
        <w:fldChar w:fldCharType="separate"/>
      </w:r>
      <w:r w:rsidR="004F11CA">
        <w:rPr>
          <w:noProof/>
          <w:color w:val="000000" w:themeColor="text1"/>
        </w:rPr>
        <w:t>269</w:t>
      </w:r>
      <w:r w:rsidRPr="008873B1">
        <w:rPr>
          <w:color w:val="000000" w:themeColor="text1"/>
        </w:rPr>
        <w:fldChar w:fldCharType="end"/>
      </w:r>
      <w:bookmarkEnd w:id="101"/>
      <w:bookmarkEnd w:id="102"/>
      <w:r w:rsidRPr="008873B1">
        <w:rPr>
          <w:color w:val="000000" w:themeColor="text1"/>
        </w:rPr>
        <w:t xml:space="preserve">.  Moreover, enhanced safeguards should be in place when strong selectors linked to identifiable individuals are employed by the intelligence services. The use of every such selector must be justified – with regard to the principles of necessity and proportionality – by the intelligence services and that justification should be scrupulously recorded </w:t>
      </w:r>
      <w:r w:rsidRPr="008873B1">
        <w:t>and be subject to a process of prior internal authorisation providing for separate and objective verification of whether the justification conforms to the aforementioned principles.</w:t>
      </w:r>
    </w:p>
    <w:p w:rsidRPr="008873B1" w:rsidR="004D0549" w:rsidP="00674632" w:rsidRDefault="004D0549" w14:paraId="341291E7" w14:textId="34221865">
      <w:pPr>
        <w:pStyle w:val="JuPara"/>
      </w:pPr>
      <w:r w:rsidRPr="008873B1">
        <w:fldChar w:fldCharType="begin"/>
      </w:r>
      <w:r w:rsidRPr="008873B1">
        <w:instrText xml:space="preserve"> SEQ level0 \*arabic </w:instrText>
      </w:r>
      <w:r w:rsidRPr="008873B1">
        <w:fldChar w:fldCharType="separate"/>
      </w:r>
      <w:r w:rsidR="004F11CA">
        <w:rPr>
          <w:noProof/>
        </w:rPr>
        <w:t>270</w:t>
      </w:r>
      <w:r w:rsidRPr="008873B1">
        <w:fldChar w:fldCharType="end"/>
      </w:r>
      <w:r w:rsidRPr="008873B1">
        <w:t xml:space="preserve">.  Each stage of the bulk interception process – including the initial authorisation and any subsequent renewals, the selection of bearers, the choice and application of selectors and query terms, and the use, storage, onward transmission and deletion of the intercept material – should also be subject to supervision by an independent authority and that supervision should be sufficiently robust to keep the “interference” to what is “necessary in a democratic society” (see </w:t>
      </w:r>
      <w:r w:rsidRPr="008873B1">
        <w:rPr>
          <w:i/>
        </w:rPr>
        <w:t xml:space="preserve">Roman </w:t>
      </w:r>
      <w:proofErr w:type="spellStart"/>
      <w:r w:rsidRPr="008873B1">
        <w:rPr>
          <w:i/>
        </w:rPr>
        <w:t>Zakharov</w:t>
      </w:r>
      <w:proofErr w:type="spellEnd"/>
      <w:r w:rsidRPr="008873B1">
        <w:t>, cited above, §</w:t>
      </w:r>
      <w:r w:rsidR="0076626B">
        <w:t> </w:t>
      </w:r>
      <w:r w:rsidRPr="008873B1">
        <w:t xml:space="preserve">232; see also </w:t>
      </w:r>
      <w:proofErr w:type="spellStart"/>
      <w:r w:rsidRPr="008873B1">
        <w:rPr>
          <w:i/>
        </w:rPr>
        <w:t>Klass</w:t>
      </w:r>
      <w:proofErr w:type="spellEnd"/>
      <w:r w:rsidRPr="008873B1">
        <w:rPr>
          <w:i/>
        </w:rPr>
        <w:t xml:space="preserve"> and Others</w:t>
      </w:r>
      <w:r w:rsidRPr="008873B1">
        <w:t xml:space="preserve">, cited above, §§ 49, 50 and 59; </w:t>
      </w:r>
      <w:r w:rsidRPr="008873B1">
        <w:rPr>
          <w:i/>
        </w:rPr>
        <w:t>Weber and Saravia</w:t>
      </w:r>
      <w:r w:rsidRPr="008873B1">
        <w:t xml:space="preserve">, cited above, § 106; and </w:t>
      </w:r>
      <w:r w:rsidRPr="008873B1">
        <w:rPr>
          <w:i/>
        </w:rPr>
        <w:t>Kennedy</w:t>
      </w:r>
      <w:r w:rsidRPr="008873B1">
        <w:t xml:space="preserve">, cited above, §§ 153 and 154). In particular, the supervising body should be </w:t>
      </w:r>
      <w:proofErr w:type="gramStart"/>
      <w:r w:rsidRPr="008873B1">
        <w:t>in a position</w:t>
      </w:r>
      <w:proofErr w:type="gramEnd"/>
      <w:r w:rsidRPr="008873B1">
        <w:t xml:space="preserve"> to assess the necessity and proportionality of the action being taken, having due regard to the corresponding level of intrusion into the Convention rights of the persons likely to be affected. In order to facilitate this supervision, detailed records should be kept by the intelligence services at each stage of the process.</w:t>
      </w:r>
    </w:p>
    <w:p w:rsidRPr="008873B1" w:rsidR="004D0549" w:rsidP="00674632" w:rsidRDefault="004D0549" w14:paraId="47740A88" w14:textId="5897D814">
      <w:pPr>
        <w:pStyle w:val="JuPara"/>
      </w:pPr>
      <w:r w:rsidRPr="008873B1">
        <w:fldChar w:fldCharType="begin"/>
      </w:r>
      <w:r w:rsidRPr="008873B1">
        <w:instrText xml:space="preserve"> SEQ level0 \*arabic </w:instrText>
      </w:r>
      <w:r w:rsidRPr="008873B1">
        <w:fldChar w:fldCharType="separate"/>
      </w:r>
      <w:r w:rsidR="004F11CA">
        <w:rPr>
          <w:noProof/>
        </w:rPr>
        <w:t>271</w:t>
      </w:r>
      <w:r w:rsidRPr="008873B1">
        <w:fldChar w:fldCharType="end"/>
      </w:r>
      <w:r w:rsidRPr="008873B1">
        <w:t xml:space="preserve">.  Finally, an effective remedy should be available to anyone who suspects that his or her communications have been intercepted by the intelligence services, either to challenge the lawfulness of the suspected interception or the Convention compliance of the interception regime. In the targeted interception context, the Court has repeatedly found the subsequent notification of surveillance measures to be a relevant factor in assessing the effectiveness of remedies before the courts and hence the existence of effective safeguards against the abuse of surveillance powers. However, it has acknowledged that notification is not necessary if the system of domestic remedies permits any person who suspects that his or her communications are being or have been intercepted to apply to the courts; in other words, where the courts’ jurisdiction does not depend on notification to the interception subject that there has been an interception of his or her communications (see </w:t>
      </w:r>
      <w:r w:rsidRPr="008873B1">
        <w:rPr>
          <w:i/>
        </w:rPr>
        <w:t xml:space="preserve">Roman </w:t>
      </w:r>
      <w:proofErr w:type="spellStart"/>
      <w:r w:rsidRPr="008873B1">
        <w:rPr>
          <w:i/>
        </w:rPr>
        <w:t>Zakharov</w:t>
      </w:r>
      <w:proofErr w:type="spellEnd"/>
      <w:r w:rsidRPr="008873B1">
        <w:t xml:space="preserve">, cited above, § 234; and </w:t>
      </w:r>
      <w:r w:rsidRPr="008873B1">
        <w:rPr>
          <w:i/>
        </w:rPr>
        <w:t>Kennedy</w:t>
      </w:r>
      <w:r w:rsidRPr="008873B1">
        <w:t>, cited above, § 167).</w:t>
      </w:r>
    </w:p>
    <w:bookmarkStart w:name="no_notific_required" w:id="103"/>
    <w:p w:rsidRPr="008873B1" w:rsidR="004D0549" w:rsidP="00674632" w:rsidRDefault="004D0549" w14:paraId="49C4E56A" w14:textId="2B1E748F">
      <w:pPr>
        <w:pStyle w:val="JuPara"/>
      </w:pPr>
      <w:r w:rsidRPr="008873B1">
        <w:fldChar w:fldCharType="begin"/>
      </w:r>
      <w:r w:rsidRPr="008873B1">
        <w:instrText xml:space="preserve"> SEQ level0 \*arabic </w:instrText>
      </w:r>
      <w:r w:rsidRPr="008873B1">
        <w:fldChar w:fldCharType="separate"/>
      </w:r>
      <w:r w:rsidR="004F11CA">
        <w:rPr>
          <w:noProof/>
        </w:rPr>
        <w:t>272</w:t>
      </w:r>
      <w:r w:rsidRPr="008873B1">
        <w:fldChar w:fldCharType="end"/>
      </w:r>
      <w:bookmarkEnd w:id="103"/>
      <w:r w:rsidRPr="008873B1">
        <w:t>.  The Court considers that a remedy which does not depend on notification to the interception subject could also be an effective remedy in the context of bulk interception; in fact, depending on the circumstances it may even offer better guarantees of a proper procedure than a system based on notification. Regardless of whether material was acquired through targeted or bulk interception, the existence of a national security exception could deprive a notification requirement of any real practical effect. The likelihood of a notification requirement having little or no practical effect will be more acute in the bulk interception context, since such surveillance may be used for the purposes of foreign intelligence gathering and will, for the most part, target the communications of persons outside the State’s territorial jurisdiction. Therefore, even if the identity of a target is known, the authorities may not be aware of his or her location.</w:t>
      </w:r>
    </w:p>
    <w:p w:rsidRPr="008873B1" w:rsidR="004D0549" w:rsidP="00674632" w:rsidRDefault="004D0549" w14:paraId="21A1DD77" w14:textId="2CB12EDA">
      <w:pPr>
        <w:pStyle w:val="JuPara"/>
      </w:pPr>
      <w:r w:rsidRPr="008873B1">
        <w:fldChar w:fldCharType="begin"/>
      </w:r>
      <w:r w:rsidRPr="008873B1">
        <w:instrText xml:space="preserve"> SEQ level0 \*arabic </w:instrText>
      </w:r>
      <w:r w:rsidRPr="008873B1">
        <w:fldChar w:fldCharType="separate"/>
      </w:r>
      <w:r w:rsidR="004F11CA">
        <w:rPr>
          <w:noProof/>
        </w:rPr>
        <w:t>273</w:t>
      </w:r>
      <w:r w:rsidRPr="008873B1">
        <w:fldChar w:fldCharType="end"/>
      </w:r>
      <w:r w:rsidRPr="008873B1">
        <w:t xml:space="preserve">.  The powers and procedural </w:t>
      </w:r>
      <w:proofErr w:type="gramStart"/>
      <w:r w:rsidRPr="008873B1">
        <w:t>guarantees</w:t>
      </w:r>
      <w:proofErr w:type="gramEnd"/>
      <w:r w:rsidRPr="008873B1">
        <w:t xml:space="preserve"> an authority possesses are relevant in determining whether a remedy is effective. Therefore, in the absence of a notification requirement it is imperative that the remedy should be before a body which, while not necessarily judicial, is independent of the executive and ensures the fairness of the proceedings, offering, insofar as possible, an adversarial process. The decisions of such authority shall be reasoned and legally binding with regard, </w:t>
      </w:r>
      <w:r w:rsidRPr="00B149C8">
        <w:rPr>
          <w:i/>
          <w:iCs/>
        </w:rPr>
        <w:t>inter alia</w:t>
      </w:r>
      <w:r w:rsidRPr="008873B1">
        <w:t xml:space="preserve">, to the cessation of unlawful interception and the destruction of unlawfully obtained and/or stored intercept material (see, </w:t>
      </w:r>
      <w:r w:rsidRPr="008873B1">
        <w:rPr>
          <w:i/>
        </w:rPr>
        <w:t>mutatis mutandis</w:t>
      </w:r>
      <w:r w:rsidRPr="008873B1">
        <w:t xml:space="preserve">, </w:t>
      </w:r>
      <w:proofErr w:type="spellStart"/>
      <w:r w:rsidRPr="008873B1">
        <w:rPr>
          <w:i/>
        </w:rPr>
        <w:t>Segerstedt-Wiberg</w:t>
      </w:r>
      <w:proofErr w:type="spellEnd"/>
      <w:r w:rsidRPr="008873B1">
        <w:rPr>
          <w:i/>
        </w:rPr>
        <w:t xml:space="preserve"> and Others v. Sweden</w:t>
      </w:r>
      <w:r w:rsidRPr="008873B1">
        <w:t>, no. 62332/00, § 120, ECHR 2006</w:t>
      </w:r>
      <w:r w:rsidR="00C04DAD">
        <w:t>-</w:t>
      </w:r>
      <w:r w:rsidRPr="008873B1">
        <w:t xml:space="preserve">VII and also </w:t>
      </w:r>
      <w:r w:rsidRPr="008873B1">
        <w:rPr>
          <w:i/>
        </w:rPr>
        <w:t>Leander</w:t>
      </w:r>
      <w:r w:rsidRPr="008873B1">
        <w:t>, cited above, §§ 81-83 where the lack of power to render a legally binding decision constituted a main weakness in the control offered).</w:t>
      </w:r>
    </w:p>
    <w:p w:rsidRPr="008873B1" w:rsidR="004D0549" w:rsidP="00674632" w:rsidRDefault="004D0549" w14:paraId="59B9DC6B" w14:textId="51334207">
      <w:pPr>
        <w:pStyle w:val="JuPara"/>
      </w:pPr>
      <w:r w:rsidRPr="008873B1">
        <w:fldChar w:fldCharType="begin"/>
      </w:r>
      <w:r w:rsidRPr="008873B1">
        <w:instrText xml:space="preserve"> SEQ level0 \*arabic </w:instrText>
      </w:r>
      <w:r w:rsidRPr="008873B1">
        <w:fldChar w:fldCharType="separate"/>
      </w:r>
      <w:r w:rsidR="004F11CA">
        <w:rPr>
          <w:noProof/>
        </w:rPr>
        <w:t>274</w:t>
      </w:r>
      <w:r w:rsidRPr="008873B1">
        <w:fldChar w:fldCharType="end"/>
      </w:r>
      <w:r w:rsidRPr="008873B1">
        <w:t>.  In the light of the above, the Court will determine whether a bulk interception regime is Convention compliant by conducting a global assessment of the operation of the regime. Such assessment will focus primarily on whether the domestic legal framework contains sufficient guarantees against abuse, and whether the process is subject to “end</w:t>
      </w:r>
      <w:r w:rsidR="00B54CD5">
        <w:t>-</w:t>
      </w:r>
      <w:r w:rsidRPr="008873B1">
        <w:t>to</w:t>
      </w:r>
      <w:r w:rsidR="00B54CD5">
        <w:t>-</w:t>
      </w:r>
      <w:r w:rsidRPr="008873B1">
        <w:t xml:space="preserve">end safeguards” (see paragraph </w:t>
      </w:r>
      <w:r w:rsidRPr="008873B1">
        <w:fldChar w:fldCharType="begin"/>
      </w:r>
      <w:r w:rsidRPr="008873B1">
        <w:instrText xml:space="preserve"> REF endTOend \h </w:instrText>
      </w:r>
      <w:r w:rsidRPr="008873B1" w:rsidR="008873B1">
        <w:instrText xml:space="preserve"> \* MERGEFORMAT </w:instrText>
      </w:r>
      <w:r w:rsidRPr="008873B1">
        <w:fldChar w:fldCharType="separate"/>
      </w:r>
      <w:r w:rsidR="004F11CA">
        <w:t>264</w:t>
      </w:r>
      <w:r w:rsidRPr="008873B1">
        <w:fldChar w:fldCharType="end"/>
      </w:r>
      <w:r w:rsidRPr="008873B1">
        <w:t xml:space="preserve"> above). In doing so, it will have regard to the actual operation of the system of interception, including the checks and balances on the exercise of power, and the existence or absence of any evidence of actual abuse (see </w:t>
      </w:r>
      <w:r w:rsidRPr="008873B1">
        <w:rPr>
          <w:i/>
        </w:rPr>
        <w:t>Association for</w:t>
      </w:r>
      <w:r w:rsidRPr="008873B1">
        <w:t xml:space="preserve"> </w:t>
      </w:r>
      <w:r w:rsidRPr="008873B1">
        <w:rPr>
          <w:i/>
        </w:rPr>
        <w:t xml:space="preserve">European Integration and Human Rights and </w:t>
      </w:r>
      <w:proofErr w:type="spellStart"/>
      <w:r w:rsidRPr="008873B1">
        <w:rPr>
          <w:i/>
        </w:rPr>
        <w:t>Ekimdzhiev</w:t>
      </w:r>
      <w:proofErr w:type="spellEnd"/>
      <w:r w:rsidRPr="008873B1">
        <w:t>, cited above, § 92).</w:t>
      </w:r>
    </w:p>
    <w:bookmarkStart w:name="Eightreqs" w:id="104"/>
    <w:p w:rsidRPr="008873B1" w:rsidR="004D0549" w:rsidP="00674632" w:rsidRDefault="004D0549" w14:paraId="4A49EBEF" w14:textId="379CD244">
      <w:pPr>
        <w:pStyle w:val="JuPara"/>
      </w:pPr>
      <w:r w:rsidRPr="008873B1">
        <w:fldChar w:fldCharType="begin"/>
      </w:r>
      <w:r w:rsidRPr="008873B1">
        <w:instrText xml:space="preserve"> SEQ level0 \*arabic </w:instrText>
      </w:r>
      <w:r w:rsidRPr="008873B1">
        <w:fldChar w:fldCharType="separate"/>
      </w:r>
      <w:r w:rsidR="004F11CA">
        <w:rPr>
          <w:noProof/>
        </w:rPr>
        <w:t>275</w:t>
      </w:r>
      <w:r w:rsidRPr="008873B1">
        <w:fldChar w:fldCharType="end"/>
      </w:r>
      <w:bookmarkEnd w:id="104"/>
      <w:r w:rsidRPr="008873B1">
        <w:t xml:space="preserve">.  In assessing whether the respondent State acted within its margin of appreciation (see paragraph </w:t>
      </w:r>
      <w:r w:rsidRPr="008873B1">
        <w:fldChar w:fldCharType="begin"/>
      </w:r>
      <w:r w:rsidRPr="008873B1">
        <w:instrText xml:space="preserve"> REF This_is_equally_so \h </w:instrText>
      </w:r>
      <w:r w:rsidRPr="008873B1" w:rsidR="008873B1">
        <w:instrText xml:space="preserve"> \* MERGEFORMAT </w:instrText>
      </w:r>
      <w:r w:rsidRPr="008873B1">
        <w:fldChar w:fldCharType="separate"/>
      </w:r>
      <w:r w:rsidR="004F11CA">
        <w:t>256</w:t>
      </w:r>
      <w:r w:rsidRPr="008873B1">
        <w:fldChar w:fldCharType="end"/>
      </w:r>
      <w:r w:rsidRPr="008873B1">
        <w:t xml:space="preserve"> above), the Court would need to take account of a wider range of criteria than the six </w:t>
      </w:r>
      <w:r w:rsidRPr="008873B1">
        <w:rPr>
          <w:i/>
        </w:rPr>
        <w:t>Weber</w:t>
      </w:r>
      <w:r w:rsidRPr="008873B1">
        <w:t xml:space="preserve"> safeguards. More specifically, in addressing jointly “in accordance with the law” and “necessity” as is the established approach in this area (see </w:t>
      </w:r>
      <w:r w:rsidRPr="008873B1">
        <w:rPr>
          <w:i/>
        </w:rPr>
        <w:t xml:space="preserve">Roman </w:t>
      </w:r>
      <w:proofErr w:type="spellStart"/>
      <w:r w:rsidRPr="008873B1">
        <w:rPr>
          <w:i/>
        </w:rPr>
        <w:t>Zakharov</w:t>
      </w:r>
      <w:proofErr w:type="spellEnd"/>
      <w:r w:rsidRPr="008873B1">
        <w:t xml:space="preserve">, cited above, § 236; and </w:t>
      </w:r>
      <w:r w:rsidRPr="008873B1">
        <w:rPr>
          <w:i/>
        </w:rPr>
        <w:t>Kennedy</w:t>
      </w:r>
      <w:r w:rsidRPr="008873B1">
        <w:t>, cited above, § 155), the Court will examine whether the domestic legal framework clearly defined:</w:t>
      </w:r>
    </w:p>
    <w:p w:rsidRPr="008873B1" w:rsidR="004D0549" w:rsidP="008873B1" w:rsidRDefault="004D0549" w14:paraId="10ECFB5B" w14:textId="77777777">
      <w:pPr>
        <w:pStyle w:val="JuPara"/>
        <w:numPr>
          <w:ilvl w:val="0"/>
          <w:numId w:val="4"/>
        </w:numPr>
        <w:ind w:hanging="294"/>
      </w:pPr>
      <w:r w:rsidRPr="008873B1">
        <w:t>The grounds on which bulk interception may be authorised;</w:t>
      </w:r>
    </w:p>
    <w:p w:rsidRPr="008873B1" w:rsidR="004D0549" w:rsidP="008873B1" w:rsidRDefault="004D0549" w14:paraId="6E738921" w14:textId="77777777">
      <w:pPr>
        <w:pStyle w:val="JuPara"/>
        <w:numPr>
          <w:ilvl w:val="0"/>
          <w:numId w:val="4"/>
        </w:numPr>
        <w:ind w:hanging="294"/>
      </w:pPr>
      <w:r w:rsidRPr="008873B1">
        <w:t>The circumstances in which an individual’s communications may be intercepted;</w:t>
      </w:r>
    </w:p>
    <w:p w:rsidRPr="008873B1" w:rsidR="004D0549" w:rsidP="008873B1" w:rsidRDefault="004D0549" w14:paraId="6160A43B" w14:textId="77777777">
      <w:pPr>
        <w:pStyle w:val="JuPara"/>
        <w:numPr>
          <w:ilvl w:val="0"/>
          <w:numId w:val="4"/>
        </w:numPr>
        <w:ind w:hanging="294"/>
      </w:pPr>
      <w:r w:rsidRPr="008873B1">
        <w:t>The procedure to be followed for granting authorisation;</w:t>
      </w:r>
    </w:p>
    <w:p w:rsidRPr="008873B1" w:rsidR="004D0549" w:rsidP="008873B1" w:rsidRDefault="004D0549" w14:paraId="53896557" w14:textId="77777777">
      <w:pPr>
        <w:pStyle w:val="JuPara"/>
        <w:numPr>
          <w:ilvl w:val="0"/>
          <w:numId w:val="4"/>
        </w:numPr>
        <w:ind w:hanging="294"/>
      </w:pPr>
      <w:r w:rsidRPr="008873B1">
        <w:t>The procedures to be followed for selecting, examining and using intercept material;</w:t>
      </w:r>
    </w:p>
    <w:p w:rsidR="0076626B" w:rsidP="0076626B" w:rsidRDefault="004D0549" w14:paraId="7654B719" w14:textId="77777777">
      <w:pPr>
        <w:pStyle w:val="JuPara"/>
        <w:numPr>
          <w:ilvl w:val="0"/>
          <w:numId w:val="4"/>
        </w:numPr>
        <w:ind w:hanging="294"/>
      </w:pPr>
      <w:r w:rsidRPr="008873B1">
        <w:t>The precautions to be taken when communicating the material to other parties;</w:t>
      </w:r>
    </w:p>
    <w:p w:rsidRPr="008873B1" w:rsidR="004D0549" w:rsidP="0076626B" w:rsidRDefault="004D0549" w14:paraId="2FB3A80A" w14:textId="616EE504">
      <w:pPr>
        <w:pStyle w:val="JuPara"/>
        <w:numPr>
          <w:ilvl w:val="0"/>
          <w:numId w:val="4"/>
        </w:numPr>
        <w:ind w:hanging="294"/>
      </w:pPr>
      <w:r w:rsidRPr="008873B1">
        <w:t>The limits on the duration of interception, the storage of intercept material and the circumstances in which such material must be erased and destroyed;</w:t>
      </w:r>
    </w:p>
    <w:p w:rsidRPr="008873B1" w:rsidR="004D0549" w:rsidP="008873B1" w:rsidRDefault="004D0549" w14:paraId="1A425CC1" w14:textId="77777777">
      <w:pPr>
        <w:pStyle w:val="JuPara"/>
        <w:numPr>
          <w:ilvl w:val="0"/>
          <w:numId w:val="4"/>
        </w:numPr>
        <w:ind w:hanging="294"/>
      </w:pPr>
      <w:r w:rsidRPr="008873B1">
        <w:t>The procedures and modalities for supervision by an independent authority of compliance with the above safeguards and its powers to address non-compliance;</w:t>
      </w:r>
    </w:p>
    <w:p w:rsidRPr="008873B1" w:rsidR="004D0549" w:rsidP="008873B1" w:rsidRDefault="004D0549" w14:paraId="7EED18C6" w14:textId="77777777">
      <w:pPr>
        <w:pStyle w:val="JuPara"/>
        <w:numPr>
          <w:ilvl w:val="0"/>
          <w:numId w:val="4"/>
        </w:numPr>
        <w:ind w:hanging="294"/>
      </w:pPr>
      <w:r w:rsidRPr="008873B1">
        <w:t xml:space="preserve">The procedures for independent </w:t>
      </w:r>
      <w:r w:rsidRPr="008873B1">
        <w:rPr>
          <w:i/>
        </w:rPr>
        <w:t>ex post facto</w:t>
      </w:r>
      <w:r w:rsidRPr="008873B1">
        <w:t xml:space="preserve"> review of such compliance and the powers vested in the competent body in addressing instances of non-compliance.</w:t>
      </w:r>
    </w:p>
    <w:bookmarkStart w:name="standard_transfer_to_foreign" w:id="105"/>
    <w:bookmarkStart w:name="RCD1" w:id="106"/>
    <w:p w:rsidRPr="008873B1" w:rsidR="004D0549" w:rsidP="00674632" w:rsidRDefault="004D0549" w14:paraId="68DC5AC4" w14:textId="385C696A">
      <w:pPr>
        <w:pStyle w:val="JuPara"/>
      </w:pPr>
      <w:r w:rsidRPr="008873B1">
        <w:fldChar w:fldCharType="begin"/>
      </w:r>
      <w:r w:rsidRPr="008873B1">
        <w:instrText xml:space="preserve"> SEQ level0 \*arabic </w:instrText>
      </w:r>
      <w:r w:rsidRPr="008873B1">
        <w:fldChar w:fldCharType="separate"/>
      </w:r>
      <w:r w:rsidR="004F11CA">
        <w:rPr>
          <w:noProof/>
        </w:rPr>
        <w:t>276</w:t>
      </w:r>
      <w:r w:rsidRPr="008873B1">
        <w:fldChar w:fldCharType="end"/>
      </w:r>
      <w:bookmarkEnd w:id="105"/>
      <w:r w:rsidRPr="008873B1">
        <w:t xml:space="preserve">.  Despite being one of the six </w:t>
      </w:r>
      <w:r w:rsidRPr="008873B1">
        <w:rPr>
          <w:i/>
        </w:rPr>
        <w:t>Weber</w:t>
      </w:r>
      <w:r w:rsidRPr="008873B1">
        <w:t xml:space="preserve"> criteria, to date the Court has not yet provided specific guidance regarding the precautions to be taken when communicating intercept material to other parties. However, it is now clear that some States are regularly sharing material with their intelligence partners and even, in some instances, allowing those intelligence partners direct access to their own systems. Consequently, the Court considers that the transmission by a Contracting State to foreign States or international organisations of material obtained by bulk interception should be limited to such material as has been collected and stored in a Convention compliant manner and should be subject to certain additional specific safeguards pertaining to the transfer itself. </w:t>
      </w:r>
      <w:proofErr w:type="gramStart"/>
      <w:r w:rsidRPr="008873B1">
        <w:t>First of all</w:t>
      </w:r>
      <w:proofErr w:type="gramEnd"/>
      <w:r w:rsidRPr="008873B1">
        <w:t xml:space="preserve">, the circumstances in which such a transfer may take place must be set out clearly in domestic law. Secondly, the transferring State must ensure that the receiving State, in handling the data, has in place safeguards capable of preventing abuse and disproportionate interference. In particular, the receiving State must guarantee the secure storage of the material and restrict its onward disclosure. This does not necessarily mean that the receiving State must have comparable protection to that of the transferring State; nor does it necessarily require that an assurance is given prior to every transfer. Thirdly, heightened safeguards will be necessary when </w:t>
      </w:r>
      <w:proofErr w:type="gramStart"/>
      <w:r w:rsidRPr="008873B1">
        <w:t>it is clear that material</w:t>
      </w:r>
      <w:proofErr w:type="gramEnd"/>
      <w:r w:rsidRPr="008873B1">
        <w:t xml:space="preserve"> requiring special confidentiality – such as confidential journalistic material – is being transferred. Finally, the Court considers that the transfer of material to foreign intelligence partners should also be subject to independent control.</w:t>
      </w:r>
    </w:p>
    <w:p w:rsidRPr="008873B1" w:rsidR="004D0549" w:rsidP="00674632" w:rsidRDefault="004D0549" w14:paraId="6892EE56" w14:textId="60BF6435">
      <w:pPr>
        <w:pStyle w:val="JuPara"/>
      </w:pPr>
      <w:r w:rsidRPr="008873B1">
        <w:fldChar w:fldCharType="begin"/>
      </w:r>
      <w:r w:rsidRPr="008873B1">
        <w:instrText xml:space="preserve"> SEQ level0 \*arabic </w:instrText>
      </w:r>
      <w:r w:rsidRPr="008873B1">
        <w:fldChar w:fldCharType="separate"/>
      </w:r>
      <w:r w:rsidR="004F11CA">
        <w:rPr>
          <w:noProof/>
        </w:rPr>
        <w:t>277</w:t>
      </w:r>
      <w:r w:rsidRPr="008873B1">
        <w:fldChar w:fldCharType="end"/>
      </w:r>
      <w:bookmarkEnd w:id="106"/>
      <w:r w:rsidRPr="008873B1">
        <w:t xml:space="preserve">. For the reasons identified at paragraph </w:t>
      </w:r>
      <w:r w:rsidRPr="008873B1">
        <w:fldChar w:fldCharType="begin"/>
      </w:r>
      <w:r w:rsidRPr="008873B1">
        <w:instrText xml:space="preserve"> REF This_is_equally_so \h </w:instrText>
      </w:r>
      <w:r w:rsidRPr="008873B1" w:rsidR="008873B1">
        <w:instrText xml:space="preserve"> \* MERGEFORMAT </w:instrText>
      </w:r>
      <w:r w:rsidRPr="008873B1">
        <w:fldChar w:fldCharType="separate"/>
      </w:r>
      <w:r w:rsidR="004F11CA">
        <w:t>256</w:t>
      </w:r>
      <w:r w:rsidRPr="008873B1">
        <w:fldChar w:fldCharType="end"/>
      </w:r>
      <w:r w:rsidRPr="008873B1">
        <w:t xml:space="preserve"> above, the Court is not persuaded that the acquisition of related communications data through bulk interception is necessarily less intrusive than the acquisition of content. It therefore considers that the interception, retention and searching of related communications data should be analysed by reference to the same safeguards as those applicable to content.</w:t>
      </w:r>
    </w:p>
    <w:bookmarkStart w:name="RCD3" w:id="107"/>
    <w:p w:rsidRPr="008873B1" w:rsidR="004D0549" w:rsidP="00674632" w:rsidRDefault="004D0549" w14:paraId="67CE50FA" w14:textId="531E61A6">
      <w:pPr>
        <w:pStyle w:val="JuPara"/>
      </w:pPr>
      <w:r w:rsidRPr="008873B1">
        <w:rPr>
          <w:b/>
          <w:sz w:val="20"/>
        </w:rPr>
        <w:fldChar w:fldCharType="begin"/>
      </w:r>
      <w:r w:rsidRPr="008873B1">
        <w:instrText xml:space="preserve"> SEQ level0 \*arabic </w:instrText>
      </w:r>
      <w:r w:rsidRPr="008873B1">
        <w:rPr>
          <w:b/>
          <w:sz w:val="20"/>
        </w:rPr>
        <w:fldChar w:fldCharType="separate"/>
      </w:r>
      <w:r w:rsidR="004F11CA">
        <w:rPr>
          <w:noProof/>
        </w:rPr>
        <w:t>278</w:t>
      </w:r>
      <w:r w:rsidRPr="008873B1">
        <w:rPr>
          <w:b/>
          <w:sz w:val="20"/>
        </w:rPr>
        <w:fldChar w:fldCharType="end"/>
      </w:r>
      <w:bookmarkEnd w:id="107"/>
      <w:r w:rsidRPr="008873B1">
        <w:t>.  </w:t>
      </w:r>
      <w:proofErr w:type="gramStart"/>
      <w:r w:rsidRPr="008873B1">
        <w:t>That being said, while</w:t>
      </w:r>
      <w:proofErr w:type="gramEnd"/>
      <w:r w:rsidRPr="008873B1">
        <w:t xml:space="preserve"> the interception of related communications data will normally be authorised at the same time the interception of content is authorised, once obtained they may be treated differently by the intelligence services. In view of the different character of related communications data and the different ways in which they are used by the intelligence services, as long as the aforementioned safeguards are in place, the Court is of the opinion that the legal provisions governing their treatment may not necessarily have to be identical in every respect to those governing the treatment of content.</w:t>
      </w:r>
    </w:p>
    <w:p w:rsidRPr="008873B1" w:rsidR="004D0549" w:rsidP="008873B1" w:rsidRDefault="004D0549" w14:paraId="71056AB2" w14:textId="77777777">
      <w:pPr>
        <w:pStyle w:val="JuHi"/>
        <w:numPr>
          <w:ilvl w:val="5"/>
          <w:numId w:val="1"/>
        </w:numPr>
        <w:tabs>
          <w:tab w:val="clear" w:pos="1077"/>
          <w:tab w:val="clear" w:pos="1134"/>
          <w:tab w:val="clear" w:pos="1191"/>
          <w:tab w:val="clear" w:pos="1247"/>
        </w:tabs>
        <w:spacing w:line="240" w:lineRule="auto"/>
      </w:pPr>
      <w:r w:rsidRPr="008873B1">
        <w:t>The Court’s assessment of the case at hand</w:t>
      </w:r>
    </w:p>
    <w:p w:rsidRPr="00C22FCE" w:rsidR="004D0549" w:rsidP="00C22FCE" w:rsidRDefault="004D0549" w14:paraId="77DB33BC" w14:textId="77777777">
      <w:pPr>
        <w:pStyle w:val="JuHalpha"/>
      </w:pPr>
      <w:r w:rsidRPr="00C22FCE">
        <w:t>Preliminary remarks</w:t>
      </w:r>
    </w:p>
    <w:p w:rsidRPr="008873B1" w:rsidR="004D0549" w:rsidP="004D0549" w:rsidRDefault="004D0549" w14:paraId="2F5CA3EA" w14:textId="6429C9E6">
      <w:pPr>
        <w:pStyle w:val="JuPara"/>
      </w:pPr>
      <w:r w:rsidRPr="008873B1">
        <w:fldChar w:fldCharType="begin"/>
      </w:r>
      <w:r w:rsidRPr="008873B1">
        <w:instrText xml:space="preserve"> SEQ level0 \*arabic </w:instrText>
      </w:r>
      <w:r w:rsidRPr="008873B1">
        <w:fldChar w:fldCharType="separate"/>
      </w:r>
      <w:r w:rsidR="004F11CA">
        <w:rPr>
          <w:noProof/>
        </w:rPr>
        <w:t>279</w:t>
      </w:r>
      <w:r w:rsidRPr="008873B1">
        <w:fldChar w:fldCharType="end"/>
      </w:r>
      <w:r w:rsidRPr="008873B1">
        <w:t>.  As noted by the Chamber, it has not been disputed by the parties that the Swedish signals intelligence activities have a basis in domestic law (see paragraph 111 of the Chamber judgment). It is further undisputed that the impugned signals intelligence regime pursues legitimate aims in the interest of national security by supporting Swedish foreign, defence and security policy and identifying external threats to the country. Therefore, following the approach outlined above, it remains to be considered whether the domestic law was accessible and contained adequate and effective safeguards and guarantees to meet the requirements of “foreseeability” and “necessity in a democratic society”.</w:t>
      </w:r>
    </w:p>
    <w:p w:rsidRPr="008873B1" w:rsidR="004D0549" w:rsidP="004D0549" w:rsidRDefault="004D0549" w14:paraId="10092226" w14:textId="1EA10D3D">
      <w:pPr>
        <w:pStyle w:val="JuPara"/>
        <w:ind w:firstLine="0"/>
      </w:pPr>
      <w:r w:rsidRPr="008873B1">
        <w:t xml:space="preserve">   </w:t>
      </w:r>
      <w:r w:rsidRPr="008873B1">
        <w:fldChar w:fldCharType="begin"/>
      </w:r>
      <w:r w:rsidRPr="008873B1">
        <w:instrText xml:space="preserve"> SEQ level0 \*arabic </w:instrText>
      </w:r>
      <w:r w:rsidRPr="008873B1">
        <w:fldChar w:fldCharType="separate"/>
      </w:r>
      <w:r w:rsidR="004F11CA">
        <w:rPr>
          <w:noProof/>
        </w:rPr>
        <w:t>280</w:t>
      </w:r>
      <w:r w:rsidRPr="008873B1">
        <w:fldChar w:fldCharType="end"/>
      </w:r>
      <w:r w:rsidRPr="008873B1">
        <w:t xml:space="preserve">.  Bulk interception of electronic signals within foreign intelligence in Sweden is regulated in several pieces of legislation, the main ones being the Foreign Intelligence Act and the associated Ordinance, the Signals Intelligence Act and Ordinance, the Foreign Intelligence Court Act and the FRA Personal Data Processing Act and Ordinance. Additional relevant provisions on, in particular, some aspects of the functioning of the applicable supervision mechanisms and remedies are to be found in the Foreign Intelligence Inspectorate Instructions Ordinance, the Parliamentary Ombudsmen Instructions Act and the Chancellor of Justice Supervision Act (see paragraphs </w:t>
      </w:r>
      <w:r w:rsidRPr="008873B1">
        <w:fldChar w:fldCharType="begin"/>
      </w:r>
      <w:r w:rsidRPr="008873B1">
        <w:instrText xml:space="preserve"> REF Rel_Dom_law_begin \h \* MERGEFORMAT </w:instrText>
      </w:r>
      <w:r w:rsidRPr="008873B1">
        <w:fldChar w:fldCharType="separate"/>
      </w:r>
      <w:r w:rsidR="004F11CA">
        <w:t>14</w:t>
      </w:r>
      <w:r w:rsidRPr="008873B1">
        <w:fldChar w:fldCharType="end"/>
      </w:r>
      <w:r w:rsidRPr="008873B1">
        <w:t>-</w:t>
      </w:r>
      <w:r w:rsidRPr="008873B1">
        <w:fldChar w:fldCharType="begin"/>
      </w:r>
      <w:r w:rsidRPr="008873B1">
        <w:instrText xml:space="preserve"> REF Rel_Dom_law_end_of_statutes \h \* MERGEFORMAT </w:instrText>
      </w:r>
      <w:r w:rsidRPr="008873B1">
        <w:fldChar w:fldCharType="separate"/>
      </w:r>
      <w:r w:rsidRPr="004F11CA" w:rsidR="004F11CA">
        <w:rPr>
          <w:rFonts w:cstheme="minorHAnsi"/>
        </w:rPr>
        <w:t>74</w:t>
      </w:r>
      <w:r w:rsidRPr="008873B1">
        <w:fldChar w:fldCharType="end"/>
      </w:r>
      <w:r w:rsidRPr="008873B1">
        <w:t xml:space="preserve"> above).</w:t>
      </w:r>
    </w:p>
    <w:p w:rsidRPr="008873B1" w:rsidR="004D0549" w:rsidP="004D0549" w:rsidRDefault="004D0549" w14:paraId="496FD2FC" w14:textId="6DAF50FA">
      <w:pPr>
        <w:pStyle w:val="JuPara"/>
      </w:pPr>
      <w:r w:rsidRPr="008873B1">
        <w:fldChar w:fldCharType="begin"/>
      </w:r>
      <w:r w:rsidRPr="008873B1">
        <w:instrText xml:space="preserve"> SEQ level0 \*arabic </w:instrText>
      </w:r>
      <w:r w:rsidRPr="008873B1">
        <w:fldChar w:fldCharType="separate"/>
      </w:r>
      <w:r w:rsidR="004F11CA">
        <w:rPr>
          <w:noProof/>
        </w:rPr>
        <w:t>281</w:t>
      </w:r>
      <w:r w:rsidRPr="008873B1">
        <w:fldChar w:fldCharType="end"/>
      </w:r>
      <w:r w:rsidRPr="008873B1">
        <w:t>.  It has not been disputed that all these provisions are publicly available. The Court would accept, therefore, that the domestic law was adequately “accessible”.</w:t>
      </w:r>
    </w:p>
    <w:p w:rsidRPr="008873B1" w:rsidR="004D0549" w:rsidP="004D0549" w:rsidRDefault="004D0549" w14:paraId="61FDFCD0" w14:textId="6C0F991E">
      <w:pPr>
        <w:pStyle w:val="JuPara"/>
      </w:pPr>
      <w:r w:rsidRPr="008873B1">
        <w:fldChar w:fldCharType="begin"/>
      </w:r>
      <w:r w:rsidRPr="008873B1">
        <w:instrText xml:space="preserve"> SEQ level0 \*arabic </w:instrText>
      </w:r>
      <w:r w:rsidRPr="008873B1">
        <w:fldChar w:fldCharType="separate"/>
      </w:r>
      <w:r w:rsidR="004F11CA">
        <w:rPr>
          <w:noProof/>
        </w:rPr>
        <w:t>282</w:t>
      </w:r>
      <w:r w:rsidRPr="008873B1">
        <w:fldChar w:fldCharType="end"/>
      </w:r>
      <w:r w:rsidRPr="008873B1">
        <w:t>.  Turning next to the question whether the law contained adequate and effective safeguards and guarantees to meet the requirements of “foreseeability” and “necessity in a democratic society”, the Court will address in subsections (</w:t>
      </w:r>
      <w:r w:rsidRPr="008873B1">
        <w:rPr>
          <w:rFonts w:cstheme="minorHAnsi"/>
        </w:rPr>
        <w:t>β</w:t>
      </w:r>
      <w:r w:rsidRPr="008873B1">
        <w:t>) – (</w:t>
      </w:r>
      <w:r w:rsidRPr="008873B1">
        <w:sym w:font="Symbol" w:char="F069"/>
      </w:r>
      <w:r w:rsidRPr="008873B1">
        <w:t xml:space="preserve">) each of the eight requirements set out in paragraph </w:t>
      </w:r>
      <w:r w:rsidRPr="008873B1">
        <w:fldChar w:fldCharType="begin"/>
      </w:r>
      <w:r w:rsidRPr="008873B1">
        <w:instrText xml:space="preserve"> REF Eightreqs \h </w:instrText>
      </w:r>
      <w:r w:rsidRPr="008873B1" w:rsidR="008873B1">
        <w:instrText xml:space="preserve"> \* MERGEFORMAT </w:instrText>
      </w:r>
      <w:r w:rsidRPr="008873B1">
        <w:fldChar w:fldCharType="separate"/>
      </w:r>
      <w:r w:rsidR="004F11CA">
        <w:t>275</w:t>
      </w:r>
      <w:r w:rsidRPr="008873B1">
        <w:fldChar w:fldCharType="end"/>
      </w:r>
      <w:r w:rsidRPr="008873B1">
        <w:t xml:space="preserve"> above.</w:t>
      </w:r>
    </w:p>
    <w:p w:rsidRPr="008873B1" w:rsidR="004D0549" w:rsidP="004D0549" w:rsidRDefault="004D0549" w14:paraId="67D8ADA6" w14:textId="3E172912">
      <w:pPr>
        <w:pStyle w:val="JuPara"/>
      </w:pPr>
      <w:r w:rsidRPr="008873B1">
        <w:fldChar w:fldCharType="begin"/>
      </w:r>
      <w:r w:rsidRPr="008873B1">
        <w:instrText xml:space="preserve"> SEQ level0 \*arabic </w:instrText>
      </w:r>
      <w:r w:rsidRPr="008873B1">
        <w:fldChar w:fldCharType="separate"/>
      </w:r>
      <w:r w:rsidR="004F11CA">
        <w:rPr>
          <w:noProof/>
        </w:rPr>
        <w:t>283</w:t>
      </w:r>
      <w:r w:rsidRPr="008873B1">
        <w:fldChar w:fldCharType="end"/>
      </w:r>
      <w:r w:rsidRPr="008873B1">
        <w:t>.  In the present case it will do so simultaneously with respect to the interception of the contents of electronic communications and related communications data. This approach is justified by the fact, undisputed between the parties, that under the Swedish signals intelligence regime, the same legal provisions, procedures and safeguards concerning the interception, retention, examining, us</w:t>
      </w:r>
      <w:r w:rsidR="00C04DAD">
        <w:t>e</w:t>
      </w:r>
      <w:r w:rsidRPr="008873B1">
        <w:t xml:space="preserve"> and storing of electronic signals apply without distinction both</w:t>
      </w:r>
      <w:r w:rsidR="00384F11">
        <w:t xml:space="preserve"> to</w:t>
      </w:r>
      <w:r w:rsidRPr="008873B1">
        <w:t xml:space="preserve"> communications data and </w:t>
      </w:r>
      <w:r w:rsidR="00384F11">
        <w:t xml:space="preserve">to </w:t>
      </w:r>
      <w:r w:rsidRPr="008873B1">
        <w:t xml:space="preserve">the content of communications. Under the Swedish regime no particular separate issue arises, therefore, </w:t>
      </w:r>
      <w:proofErr w:type="gramStart"/>
      <w:r w:rsidRPr="008873B1">
        <w:t>with regard to</w:t>
      </w:r>
      <w:proofErr w:type="gramEnd"/>
      <w:r w:rsidRPr="008873B1">
        <w:t xml:space="preserve"> the use of communications data in bulk interception operations.</w:t>
      </w:r>
    </w:p>
    <w:p w:rsidRPr="00C22FCE" w:rsidR="004D0549" w:rsidP="00C22FCE" w:rsidRDefault="004D0549" w14:paraId="7E8A9D55" w14:textId="77777777">
      <w:pPr>
        <w:pStyle w:val="JuHalpha"/>
      </w:pPr>
      <w:r w:rsidRPr="00C22FCE">
        <w:t>The grounds on which bulk interception may be authorised</w:t>
      </w:r>
    </w:p>
    <w:bookmarkStart w:name="grounds" w:id="108"/>
    <w:p w:rsidRPr="008873B1" w:rsidR="004D0549" w:rsidP="004D0549" w:rsidRDefault="004D0549" w14:paraId="26C2B287" w14:textId="44111939">
      <w:pPr>
        <w:pStyle w:val="JuPara"/>
      </w:pPr>
      <w:r w:rsidRPr="008873B1">
        <w:fldChar w:fldCharType="begin"/>
      </w:r>
      <w:r w:rsidRPr="008873B1">
        <w:instrText xml:space="preserve"> SEQ level0 \*arabic </w:instrText>
      </w:r>
      <w:r w:rsidRPr="008873B1">
        <w:fldChar w:fldCharType="separate"/>
      </w:r>
      <w:r w:rsidR="004F11CA">
        <w:rPr>
          <w:noProof/>
        </w:rPr>
        <w:t>284</w:t>
      </w:r>
      <w:r w:rsidRPr="008873B1">
        <w:fldChar w:fldCharType="end"/>
      </w:r>
      <w:bookmarkEnd w:id="108"/>
      <w:r w:rsidRPr="008873B1">
        <w:t xml:space="preserve">.  As noted by the Chamber, according to the Signals Intelligence Act signals intelligence may be conducted only to </w:t>
      </w:r>
      <w:r w:rsidR="00384F11">
        <w:t>monitor</w:t>
      </w:r>
      <w:r w:rsidRPr="008873B1">
        <w:t>:</w:t>
      </w:r>
    </w:p>
    <w:p w:rsidRPr="008873B1" w:rsidR="004D0549" w:rsidP="004D0549" w:rsidRDefault="004D0549" w14:paraId="1647A735" w14:textId="77777777">
      <w:pPr>
        <w:pStyle w:val="JuPara"/>
        <w:ind w:left="709" w:hanging="283"/>
      </w:pPr>
      <w:r w:rsidRPr="008873B1">
        <w:t>1.</w:t>
      </w:r>
      <w:r w:rsidRPr="008873B1">
        <w:tab/>
        <w:t>external military threats to the country;</w:t>
      </w:r>
    </w:p>
    <w:p w:rsidRPr="008873B1" w:rsidR="004D0549" w:rsidP="004D0549" w:rsidRDefault="004D0549" w14:paraId="55E65EA4" w14:textId="77777777">
      <w:pPr>
        <w:pStyle w:val="JuPara"/>
        <w:ind w:left="709" w:hanging="283"/>
      </w:pPr>
      <w:r w:rsidRPr="008873B1">
        <w:t>2.</w:t>
      </w:r>
      <w:r w:rsidRPr="008873B1">
        <w:tab/>
        <w:t>conditions for Swedish participation in international peacekeeping or humanitarian missions or threats to the safety of Swedish interests in the performance of such operations;</w:t>
      </w:r>
    </w:p>
    <w:p w:rsidRPr="008873B1" w:rsidR="004D0549" w:rsidP="004D0549" w:rsidRDefault="004D0549" w14:paraId="01C990E0" w14:textId="77777777">
      <w:pPr>
        <w:pStyle w:val="JuPara"/>
        <w:ind w:left="709" w:hanging="283"/>
      </w:pPr>
      <w:r w:rsidRPr="008873B1">
        <w:t>3.</w:t>
      </w:r>
      <w:r w:rsidRPr="008873B1">
        <w:tab/>
        <w:t>strategic circumstances concerning international terrorism or other serious cross-border crime that may threaten essential national interests;</w:t>
      </w:r>
    </w:p>
    <w:p w:rsidRPr="008873B1" w:rsidR="004D0549" w:rsidP="004D0549" w:rsidRDefault="004D0549" w14:paraId="2CC785F1" w14:textId="77777777">
      <w:pPr>
        <w:pStyle w:val="JuPara"/>
        <w:ind w:left="709" w:hanging="283"/>
      </w:pPr>
      <w:r w:rsidRPr="008873B1">
        <w:t>4.</w:t>
      </w:r>
      <w:r w:rsidRPr="008873B1">
        <w:tab/>
        <w:t>the development and proliferation of weapons of mass destruction, military equipment and other similar specified products;</w:t>
      </w:r>
    </w:p>
    <w:p w:rsidRPr="008873B1" w:rsidR="004D0549" w:rsidP="004D0549" w:rsidRDefault="004D0549" w14:paraId="7D6A3A9A" w14:textId="77777777">
      <w:pPr>
        <w:pStyle w:val="JuPara"/>
        <w:ind w:left="709" w:hanging="283"/>
      </w:pPr>
      <w:r w:rsidRPr="008873B1">
        <w:t>5.</w:t>
      </w:r>
      <w:r w:rsidRPr="008873B1">
        <w:tab/>
        <w:t>serious external threats to society’s infrastructure;</w:t>
      </w:r>
    </w:p>
    <w:p w:rsidRPr="008873B1" w:rsidR="004D0549" w:rsidP="004D0549" w:rsidRDefault="004D0549" w14:paraId="6F5724CC" w14:textId="77777777">
      <w:pPr>
        <w:pStyle w:val="JuPara"/>
        <w:ind w:left="709" w:hanging="283"/>
      </w:pPr>
      <w:r w:rsidRPr="008873B1">
        <w:t>6.</w:t>
      </w:r>
      <w:r w:rsidRPr="008873B1">
        <w:tab/>
        <w:t>foreign conflicts with consequences for international security;</w:t>
      </w:r>
    </w:p>
    <w:p w:rsidRPr="008873B1" w:rsidR="004D0549" w:rsidP="004D0549" w:rsidRDefault="004D0549" w14:paraId="7D2B93E0" w14:textId="77777777">
      <w:pPr>
        <w:pStyle w:val="JuPara"/>
        <w:ind w:left="709" w:hanging="283"/>
      </w:pPr>
      <w:r w:rsidRPr="008873B1">
        <w:t>7.</w:t>
      </w:r>
      <w:r w:rsidRPr="008873B1">
        <w:tab/>
        <w:t>foreign intelligence operations against Swedish interests; and</w:t>
      </w:r>
    </w:p>
    <w:p w:rsidRPr="008873B1" w:rsidR="004D0549" w:rsidP="004D0549" w:rsidRDefault="004D0549" w14:paraId="0BD4FCA0" w14:textId="77777777">
      <w:pPr>
        <w:pStyle w:val="JuPara"/>
        <w:ind w:left="709" w:hanging="283"/>
      </w:pPr>
      <w:r w:rsidRPr="008873B1">
        <w:t>8.</w:t>
      </w:r>
      <w:r w:rsidRPr="008873B1">
        <w:tab/>
        <w:t>the actions or intentions of a foreign power that are of substantial importance for Swedish foreign, security or defence policy (see paragraph 22 above).</w:t>
      </w:r>
    </w:p>
    <w:p w:rsidRPr="008873B1" w:rsidR="004D0549" w:rsidP="004D0549" w:rsidRDefault="004D0549" w14:paraId="04EC5088" w14:textId="509103F6">
      <w:pPr>
        <w:pStyle w:val="JuPara"/>
      </w:pPr>
      <w:r w:rsidRPr="008873B1">
        <w:fldChar w:fldCharType="begin"/>
      </w:r>
      <w:r w:rsidRPr="008873B1">
        <w:instrText xml:space="preserve"> SEQ level0 \*arabic </w:instrText>
      </w:r>
      <w:r w:rsidRPr="008873B1">
        <w:fldChar w:fldCharType="separate"/>
      </w:r>
      <w:r w:rsidR="004F11CA">
        <w:rPr>
          <w:noProof/>
        </w:rPr>
        <w:t>285</w:t>
      </w:r>
      <w:r w:rsidRPr="008873B1">
        <w:fldChar w:fldCharType="end"/>
      </w:r>
      <w:r w:rsidRPr="008873B1">
        <w:t xml:space="preserve">.  The preparatory works to the Signal Intelligence Act contain further elaboration of the meaning of these eight purposes (see paragraph </w:t>
      </w:r>
      <w:r w:rsidRPr="008873B1">
        <w:fldChar w:fldCharType="begin"/>
      </w:r>
      <w:r w:rsidRPr="008873B1">
        <w:instrText xml:space="preserve"> REF preparatory_works_to_Sign_Int_Act \h </w:instrText>
      </w:r>
      <w:r w:rsidR="008873B1">
        <w:instrText xml:space="preserve"> \* MERGEFORMAT </w:instrText>
      </w:r>
      <w:r w:rsidRPr="008873B1">
        <w:fldChar w:fldCharType="separate"/>
      </w:r>
      <w:r w:rsidR="004F11CA">
        <w:t>23</w:t>
      </w:r>
      <w:r w:rsidRPr="008873B1">
        <w:fldChar w:fldCharType="end"/>
      </w:r>
      <w:r w:rsidRPr="008873B1">
        <w:t xml:space="preserve"> above). In the Court’s view, the level of detail and the terms used circumscribe the area in which bulk interception may be used with sufficient clarity, having regard, in particular, to the fact that the impugned regime aims at uncovering unknown foreign threats whose nature may vary and evolve with time.</w:t>
      </w:r>
    </w:p>
    <w:p w:rsidRPr="008873B1" w:rsidR="004D0549" w:rsidP="004D0549" w:rsidRDefault="004D0549" w14:paraId="78DA330A" w14:textId="763B6B1C">
      <w:pPr>
        <w:pStyle w:val="JuPara"/>
      </w:pPr>
      <w:r w:rsidRPr="008873B1">
        <w:fldChar w:fldCharType="begin"/>
      </w:r>
      <w:r w:rsidRPr="008873B1">
        <w:instrText xml:space="preserve"> SEQ level0 \*arabic </w:instrText>
      </w:r>
      <w:r w:rsidRPr="008873B1">
        <w:fldChar w:fldCharType="separate"/>
      </w:r>
      <w:r w:rsidR="004F11CA">
        <w:rPr>
          <w:noProof/>
        </w:rPr>
        <w:t>286</w:t>
      </w:r>
      <w:r w:rsidRPr="008873B1">
        <w:fldChar w:fldCharType="end"/>
      </w:r>
      <w:r w:rsidRPr="008873B1">
        <w:t xml:space="preserve">.  The Court observes that while section 4 of the Foreign Intelligence Act excludes the conduct of signals intelligence within foreign intelligence to solve tasks in the area of law enforcement or crime prevention, one of the eight purposes listed above concerns “serious cross-border crime” such as, according to the preparatory works, “drug or human trafficking of such severity that it may threaten significant national interests” (see paragraph </w:t>
      </w:r>
      <w:r w:rsidRPr="008873B1">
        <w:fldChar w:fldCharType="begin"/>
      </w:r>
      <w:r w:rsidRPr="008873B1">
        <w:instrText xml:space="preserve"> REF preparatory_works_to_Sign_Int_Act \h </w:instrText>
      </w:r>
      <w:r w:rsidR="008873B1">
        <w:instrText xml:space="preserve"> \* MERGEFORMAT </w:instrText>
      </w:r>
      <w:r w:rsidRPr="008873B1">
        <w:fldChar w:fldCharType="separate"/>
      </w:r>
      <w:r w:rsidR="004F11CA">
        <w:t>23</w:t>
      </w:r>
      <w:r w:rsidRPr="008873B1">
        <w:fldChar w:fldCharType="end"/>
      </w:r>
      <w:r w:rsidRPr="008873B1">
        <w:t xml:space="preserve"> above).</w:t>
      </w:r>
    </w:p>
    <w:p w:rsidRPr="008873B1" w:rsidR="004D0549" w:rsidP="004D0549" w:rsidRDefault="004D0549" w14:paraId="65E50B54" w14:textId="4590ABCF">
      <w:pPr>
        <w:pStyle w:val="JuPara"/>
      </w:pPr>
      <w:r w:rsidRPr="008873B1">
        <w:fldChar w:fldCharType="begin"/>
      </w:r>
      <w:r w:rsidRPr="008873B1">
        <w:instrText xml:space="preserve"> SEQ level0 \*arabic </w:instrText>
      </w:r>
      <w:r w:rsidRPr="008873B1">
        <w:fldChar w:fldCharType="separate"/>
      </w:r>
      <w:r w:rsidR="004F11CA">
        <w:rPr>
          <w:noProof/>
        </w:rPr>
        <w:t>287</w:t>
      </w:r>
      <w:r w:rsidRPr="008873B1">
        <w:fldChar w:fldCharType="end"/>
      </w:r>
      <w:r w:rsidRPr="008873B1">
        <w:t xml:space="preserve">.  The preparatory works clarify that the aim in this regard is to survey terrorism or other cross-border crime from the perspective of Sweden’s foreign and security policy, not to combat criminal activity operatively (ibid). It is undisputed that information obtained through the impugned regime of signals intelligence cannot be used in criminal proceedings. As explained by the Government, tasking directives for signals intelligence may not be issued to investigate criminal offences and when </w:t>
      </w:r>
      <w:r w:rsidR="00384F11">
        <w:t xml:space="preserve">the </w:t>
      </w:r>
      <w:r w:rsidRPr="008873B1">
        <w:t xml:space="preserve">FRA reports intelligence to other agencies it stipulates that the intelligence may not be used in criminal investigations. In the light of the above, the Court does not share the concerns expressed by the applicant regarding the fact that since 1 March 2018 certain police departments may issue tasking directives and that the Security Police might be granted access to </w:t>
      </w:r>
      <w:r w:rsidR="00384F11">
        <w:t xml:space="preserve">the </w:t>
      </w:r>
      <w:r w:rsidRPr="008873B1">
        <w:t xml:space="preserve">FRA’s analysis material (see above paragraphs </w:t>
      </w:r>
      <w:r w:rsidRPr="008873B1">
        <w:fldChar w:fldCharType="begin"/>
      </w:r>
      <w:r w:rsidRPr="008873B1">
        <w:instrText xml:space="preserve"> REF appls_police_argument_1 \h </w:instrText>
      </w:r>
      <w:r w:rsidR="008873B1">
        <w:instrText xml:space="preserve"> \* MERGEFORMAT </w:instrText>
      </w:r>
      <w:r w:rsidRPr="008873B1">
        <w:fldChar w:fldCharType="separate"/>
      </w:r>
      <w:r w:rsidR="004F11CA">
        <w:t>193</w:t>
      </w:r>
      <w:r w:rsidRPr="008873B1">
        <w:fldChar w:fldCharType="end"/>
      </w:r>
      <w:r w:rsidRPr="008873B1">
        <w:t xml:space="preserve"> </w:t>
      </w:r>
      <w:r w:rsidRPr="008873B1">
        <w:rPr>
          <w:i/>
        </w:rPr>
        <w:t>in fine</w:t>
      </w:r>
      <w:r w:rsidRPr="008873B1">
        <w:t xml:space="preserve"> and </w:t>
      </w:r>
      <w:r w:rsidRPr="008873B1">
        <w:fldChar w:fldCharType="begin"/>
      </w:r>
      <w:r w:rsidRPr="008873B1">
        <w:instrText xml:space="preserve"> REF appls_police_argument_2 \h </w:instrText>
      </w:r>
      <w:r w:rsidR="008873B1">
        <w:instrText xml:space="preserve"> \* MERGEFORMAT </w:instrText>
      </w:r>
      <w:r w:rsidRPr="008873B1">
        <w:fldChar w:fldCharType="separate"/>
      </w:r>
      <w:r w:rsidR="004F11CA">
        <w:t>196</w:t>
      </w:r>
      <w:r w:rsidRPr="008873B1">
        <w:fldChar w:fldCharType="end"/>
      </w:r>
      <w:r w:rsidRPr="008873B1">
        <w:t xml:space="preserve"> </w:t>
      </w:r>
      <w:r w:rsidRPr="008873B1">
        <w:rPr>
          <w:i/>
        </w:rPr>
        <w:t>in fine</w:t>
      </w:r>
      <w:r w:rsidRPr="008873B1">
        <w:t xml:space="preserve">). It finds convincing the Government’s clarification that access may only be granted to “data that constitutes the analysis results” so as to allow strategic assessments and that the prohibition </w:t>
      </w:r>
      <w:r w:rsidR="00384F11">
        <w:t xml:space="preserve">on using </w:t>
      </w:r>
      <w:r w:rsidRPr="008873B1">
        <w:t xml:space="preserve">signals intelligence within foreign intelligence for the purposes of investigating criminal offences fully applies (see paragraph </w:t>
      </w:r>
      <w:r w:rsidRPr="008873B1">
        <w:fldChar w:fldCharType="begin"/>
      </w:r>
      <w:r w:rsidRPr="008873B1">
        <w:instrText xml:space="preserve"> REF Gov_on_police \h </w:instrText>
      </w:r>
      <w:r w:rsidR="008873B1">
        <w:instrText xml:space="preserve"> \* MERGEFORMAT </w:instrText>
      </w:r>
      <w:r w:rsidRPr="008873B1">
        <w:fldChar w:fldCharType="separate"/>
      </w:r>
      <w:r w:rsidR="004F11CA">
        <w:t>214</w:t>
      </w:r>
      <w:r w:rsidRPr="008873B1">
        <w:fldChar w:fldCharType="end"/>
      </w:r>
      <w:r w:rsidRPr="008873B1">
        <w:t xml:space="preserve"> above).</w:t>
      </w:r>
    </w:p>
    <w:bookmarkStart w:name="grounds_conclusion" w:id="109"/>
    <w:p w:rsidRPr="008873B1" w:rsidR="004D0549" w:rsidP="004D0549" w:rsidRDefault="004D0549" w14:paraId="1EF089BB" w14:textId="72DF2311">
      <w:pPr>
        <w:pStyle w:val="JuPara"/>
      </w:pPr>
      <w:r w:rsidRPr="008873B1">
        <w:fldChar w:fldCharType="begin"/>
      </w:r>
      <w:r w:rsidRPr="008873B1">
        <w:instrText xml:space="preserve"> SEQ level0 \*arabic </w:instrText>
      </w:r>
      <w:r w:rsidRPr="008873B1">
        <w:fldChar w:fldCharType="separate"/>
      </w:r>
      <w:r w:rsidR="004F11CA">
        <w:rPr>
          <w:noProof/>
        </w:rPr>
        <w:t>288</w:t>
      </w:r>
      <w:r w:rsidRPr="008873B1">
        <w:fldChar w:fldCharType="end"/>
      </w:r>
      <w:bookmarkEnd w:id="109"/>
      <w:r w:rsidRPr="008873B1">
        <w:t xml:space="preserve">.  In sum, the grounds upon which bulk interception can be authorised in Sweden are clearly circumscribed </w:t>
      </w:r>
      <w:proofErr w:type="gramStart"/>
      <w:r w:rsidRPr="008873B1">
        <w:t>so as to</w:t>
      </w:r>
      <w:proofErr w:type="gramEnd"/>
      <w:r w:rsidRPr="008873B1">
        <w:t xml:space="preserve"> permit the necessary control at the authorisation and operation stage and </w:t>
      </w:r>
      <w:r w:rsidRPr="008873B1">
        <w:rPr>
          <w:i/>
        </w:rPr>
        <w:t>ex post facto</w:t>
      </w:r>
      <w:r w:rsidRPr="008873B1">
        <w:t xml:space="preserve"> supervision.</w:t>
      </w:r>
    </w:p>
    <w:p w:rsidRPr="00C22FCE" w:rsidR="004D0549" w:rsidP="00C22FCE" w:rsidRDefault="004D0549" w14:paraId="0CE09A36" w14:textId="77777777">
      <w:pPr>
        <w:pStyle w:val="JuHalpha"/>
      </w:pPr>
      <w:r w:rsidRPr="00C22FCE">
        <w:t>The circumstances in which an individual’s communications may be intercepted</w:t>
      </w:r>
    </w:p>
    <w:p w:rsidRPr="008873B1" w:rsidR="004D0549" w:rsidP="004D0549" w:rsidRDefault="004D0549" w14:paraId="1F88C3D7" w14:textId="19DA8CA2">
      <w:pPr>
        <w:pStyle w:val="JuPara"/>
      </w:pPr>
      <w:r w:rsidRPr="008873B1">
        <w:fldChar w:fldCharType="begin"/>
      </w:r>
      <w:r w:rsidRPr="008873B1">
        <w:instrText xml:space="preserve"> SEQ level0 \*arabic </w:instrText>
      </w:r>
      <w:r w:rsidRPr="008873B1">
        <w:fldChar w:fldCharType="separate"/>
      </w:r>
      <w:r w:rsidR="004F11CA">
        <w:rPr>
          <w:noProof/>
        </w:rPr>
        <w:t>289</w:t>
      </w:r>
      <w:r w:rsidRPr="008873B1">
        <w:fldChar w:fldCharType="end"/>
      </w:r>
      <w:r w:rsidRPr="008873B1">
        <w:t xml:space="preserve">.  In a bulk interception </w:t>
      </w:r>
      <w:proofErr w:type="gramStart"/>
      <w:r w:rsidRPr="008873B1">
        <w:t>regime</w:t>
      </w:r>
      <w:proofErr w:type="gramEnd"/>
      <w:r w:rsidRPr="008873B1">
        <w:t xml:space="preserve"> the circumstances in which communications might be intercepted will be very broad, as it is the communications bearers that are targeted rather than the devices from which the communications are sent, or the senders or recipients of the communications. The circumstances in which communications may be examined will be narrower, but compared to targeted interception this category will still be relatively wide, since bulk interception may be used for a more varied range of purposes, and communications may be selected for examination by reference to factors other than the identity of the sender or recipient.</w:t>
      </w:r>
    </w:p>
    <w:p w:rsidRPr="008873B1" w:rsidR="004D0549" w:rsidP="004D0549" w:rsidRDefault="004D0549" w14:paraId="5CCDC7C0" w14:textId="32565663">
      <w:pPr>
        <w:pStyle w:val="JuPara"/>
      </w:pPr>
      <w:r w:rsidRPr="008873B1">
        <w:fldChar w:fldCharType="begin"/>
      </w:r>
      <w:r w:rsidRPr="008873B1">
        <w:instrText xml:space="preserve"> SEQ level0 \*arabic </w:instrText>
      </w:r>
      <w:r w:rsidRPr="008873B1">
        <w:fldChar w:fldCharType="separate"/>
      </w:r>
      <w:r w:rsidR="004F11CA">
        <w:rPr>
          <w:noProof/>
        </w:rPr>
        <w:t>290</w:t>
      </w:r>
      <w:r w:rsidRPr="008873B1">
        <w:fldChar w:fldCharType="end"/>
      </w:r>
      <w:r w:rsidRPr="008873B1">
        <w:t>.  As regards interception, signals intelligence conducted on fibre optic cables may only concern communications crossing the Swedish border. Also</w:t>
      </w:r>
      <w:r w:rsidR="00384F11">
        <w:t>,</w:t>
      </w:r>
      <w:r w:rsidRPr="008873B1">
        <w:t xml:space="preserve"> and regardless of whether the source is airborne or cable-based, communications between a sender and a receiver in Sweden may not be intercepted (see paragraph </w:t>
      </w:r>
      <w:r w:rsidRPr="008873B1">
        <w:fldChar w:fldCharType="begin"/>
      </w:r>
      <w:r w:rsidRPr="008873B1">
        <w:instrText xml:space="preserve"> REF cables_interception \h </w:instrText>
      </w:r>
      <w:r w:rsidR="008873B1">
        <w:instrText xml:space="preserve"> \* MERGEFORMAT </w:instrText>
      </w:r>
      <w:r w:rsidRPr="008873B1">
        <w:fldChar w:fldCharType="separate"/>
      </w:r>
      <w:r w:rsidR="004F11CA">
        <w:t>25</w:t>
      </w:r>
      <w:r w:rsidRPr="008873B1">
        <w:fldChar w:fldCharType="end"/>
      </w:r>
      <w:r w:rsidRPr="008873B1">
        <w:t xml:space="preserve"> above). The Government have admitted, however, that separating “domestic” from “foreign” traffic is not always possible in the initial interception stages, as confirmed in the 2011 report of the Signals Intelligence Committee (see paragraphs </w:t>
      </w:r>
      <w:r w:rsidRPr="008873B1">
        <w:fldChar w:fldCharType="begin"/>
      </w:r>
      <w:r w:rsidRPr="008873B1">
        <w:instrText xml:space="preserve"> REF report_Signals_int_CTE_begin \h </w:instrText>
      </w:r>
      <w:r w:rsidR="008873B1">
        <w:instrText xml:space="preserve"> \* MERGEFORMAT </w:instrText>
      </w:r>
      <w:r w:rsidRPr="008873B1">
        <w:fldChar w:fldCharType="separate"/>
      </w:r>
      <w:r w:rsidR="004F11CA">
        <w:rPr>
          <w:rFonts w:cstheme="minorHAnsi"/>
        </w:rPr>
        <w:t>77</w:t>
      </w:r>
      <w:r w:rsidRPr="008873B1">
        <w:fldChar w:fldCharType="end"/>
      </w:r>
      <w:r w:rsidRPr="008873B1">
        <w:t>-</w:t>
      </w:r>
      <w:r w:rsidRPr="008873B1">
        <w:fldChar w:fldCharType="begin"/>
      </w:r>
      <w:r w:rsidRPr="008873B1">
        <w:instrText xml:space="preserve"> REF report_SignIntelCte_2011 \h </w:instrText>
      </w:r>
      <w:r w:rsidR="008873B1">
        <w:instrText xml:space="preserve"> \* MERGEFORMAT </w:instrText>
      </w:r>
      <w:r w:rsidRPr="008873B1">
        <w:fldChar w:fldCharType="separate"/>
      </w:r>
      <w:r w:rsidR="004F11CA">
        <w:rPr>
          <w:rFonts w:cstheme="minorHAnsi"/>
        </w:rPr>
        <w:t>80</w:t>
      </w:r>
      <w:r w:rsidRPr="008873B1">
        <w:fldChar w:fldCharType="end"/>
      </w:r>
      <w:r w:rsidRPr="008873B1">
        <w:t xml:space="preserve"> above; see also the reports of the Data Protection Authority, paragraphs </w:t>
      </w:r>
      <w:bookmarkStart w:name="data_protection_authority" w:id="110"/>
      <w:bookmarkEnd w:id="110"/>
      <w:r w:rsidRPr="008873B1">
        <w:fldChar w:fldCharType="begin"/>
      </w:r>
      <w:r w:rsidRPr="008873B1">
        <w:instrText xml:space="preserve"> REF data_protection_authority \h </w:instrText>
      </w:r>
      <w:r w:rsidR="008873B1">
        <w:instrText xml:space="preserve"> \* MERGEFORMAT </w:instrText>
      </w:r>
      <w:r w:rsidRPr="008873B1">
        <w:fldChar w:fldCharType="end"/>
      </w:r>
      <w:r w:rsidRPr="008873B1">
        <w:fldChar w:fldCharType="begin"/>
      </w:r>
      <w:r w:rsidRPr="008873B1">
        <w:instrText xml:space="preserve"> REF data_protection_authority \h </w:instrText>
      </w:r>
      <w:r w:rsidR="008873B1">
        <w:instrText xml:space="preserve"> \* MERGEFORMAT </w:instrText>
      </w:r>
      <w:r w:rsidRPr="008873B1">
        <w:fldChar w:fldCharType="end"/>
      </w:r>
      <w:r w:rsidRPr="008873B1">
        <w:t>75-76 above).</w:t>
      </w:r>
    </w:p>
    <w:p w:rsidRPr="008873B1" w:rsidR="004D0549" w:rsidP="004D0549" w:rsidRDefault="004D0549" w14:paraId="5D74F6E0" w14:textId="17CB5D09">
      <w:pPr>
        <w:pStyle w:val="JuPara"/>
      </w:pPr>
      <w:r w:rsidRPr="008873B1">
        <w:fldChar w:fldCharType="begin"/>
      </w:r>
      <w:r w:rsidRPr="008873B1">
        <w:instrText xml:space="preserve"> SEQ level0 \*arabic </w:instrText>
      </w:r>
      <w:r w:rsidRPr="008873B1">
        <w:fldChar w:fldCharType="separate"/>
      </w:r>
      <w:r w:rsidR="004F11CA">
        <w:rPr>
          <w:noProof/>
        </w:rPr>
        <w:t>291</w:t>
      </w:r>
      <w:r w:rsidRPr="008873B1">
        <w:fldChar w:fldCharType="end"/>
      </w:r>
      <w:r w:rsidRPr="008873B1">
        <w:t xml:space="preserve">.  It is true that the FRA may also intercept signals as part of its development activities, which may lead to data not relevant for the regular foreign intelligence being intercepted. It appears from the report of the Signals Intelligence Committee (see paragraphs </w:t>
      </w:r>
      <w:r w:rsidRPr="008873B1">
        <w:fldChar w:fldCharType="begin"/>
      </w:r>
      <w:r w:rsidRPr="008873B1">
        <w:instrText xml:space="preserve"> REF report_Signals_int_CTE_begin \h </w:instrText>
      </w:r>
      <w:r w:rsidR="008873B1">
        <w:instrText xml:space="preserve"> \* MERGEFORMAT </w:instrText>
      </w:r>
      <w:r w:rsidRPr="008873B1">
        <w:fldChar w:fldCharType="separate"/>
      </w:r>
      <w:r w:rsidR="004F11CA">
        <w:rPr>
          <w:rFonts w:cstheme="minorHAnsi"/>
        </w:rPr>
        <w:t>77</w:t>
      </w:r>
      <w:r w:rsidRPr="008873B1">
        <w:fldChar w:fldCharType="end"/>
      </w:r>
      <w:r w:rsidRPr="008873B1">
        <w:t>-</w:t>
      </w:r>
      <w:r w:rsidRPr="008873B1">
        <w:fldChar w:fldCharType="begin"/>
      </w:r>
      <w:r w:rsidRPr="008873B1">
        <w:instrText xml:space="preserve"> REF report_SignIntelCte_2011 \h </w:instrText>
      </w:r>
      <w:r w:rsidR="008873B1">
        <w:instrText xml:space="preserve"> \* MERGEFORMAT </w:instrText>
      </w:r>
      <w:r w:rsidRPr="008873B1">
        <w:fldChar w:fldCharType="separate"/>
      </w:r>
      <w:r w:rsidR="004F11CA">
        <w:rPr>
          <w:rFonts w:cstheme="minorHAnsi"/>
        </w:rPr>
        <w:t>80</w:t>
      </w:r>
      <w:r w:rsidRPr="008873B1">
        <w:fldChar w:fldCharType="end"/>
      </w:r>
      <w:r w:rsidRPr="008873B1">
        <w:t xml:space="preserve"> above), that signals intercepted as part of the </w:t>
      </w:r>
      <w:r w:rsidR="00384F11">
        <w:t xml:space="preserve">FRA’s </w:t>
      </w:r>
      <w:r w:rsidRPr="008873B1">
        <w:t>development activities can be used, including by being “read” and stored, for technological development purposes regardless of whether they fall within the categories defined under the eight foreign intelligence purposes.</w:t>
      </w:r>
    </w:p>
    <w:p w:rsidRPr="008873B1" w:rsidR="004D0549" w:rsidP="004D0549" w:rsidRDefault="004D0549" w14:paraId="6B2FDF51" w14:textId="47AEF0D4">
      <w:pPr>
        <w:pStyle w:val="JuPara"/>
      </w:pPr>
      <w:r w:rsidRPr="008873B1">
        <w:fldChar w:fldCharType="begin"/>
      </w:r>
      <w:r w:rsidRPr="008873B1">
        <w:instrText xml:space="preserve"> SEQ level0 \*arabic </w:instrText>
      </w:r>
      <w:r w:rsidRPr="008873B1">
        <w:fldChar w:fldCharType="separate"/>
      </w:r>
      <w:r w:rsidR="004F11CA">
        <w:rPr>
          <w:noProof/>
        </w:rPr>
        <w:t>292</w:t>
      </w:r>
      <w:r w:rsidRPr="008873B1">
        <w:fldChar w:fldCharType="end"/>
      </w:r>
      <w:r w:rsidRPr="008873B1">
        <w:t xml:space="preserve">.  The Court observes, however, that signals intercepted in the context of </w:t>
      </w:r>
      <w:r w:rsidR="00384F11">
        <w:t xml:space="preserve">the </w:t>
      </w:r>
      <w:r w:rsidRPr="008873B1">
        <w:t xml:space="preserve">FRA’s development activities do not interest the authorities for the data they might contain but only for the possibility </w:t>
      </w:r>
      <w:r w:rsidR="00384F11">
        <w:t xml:space="preserve">they afford </w:t>
      </w:r>
      <w:r w:rsidRPr="008873B1">
        <w:t xml:space="preserve">to analyse the systems and routes through which information is transmitted. In the Court’s view, the respondent Government’s explanation about the need for such an arrangement (see paragraph </w:t>
      </w:r>
      <w:r w:rsidRPr="008873B1">
        <w:fldChar w:fldCharType="begin"/>
      </w:r>
      <w:r w:rsidRPr="008873B1">
        <w:instrText xml:space="preserve"> REF Gov_on_developm_activities \h </w:instrText>
      </w:r>
      <w:r w:rsidR="008873B1">
        <w:instrText xml:space="preserve"> \* MERGEFORMAT </w:instrText>
      </w:r>
      <w:r w:rsidRPr="008873B1">
        <w:fldChar w:fldCharType="separate"/>
      </w:r>
      <w:r w:rsidR="004F11CA">
        <w:t>207</w:t>
      </w:r>
      <w:r w:rsidRPr="008873B1">
        <w:fldChar w:fldCharType="end"/>
      </w:r>
      <w:r w:rsidRPr="008873B1">
        <w:t xml:space="preserve"> above) is satisfactory. The examples given (the need to monitor the traffic between certain countries in order to identify bearers with relevant traffic; the need to identify trends such as new types of signals and signals protection) appear convincing: the authorities must be able to react to </w:t>
      </w:r>
      <w:r w:rsidR="00384F11">
        <w:t xml:space="preserve">the </w:t>
      </w:r>
      <w:r w:rsidRPr="008873B1">
        <w:t>evolution in technology and communication practices and, for that reason, may need to monitor very large segments of the international signals traffic. The degree of interference with individuals’ Article 8 rights engendered by such activities appears to be of a very low intensity having regard to the fact that the data thereby obtained is not in a form destined to generate intelligence.</w:t>
      </w:r>
    </w:p>
    <w:p w:rsidRPr="008873B1" w:rsidR="004D0549" w:rsidP="004D0549" w:rsidRDefault="004D0549" w14:paraId="26970E81" w14:textId="6FDB63B2">
      <w:pPr>
        <w:pStyle w:val="JuPara"/>
      </w:pPr>
      <w:r w:rsidRPr="008873B1">
        <w:fldChar w:fldCharType="begin"/>
      </w:r>
      <w:r w:rsidRPr="008873B1">
        <w:instrText xml:space="preserve"> SEQ level0 \*arabic </w:instrText>
      </w:r>
      <w:r w:rsidRPr="008873B1">
        <w:fldChar w:fldCharType="separate"/>
      </w:r>
      <w:r w:rsidR="004F11CA">
        <w:rPr>
          <w:noProof/>
        </w:rPr>
        <w:t>293</w:t>
      </w:r>
      <w:r w:rsidRPr="008873B1">
        <w:fldChar w:fldCharType="end"/>
      </w:r>
      <w:r w:rsidRPr="008873B1">
        <w:t xml:space="preserve">.  In addition, it is undisputed that any information that may happen to </w:t>
      </w:r>
      <w:r w:rsidR="00384F11">
        <w:t>emerge</w:t>
      </w:r>
      <w:r w:rsidRPr="008873B1">
        <w:t xml:space="preserve"> from signals intercepted for technological development purposes cannot be used as intelligence information unless such use is in conformity with the eight purposes and the applicable tasking directives (see paragraph </w:t>
      </w:r>
      <w:r w:rsidRPr="008873B1">
        <w:fldChar w:fldCharType="begin"/>
      </w:r>
      <w:r w:rsidRPr="008873B1">
        <w:instrText xml:space="preserve"> REF on_development_activities \h </w:instrText>
      </w:r>
      <w:r w:rsidR="008873B1">
        <w:instrText xml:space="preserve"> \* MERGEFORMAT </w:instrText>
      </w:r>
      <w:r w:rsidRPr="008873B1">
        <w:fldChar w:fldCharType="separate"/>
      </w:r>
      <w:r w:rsidR="004F11CA">
        <w:rPr>
          <w:rFonts w:cstheme="minorHAnsi"/>
        </w:rPr>
        <w:t>79</w:t>
      </w:r>
      <w:r w:rsidRPr="008873B1">
        <w:fldChar w:fldCharType="end"/>
      </w:r>
      <w:r w:rsidRPr="008873B1">
        <w:t xml:space="preserve"> above). Moreover, development activities can be undertaken only under a permit issued by the Foreign Intelligence Court and are supervised by the Inspectorate, including for compliance with the law and the tasking directives approved by the Foreign Intelligence Court. In these circumstances the Court is satisfied that the legal framework within which </w:t>
      </w:r>
      <w:r w:rsidR="00C409B8">
        <w:t xml:space="preserve">the </w:t>
      </w:r>
      <w:r w:rsidRPr="008873B1">
        <w:t>FRA’s development activities are conducted contains safeguards capable of preventing attempts to circumvent the legal restrictions related to the grounds for which signals intelligence may be used.</w:t>
      </w:r>
    </w:p>
    <w:p w:rsidRPr="008873B1" w:rsidR="004D0549" w:rsidP="004D0549" w:rsidRDefault="004D0549" w14:paraId="0C1429E2" w14:textId="70C821A1">
      <w:pPr>
        <w:pStyle w:val="JuPara"/>
      </w:pPr>
      <w:r w:rsidRPr="008873B1">
        <w:fldChar w:fldCharType="begin"/>
      </w:r>
      <w:r w:rsidRPr="008873B1">
        <w:instrText xml:space="preserve"> SEQ level0 \*arabic </w:instrText>
      </w:r>
      <w:r w:rsidRPr="008873B1">
        <w:fldChar w:fldCharType="separate"/>
      </w:r>
      <w:r w:rsidR="004F11CA">
        <w:rPr>
          <w:noProof/>
        </w:rPr>
        <w:t>294</w:t>
      </w:r>
      <w:r w:rsidRPr="008873B1">
        <w:fldChar w:fldCharType="end"/>
      </w:r>
      <w:r w:rsidRPr="008873B1">
        <w:t xml:space="preserve">.  In view of the above the Court can accept that the legal provisions on bulk interception in Sweden set out with </w:t>
      </w:r>
      <w:proofErr w:type="gramStart"/>
      <w:r w:rsidRPr="008873B1">
        <w:t>sufficient</w:t>
      </w:r>
      <w:proofErr w:type="gramEnd"/>
      <w:r w:rsidRPr="008873B1">
        <w:t xml:space="preserve"> clarity the circumstances in which communications may be intercepted.</w:t>
      </w:r>
    </w:p>
    <w:p w:rsidRPr="00C22FCE" w:rsidR="004D0549" w:rsidP="00C22FCE" w:rsidRDefault="004D0549" w14:paraId="7C976D5C" w14:textId="77777777">
      <w:pPr>
        <w:pStyle w:val="JuHalpha"/>
      </w:pPr>
      <w:r w:rsidRPr="00C22FCE">
        <w:t>The procedure to be followed for granting authorisation</w:t>
      </w:r>
    </w:p>
    <w:bookmarkStart w:name="authoris_procedure" w:id="111"/>
    <w:p w:rsidRPr="008873B1" w:rsidR="004D0549" w:rsidP="004D0549" w:rsidRDefault="004D0549" w14:paraId="584B4D58" w14:textId="4340E93B">
      <w:pPr>
        <w:pStyle w:val="JuPara"/>
      </w:pPr>
      <w:r w:rsidRPr="008873B1">
        <w:fldChar w:fldCharType="begin"/>
      </w:r>
      <w:r w:rsidRPr="008873B1">
        <w:instrText xml:space="preserve"> SEQ level0 \*arabic </w:instrText>
      </w:r>
      <w:r w:rsidRPr="008873B1">
        <w:fldChar w:fldCharType="separate"/>
      </w:r>
      <w:r w:rsidR="004F11CA">
        <w:rPr>
          <w:noProof/>
        </w:rPr>
        <w:t>295</w:t>
      </w:r>
      <w:r w:rsidRPr="008873B1">
        <w:fldChar w:fldCharType="end"/>
      </w:r>
      <w:bookmarkEnd w:id="111"/>
      <w:r w:rsidRPr="008873B1">
        <w:t xml:space="preserve">.  Under Swedish law, every signals intelligence mission to be conducted by the FRA must be authorised in advance by the Foreign Intelligence Court. Where this procedure might cause delay or other inconveniences of essential importance for one of the specified purposes of the signals intelligence, the FRA may itself </w:t>
      </w:r>
      <w:r w:rsidR="00C409B8">
        <w:t xml:space="preserve">grant </w:t>
      </w:r>
      <w:r w:rsidRPr="008873B1">
        <w:t xml:space="preserve">a permit and notify the Foreign Intelligence Court immediately, which triggers the permit’s rapid review by that court. The court has the power to modify or revoke it if necessary (see paragraphs </w:t>
      </w:r>
      <w:r w:rsidRPr="008873B1">
        <w:fldChar w:fldCharType="begin"/>
      </w:r>
      <w:r w:rsidRPr="008873B1">
        <w:instrText xml:space="preserve"> REF authorisation_begin \h </w:instrText>
      </w:r>
      <w:r w:rsidR="008873B1">
        <w:instrText xml:space="preserve"> \* MERGEFORMAT </w:instrText>
      </w:r>
      <w:r w:rsidRPr="008873B1">
        <w:fldChar w:fldCharType="separate"/>
      </w:r>
      <w:r w:rsidR="004F11CA">
        <w:t>30</w:t>
      </w:r>
      <w:r w:rsidRPr="008873B1">
        <w:fldChar w:fldCharType="end"/>
      </w:r>
      <w:r w:rsidRPr="008873B1">
        <w:t>-</w:t>
      </w:r>
      <w:r w:rsidRPr="008873B1">
        <w:fldChar w:fldCharType="begin"/>
      </w:r>
      <w:r w:rsidRPr="008873B1">
        <w:instrText xml:space="preserve"> REF Authorisation_end \h </w:instrText>
      </w:r>
      <w:r w:rsidR="008873B1">
        <w:instrText xml:space="preserve"> \* MERGEFORMAT </w:instrText>
      </w:r>
      <w:r w:rsidRPr="008873B1">
        <w:fldChar w:fldCharType="separate"/>
      </w:r>
      <w:r w:rsidR="004F11CA">
        <w:t>33</w:t>
      </w:r>
      <w:r w:rsidRPr="008873B1">
        <w:fldChar w:fldCharType="end"/>
      </w:r>
      <w:r w:rsidRPr="008873B1">
        <w:t xml:space="preserve"> above).</w:t>
      </w:r>
    </w:p>
    <w:p w:rsidRPr="008873B1" w:rsidR="004D0549" w:rsidP="004D0549" w:rsidRDefault="004D0549" w14:paraId="5BE30A99" w14:textId="6CE5D3B4">
      <w:pPr>
        <w:pStyle w:val="JuPara"/>
      </w:pPr>
      <w:r w:rsidRPr="008873B1">
        <w:fldChar w:fldCharType="begin"/>
      </w:r>
      <w:r w:rsidRPr="008873B1">
        <w:instrText xml:space="preserve"> SEQ level0 \*arabic </w:instrText>
      </w:r>
      <w:r w:rsidRPr="008873B1">
        <w:fldChar w:fldCharType="separate"/>
      </w:r>
      <w:r w:rsidR="004F11CA">
        <w:rPr>
          <w:noProof/>
        </w:rPr>
        <w:t>296</w:t>
      </w:r>
      <w:r w:rsidRPr="008873B1">
        <w:fldChar w:fldCharType="end"/>
      </w:r>
      <w:r w:rsidRPr="008873B1">
        <w:t xml:space="preserve">.  There is no doubt that the Foreign Intelligence Court meets the requirement of independence from the executive. </w:t>
      </w:r>
      <w:proofErr w:type="gramStart"/>
      <w:r w:rsidRPr="008873B1">
        <w:t xml:space="preserve">In particular, </w:t>
      </w:r>
      <w:bookmarkStart w:name="_Hlk63065269" w:id="112"/>
      <w:r w:rsidRPr="008873B1">
        <w:t>its</w:t>
      </w:r>
      <w:proofErr w:type="gramEnd"/>
      <w:r w:rsidRPr="008873B1">
        <w:t xml:space="preserve"> president and vice-presidents are permanent judges and, while all members are appointed by the Government,</w:t>
      </w:r>
      <w:bookmarkEnd w:id="112"/>
      <w:r w:rsidRPr="008873B1">
        <w:t xml:space="preserve"> they have legally defined four-year terms of office. Also, it is undisputed that neither the Government or Parliament nor other authorities may interfere with the court’s decision-making, which is legally binding.</w:t>
      </w:r>
    </w:p>
    <w:p w:rsidRPr="008873B1" w:rsidR="004D0549" w:rsidP="004D0549" w:rsidRDefault="004D0549" w14:paraId="301A836C" w14:textId="034942D4">
      <w:pPr>
        <w:pStyle w:val="JuPara"/>
      </w:pPr>
      <w:r w:rsidRPr="008873B1">
        <w:fldChar w:fldCharType="begin"/>
      </w:r>
      <w:r w:rsidRPr="008873B1">
        <w:instrText xml:space="preserve"> SEQ level0 \*arabic </w:instrText>
      </w:r>
      <w:r w:rsidRPr="008873B1">
        <w:fldChar w:fldCharType="separate"/>
      </w:r>
      <w:r w:rsidR="004F11CA">
        <w:rPr>
          <w:noProof/>
        </w:rPr>
        <w:t>297</w:t>
      </w:r>
      <w:r w:rsidRPr="008873B1">
        <w:fldChar w:fldCharType="end"/>
      </w:r>
      <w:r w:rsidRPr="008873B1">
        <w:t xml:space="preserve">.  As noted by the Chamber, for reasons of secrecy the Foreign Intelligence Court has never held a public hearing and all its decisions are confidential. However, Swedish law provides for the mandatory presence of a privacy protection representative at that court’s sessions, except in urgent cases. The representative, who is a judge, a former judge or an attorney, acts independently and in the public interest but not in the interest of any affected private individual. He or she has access to all the case documents and may make statements (see paragraph </w:t>
      </w:r>
      <w:r w:rsidRPr="008873B1">
        <w:fldChar w:fldCharType="begin"/>
      </w:r>
      <w:r w:rsidRPr="008873B1">
        <w:instrText xml:space="preserve"> REF proceedure_FICourt \h </w:instrText>
      </w:r>
      <w:r w:rsidR="008873B1">
        <w:instrText xml:space="preserve"> \* MERGEFORMAT </w:instrText>
      </w:r>
      <w:r w:rsidRPr="008873B1">
        <w:fldChar w:fldCharType="separate"/>
      </w:r>
      <w:r w:rsidR="004F11CA">
        <w:t>34</w:t>
      </w:r>
      <w:r w:rsidRPr="008873B1">
        <w:fldChar w:fldCharType="end"/>
      </w:r>
      <w:r w:rsidRPr="008873B1">
        <w:t xml:space="preserve"> above). In the Court’s view, having regard to the imperative need for secrecy, in particular at the stages of initial authorisation and conducting signals intelligence, the arrangement described above contains relevant safeguards against arbitrariness and must be accepted as an inevitable limitation on the authorisation procedure’s transparency.</w:t>
      </w:r>
    </w:p>
    <w:p w:rsidRPr="008873B1" w:rsidR="004D0549" w:rsidP="004D0549" w:rsidRDefault="004D0549" w14:paraId="04309909" w14:textId="32C00C6B">
      <w:pPr>
        <w:pStyle w:val="JuPara"/>
      </w:pPr>
      <w:r w:rsidRPr="008873B1">
        <w:fldChar w:fldCharType="begin"/>
      </w:r>
      <w:r w:rsidRPr="008873B1">
        <w:instrText xml:space="preserve"> SEQ level0 \*arabic </w:instrText>
      </w:r>
      <w:r w:rsidRPr="008873B1">
        <w:fldChar w:fldCharType="separate"/>
      </w:r>
      <w:r w:rsidR="004F11CA">
        <w:rPr>
          <w:noProof/>
        </w:rPr>
        <w:t>298</w:t>
      </w:r>
      <w:r w:rsidRPr="008873B1">
        <w:fldChar w:fldCharType="end"/>
      </w:r>
      <w:r w:rsidRPr="008873B1">
        <w:t xml:space="preserve">.  The Court further observes that when applying for a permit the FRA must specify the need for the intelligence sought, the communications bearers to which access is needed and the selectors – or at least the categories of selectors – that will be used. This should lead to examination whether the mission is compatible with applicable legislation, including the eight purposes for which signals intelligence may be undertaken, and whether the intelligence collection is proportional to the resultant interference with private life (see paragraphs </w:t>
      </w:r>
      <w:r w:rsidRPr="008873B1">
        <w:fldChar w:fldCharType="begin"/>
      </w:r>
      <w:r w:rsidRPr="008873B1">
        <w:instrText xml:space="preserve"> REF authorisation_begin \h </w:instrText>
      </w:r>
      <w:r w:rsidR="008873B1">
        <w:instrText xml:space="preserve"> \* MERGEFORMAT </w:instrText>
      </w:r>
      <w:r w:rsidRPr="008873B1">
        <w:fldChar w:fldCharType="separate"/>
      </w:r>
      <w:r w:rsidR="004F11CA">
        <w:t>30</w:t>
      </w:r>
      <w:r w:rsidRPr="008873B1">
        <w:fldChar w:fldCharType="end"/>
      </w:r>
      <w:r w:rsidRPr="008873B1">
        <w:t>-</w:t>
      </w:r>
      <w:r w:rsidRPr="008873B1">
        <w:fldChar w:fldCharType="begin"/>
      </w:r>
      <w:r w:rsidRPr="008873B1">
        <w:instrText xml:space="preserve"> REF Authorisation_end \h </w:instrText>
      </w:r>
      <w:r w:rsidR="008873B1">
        <w:instrText xml:space="preserve"> \* MERGEFORMAT </w:instrText>
      </w:r>
      <w:r w:rsidRPr="008873B1">
        <w:fldChar w:fldCharType="separate"/>
      </w:r>
      <w:r w:rsidR="004F11CA">
        <w:t>33</w:t>
      </w:r>
      <w:r w:rsidRPr="008873B1">
        <w:fldChar w:fldCharType="end"/>
      </w:r>
      <w:r w:rsidRPr="008873B1">
        <w:t xml:space="preserve"> above).</w:t>
      </w:r>
    </w:p>
    <w:p w:rsidRPr="008873B1" w:rsidR="004D0549" w:rsidP="00674632" w:rsidRDefault="004D0549" w14:paraId="576B96BB" w14:textId="28F08EA7">
      <w:pPr>
        <w:pStyle w:val="JuPara"/>
      </w:pPr>
      <w:r w:rsidRPr="008873B1">
        <w:fldChar w:fldCharType="begin"/>
      </w:r>
      <w:r w:rsidRPr="008873B1">
        <w:instrText xml:space="preserve"> SEQ level0 \*arabic </w:instrText>
      </w:r>
      <w:r w:rsidRPr="008873B1">
        <w:fldChar w:fldCharType="separate"/>
      </w:r>
      <w:r w:rsidR="004F11CA">
        <w:rPr>
          <w:noProof/>
        </w:rPr>
        <w:t>299</w:t>
      </w:r>
      <w:r w:rsidRPr="008873B1">
        <w:fldChar w:fldCharType="end"/>
      </w:r>
      <w:r w:rsidRPr="008873B1">
        <w:t xml:space="preserve">.  Importantly, section 3 of the Signals Intelligence Act requires that the selectors must be formulated in such a way that the interference with personal integrity is limited as far as possible (see paragraph </w:t>
      </w:r>
      <w:r w:rsidRPr="008873B1">
        <w:fldChar w:fldCharType="begin"/>
      </w:r>
      <w:r w:rsidRPr="008873B1">
        <w:instrText xml:space="preserve"> REF search_terms \h </w:instrText>
      </w:r>
      <w:r w:rsidRPr="008873B1" w:rsidR="008873B1">
        <w:instrText xml:space="preserve"> \* MERGEFORMAT </w:instrText>
      </w:r>
      <w:r w:rsidRPr="008873B1">
        <w:fldChar w:fldCharType="separate"/>
      </w:r>
      <w:r w:rsidR="004F11CA">
        <w:t>26</w:t>
      </w:r>
      <w:r w:rsidRPr="008873B1">
        <w:fldChar w:fldCharType="end"/>
      </w:r>
      <w:r w:rsidRPr="008873B1">
        <w:t xml:space="preserve"> above), which implies necessity and proportionality analysis. Compliance with this requirement at the authorisation phase is within the competence of the Foreign Intelligence Court. That court’s decision, taken in proceedings with the participation of a privacy protection representative, is binding. This is an important safeguard built into the Swedish bulk interception system. </w:t>
      </w:r>
    </w:p>
    <w:bookmarkStart w:name="para299" w:id="113"/>
    <w:p w:rsidRPr="008873B1" w:rsidR="004D0549" w:rsidP="00674632" w:rsidRDefault="004D0549" w14:paraId="55826112" w14:textId="4C284D4C">
      <w:pPr>
        <w:pStyle w:val="JuPara"/>
      </w:pPr>
      <w:r w:rsidRPr="008873B1">
        <w:fldChar w:fldCharType="begin"/>
      </w:r>
      <w:r w:rsidRPr="008873B1">
        <w:instrText xml:space="preserve"> SEQ level0 \*arabic </w:instrText>
      </w:r>
      <w:r w:rsidRPr="008873B1">
        <w:fldChar w:fldCharType="separate"/>
      </w:r>
      <w:r w:rsidR="004F11CA">
        <w:rPr>
          <w:noProof/>
        </w:rPr>
        <w:t>300</w:t>
      </w:r>
      <w:r w:rsidRPr="008873B1">
        <w:fldChar w:fldCharType="end"/>
      </w:r>
      <w:bookmarkEnd w:id="113"/>
      <w:r w:rsidRPr="008873B1">
        <w:t xml:space="preserve">.  The Court further observes that Swedish law provides for a form of special prior authorisation of strong selectors in that the Foreign Intelligence Court verifies whether, as required by section 3 of the Signals Intelligence Act, the use of selectors directly related to a specific natural person is of “exceptional importance” for the intelligence activities. The interpretation of section 3 of the Signals Intelligence Act in the practice of the Foreign Intelligence Court has not been explained to the Court, nor how section 3 interacts with section 5 of the same Act, which indicates that the judicial authorisation may at least in some cases concern “categories of selectors” rather than individual selectors. If such a case would occur, namely individual selectors not being approved by the Foreign Intelligence Court, the question would arise whether a process of prior internal authorisation providing for separate and objective verification is in place (see paragraph </w:t>
      </w:r>
      <w:r w:rsidRPr="008873B1">
        <w:fldChar w:fldCharType="begin"/>
      </w:r>
      <w:r w:rsidRPr="008873B1">
        <w:instrText xml:space="preserve"> REF authorisstrong8selectors \h </w:instrText>
      </w:r>
      <w:r w:rsidRPr="008873B1" w:rsidR="008873B1">
        <w:instrText xml:space="preserve"> \* MERGEFORMAT </w:instrText>
      </w:r>
      <w:r w:rsidRPr="008873B1">
        <w:fldChar w:fldCharType="separate"/>
      </w:r>
      <w:r w:rsidR="004F11CA">
        <w:rPr>
          <w:color w:val="000000" w:themeColor="text1"/>
        </w:rPr>
        <w:t>269</w:t>
      </w:r>
      <w:r w:rsidRPr="008873B1">
        <w:fldChar w:fldCharType="end"/>
      </w:r>
      <w:r w:rsidRPr="008873B1">
        <w:t xml:space="preserve"> above). However, having regard to the independence of the Foreign Intelligence Court and the applicable procedural guarantees in proceedings before it, the “exceptional importance” standard at the authorisation stage is capable of providing relevant enhanced protection against the arbitrary use of selectors linked to identified individuals.</w:t>
      </w:r>
    </w:p>
    <w:p w:rsidRPr="008873B1" w:rsidR="004D0549" w:rsidP="004D0549" w:rsidRDefault="004D0549" w14:paraId="05D2C0EA" w14:textId="2F0768BC">
      <w:pPr>
        <w:pStyle w:val="JuPara"/>
      </w:pPr>
      <w:r w:rsidRPr="008873B1">
        <w:fldChar w:fldCharType="begin"/>
      </w:r>
      <w:r w:rsidRPr="008873B1">
        <w:instrText xml:space="preserve"> SEQ level0 \*arabic </w:instrText>
      </w:r>
      <w:r w:rsidRPr="008873B1">
        <w:fldChar w:fldCharType="separate"/>
      </w:r>
      <w:r w:rsidR="004F11CA">
        <w:rPr>
          <w:noProof/>
        </w:rPr>
        <w:t>301</w:t>
      </w:r>
      <w:r w:rsidRPr="008873B1">
        <w:fldChar w:fldCharType="end"/>
      </w:r>
      <w:r w:rsidRPr="008873B1">
        <w:t xml:space="preserve">.  The Swedish system of authorisation has its inherent limits. For example, it may be difficult for the Foreign Intelligence Court to appreciate the proportionality aspect where only categories of selectors are specified in </w:t>
      </w:r>
      <w:r w:rsidR="00B26A79">
        <w:t xml:space="preserve">the </w:t>
      </w:r>
      <w:r w:rsidRPr="008873B1">
        <w:t>FRA’s request for a permit</w:t>
      </w:r>
      <w:r w:rsidR="00B26A79">
        <w:t>,</w:t>
      </w:r>
      <w:r w:rsidRPr="008873B1">
        <w:t xml:space="preserve"> or where the indicated selectors are several thousand </w:t>
      </w:r>
      <w:r w:rsidR="00B26A79">
        <w:t xml:space="preserve">in number </w:t>
      </w:r>
      <w:r w:rsidRPr="008873B1">
        <w:t>or are expressed as technical combinations of numbers or letters.</w:t>
      </w:r>
    </w:p>
    <w:bookmarkStart w:name="authorisation_conclusion" w:id="114"/>
    <w:p w:rsidRPr="008873B1" w:rsidR="004D0549" w:rsidP="004D0549" w:rsidRDefault="004D0549" w14:paraId="013F8E87" w14:textId="1102B4EC">
      <w:pPr>
        <w:pStyle w:val="JuPara"/>
      </w:pPr>
      <w:r w:rsidRPr="008873B1">
        <w:fldChar w:fldCharType="begin"/>
      </w:r>
      <w:r w:rsidRPr="008873B1">
        <w:instrText xml:space="preserve"> SEQ level0 \*arabic </w:instrText>
      </w:r>
      <w:r w:rsidRPr="008873B1">
        <w:fldChar w:fldCharType="separate"/>
      </w:r>
      <w:r w:rsidR="004F11CA">
        <w:rPr>
          <w:noProof/>
        </w:rPr>
        <w:t>302</w:t>
      </w:r>
      <w:r w:rsidRPr="008873B1">
        <w:fldChar w:fldCharType="end"/>
      </w:r>
      <w:bookmarkEnd w:id="114"/>
      <w:r w:rsidRPr="008873B1">
        <w:t xml:space="preserve">.  However, for the purposes of the Court’s analysis, at this stage the relevant point is that the Swedish authorisation system offers a judicial </w:t>
      </w:r>
      <w:r w:rsidRPr="008873B1">
        <w:rPr>
          <w:i/>
        </w:rPr>
        <w:t>ex ante</w:t>
      </w:r>
      <w:r w:rsidRPr="008873B1">
        <w:t xml:space="preserve"> review of permit requests which is comprehensive, in the sense that the aim of the mission and the bearers and categories of selectors to be used are subject to control, and is sufficiently detailed in respect of secret bulk signals intelligence as part of foreign intelligence. Such a review offers a significant safeguard against, notably, the launch of abusive or clearly disproportionate bulk interception operations. Importantly, it also sets the framework within which a concrete operation must unfold and the limits whose observance then becomes the object of the applicable supervision and </w:t>
      </w:r>
      <w:r w:rsidRPr="008873B1">
        <w:rPr>
          <w:i/>
        </w:rPr>
        <w:t>ex post facto</w:t>
      </w:r>
      <w:r w:rsidRPr="008873B1">
        <w:t xml:space="preserve"> control mechanisms.</w:t>
      </w:r>
    </w:p>
    <w:p w:rsidRPr="00C22FCE" w:rsidR="004D0549" w:rsidP="00C22FCE" w:rsidRDefault="004D0549" w14:paraId="7E4B8963" w14:textId="77777777">
      <w:pPr>
        <w:pStyle w:val="JuHalpha"/>
      </w:pPr>
      <w:r w:rsidRPr="00C22FCE">
        <w:t>The procedures to be followed for selecting, examining and using intercept material</w:t>
      </w:r>
    </w:p>
    <w:bookmarkStart w:name="examination_beguin" w:id="115"/>
    <w:p w:rsidRPr="008873B1" w:rsidR="004D0549" w:rsidP="004D0549" w:rsidRDefault="004D0549" w14:paraId="32E28B96" w14:textId="6694900B">
      <w:pPr>
        <w:pStyle w:val="JuPara"/>
      </w:pPr>
      <w:r w:rsidRPr="008873B1">
        <w:fldChar w:fldCharType="begin"/>
      </w:r>
      <w:r w:rsidRPr="008873B1">
        <w:instrText xml:space="preserve"> SEQ level0 \*arabic </w:instrText>
      </w:r>
      <w:r w:rsidRPr="008873B1">
        <w:fldChar w:fldCharType="separate"/>
      </w:r>
      <w:r w:rsidR="004F11CA">
        <w:rPr>
          <w:noProof/>
        </w:rPr>
        <w:t>303</w:t>
      </w:r>
      <w:r w:rsidRPr="008873B1">
        <w:fldChar w:fldCharType="end"/>
      </w:r>
      <w:bookmarkEnd w:id="115"/>
      <w:r w:rsidRPr="008873B1">
        <w:t>.  It transpires from the material in the Court’s possession that in Sweden the interception of cable-based electronic signals is automated and the interception of such signals over the airways may be either automated or manual. Automated interception over the airways is a process that is identical to the process of interception of signals passing through cross-border cables.</w:t>
      </w:r>
    </w:p>
    <w:p w:rsidRPr="008873B1" w:rsidR="004D0549" w:rsidP="00674632" w:rsidRDefault="004D0549" w14:paraId="3811B8CF" w14:textId="1A79827A">
      <w:pPr>
        <w:pStyle w:val="JuPara"/>
      </w:pPr>
      <w:r w:rsidRPr="008873B1">
        <w:fldChar w:fldCharType="begin"/>
      </w:r>
      <w:r w:rsidRPr="008873B1">
        <w:instrText xml:space="preserve"> SEQ level0 \*arabic </w:instrText>
      </w:r>
      <w:r w:rsidRPr="008873B1">
        <w:fldChar w:fldCharType="separate"/>
      </w:r>
      <w:r w:rsidR="004F11CA">
        <w:rPr>
          <w:noProof/>
        </w:rPr>
        <w:t>304</w:t>
      </w:r>
      <w:r w:rsidRPr="008873B1">
        <w:fldChar w:fldCharType="end"/>
      </w:r>
      <w:r w:rsidRPr="008873B1">
        <w:t>.  As regards the use of non-automated interception and searches of electronic signals over the airways, the Swedish Government clarified before the Grand Chamber that it is primarily used for near real-time reporting of foreign military activities and is done by an operator who listens in real time to military radio transmissions on selected radio frequencies or looks at a screen where the energy from a signal in electronic form is visualised and then records relevant parts for analysing and reporting. The applicant did not comment in reply.</w:t>
      </w:r>
    </w:p>
    <w:p w:rsidRPr="008873B1" w:rsidR="004D0549" w:rsidP="00674632" w:rsidRDefault="004D0549" w14:paraId="1AEBA356" w14:textId="520BED8B">
      <w:pPr>
        <w:pStyle w:val="JuPara"/>
      </w:pPr>
      <w:r w:rsidRPr="008873B1">
        <w:fldChar w:fldCharType="begin"/>
      </w:r>
      <w:r w:rsidRPr="008873B1">
        <w:instrText xml:space="preserve"> SEQ level0 \*arabic </w:instrText>
      </w:r>
      <w:r w:rsidRPr="008873B1">
        <w:fldChar w:fldCharType="separate"/>
      </w:r>
      <w:r w:rsidR="004F11CA">
        <w:rPr>
          <w:noProof/>
        </w:rPr>
        <w:t>305</w:t>
      </w:r>
      <w:r w:rsidRPr="008873B1">
        <w:fldChar w:fldCharType="end"/>
      </w:r>
      <w:r w:rsidRPr="008873B1">
        <w:t>.  Even assuming that the interception of foreign military radio frequencies may affect Article 8 rights in rare cases, the Court notes that this aspect of the Swedish signals intelligence regime is covered by the same procedures and safeguards as applicable to interception and use of cable-based communications.</w:t>
      </w:r>
    </w:p>
    <w:p w:rsidRPr="008873B1" w:rsidR="004D0549" w:rsidP="004D0549" w:rsidRDefault="004D0549" w14:paraId="5CE5CE51" w14:textId="674F70CB">
      <w:pPr>
        <w:pStyle w:val="JuPara"/>
      </w:pPr>
      <w:r w:rsidRPr="008873B1">
        <w:fldChar w:fldCharType="begin"/>
      </w:r>
      <w:r w:rsidRPr="008873B1">
        <w:instrText xml:space="preserve"> SEQ level0 \*arabic </w:instrText>
      </w:r>
      <w:r w:rsidRPr="008873B1">
        <w:fldChar w:fldCharType="separate"/>
      </w:r>
      <w:r w:rsidR="004F11CA">
        <w:rPr>
          <w:noProof/>
        </w:rPr>
        <w:t>306</w:t>
      </w:r>
      <w:r w:rsidRPr="008873B1">
        <w:fldChar w:fldCharType="end"/>
      </w:r>
      <w:r w:rsidRPr="008873B1">
        <w:t>.  Turning to the procedure for examination of the intercepted material, the Court notes that, as explained by the respondent Government, the FRA processes the data through automated and manual means</w:t>
      </w:r>
      <w:r w:rsidR="00817600">
        <w:t>,</w:t>
      </w:r>
      <w:r w:rsidRPr="008873B1">
        <w:t xml:space="preserve"> using, among other</w:t>
      </w:r>
      <w:r w:rsidR="00817600">
        <w:t xml:space="preserve"> techniques</w:t>
      </w:r>
      <w:r w:rsidRPr="008873B1">
        <w:t xml:space="preserve">, cryptoanalysis, structuring and language translation. Thereafter, the processed information is analysed by an analyst in order to identify intelligence </w:t>
      </w:r>
      <w:r w:rsidR="00817600">
        <w:t>there</w:t>
      </w:r>
      <w:r w:rsidRPr="008873B1">
        <w:t xml:space="preserve">in. The next step consists in the elaboration of a report which is disseminated to selected recipients of foreign intelligence (see paragraphs </w:t>
      </w:r>
      <w:r w:rsidRPr="008873B1">
        <w:fldChar w:fldCharType="begin"/>
      </w:r>
      <w:r w:rsidRPr="008873B1">
        <w:instrText xml:space="preserve"> REF initial_interception \h </w:instrText>
      </w:r>
      <w:r w:rsidRPr="008873B1" w:rsidR="008873B1">
        <w:instrText xml:space="preserve"> \* MERGEFORMAT </w:instrText>
      </w:r>
      <w:r w:rsidRPr="008873B1">
        <w:fldChar w:fldCharType="separate"/>
      </w:r>
      <w:r w:rsidR="004F11CA">
        <w:t>18</w:t>
      </w:r>
      <w:r w:rsidRPr="008873B1">
        <w:fldChar w:fldCharType="end"/>
      </w:r>
      <w:r w:rsidRPr="008873B1">
        <w:t xml:space="preserve"> and </w:t>
      </w:r>
      <w:r w:rsidRPr="008873B1">
        <w:fldChar w:fldCharType="begin"/>
      </w:r>
      <w:r w:rsidRPr="008873B1">
        <w:instrText xml:space="preserve"> REF six_stages \h </w:instrText>
      </w:r>
      <w:r w:rsidRPr="008873B1" w:rsidR="008873B1">
        <w:instrText xml:space="preserve"> \* MERGEFORMAT </w:instrText>
      </w:r>
      <w:r w:rsidRPr="008873B1">
        <w:fldChar w:fldCharType="separate"/>
      </w:r>
      <w:r w:rsidR="004F11CA">
        <w:t>29</w:t>
      </w:r>
      <w:r w:rsidRPr="008873B1">
        <w:fldChar w:fldCharType="end"/>
      </w:r>
      <w:r w:rsidRPr="008873B1">
        <w:t xml:space="preserve"> above).</w:t>
      </w:r>
    </w:p>
    <w:p w:rsidRPr="008873B1" w:rsidR="004D0549" w:rsidP="004D0549" w:rsidRDefault="004D0549" w14:paraId="7728DC7A" w14:textId="62156577">
      <w:pPr>
        <w:pStyle w:val="JuPara"/>
      </w:pPr>
      <w:r w:rsidRPr="008873B1">
        <w:fldChar w:fldCharType="begin"/>
      </w:r>
      <w:r w:rsidRPr="008873B1">
        <w:instrText xml:space="preserve"> SEQ level0 \*arabic </w:instrText>
      </w:r>
      <w:r w:rsidRPr="008873B1">
        <w:fldChar w:fldCharType="separate"/>
      </w:r>
      <w:r w:rsidR="004F11CA">
        <w:rPr>
          <w:noProof/>
        </w:rPr>
        <w:t>307</w:t>
      </w:r>
      <w:r w:rsidRPr="008873B1">
        <w:fldChar w:fldCharType="end"/>
      </w:r>
      <w:r w:rsidRPr="008873B1">
        <w:t xml:space="preserve">.  In the Court’s view, it is significant that at the examination stage the FRA is under an obligation to discard intercepted domestic communications immediately </w:t>
      </w:r>
      <w:r w:rsidR="00817600">
        <w:t>once</w:t>
      </w:r>
      <w:r w:rsidRPr="008873B1">
        <w:t xml:space="preserve"> identified (see paragraph </w:t>
      </w:r>
      <w:r w:rsidRPr="008873B1">
        <w:fldChar w:fldCharType="begin"/>
      </w:r>
      <w:r w:rsidRPr="008873B1">
        <w:instrText xml:space="preserve"> REF discard_domestic \h </w:instrText>
      </w:r>
      <w:r w:rsidRPr="008873B1" w:rsidR="008873B1">
        <w:instrText xml:space="preserve"> \* MERGEFORMAT </w:instrText>
      </w:r>
      <w:r w:rsidRPr="008873B1">
        <w:fldChar w:fldCharType="separate"/>
      </w:r>
      <w:r w:rsidR="004F11CA">
        <w:t>38</w:t>
      </w:r>
      <w:r w:rsidRPr="008873B1">
        <w:fldChar w:fldCharType="end"/>
      </w:r>
      <w:r w:rsidRPr="008873B1">
        <w:t xml:space="preserve"> above).</w:t>
      </w:r>
    </w:p>
    <w:p w:rsidRPr="008873B1" w:rsidR="004D0549" w:rsidP="004D0549" w:rsidRDefault="004D0549" w14:paraId="759F3977" w14:textId="46BE35A2">
      <w:pPr>
        <w:pStyle w:val="JuPara"/>
      </w:pPr>
      <w:r w:rsidRPr="008873B1">
        <w:fldChar w:fldCharType="begin"/>
      </w:r>
      <w:r w:rsidRPr="008873B1">
        <w:instrText xml:space="preserve"> SEQ level0 \*arabic </w:instrText>
      </w:r>
      <w:r w:rsidRPr="008873B1">
        <w:fldChar w:fldCharType="separate"/>
      </w:r>
      <w:r w:rsidR="004F11CA">
        <w:rPr>
          <w:noProof/>
        </w:rPr>
        <w:t>308</w:t>
      </w:r>
      <w:r w:rsidRPr="008873B1">
        <w:fldChar w:fldCharType="end"/>
      </w:r>
      <w:r w:rsidRPr="008873B1">
        <w:t xml:space="preserve">.  Despite the fact that the distinction between domestic and foreign communications may not be waterproof and the prohibition to intercept the former apparently cannot prevent it from happening in the automatic stage of capturing signals, the exclusion of domestic traffic from the scope of signals intelligence must be seen as a significant limitation on the authorities’ discretion and as a safeguard against abuse. The limitation in question sets the framework within which the authorities </w:t>
      </w:r>
      <w:proofErr w:type="gramStart"/>
      <w:r w:rsidRPr="008873B1">
        <w:t>are allowed to</w:t>
      </w:r>
      <w:proofErr w:type="gramEnd"/>
      <w:r w:rsidRPr="008873B1">
        <w:t xml:space="preserve"> operate and provides the existing pre-authorisation, supervisi</w:t>
      </w:r>
      <w:r w:rsidR="009151FA">
        <w:t>o</w:t>
      </w:r>
      <w:r w:rsidRPr="008873B1">
        <w:t xml:space="preserve">n and control mechanisms with an important criterion related to the operation’s lawfulness and the protection of the rights of individuals. In particular, it is clear that the choice of communications bearers and categories of selectors – which is subject to control by the Foreign Intelligence Court (see paragraph </w:t>
      </w:r>
      <w:r w:rsidRPr="008873B1">
        <w:fldChar w:fldCharType="begin"/>
      </w:r>
      <w:r w:rsidRPr="008873B1">
        <w:instrText xml:space="preserve"> REF authorisation_begin \h </w:instrText>
      </w:r>
      <w:r w:rsidR="008873B1">
        <w:instrText xml:space="preserve"> \* MERGEFORMAT </w:instrText>
      </w:r>
      <w:r w:rsidRPr="008873B1">
        <w:fldChar w:fldCharType="separate"/>
      </w:r>
      <w:r w:rsidR="004F11CA">
        <w:t>30</w:t>
      </w:r>
      <w:r w:rsidRPr="008873B1">
        <w:fldChar w:fldCharType="end"/>
      </w:r>
      <w:r w:rsidRPr="008873B1">
        <w:t xml:space="preserve"> above) – must be in conformity with the above</w:t>
      </w:r>
      <w:r w:rsidR="009151FA">
        <w:t>-</w:t>
      </w:r>
      <w:r w:rsidRPr="008873B1">
        <w:t>mentioned exclusion of domestic communications.</w:t>
      </w:r>
    </w:p>
    <w:p w:rsidRPr="008873B1" w:rsidR="004D0549" w:rsidP="00674632" w:rsidRDefault="004D0549" w14:paraId="786C81E3" w14:textId="4C2B8698">
      <w:pPr>
        <w:pStyle w:val="JuPara"/>
      </w:pPr>
      <w:r w:rsidRPr="008873B1">
        <w:fldChar w:fldCharType="begin"/>
      </w:r>
      <w:r w:rsidRPr="008873B1">
        <w:instrText xml:space="preserve"> SEQ level0 \*arabic </w:instrText>
      </w:r>
      <w:r w:rsidRPr="008873B1">
        <w:fldChar w:fldCharType="separate"/>
      </w:r>
      <w:r w:rsidR="004F11CA">
        <w:rPr>
          <w:noProof/>
        </w:rPr>
        <w:t>309</w:t>
      </w:r>
      <w:r w:rsidRPr="008873B1">
        <w:fldChar w:fldCharType="end"/>
      </w:r>
      <w:r w:rsidRPr="008873B1">
        <w:t xml:space="preserve">.  As already noted above (see paragraph </w:t>
      </w:r>
      <w:r w:rsidRPr="008873B1">
        <w:fldChar w:fldCharType="begin"/>
      </w:r>
      <w:r w:rsidRPr="008873B1">
        <w:instrText xml:space="preserve"> REF para299 \h </w:instrText>
      </w:r>
      <w:r w:rsidR="008873B1">
        <w:instrText xml:space="preserve"> \* MERGEFORMAT </w:instrText>
      </w:r>
      <w:r w:rsidRPr="008873B1">
        <w:fldChar w:fldCharType="separate"/>
      </w:r>
      <w:r w:rsidR="004F11CA">
        <w:t>300</w:t>
      </w:r>
      <w:r w:rsidRPr="008873B1">
        <w:fldChar w:fldCharType="end"/>
      </w:r>
      <w:r w:rsidRPr="008873B1">
        <w:t xml:space="preserve">), the practice of the Foreign Intelligence Court regarding the pre-authorisation of selectors or categories of selectors directly linked to identifiable individuals has not been presented to the Court. The Court notes, however, the Government’s position that logs and records are systematically kept by the FRA throughout the process, from the collection of data to the final reporting, communicating to other parties and destruction. All searches made by analysts are recorded. When the search is made in a data compilation containing personal data the record includes the selectors used, the time, the name of the analyst and the justification for the search, including the detailed tasking directive which is the reason for the search. In addition to the logs, records are kept of decisions taken in the course of the </w:t>
      </w:r>
      <w:proofErr w:type="gramStart"/>
      <w:r w:rsidRPr="008873B1">
        <w:t>signals</w:t>
      </w:r>
      <w:proofErr w:type="gramEnd"/>
      <w:r w:rsidRPr="008873B1">
        <w:t xml:space="preserve"> intelligence process.</w:t>
      </w:r>
    </w:p>
    <w:p w:rsidRPr="008873B1" w:rsidR="004D0549" w:rsidP="00674632" w:rsidRDefault="004D0549" w14:paraId="75BFE4D0" w14:textId="6A8AAB7B">
      <w:pPr>
        <w:pStyle w:val="JuPara"/>
      </w:pPr>
      <w:r w:rsidRPr="008873B1">
        <w:fldChar w:fldCharType="begin"/>
      </w:r>
      <w:r w:rsidRPr="008873B1">
        <w:instrText xml:space="preserve"> SEQ level0 \*arabic </w:instrText>
      </w:r>
      <w:r w:rsidRPr="008873B1">
        <w:fldChar w:fldCharType="separate"/>
      </w:r>
      <w:r w:rsidR="004F11CA">
        <w:rPr>
          <w:noProof/>
        </w:rPr>
        <w:t>310</w:t>
      </w:r>
      <w:r w:rsidRPr="008873B1">
        <w:fldChar w:fldCharType="end"/>
      </w:r>
      <w:r w:rsidRPr="008873B1">
        <w:t>.  The applicant did not dispute the above but considered that (</w:t>
      </w:r>
      <w:proofErr w:type="spellStart"/>
      <w:r w:rsidRPr="008873B1">
        <w:t>i</w:t>
      </w:r>
      <w:proofErr w:type="spellEnd"/>
      <w:r w:rsidRPr="008873B1">
        <w:t xml:space="preserve">) it had not been shown that logs were sufficiently detailed and (ii) </w:t>
      </w:r>
      <w:r w:rsidR="009F3855">
        <w:t xml:space="preserve">the </w:t>
      </w:r>
      <w:r w:rsidRPr="008873B1">
        <w:t>FRA’s record-keeping practices, not being prescribed by law, were at the mercy of internal procedures and discretion.</w:t>
      </w:r>
    </w:p>
    <w:p w:rsidRPr="008873B1" w:rsidR="004D0549" w:rsidP="00674632" w:rsidRDefault="004D0549" w14:paraId="5DB9E96F" w14:textId="286EDD39">
      <w:pPr>
        <w:pStyle w:val="JuPara"/>
      </w:pPr>
      <w:r w:rsidRPr="008873B1">
        <w:fldChar w:fldCharType="begin"/>
      </w:r>
      <w:r w:rsidRPr="008873B1">
        <w:instrText xml:space="preserve"> SEQ level0 \*arabic </w:instrText>
      </w:r>
      <w:r w:rsidRPr="008873B1">
        <w:fldChar w:fldCharType="separate"/>
      </w:r>
      <w:r w:rsidR="004F11CA">
        <w:rPr>
          <w:noProof/>
        </w:rPr>
        <w:t>311</w:t>
      </w:r>
      <w:r w:rsidRPr="008873B1">
        <w:fldChar w:fldCharType="end"/>
      </w:r>
      <w:r w:rsidRPr="008873B1">
        <w:t xml:space="preserve">.  The Court considers that the obligation to keep logs and detailed record of each </w:t>
      </w:r>
      <w:proofErr w:type="gramStart"/>
      <w:r w:rsidRPr="008873B1">
        <w:t>step in</w:t>
      </w:r>
      <w:proofErr w:type="gramEnd"/>
      <w:r w:rsidRPr="008873B1">
        <w:t xml:space="preserve"> bulk interception operations, including all selectors used, must be set out in domestic law. The fact that in Sweden it </w:t>
      </w:r>
      <w:r w:rsidR="009F3855">
        <w:t>appear</w:t>
      </w:r>
      <w:r w:rsidRPr="008873B1">
        <w:t xml:space="preserve">s in internal instructions only is undoubtedly a shortcoming. However, having regard, in particular, to the existence of oversight mechanisms covering all aspects of </w:t>
      </w:r>
      <w:r w:rsidR="009F3855">
        <w:t xml:space="preserve">the </w:t>
      </w:r>
      <w:r w:rsidRPr="008873B1">
        <w:t xml:space="preserve">FRA’s activities, there is no reason to consider that detailed logs and records are not kept in practice or that the FRA could proceed to changing its internal instructions arbitrarily and removing its obligation in that regard. While it is true that in 2010 and 2016 the Swedish Data Protection Authority criticised an aspect of the FRA’s practices of keeping logs, this only concerned the manner in which the FRA monitored logs used to detect unwarranted use of personal data (see paragraph </w:t>
      </w:r>
      <w:r w:rsidRPr="008873B1">
        <w:fldChar w:fldCharType="begin"/>
      </w:r>
      <w:r w:rsidRPr="008873B1">
        <w:instrText xml:space="preserve"> REF report_DataProtAuth_2016 \h </w:instrText>
      </w:r>
      <w:r w:rsidR="008873B1">
        <w:instrText xml:space="preserve"> \* MERGEFORMAT </w:instrText>
      </w:r>
      <w:r w:rsidRPr="008873B1">
        <w:fldChar w:fldCharType="separate"/>
      </w:r>
      <w:r w:rsidRPr="004F11CA" w:rsidR="004F11CA">
        <w:rPr>
          <w:rFonts w:cstheme="minorHAnsi"/>
        </w:rPr>
        <w:t>76</w:t>
      </w:r>
      <w:r w:rsidRPr="008873B1">
        <w:fldChar w:fldCharType="end"/>
      </w:r>
      <w:r w:rsidRPr="008873B1">
        <w:t xml:space="preserve"> above). Furthermore, the Government clarified that since 1 January 2018 logs which were previously kept by separate “system owners” within the FRA are being sent to a central function, thus improving their monitoring. This change had been reported to the Swedish Data Protection Authority, which had not requested further action and had closed the file.</w:t>
      </w:r>
    </w:p>
    <w:p w:rsidRPr="008873B1" w:rsidR="004D0549" w:rsidP="00674632" w:rsidRDefault="004D0549" w14:paraId="403D3A7D" w14:textId="4384EF3E">
      <w:pPr>
        <w:pStyle w:val="JuPara"/>
      </w:pPr>
      <w:r w:rsidRPr="008873B1">
        <w:fldChar w:fldCharType="begin"/>
      </w:r>
      <w:r w:rsidRPr="008873B1">
        <w:instrText xml:space="preserve"> SEQ level0 \*arabic </w:instrText>
      </w:r>
      <w:r w:rsidRPr="008873B1">
        <w:fldChar w:fldCharType="separate"/>
      </w:r>
      <w:r w:rsidR="004F11CA">
        <w:rPr>
          <w:noProof/>
        </w:rPr>
        <w:t>312</w:t>
      </w:r>
      <w:r w:rsidRPr="008873B1">
        <w:fldChar w:fldCharType="end"/>
      </w:r>
      <w:r w:rsidRPr="008873B1">
        <w:t>.  Swedish law affords specific protection of personal data, including data that may reveal aspects of natural persons’ private life or communications. In the context of signals intelligence, the FRA Personal Data Processing Act imp</w:t>
      </w:r>
      <w:r w:rsidR="00DB750F">
        <w:t>ose</w:t>
      </w:r>
      <w:r w:rsidRPr="008873B1">
        <w:t xml:space="preserve">s on the FRA the obligation to ensure that personal data is collected only for the authorised purposes expressly determined through tasking directives and within the limits of the permit issued by the Foreign Intelligence Court. As noted by the Chamber, the personal data treated also </w:t>
      </w:r>
      <w:proofErr w:type="gramStart"/>
      <w:r w:rsidRPr="008873B1">
        <w:t>has to</w:t>
      </w:r>
      <w:proofErr w:type="gramEnd"/>
      <w:r w:rsidRPr="008873B1">
        <w:t xml:space="preserve"> be adequate and relevant in relation to the purpose of the treatment. No more personal data than what is necessary for that purpose may be processed. All reasonable efforts have to be made to correct, block and obliterate personal data which is incorrect or incomplete in relation to the purpose (see paragraph </w:t>
      </w:r>
      <w:r w:rsidRPr="008873B1">
        <w:fldChar w:fldCharType="begin"/>
      </w:r>
      <w:r w:rsidRPr="008873B1">
        <w:instrText xml:space="preserve"> REF Personal_data_process_act \h </w:instrText>
      </w:r>
      <w:r w:rsidR="008873B1">
        <w:instrText xml:space="preserve"> \* MERGEFORMAT </w:instrText>
      </w:r>
      <w:r w:rsidRPr="008873B1">
        <w:fldChar w:fldCharType="separate"/>
      </w:r>
      <w:r w:rsidR="004F11CA">
        <w:t>40</w:t>
      </w:r>
      <w:r w:rsidRPr="008873B1">
        <w:fldChar w:fldCharType="end"/>
      </w:r>
      <w:r w:rsidRPr="008873B1">
        <w:t xml:space="preserve"> above). The FRA staff treating personal data are security cleared, subject to confidentiality and under an obligation to handle the personal data in a safe manner. Also, they could face criminal sanctions if tasks relating to the treatment of personal data are mismanaged (see paragraph </w:t>
      </w:r>
      <w:r w:rsidRPr="008873B1">
        <w:fldChar w:fldCharType="begin"/>
      </w:r>
      <w:r w:rsidRPr="008873B1">
        <w:instrText xml:space="preserve"> REF FRA_staff \h </w:instrText>
      </w:r>
      <w:r w:rsidR="008873B1">
        <w:instrText xml:space="preserve"> \* MERGEFORMAT </w:instrText>
      </w:r>
      <w:r w:rsidRPr="008873B1">
        <w:fldChar w:fldCharType="separate"/>
      </w:r>
      <w:r w:rsidR="004F11CA">
        <w:t>42</w:t>
      </w:r>
      <w:r w:rsidRPr="008873B1">
        <w:fldChar w:fldCharType="end"/>
      </w:r>
      <w:r w:rsidRPr="008873B1">
        <w:t xml:space="preserve"> above).</w:t>
      </w:r>
    </w:p>
    <w:p w:rsidRPr="008873B1" w:rsidR="004D0549" w:rsidP="004D0549" w:rsidRDefault="004D0549" w14:paraId="07F9AE39" w14:textId="3930E4EF">
      <w:pPr>
        <w:pStyle w:val="JuPara"/>
      </w:pPr>
      <w:r w:rsidRPr="008873B1">
        <w:fldChar w:fldCharType="begin"/>
      </w:r>
      <w:r w:rsidRPr="008873B1">
        <w:instrText xml:space="preserve"> SEQ level0 \*arabic </w:instrText>
      </w:r>
      <w:r w:rsidRPr="008873B1">
        <w:fldChar w:fldCharType="separate"/>
      </w:r>
      <w:r w:rsidR="004F11CA">
        <w:rPr>
          <w:noProof/>
        </w:rPr>
        <w:t>313</w:t>
      </w:r>
      <w:r w:rsidRPr="008873B1">
        <w:fldChar w:fldCharType="end"/>
      </w:r>
      <w:r w:rsidRPr="008873B1">
        <w:t>.  The applicant criticised the fact that the safeguards mentioned in the preceding paragraph only apply to intercepted material containing “information that is directly or indirectly related to a natural living person”. The applicant deduced from this fact that legal persons were left unprotected.</w:t>
      </w:r>
    </w:p>
    <w:p w:rsidRPr="008873B1" w:rsidR="004D0549" w:rsidP="004D0549" w:rsidRDefault="004D0549" w14:paraId="109D67E6" w14:textId="6304F57D">
      <w:pPr>
        <w:pStyle w:val="JuPara"/>
      </w:pPr>
      <w:r w:rsidRPr="008873B1">
        <w:fldChar w:fldCharType="begin"/>
      </w:r>
      <w:r w:rsidRPr="008873B1">
        <w:instrText xml:space="preserve"> SEQ level0 \*arabic </w:instrText>
      </w:r>
      <w:r w:rsidRPr="008873B1">
        <w:fldChar w:fldCharType="separate"/>
      </w:r>
      <w:r w:rsidR="004F11CA">
        <w:rPr>
          <w:noProof/>
        </w:rPr>
        <w:t>314</w:t>
      </w:r>
      <w:r w:rsidRPr="008873B1">
        <w:fldChar w:fldCharType="end"/>
      </w:r>
      <w:r w:rsidRPr="008873B1">
        <w:t>.  The Court observes, however, that there is nothing to suggest that the protection guaranteed by the FRA Personal Data Processing Act and the FRA Personal Data Processing Ordinance does not apply to the content of communications exchanged by legal persons</w:t>
      </w:r>
      <w:r w:rsidR="00CA1DB8">
        <w:t xml:space="preserve"> such</w:t>
      </w:r>
      <w:r w:rsidRPr="008873B1">
        <w:t xml:space="preserve"> as the applicant whenever those include “information that is directly or indirectly related to a natural living person”. Furthermore, it must be noted that most legal requirements and safeguards provided for in the above</w:t>
      </w:r>
      <w:r w:rsidR="00CA1DB8">
        <w:t>-</w:t>
      </w:r>
      <w:r w:rsidRPr="008873B1">
        <w:t xml:space="preserve">mentioned legislation would normally be of value to natural persons only. For example, the Act in question prohibits processing of personal data solely because of what is known of a person’s race or ethnicity, political, religious or philosophical views, membership </w:t>
      </w:r>
      <w:r w:rsidR="00CA1DB8">
        <w:t>of</w:t>
      </w:r>
      <w:r w:rsidRPr="008873B1">
        <w:t xml:space="preserve"> a union, health or sexual life. It provides for</w:t>
      </w:r>
      <w:r w:rsidR="00CA1DB8">
        <w:t xml:space="preserve"> a</w:t>
      </w:r>
      <w:r w:rsidRPr="008873B1">
        <w:t xml:space="preserve"> special requirement limiting the keeping of material containing personal data and for sanctions for mismanagement of personal data. It guarantees specific monitoring of personal data treatment and sets out the powers of the Data Protection Authority in this regard. In other words, the Act in question adds another layer of protection, tailored to the specificities of personal data, to the already existing safeguards that are applicable to information concerning natural and legal persons alike.</w:t>
      </w:r>
    </w:p>
    <w:p w:rsidRPr="008873B1" w:rsidR="004D0549" w:rsidP="004D0549" w:rsidRDefault="004D0549" w14:paraId="01A795F6" w14:textId="323A5445">
      <w:pPr>
        <w:pStyle w:val="JuPara"/>
      </w:pPr>
      <w:r w:rsidRPr="008873B1">
        <w:fldChar w:fldCharType="begin"/>
      </w:r>
      <w:r w:rsidRPr="008873B1">
        <w:instrText xml:space="preserve"> SEQ level0 \*arabic </w:instrText>
      </w:r>
      <w:r w:rsidRPr="008873B1">
        <w:fldChar w:fldCharType="separate"/>
      </w:r>
      <w:r w:rsidR="004F11CA">
        <w:rPr>
          <w:noProof/>
        </w:rPr>
        <w:t>315</w:t>
      </w:r>
      <w:r w:rsidRPr="008873B1">
        <w:fldChar w:fldCharType="end"/>
      </w:r>
      <w:r w:rsidRPr="008873B1">
        <w:t xml:space="preserve">.  This approach, which </w:t>
      </w:r>
      <w:proofErr w:type="gramStart"/>
      <w:r w:rsidRPr="008873B1">
        <w:t>takes into account</w:t>
      </w:r>
      <w:proofErr w:type="gramEnd"/>
      <w:r w:rsidRPr="008873B1">
        <w:t xml:space="preserve"> the special sensitivity of personal data, does not seem to be problematic and does not mean that the communications of legal persons are left unprotected by safeguards.  Contrary to the applicant’s claim, there is nothing in the relevant legislation suggesting that intercept material not containing personal data can be used for purposes incompatible with the original purpose of the interception, as approved by the Foreign Intelligence Court.</w:t>
      </w:r>
    </w:p>
    <w:bookmarkStart w:name="examination_end" w:id="116"/>
    <w:p w:rsidRPr="008873B1" w:rsidR="004D0549" w:rsidP="004D0549" w:rsidRDefault="004D0549" w14:paraId="1530A2B6" w14:textId="226D3AC0">
      <w:pPr>
        <w:pStyle w:val="JuPara"/>
      </w:pPr>
      <w:r w:rsidRPr="008873B1">
        <w:fldChar w:fldCharType="begin"/>
      </w:r>
      <w:r w:rsidRPr="008873B1">
        <w:instrText xml:space="preserve"> SEQ level0 \*arabic </w:instrText>
      </w:r>
      <w:r w:rsidRPr="008873B1">
        <w:fldChar w:fldCharType="separate"/>
      </w:r>
      <w:r w:rsidR="004F11CA">
        <w:rPr>
          <w:noProof/>
        </w:rPr>
        <w:t>316</w:t>
      </w:r>
      <w:r w:rsidRPr="008873B1">
        <w:fldChar w:fldCharType="end"/>
      </w:r>
      <w:bookmarkEnd w:id="116"/>
      <w:r w:rsidRPr="008873B1">
        <w:t>.  In sum, the Court is satisfied that the legislation on selecting, examining and using intercepted data provides adequate safeguards against abuse that may affect Article 8 rights.</w:t>
      </w:r>
    </w:p>
    <w:p w:rsidRPr="00C22FCE" w:rsidR="004D0549" w:rsidP="00C22FCE" w:rsidRDefault="004D0549" w14:paraId="05DED745" w14:textId="77777777">
      <w:pPr>
        <w:pStyle w:val="JuHalpha"/>
      </w:pPr>
      <w:r w:rsidRPr="00C22FCE">
        <w:t>The precautions to be taken when communicating the material to other parties</w:t>
      </w:r>
    </w:p>
    <w:p w:rsidRPr="008873B1" w:rsidR="004D0549" w:rsidP="004D0549" w:rsidRDefault="004D0549" w14:paraId="50F5250E" w14:textId="514F11EF">
      <w:pPr>
        <w:pStyle w:val="JuPara"/>
      </w:pPr>
      <w:r w:rsidRPr="008873B1">
        <w:fldChar w:fldCharType="begin"/>
      </w:r>
      <w:r w:rsidRPr="008873B1">
        <w:instrText xml:space="preserve"> SEQ level0 \*arabic </w:instrText>
      </w:r>
      <w:r w:rsidRPr="008873B1">
        <w:fldChar w:fldCharType="separate"/>
      </w:r>
      <w:r w:rsidR="004F11CA">
        <w:rPr>
          <w:noProof/>
        </w:rPr>
        <w:t>317</w:t>
      </w:r>
      <w:r w:rsidRPr="008873B1">
        <w:fldChar w:fldCharType="end"/>
      </w:r>
      <w:r w:rsidRPr="008873B1">
        <w:t>.  As regards communication of data from the FRA to other Swedish Government bodies, the Court observes that the very purpose of signals intelligence is to obtain information that is useful for the mission of relevant sectors of Government. The circle of domestic authorities that may be given such information in Sweden is narrow and includes above all the Security Police and the Armed Forces. The FRA may grant these bodies direct access to data that constitutes the results of analysis in a data compilation, to enable them to make assessments of terrorist threats at strategic level. This is done</w:t>
      </w:r>
      <w:proofErr w:type="gramStart"/>
      <w:r w:rsidRPr="008873B1">
        <w:t>, in particular, in</w:t>
      </w:r>
      <w:proofErr w:type="gramEnd"/>
      <w:r w:rsidRPr="008873B1">
        <w:t xml:space="preserve"> the framework of a tripartite working group of analysts from the FRA, the Security Police and the Armed Forces, called the National Centre for Assessment of Terrorist Threats. The Court considers that the above regime is clearly circumscribed and does not appear to generate a particular risk of abuse.</w:t>
      </w:r>
    </w:p>
    <w:p w:rsidRPr="008873B1" w:rsidR="004D0549" w:rsidP="00674632" w:rsidRDefault="004D0549" w14:paraId="679B6802" w14:textId="0040736B">
      <w:pPr>
        <w:pStyle w:val="JuPara"/>
      </w:pPr>
      <w:r w:rsidRPr="008873B1">
        <w:fldChar w:fldCharType="begin"/>
      </w:r>
      <w:r w:rsidRPr="008873B1">
        <w:instrText xml:space="preserve"> SEQ level0 \*arabic </w:instrText>
      </w:r>
      <w:r w:rsidRPr="008873B1">
        <w:fldChar w:fldCharType="separate"/>
      </w:r>
      <w:r w:rsidR="004F11CA">
        <w:rPr>
          <w:noProof/>
        </w:rPr>
        <w:t>318</w:t>
      </w:r>
      <w:r w:rsidRPr="008873B1">
        <w:fldChar w:fldCharType="end"/>
      </w:r>
      <w:r w:rsidRPr="008873B1">
        <w:t xml:space="preserve">.  The Court further notes that the Chamber expressed concerns as regards the Swedish arrangements on communicating data to foreign Governments or international organisations, pointing to three issues: </w:t>
      </w:r>
      <w:r w:rsidR="00CA1DB8">
        <w:t>(</w:t>
      </w:r>
      <w:r w:rsidRPr="008873B1">
        <w:t>a) that the legislation does not require consideration of possible harm to the individual concerned when making a decision about sharing</w:t>
      </w:r>
      <w:r w:rsidR="00CA1DB8">
        <w:t>;</w:t>
      </w:r>
      <w:r w:rsidRPr="008873B1">
        <w:t xml:space="preserve"> </w:t>
      </w:r>
      <w:r w:rsidR="00CA1DB8">
        <w:t>(</w:t>
      </w:r>
      <w:r w:rsidRPr="008873B1">
        <w:t>b) that there is no provision requiring the recipient State or organisation to protect the data with the same or similar safeguards as those applicable under Swedish law and</w:t>
      </w:r>
      <w:r w:rsidR="00CA1DB8">
        <w:t>;</w:t>
      </w:r>
      <w:r w:rsidRPr="008873B1">
        <w:t xml:space="preserve"> </w:t>
      </w:r>
      <w:r w:rsidR="00CA1DB8">
        <w:t>(</w:t>
      </w:r>
      <w:r w:rsidRPr="008873B1">
        <w:t>c) that the possibility to communicate data when necessary for “international defence and security cooperation” opens up for a rather wide scope of discretion. The Chamber nevertheless considered that the supervisory mechanisms sufficiently counterbalanced these regulatory shortcomings (see paragraph 150 of the Chamber judgment).</w:t>
      </w:r>
    </w:p>
    <w:p w:rsidRPr="008873B1" w:rsidR="004D0549" w:rsidP="00674632" w:rsidRDefault="004D0549" w14:paraId="4FF1F5AF" w14:textId="40DB130D">
      <w:pPr>
        <w:pStyle w:val="JuPara"/>
      </w:pPr>
      <w:r w:rsidRPr="008873B1">
        <w:fldChar w:fldCharType="begin"/>
      </w:r>
      <w:r w:rsidRPr="008873B1">
        <w:instrText xml:space="preserve"> SEQ level0 \*arabic </w:instrText>
      </w:r>
      <w:r w:rsidRPr="008873B1">
        <w:fldChar w:fldCharType="separate"/>
      </w:r>
      <w:r w:rsidR="004F11CA">
        <w:rPr>
          <w:noProof/>
        </w:rPr>
        <w:t>319</w:t>
      </w:r>
      <w:r w:rsidRPr="008873B1">
        <w:fldChar w:fldCharType="end"/>
      </w:r>
      <w:r w:rsidRPr="008873B1">
        <w:t xml:space="preserve">.  Before the Grand Chamber the Government essentially disputed that there were areas of concern, emphasising that international cooperation was limited to exchanges with trusted foreign partners and was monitored by the Inspectorate, whereas the applicant considered that the discretion granted to the FRA was too broad and that the existing supervisory mechanisms did not counterbalance the identified shortcomings, there being no legal requirements </w:t>
      </w:r>
      <w:r w:rsidR="00CA1DB8">
        <w:t>in respect of which</w:t>
      </w:r>
      <w:r w:rsidRPr="008873B1">
        <w:t xml:space="preserve"> compliance could be supervised (see the parties’ positions in more detail in paragraphs </w:t>
      </w:r>
      <w:r w:rsidRPr="008873B1">
        <w:fldChar w:fldCharType="begin"/>
      </w:r>
      <w:r w:rsidRPr="008873B1">
        <w:instrText xml:space="preserve"> REF appls_on_sharing \h </w:instrText>
      </w:r>
      <w:r w:rsidR="008873B1">
        <w:instrText xml:space="preserve"> \* MERGEFORMAT </w:instrText>
      </w:r>
      <w:r w:rsidRPr="008873B1">
        <w:fldChar w:fldCharType="separate"/>
      </w:r>
      <w:r w:rsidR="004F11CA">
        <w:t>200</w:t>
      </w:r>
      <w:r w:rsidRPr="008873B1">
        <w:fldChar w:fldCharType="end"/>
      </w:r>
      <w:r w:rsidRPr="008873B1">
        <w:t xml:space="preserve">, </w:t>
      </w:r>
      <w:r w:rsidRPr="008873B1">
        <w:fldChar w:fldCharType="begin"/>
      </w:r>
      <w:r w:rsidRPr="008873B1">
        <w:instrText xml:space="preserve"> REF appls_on_sharing_end \h </w:instrText>
      </w:r>
      <w:r w:rsidR="008873B1">
        <w:instrText xml:space="preserve"> \* MERGEFORMAT </w:instrText>
      </w:r>
      <w:r w:rsidRPr="008873B1">
        <w:fldChar w:fldCharType="separate"/>
      </w:r>
      <w:r w:rsidR="004F11CA">
        <w:t>201</w:t>
      </w:r>
      <w:r w:rsidRPr="008873B1">
        <w:fldChar w:fldCharType="end"/>
      </w:r>
      <w:r w:rsidRPr="008873B1">
        <w:t xml:space="preserve">, </w:t>
      </w:r>
      <w:r w:rsidRPr="008873B1">
        <w:fldChar w:fldCharType="begin"/>
      </w:r>
      <w:r w:rsidRPr="008873B1">
        <w:instrText xml:space="preserve"> REF Gov_on_sharing_endofit \h </w:instrText>
      </w:r>
      <w:r w:rsidR="008873B1">
        <w:instrText xml:space="preserve"> \* MERGEFORMAT </w:instrText>
      </w:r>
      <w:r w:rsidRPr="008873B1">
        <w:fldChar w:fldCharType="separate"/>
      </w:r>
      <w:r w:rsidR="004F11CA">
        <w:t>215</w:t>
      </w:r>
      <w:r w:rsidRPr="008873B1">
        <w:fldChar w:fldCharType="end"/>
      </w:r>
      <w:r w:rsidRPr="008873B1">
        <w:t xml:space="preserve"> and </w:t>
      </w:r>
      <w:r w:rsidRPr="008873B1">
        <w:fldChar w:fldCharType="begin"/>
      </w:r>
      <w:r w:rsidRPr="008873B1">
        <w:instrText xml:space="preserve"> REF Gov_on_sharing_end \h </w:instrText>
      </w:r>
      <w:r w:rsidR="008873B1">
        <w:instrText xml:space="preserve"> \* MERGEFORMAT </w:instrText>
      </w:r>
      <w:r w:rsidRPr="008873B1">
        <w:fldChar w:fldCharType="separate"/>
      </w:r>
      <w:r w:rsidR="004F11CA">
        <w:t>216</w:t>
      </w:r>
      <w:r w:rsidRPr="008873B1">
        <w:fldChar w:fldCharType="end"/>
      </w:r>
      <w:r w:rsidRPr="008873B1">
        <w:t xml:space="preserve"> above).</w:t>
      </w:r>
    </w:p>
    <w:p w:rsidRPr="008873B1" w:rsidR="004D0549" w:rsidP="00674632" w:rsidRDefault="004D0549" w14:paraId="106B1611" w14:textId="51353E3E">
      <w:pPr>
        <w:pStyle w:val="JuPara"/>
      </w:pPr>
      <w:r w:rsidRPr="008873B1">
        <w:fldChar w:fldCharType="begin"/>
      </w:r>
      <w:r w:rsidRPr="008873B1">
        <w:instrText xml:space="preserve"> SEQ level0 \*arabic </w:instrText>
      </w:r>
      <w:r w:rsidRPr="008873B1">
        <w:fldChar w:fldCharType="separate"/>
      </w:r>
      <w:r w:rsidR="004F11CA">
        <w:rPr>
          <w:noProof/>
        </w:rPr>
        <w:t>320</w:t>
      </w:r>
      <w:r w:rsidRPr="008873B1">
        <w:fldChar w:fldCharType="end"/>
      </w:r>
      <w:r w:rsidRPr="008873B1">
        <w:t xml:space="preserve">.  The Court </w:t>
      </w:r>
      <w:r w:rsidR="00CA1DB8">
        <w:t>points out</w:t>
      </w:r>
      <w:r w:rsidRPr="008873B1">
        <w:t xml:space="preserve"> at the outset that in the present case it is not dealing with a concrete occurrence of, for example, the disclosure or use, by a foreign Government or organisation, of personal data transmitted to them by the Swedish authorities. Indeed, no examples about such disclosures or use have been submitted to the Court. Nonetheless, insofar as the possibility of transmitting intelligence to foreign parties is part of the Swedish bulk interception regime and activities whose very existence can be seen as interfering with Article 8 rights, the Court, having regard to the applicant’s complaints, must review the Swedish intelligence transmission regime and its functioning for their compliance with the requirements of quality of the law and necessity in a democratic society. The applicant’s complaints relate solely to the sending of intelligence to foreign parties and do not concern the receipt of foreign intelligence and its use by the Swedish authorities.</w:t>
      </w:r>
    </w:p>
    <w:p w:rsidRPr="008873B1" w:rsidR="004D0549" w:rsidP="00674632" w:rsidRDefault="004D0549" w14:paraId="773A3555" w14:textId="0E2B7FD8">
      <w:pPr>
        <w:pStyle w:val="JuPara"/>
      </w:pPr>
      <w:r w:rsidRPr="008873B1">
        <w:fldChar w:fldCharType="begin"/>
      </w:r>
      <w:r w:rsidRPr="008873B1">
        <w:instrText xml:space="preserve"> SEQ level0 \*arabic </w:instrText>
      </w:r>
      <w:r w:rsidRPr="008873B1">
        <w:fldChar w:fldCharType="separate"/>
      </w:r>
      <w:r w:rsidR="004F11CA">
        <w:rPr>
          <w:noProof/>
        </w:rPr>
        <w:t>321</w:t>
      </w:r>
      <w:r w:rsidRPr="008873B1">
        <w:fldChar w:fldCharType="end"/>
      </w:r>
      <w:r w:rsidRPr="008873B1">
        <w:t>.  It is undisputed that Contracting States may need to transmit to foreign services intelligence obtained through bulk interception of communications for a variety of reasons, including warning foreign Governments about threats, soliciting their help in identifying and dealing with threats or enabling international organisations to act in exercise of their mandate. International cooperation is crucial for the effectiveness of the authorities’ efforts to detect and thwart potential threats to Contracting States’ national security.</w:t>
      </w:r>
    </w:p>
    <w:p w:rsidRPr="008873B1" w:rsidR="004D0549" w:rsidP="00674632" w:rsidRDefault="004D0549" w14:paraId="0F1CEFB3" w14:textId="22C483E6">
      <w:pPr>
        <w:pStyle w:val="JuPara"/>
      </w:pPr>
      <w:r w:rsidRPr="008873B1">
        <w:fldChar w:fldCharType="begin"/>
      </w:r>
      <w:r w:rsidRPr="008873B1">
        <w:instrText xml:space="preserve"> SEQ level0 \*arabic </w:instrText>
      </w:r>
      <w:r w:rsidRPr="008873B1">
        <w:fldChar w:fldCharType="separate"/>
      </w:r>
      <w:r w:rsidR="004F11CA">
        <w:rPr>
          <w:noProof/>
        </w:rPr>
        <w:t>322</w:t>
      </w:r>
      <w:r w:rsidRPr="008873B1">
        <w:fldChar w:fldCharType="end"/>
      </w:r>
      <w:r w:rsidRPr="008873B1">
        <w:t xml:space="preserve">.  The Court observes that the possibility for the FRA to share intelligence it has obtained with foreign partners is provided for in Swedish law, which also sets out the relevant general purpose (see paragraphs </w:t>
      </w:r>
      <w:r w:rsidRPr="008873B1">
        <w:fldChar w:fldCharType="begin"/>
      </w:r>
      <w:r w:rsidRPr="008873B1">
        <w:instrText xml:space="preserve"> REF criteria_sending_foreign \h </w:instrText>
      </w:r>
      <w:r w:rsidR="008873B1">
        <w:instrText xml:space="preserve"> \* MERGEFORMAT </w:instrText>
      </w:r>
      <w:r w:rsidRPr="008873B1">
        <w:fldChar w:fldCharType="separate"/>
      </w:r>
      <w:r w:rsidR="004F11CA">
        <w:t>49</w:t>
      </w:r>
      <w:r w:rsidRPr="008873B1">
        <w:fldChar w:fldCharType="end"/>
      </w:r>
      <w:r w:rsidRPr="008873B1">
        <w:t xml:space="preserve"> and </w:t>
      </w:r>
      <w:r w:rsidRPr="008873B1">
        <w:fldChar w:fldCharType="begin"/>
      </w:r>
      <w:r w:rsidRPr="008873B1">
        <w:instrText xml:space="preserve"> REF criteria_sending_foreign_2 \h </w:instrText>
      </w:r>
      <w:r w:rsidR="008873B1">
        <w:instrText xml:space="preserve"> \* MERGEFORMAT </w:instrText>
      </w:r>
      <w:r w:rsidRPr="008873B1">
        <w:fldChar w:fldCharType="separate"/>
      </w:r>
      <w:r w:rsidRPr="004F11CA" w:rsidR="004F11CA">
        <w:rPr>
          <w:rFonts w:cstheme="minorHAnsi"/>
        </w:rPr>
        <w:t>74</w:t>
      </w:r>
      <w:r w:rsidRPr="008873B1">
        <w:fldChar w:fldCharType="end"/>
      </w:r>
      <w:r w:rsidRPr="008873B1">
        <w:t xml:space="preserve"> above). It is to be observed, </w:t>
      </w:r>
      <w:r w:rsidR="00330074">
        <w:t>however</w:t>
      </w:r>
      <w:r w:rsidRPr="008873B1">
        <w:t xml:space="preserve">, that the level of generality of the terms used cannot but lead to the conclusion that the FRA may send intelligence abroad whenever this </w:t>
      </w:r>
      <w:proofErr w:type="gramStart"/>
      <w:r w:rsidRPr="008873B1">
        <w:t>is considered to be</w:t>
      </w:r>
      <w:proofErr w:type="gramEnd"/>
      <w:r w:rsidRPr="008873B1">
        <w:t xml:space="preserve"> in the national interest.</w:t>
      </w:r>
    </w:p>
    <w:p w:rsidRPr="008873B1" w:rsidR="004D0549" w:rsidP="00674632" w:rsidRDefault="004D0549" w14:paraId="64245634" w14:textId="066446AA">
      <w:pPr>
        <w:pStyle w:val="JuPara"/>
      </w:pPr>
      <w:r w:rsidRPr="008873B1">
        <w:fldChar w:fldCharType="begin"/>
      </w:r>
      <w:r w:rsidRPr="008873B1">
        <w:instrText xml:space="preserve"> SEQ level0 \*arabic </w:instrText>
      </w:r>
      <w:r w:rsidRPr="008873B1">
        <w:fldChar w:fldCharType="separate"/>
      </w:r>
      <w:r w:rsidR="004F11CA">
        <w:rPr>
          <w:noProof/>
        </w:rPr>
        <w:t>323</w:t>
      </w:r>
      <w:r w:rsidRPr="008873B1">
        <w:fldChar w:fldCharType="end"/>
      </w:r>
      <w:r w:rsidRPr="008873B1">
        <w:t xml:space="preserve">.  Having regard to the unpredictability of situations that may warrant cooperation with foreign intelligence partners, it is understandable that the precise scope of intelligence sharing </w:t>
      </w:r>
      <w:r w:rsidR="00330074">
        <w:t>can</w:t>
      </w:r>
      <w:r w:rsidRPr="008873B1">
        <w:t xml:space="preserve">not be circumscribed in law through, for example, exhaustive and detailed lists of such situations or </w:t>
      </w:r>
      <w:r w:rsidR="00330074">
        <w:t xml:space="preserve">the </w:t>
      </w:r>
      <w:r w:rsidRPr="008873B1">
        <w:t>types of intelligence or content that can be transmitted.  The applicable legal regulation and practice must operate, however, in a manner capable of limiting the risk of abuse and disproportionate interference with Article 8 rights.</w:t>
      </w:r>
    </w:p>
    <w:p w:rsidRPr="008873B1" w:rsidR="004D0549" w:rsidP="00674632" w:rsidRDefault="004D0549" w14:paraId="610C0139" w14:textId="568D2973">
      <w:pPr>
        <w:pStyle w:val="JuPara"/>
      </w:pPr>
      <w:r w:rsidRPr="008873B1">
        <w:fldChar w:fldCharType="begin"/>
      </w:r>
      <w:r w:rsidRPr="008873B1">
        <w:instrText xml:space="preserve"> SEQ level0 \*arabic </w:instrText>
      </w:r>
      <w:r w:rsidRPr="008873B1">
        <w:fldChar w:fldCharType="separate"/>
      </w:r>
      <w:r w:rsidR="004F11CA">
        <w:rPr>
          <w:noProof/>
        </w:rPr>
        <w:t>324</w:t>
      </w:r>
      <w:r w:rsidRPr="008873B1">
        <w:fldChar w:fldCharType="end"/>
      </w:r>
      <w:r w:rsidRPr="008873B1">
        <w:t>.  In this regard the Court notes, first, that in</w:t>
      </w:r>
      <w:r w:rsidR="00330074">
        <w:t xml:space="preserve"> </w:t>
      </w:r>
      <w:r w:rsidRPr="008873B1">
        <w:t>so</w:t>
      </w:r>
      <w:r w:rsidR="00330074">
        <w:t xml:space="preserve"> </w:t>
      </w:r>
      <w:r w:rsidRPr="008873B1">
        <w:t xml:space="preserve">far as the intelligence transmitted to foreign services is in the form of information obtained by the FRA through its bulk interception activities, it is necessarily the product of legally regulated procedures to which all relevant safeguards apply. This includes the procedural guarantees, such as the authorisation by the Foreign Intelligence Court and the supervision by the Inspectorate (see paragraphs  </w:t>
      </w:r>
      <w:r w:rsidRPr="008873B1">
        <w:fldChar w:fldCharType="begin"/>
      </w:r>
      <w:r w:rsidRPr="008873B1">
        <w:instrText xml:space="preserve"> REF authoris_procedure \h </w:instrText>
      </w:r>
      <w:r w:rsidR="008873B1">
        <w:instrText xml:space="preserve"> \* MERGEFORMAT </w:instrText>
      </w:r>
      <w:r w:rsidRPr="008873B1">
        <w:fldChar w:fldCharType="separate"/>
      </w:r>
      <w:r w:rsidR="004F11CA">
        <w:t>295</w:t>
      </w:r>
      <w:r w:rsidRPr="008873B1">
        <w:fldChar w:fldCharType="end"/>
      </w:r>
      <w:r w:rsidRPr="008873B1">
        <w:t>-</w:t>
      </w:r>
      <w:r w:rsidRPr="008873B1">
        <w:fldChar w:fldCharType="begin"/>
      </w:r>
      <w:r w:rsidRPr="008873B1">
        <w:instrText xml:space="preserve"> REF authorisation_conclusion \h </w:instrText>
      </w:r>
      <w:r w:rsidR="008873B1">
        <w:instrText xml:space="preserve"> \* MERGEFORMAT </w:instrText>
      </w:r>
      <w:r w:rsidRPr="008873B1">
        <w:fldChar w:fldCharType="separate"/>
      </w:r>
      <w:r w:rsidR="004F11CA">
        <w:t>302</w:t>
      </w:r>
      <w:r w:rsidRPr="008873B1">
        <w:fldChar w:fldCharType="end"/>
      </w:r>
      <w:r w:rsidRPr="008873B1">
        <w:t xml:space="preserve"> above and </w:t>
      </w:r>
      <w:r w:rsidRPr="008873B1">
        <w:fldChar w:fldCharType="begin"/>
      </w:r>
      <w:r w:rsidRPr="008873B1">
        <w:instrText xml:space="preserve"> REF supervision_beguin \h </w:instrText>
      </w:r>
      <w:r w:rsidR="008873B1">
        <w:instrText xml:space="preserve"> \* MERGEFORMAT </w:instrText>
      </w:r>
      <w:r w:rsidRPr="008873B1">
        <w:fldChar w:fldCharType="separate"/>
      </w:r>
      <w:r w:rsidR="004F11CA">
        <w:t>345</w:t>
      </w:r>
      <w:r w:rsidRPr="008873B1">
        <w:fldChar w:fldCharType="end"/>
      </w:r>
      <w:r w:rsidRPr="008873B1">
        <w:t>-</w:t>
      </w:r>
      <w:r w:rsidRPr="008873B1">
        <w:fldChar w:fldCharType="begin"/>
      </w:r>
      <w:r w:rsidRPr="008873B1">
        <w:instrText xml:space="preserve"> REF supervision_end \h </w:instrText>
      </w:r>
      <w:r w:rsidR="008873B1">
        <w:instrText xml:space="preserve"> \* MERGEFORMAT </w:instrText>
      </w:r>
      <w:r w:rsidRPr="008873B1">
        <w:fldChar w:fldCharType="separate"/>
      </w:r>
      <w:r w:rsidR="004F11CA">
        <w:t>353</w:t>
      </w:r>
      <w:r w:rsidRPr="008873B1">
        <w:fldChar w:fldCharType="end"/>
      </w:r>
      <w:r w:rsidRPr="008873B1">
        <w:t xml:space="preserve"> below), and the substantive limitations, such as those </w:t>
      </w:r>
      <w:r w:rsidR="0034094E">
        <w:t>regarding</w:t>
      </w:r>
      <w:r w:rsidRPr="008873B1">
        <w:t xml:space="preserve"> the grounds on which interception of signals can be ordered, the</w:t>
      </w:r>
      <w:r w:rsidR="0034094E">
        <w:t xml:space="preserve"> </w:t>
      </w:r>
      <w:r w:rsidRPr="008873B1">
        <w:t xml:space="preserve">searching, in particular through selectors identifying an individual, and all further examination (see paragraphs </w:t>
      </w:r>
      <w:r w:rsidRPr="008873B1">
        <w:fldChar w:fldCharType="begin"/>
      </w:r>
      <w:r w:rsidRPr="008873B1">
        <w:instrText xml:space="preserve"> REF grounds \h </w:instrText>
      </w:r>
      <w:r w:rsidR="008873B1">
        <w:instrText xml:space="preserve"> \* MERGEFORMAT </w:instrText>
      </w:r>
      <w:r w:rsidRPr="008873B1">
        <w:fldChar w:fldCharType="separate"/>
      </w:r>
      <w:r w:rsidR="004F11CA">
        <w:t>284</w:t>
      </w:r>
      <w:r w:rsidRPr="008873B1">
        <w:fldChar w:fldCharType="end"/>
      </w:r>
      <w:r w:rsidRPr="008873B1">
        <w:t>-</w:t>
      </w:r>
      <w:r w:rsidRPr="008873B1">
        <w:fldChar w:fldCharType="begin"/>
      </w:r>
      <w:r w:rsidRPr="008873B1">
        <w:instrText xml:space="preserve"> REF grounds_conclusion \h </w:instrText>
      </w:r>
      <w:r w:rsidR="008873B1">
        <w:instrText xml:space="preserve"> \* MERGEFORMAT </w:instrText>
      </w:r>
      <w:r w:rsidRPr="008873B1">
        <w:fldChar w:fldCharType="separate"/>
      </w:r>
      <w:r w:rsidR="004F11CA">
        <w:t>288</w:t>
      </w:r>
      <w:r w:rsidRPr="008873B1">
        <w:fldChar w:fldCharType="end"/>
      </w:r>
      <w:r w:rsidRPr="008873B1">
        <w:t xml:space="preserve"> and </w:t>
      </w:r>
      <w:r w:rsidRPr="008873B1">
        <w:fldChar w:fldCharType="begin"/>
      </w:r>
      <w:r w:rsidRPr="008873B1">
        <w:instrText xml:space="preserve"> REF examination_beguin \h </w:instrText>
      </w:r>
      <w:r w:rsidR="008873B1">
        <w:instrText xml:space="preserve"> \* MERGEFORMAT </w:instrText>
      </w:r>
      <w:r w:rsidRPr="008873B1">
        <w:fldChar w:fldCharType="separate"/>
      </w:r>
      <w:r w:rsidR="004F11CA">
        <w:t>303</w:t>
      </w:r>
      <w:r w:rsidRPr="008873B1">
        <w:fldChar w:fldCharType="end"/>
      </w:r>
      <w:r w:rsidRPr="008873B1">
        <w:t>-</w:t>
      </w:r>
      <w:r w:rsidRPr="008873B1">
        <w:fldChar w:fldCharType="begin"/>
      </w:r>
      <w:r w:rsidRPr="008873B1">
        <w:instrText xml:space="preserve"> REF examination_end \h </w:instrText>
      </w:r>
      <w:r w:rsidR="008873B1">
        <w:instrText xml:space="preserve"> \* MERGEFORMAT </w:instrText>
      </w:r>
      <w:r w:rsidRPr="008873B1">
        <w:fldChar w:fldCharType="separate"/>
      </w:r>
      <w:r w:rsidR="004F11CA">
        <w:t>316</w:t>
      </w:r>
      <w:r w:rsidRPr="008873B1">
        <w:fldChar w:fldCharType="end"/>
      </w:r>
      <w:r w:rsidRPr="008873B1">
        <w:t xml:space="preserve"> above). As already seen, the </w:t>
      </w:r>
      <w:proofErr w:type="gramStart"/>
      <w:r w:rsidRPr="008873B1">
        <w:t>above mentioned</w:t>
      </w:r>
      <w:proofErr w:type="gramEnd"/>
      <w:r w:rsidRPr="008873B1">
        <w:t xml:space="preserve"> procedures involve </w:t>
      </w:r>
      <w:r w:rsidR="0034094E">
        <w:t xml:space="preserve">an </w:t>
      </w:r>
      <w:r w:rsidRPr="008873B1">
        <w:t>assessment of necessity and proportionality with regard to, in particular, Article 8 Convention rights. Therefore, the safeguards internally applicable in Sweden in the process of obtaining the intelligence that may later be transmitted to a foreign partner also limit, at least to a certain extent, the risk of adverse consequences that may ensue after the transmission has taken place.</w:t>
      </w:r>
    </w:p>
    <w:p w:rsidRPr="008873B1" w:rsidR="004D0549" w:rsidP="00674632" w:rsidRDefault="004D0549" w14:paraId="2497DCF9" w14:textId="50A950C8">
      <w:pPr>
        <w:pStyle w:val="JuPara"/>
      </w:pPr>
      <w:r w:rsidRPr="008873B1">
        <w:fldChar w:fldCharType="begin"/>
      </w:r>
      <w:r w:rsidRPr="008873B1">
        <w:instrText xml:space="preserve"> SEQ level0 \*arabic </w:instrText>
      </w:r>
      <w:r w:rsidRPr="008873B1">
        <w:fldChar w:fldCharType="separate"/>
      </w:r>
      <w:r w:rsidR="004F11CA">
        <w:rPr>
          <w:noProof/>
        </w:rPr>
        <w:t>325</w:t>
      </w:r>
      <w:r w:rsidRPr="008873B1">
        <w:fldChar w:fldCharType="end"/>
      </w:r>
      <w:r w:rsidRPr="008873B1">
        <w:t xml:space="preserve">.  The Court also notes that the supervision mechanisms provided for under the Personal Data Processing Act, specifically tailored to the protection of personal data, apply to all activities of the FRA (see paragraphs </w:t>
      </w:r>
      <w:r w:rsidRPr="008873B1">
        <w:fldChar w:fldCharType="begin"/>
      </w:r>
      <w:r w:rsidRPr="008873B1">
        <w:instrText xml:space="preserve"> REF data_protection_officer \h </w:instrText>
      </w:r>
      <w:r w:rsidR="008873B1">
        <w:instrText xml:space="preserve"> \* MERGEFORMAT </w:instrText>
      </w:r>
      <w:r w:rsidRPr="008873B1">
        <w:fldChar w:fldCharType="separate"/>
      </w:r>
      <w:r w:rsidRPr="004F11CA" w:rsidR="004F11CA">
        <w:rPr>
          <w:rFonts w:cstheme="minorHAnsi"/>
        </w:rPr>
        <w:t>56</w:t>
      </w:r>
      <w:r w:rsidRPr="008873B1">
        <w:fldChar w:fldCharType="end"/>
      </w:r>
      <w:r w:rsidRPr="008873B1">
        <w:t xml:space="preserve"> </w:t>
      </w:r>
      <w:r w:rsidRPr="008873B1">
        <w:fldChar w:fldCharType="begin"/>
      </w:r>
      <w:r w:rsidRPr="008873B1">
        <w:instrText xml:space="preserve"> REF data_protection_authority \h </w:instrText>
      </w:r>
      <w:r w:rsidR="008873B1">
        <w:instrText xml:space="preserve"> \* MERGEFORMAT </w:instrText>
      </w:r>
      <w:r w:rsidRPr="008873B1">
        <w:fldChar w:fldCharType="end"/>
      </w:r>
      <w:r w:rsidRPr="008873B1">
        <w:t>above).</w:t>
      </w:r>
    </w:p>
    <w:p w:rsidRPr="008873B1" w:rsidR="004D0549" w:rsidP="00674632" w:rsidRDefault="004D0549" w14:paraId="7104FA32" w14:textId="2F392E93">
      <w:pPr>
        <w:pStyle w:val="JuPara"/>
      </w:pPr>
      <w:r w:rsidRPr="008873B1">
        <w:fldChar w:fldCharType="begin"/>
      </w:r>
      <w:r w:rsidRPr="008873B1">
        <w:instrText xml:space="preserve"> SEQ level0 \*arabic </w:instrText>
      </w:r>
      <w:r w:rsidRPr="008873B1">
        <w:fldChar w:fldCharType="separate"/>
      </w:r>
      <w:r w:rsidR="004F11CA">
        <w:rPr>
          <w:noProof/>
        </w:rPr>
        <w:t>326</w:t>
      </w:r>
      <w:r w:rsidRPr="008873B1">
        <w:fldChar w:fldCharType="end"/>
      </w:r>
      <w:r w:rsidRPr="008873B1">
        <w:t>.  In the Court’s view, despite the above</w:t>
      </w:r>
      <w:r w:rsidR="0034094E">
        <w:t xml:space="preserve"> considerations</w:t>
      </w:r>
      <w:r w:rsidRPr="008873B1">
        <w:t xml:space="preserve">, the absence, in the relevant signals intelligence legislation, of an express legal requirement for the FRA to assess the necessity and proportionality of intelligence sharing for its possible impact on Article 8 rights is a substantial shortcoming of the Swedish regime of bulk interception activities. It appears that, as a result of this state of the law, the FRA is not obliged to take any action even in situations when, for example, information seriously compromising privacy rights is present in material to be transmitted abroad without its transmission being of any significant intelligence value. Furthermore, despite the fact that the Swedish authorities obviously lose control over the shared material once it has been sent out, no legally binding obligation is imposed on the FRA to analyse and determine whether the foreign recipient of intelligence offers an acceptable minimum level of safeguards (see paragraph </w:t>
      </w:r>
      <w:r w:rsidRPr="008873B1">
        <w:fldChar w:fldCharType="begin"/>
      </w:r>
      <w:r w:rsidRPr="008873B1">
        <w:instrText xml:space="preserve"> REF standard_transfer_to_foreign \h </w:instrText>
      </w:r>
      <w:r w:rsidR="008873B1">
        <w:instrText xml:space="preserve"> \* MERGEFORMAT </w:instrText>
      </w:r>
      <w:r w:rsidRPr="008873B1">
        <w:fldChar w:fldCharType="separate"/>
      </w:r>
      <w:r w:rsidR="004F11CA">
        <w:t>276</w:t>
      </w:r>
      <w:r w:rsidRPr="008873B1">
        <w:fldChar w:fldCharType="end"/>
      </w:r>
      <w:r w:rsidRPr="008873B1">
        <w:t xml:space="preserve"> above).</w:t>
      </w:r>
    </w:p>
    <w:p w:rsidRPr="008873B1" w:rsidR="004D0549" w:rsidP="00674632" w:rsidRDefault="004D0549" w14:paraId="66FF43C7" w14:textId="793DF816">
      <w:pPr>
        <w:pStyle w:val="JuPara"/>
      </w:pPr>
      <w:r w:rsidRPr="008873B1">
        <w:fldChar w:fldCharType="begin"/>
      </w:r>
      <w:r w:rsidRPr="008873B1">
        <w:instrText xml:space="preserve"> SEQ level0 \*arabic </w:instrText>
      </w:r>
      <w:r w:rsidRPr="008873B1">
        <w:fldChar w:fldCharType="separate"/>
      </w:r>
      <w:r w:rsidR="004F11CA">
        <w:rPr>
          <w:noProof/>
        </w:rPr>
        <w:t>327</w:t>
      </w:r>
      <w:r w:rsidRPr="008873B1">
        <w:fldChar w:fldCharType="end"/>
      </w:r>
      <w:r w:rsidRPr="008873B1">
        <w:t xml:space="preserve">.  The Government’s answer to these concerns was essentially that intelligence cooperation with foreign services inevitably functions </w:t>
      </w:r>
      <w:proofErr w:type="gramStart"/>
      <w:r w:rsidRPr="008873B1">
        <w:t>on the basis of</w:t>
      </w:r>
      <w:proofErr w:type="gramEnd"/>
      <w:r w:rsidRPr="008873B1">
        <w:t xml:space="preserve"> a shared interest in preserving the secrecy of information and that this practical reality limited the risks of abuse.</w:t>
      </w:r>
    </w:p>
    <w:p w:rsidRPr="008873B1" w:rsidR="004D0549" w:rsidP="00674632" w:rsidRDefault="004D0549" w14:paraId="69D80D9F" w14:textId="62778345">
      <w:pPr>
        <w:pStyle w:val="JuPara"/>
      </w:pPr>
      <w:r w:rsidRPr="008873B1">
        <w:fldChar w:fldCharType="begin"/>
      </w:r>
      <w:r w:rsidRPr="008873B1">
        <w:instrText xml:space="preserve"> SEQ level0 \*arabic </w:instrText>
      </w:r>
      <w:r w:rsidRPr="008873B1">
        <w:fldChar w:fldCharType="separate"/>
      </w:r>
      <w:r w:rsidR="004F11CA">
        <w:rPr>
          <w:noProof/>
        </w:rPr>
        <w:t>328</w:t>
      </w:r>
      <w:r w:rsidRPr="008873B1">
        <w:fldChar w:fldCharType="end"/>
      </w:r>
      <w:r w:rsidRPr="008873B1">
        <w:t>.  The Court finds the above</w:t>
      </w:r>
      <w:r w:rsidR="0034094E">
        <w:t>-</w:t>
      </w:r>
      <w:r w:rsidRPr="008873B1">
        <w:t xml:space="preserve">mentioned </w:t>
      </w:r>
      <w:r w:rsidR="0034094E">
        <w:t xml:space="preserve">approach </w:t>
      </w:r>
      <w:r w:rsidRPr="008873B1">
        <w:t>insufficient as a safeguard. The Government have not identified any obstacles against setting out clearly in domestic law an obligation for the FRA or another relevant body to balance the necessity of transmitting intelligence abroad against the need to protect the right to respect for private life. By comparison, the Court notes that, for example, the relevant regime in the United Kingdom includes an obligation to take reasonable steps to ensure that the foreign authorities would maintain the necessary procedures to safeguard the intercepted material and to ensure that it is disclosed, copied, distributed and retained only to the minimum extent necessary (</w:t>
      </w:r>
      <w:r w:rsidR="0034094E">
        <w:t xml:space="preserve">see </w:t>
      </w:r>
      <w:r w:rsidRPr="008873B1">
        <w:t xml:space="preserve">paragraph 7.5 of the United Kingdom Interception of Communications Code of Practice, quoted in </w:t>
      </w:r>
      <w:r w:rsidRPr="008873B1">
        <w:rPr>
          <w:i/>
          <w:iCs/>
        </w:rPr>
        <w:t>Big Brother Watch and Others</w:t>
      </w:r>
      <w:r w:rsidRPr="008873B1">
        <w:t>, cited above, § 96).</w:t>
      </w:r>
    </w:p>
    <w:p w:rsidRPr="008873B1" w:rsidR="004D0549" w:rsidP="00674632" w:rsidRDefault="004D0549" w14:paraId="208F6EEC" w14:textId="487CBA29">
      <w:pPr>
        <w:pStyle w:val="JuPara"/>
      </w:pPr>
      <w:r w:rsidRPr="008873B1">
        <w:fldChar w:fldCharType="begin"/>
      </w:r>
      <w:r w:rsidRPr="008873B1">
        <w:instrText xml:space="preserve"> SEQ level0 \*arabic </w:instrText>
      </w:r>
      <w:r w:rsidRPr="008873B1">
        <w:fldChar w:fldCharType="separate"/>
      </w:r>
      <w:r w:rsidR="004F11CA">
        <w:rPr>
          <w:noProof/>
        </w:rPr>
        <w:t>329</w:t>
      </w:r>
      <w:r w:rsidRPr="008873B1">
        <w:fldChar w:fldCharType="end"/>
      </w:r>
      <w:r w:rsidRPr="008873B1">
        <w:t xml:space="preserve">.  It is true that in 2014 the Inspectorate undertook a general review of the FRA’s cooperation with other States and, between 2009 and 2017, repeatedly inspected other relevant aspects of its activities, including the treatment of personal data and the communication of its reports (see paragraph </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 However, since the Inspectorate’s role is to exercise control for lawfulness, in the absence of an express legal obligation for the FRA to consider privacy concerns or seek at least some safeguards in this regard from foreign partners before sending them intelligence, it is not unreasonable to consider, as the applicant did, that the Inspectorate does not monitor possible risks or disproportionate consequences of intelligence sharing on Article 8 Convention rights. The respondent Government have failed to convince the Court that this is done in practice </w:t>
      </w:r>
      <w:proofErr w:type="gramStart"/>
      <w:r w:rsidRPr="008873B1">
        <w:t>on the basis of</w:t>
      </w:r>
      <w:proofErr w:type="gramEnd"/>
      <w:r w:rsidRPr="008873B1">
        <w:t>, for example, constitutional or other general fundamental rights provisions. It follows that, unlike the Chamber, the Grand Chamber cannot accept that the shortcomings in the regulatory framework are sufficiently counterbalanced by the supervisory elements of the Swedish regime.</w:t>
      </w:r>
    </w:p>
    <w:p w:rsidRPr="008873B1" w:rsidR="004D0549" w:rsidP="004D0549" w:rsidRDefault="004D0549" w14:paraId="399F0543" w14:textId="124626E8">
      <w:pPr>
        <w:pStyle w:val="JuPara"/>
      </w:pPr>
      <w:r w:rsidRPr="008873B1">
        <w:fldChar w:fldCharType="begin"/>
      </w:r>
      <w:r w:rsidRPr="008873B1">
        <w:instrText xml:space="preserve"> SEQ level0 \*arabic </w:instrText>
      </w:r>
      <w:r w:rsidRPr="008873B1">
        <w:fldChar w:fldCharType="separate"/>
      </w:r>
      <w:r w:rsidR="004F11CA">
        <w:rPr>
          <w:noProof/>
        </w:rPr>
        <w:t>330</w:t>
      </w:r>
      <w:r w:rsidRPr="008873B1">
        <w:fldChar w:fldCharType="end"/>
      </w:r>
      <w:r w:rsidRPr="008873B1">
        <w:t xml:space="preserve">.  In sum, the absence of a requirement in the Signals Intelligence Act or other relevant legislation that consideration </w:t>
      </w:r>
      <w:r w:rsidR="0034094E">
        <w:t>be</w:t>
      </w:r>
      <w:r w:rsidRPr="008873B1">
        <w:t xml:space="preserve"> given to the privacy interests of the individual concerned when making a decision about intelligence sharing is a significant shortcoming of the Swedish regime, to be taken into account in the Court’s assessment of its compatibility with Article 8 of the Convention.</w:t>
      </w:r>
    </w:p>
    <w:p w:rsidRPr="00C22FCE" w:rsidR="004D0549" w:rsidP="00C22FCE" w:rsidRDefault="004D0549" w14:paraId="2499B7A7" w14:textId="77777777">
      <w:pPr>
        <w:pStyle w:val="JuHalpha"/>
      </w:pPr>
      <w:r w:rsidRPr="00C22FCE">
        <w:t>The limits on the duration of interception, the storage of intercept material and the circumstances in which such material must be erased and destroyed</w:t>
      </w:r>
    </w:p>
    <w:p w:rsidRPr="008873B1" w:rsidR="004D0549" w:rsidP="004D0549" w:rsidRDefault="004D0549" w14:paraId="3827531E" w14:textId="3CD591B8">
      <w:pPr>
        <w:pStyle w:val="JuPara"/>
      </w:pPr>
      <w:r w:rsidRPr="008873B1">
        <w:fldChar w:fldCharType="begin"/>
      </w:r>
      <w:r w:rsidRPr="008873B1">
        <w:instrText xml:space="preserve"> SEQ level0 \*arabic </w:instrText>
      </w:r>
      <w:r w:rsidRPr="008873B1">
        <w:fldChar w:fldCharType="separate"/>
      </w:r>
      <w:r w:rsidR="004F11CA">
        <w:rPr>
          <w:noProof/>
        </w:rPr>
        <w:t>331</w:t>
      </w:r>
      <w:r w:rsidRPr="008873B1">
        <w:fldChar w:fldCharType="end"/>
      </w:r>
      <w:r w:rsidRPr="008873B1">
        <w:t xml:space="preserve">.  The duration of bulk interception operations is, of course, a matter for the domestic authorities to decide. There must, however, be adequate safeguards, such as a clear indication in domestic law of the period after which an interception warrant will expire, the conditions under which a warrant can be renewed and the circumstances in which it must be cancelled (see </w:t>
      </w:r>
      <w:r w:rsidRPr="008873B1">
        <w:rPr>
          <w:i/>
        </w:rPr>
        <w:t xml:space="preserve">Roman </w:t>
      </w:r>
      <w:proofErr w:type="spellStart"/>
      <w:r w:rsidRPr="008873B1">
        <w:rPr>
          <w:i/>
        </w:rPr>
        <w:t>Zakharov</w:t>
      </w:r>
      <w:proofErr w:type="spellEnd"/>
      <w:r w:rsidRPr="008873B1">
        <w:t>, cited above, § 250).</w:t>
      </w:r>
    </w:p>
    <w:p w:rsidRPr="008873B1" w:rsidR="004D0549" w:rsidP="004D0549" w:rsidRDefault="004D0549" w14:paraId="57AC6A62" w14:textId="0EC8D6C9">
      <w:pPr>
        <w:pStyle w:val="JuPara"/>
      </w:pPr>
      <w:r w:rsidRPr="008873B1">
        <w:fldChar w:fldCharType="begin"/>
      </w:r>
      <w:r w:rsidRPr="008873B1">
        <w:instrText xml:space="preserve"> SEQ level0 \*arabic </w:instrText>
      </w:r>
      <w:r w:rsidRPr="008873B1">
        <w:fldChar w:fldCharType="separate"/>
      </w:r>
      <w:r w:rsidR="004F11CA">
        <w:rPr>
          <w:noProof/>
        </w:rPr>
        <w:t>332</w:t>
      </w:r>
      <w:r w:rsidRPr="008873B1">
        <w:fldChar w:fldCharType="end"/>
      </w:r>
      <w:r w:rsidRPr="008873B1">
        <w:t xml:space="preserve">.  Under section 5(a) of the Signals Intelligence Act a permit may be granted for a maximum of six months. This period may be extended, for six months at a time, following a new full examination of the relevant conditions for the granting of a permit by the Foreign Intelligence Court. Therefore, as noted by the Chamber, Swedish law gives </w:t>
      </w:r>
      <w:r w:rsidR="0034094E">
        <w:t xml:space="preserve">a </w:t>
      </w:r>
      <w:r w:rsidRPr="008873B1">
        <w:t>clear indication of the period after which a permit will expire and of the conditions under which it may be renewed.</w:t>
      </w:r>
    </w:p>
    <w:p w:rsidRPr="008873B1" w:rsidR="004D0549" w:rsidP="004D0549" w:rsidRDefault="004D0549" w14:paraId="0C7A0C31" w14:textId="440DEB64">
      <w:pPr>
        <w:pStyle w:val="JuPara"/>
      </w:pPr>
      <w:r w:rsidRPr="008873B1">
        <w:fldChar w:fldCharType="begin"/>
      </w:r>
      <w:r w:rsidRPr="008873B1">
        <w:instrText xml:space="preserve"> SEQ level0 \*arabic </w:instrText>
      </w:r>
      <w:r w:rsidRPr="008873B1">
        <w:fldChar w:fldCharType="separate"/>
      </w:r>
      <w:r w:rsidR="004F11CA">
        <w:rPr>
          <w:noProof/>
        </w:rPr>
        <w:t>333</w:t>
      </w:r>
      <w:r w:rsidRPr="008873B1">
        <w:fldChar w:fldCharType="end"/>
      </w:r>
      <w:r w:rsidRPr="008873B1">
        <w:t>.  As also noted by the Chamber, however, there is no provision obliging the FRA, the authorities mandated to issue detailed tasking directives or the Foreign Intelligence Court to cancel a signals intelligence mission if the conditions for it have ceased to exist or the measures themselves are no longer necessary.</w:t>
      </w:r>
    </w:p>
    <w:p w:rsidRPr="008873B1" w:rsidR="004D0549" w:rsidP="004D0549" w:rsidRDefault="004D0549" w14:paraId="41327E6E" w14:textId="7C0B82AC">
      <w:pPr>
        <w:pStyle w:val="JuPara"/>
      </w:pPr>
      <w:r w:rsidRPr="008873B1">
        <w:fldChar w:fldCharType="begin"/>
      </w:r>
      <w:r w:rsidRPr="008873B1">
        <w:instrText xml:space="preserve"> SEQ level0 \*arabic </w:instrText>
      </w:r>
      <w:r w:rsidRPr="008873B1">
        <w:fldChar w:fldCharType="separate"/>
      </w:r>
      <w:r w:rsidR="004F11CA">
        <w:rPr>
          <w:noProof/>
        </w:rPr>
        <w:t>334</w:t>
      </w:r>
      <w:r w:rsidRPr="008873B1">
        <w:fldChar w:fldCharType="end"/>
      </w:r>
      <w:r w:rsidRPr="008873B1">
        <w:t>.  Before the Grand Chamber, the applicant considered that the lack of provision for the cancel</w:t>
      </w:r>
      <w:r w:rsidR="0034094E">
        <w:t>l</w:t>
      </w:r>
      <w:r w:rsidRPr="008873B1">
        <w:t xml:space="preserve">ation of permits when no longer needed opened the door </w:t>
      </w:r>
      <w:r w:rsidR="0034094E">
        <w:t>to</w:t>
      </w:r>
      <w:r w:rsidRPr="008873B1">
        <w:t xml:space="preserve"> excessive and inappropriate surveillance for several months until the warrant eventually expired on its own. In the applicant’s view, this shortcoming was very significant, given the sheer volume of information that could be obtained through bulk interception in that time. The Government stated that an interception operation would be discontinued if it was no longer needed, if a tasking directive was revoked </w:t>
      </w:r>
      <w:r w:rsidR="00B704C4">
        <w:t>or</w:t>
      </w:r>
      <w:r w:rsidRPr="008873B1">
        <w:t xml:space="preserve"> if it was not in accordance with the permit.</w:t>
      </w:r>
    </w:p>
    <w:p w:rsidRPr="008873B1" w:rsidR="004D0549" w:rsidP="004D0549" w:rsidRDefault="004D0549" w14:paraId="49291881" w14:textId="1B0A0EFA">
      <w:pPr>
        <w:pStyle w:val="JuPara"/>
      </w:pPr>
      <w:r w:rsidRPr="008873B1">
        <w:fldChar w:fldCharType="begin"/>
      </w:r>
      <w:r w:rsidRPr="008873B1">
        <w:instrText xml:space="preserve"> SEQ level0 \*arabic </w:instrText>
      </w:r>
      <w:r w:rsidRPr="008873B1">
        <w:fldChar w:fldCharType="separate"/>
      </w:r>
      <w:r w:rsidR="004F11CA">
        <w:rPr>
          <w:noProof/>
        </w:rPr>
        <w:t>335</w:t>
      </w:r>
      <w:r w:rsidRPr="008873B1">
        <w:fldChar w:fldCharType="end"/>
      </w:r>
      <w:r w:rsidRPr="008873B1">
        <w:t>.  The Court is of the view that an express provision on discontinuation of bulk interception when no longer needed would have been clearer than the existing arrangement in Sweden according to which, apparently, permits may or may not be cancelled when circumstances warranting such a cancellation come to light in the period before the expiry of their six months’ validity.</w:t>
      </w:r>
    </w:p>
    <w:bookmarkStart w:name="example_for_intro_note" w:id="117"/>
    <w:p w:rsidRPr="008873B1" w:rsidR="004D0549" w:rsidP="004D0549" w:rsidRDefault="004D0549" w14:paraId="489DDED6" w14:textId="719CB5B5">
      <w:pPr>
        <w:pStyle w:val="JuPara"/>
      </w:pPr>
      <w:r w:rsidRPr="008873B1">
        <w:fldChar w:fldCharType="begin"/>
      </w:r>
      <w:r w:rsidRPr="008873B1">
        <w:instrText xml:space="preserve"> SEQ level0 \*arabic </w:instrText>
      </w:r>
      <w:r w:rsidRPr="008873B1">
        <w:fldChar w:fldCharType="separate"/>
      </w:r>
      <w:r w:rsidR="004F11CA">
        <w:rPr>
          <w:noProof/>
        </w:rPr>
        <w:t>336</w:t>
      </w:r>
      <w:r w:rsidRPr="008873B1">
        <w:fldChar w:fldCharType="end"/>
      </w:r>
      <w:bookmarkEnd w:id="117"/>
      <w:r w:rsidRPr="008873B1">
        <w:t xml:space="preserve">.  The significance of this shortcoming should, however, not be overestimated, in the Court’s view, for two main reasons. First, Swedish law provides for relevant mechanisms, such as the possibility for the requesting authority to revoke a tasking directive and for supervision by the Inspectorate, both of which can lead to the cancellation of a bulk interception mission when the conditions for it have ceased to exist or it is no longer needed. Second, by the nature of things, in the context of signals intelligence within foreign intelligence the implementation of a legal requirement to cancel a permit when no longer needed must </w:t>
      </w:r>
      <w:proofErr w:type="gramStart"/>
      <w:r w:rsidRPr="008873B1">
        <w:t>in all likelihood</w:t>
      </w:r>
      <w:proofErr w:type="gramEnd"/>
      <w:r w:rsidRPr="008873B1">
        <w:t xml:space="preserve"> be heavily dependent on internal operative assessments involving secrecy. Therefore, in the specific context of bulk interception for foreign intelligence purposes, the existence of supervision mechanisms with access to all internal information must generally </w:t>
      </w:r>
      <w:proofErr w:type="gramStart"/>
      <w:r w:rsidRPr="008873B1">
        <w:t>be seen as</w:t>
      </w:r>
      <w:proofErr w:type="gramEnd"/>
      <w:r w:rsidRPr="008873B1">
        <w:t xml:space="preserve"> providing similar legislative safeguards against abuse related to the duration of interception operations.</w:t>
      </w:r>
    </w:p>
    <w:p w:rsidRPr="008873B1" w:rsidR="004D0549" w:rsidP="004D0549" w:rsidRDefault="004D0549" w14:paraId="6B7A86A4" w14:textId="633959FB">
      <w:pPr>
        <w:pStyle w:val="JuPara"/>
      </w:pPr>
      <w:r w:rsidRPr="008873B1">
        <w:fldChar w:fldCharType="begin"/>
      </w:r>
      <w:r w:rsidRPr="008873B1">
        <w:instrText xml:space="preserve"> SEQ level0 \*arabic </w:instrText>
      </w:r>
      <w:r w:rsidRPr="008873B1">
        <w:fldChar w:fldCharType="separate"/>
      </w:r>
      <w:r w:rsidR="004F11CA">
        <w:rPr>
          <w:noProof/>
        </w:rPr>
        <w:t>337</w:t>
      </w:r>
      <w:r w:rsidRPr="008873B1">
        <w:fldChar w:fldCharType="end"/>
      </w:r>
      <w:r w:rsidRPr="008873B1">
        <w:t>.  For the reasons set out above, the Court finds that Swedish law satisfies the requirements concerning duration of bulk interception of communications.</w:t>
      </w:r>
    </w:p>
    <w:p w:rsidRPr="008873B1" w:rsidR="004D0549" w:rsidP="004D0549" w:rsidRDefault="004D0549" w14:paraId="568C25AE" w14:textId="6645A7BC">
      <w:pPr>
        <w:pStyle w:val="JuPara"/>
      </w:pPr>
      <w:r w:rsidRPr="008873B1">
        <w:fldChar w:fldCharType="begin"/>
      </w:r>
      <w:r w:rsidRPr="008873B1">
        <w:instrText xml:space="preserve"> SEQ level0 \*arabic </w:instrText>
      </w:r>
      <w:r w:rsidRPr="008873B1">
        <w:fldChar w:fldCharType="separate"/>
      </w:r>
      <w:r w:rsidR="004F11CA">
        <w:rPr>
          <w:noProof/>
        </w:rPr>
        <w:t>338</w:t>
      </w:r>
      <w:r w:rsidRPr="008873B1">
        <w:fldChar w:fldCharType="end"/>
      </w:r>
      <w:r w:rsidRPr="008873B1">
        <w:t>.  The Chamber made the following findings concerning the circumstances in which intercept data must be erased and destroyed, at paragraphs 145 and 146 of its judgment:</w:t>
      </w:r>
    </w:p>
    <w:p w:rsidRPr="008873B1" w:rsidR="004D0549" w:rsidP="004D0549" w:rsidRDefault="004D0549" w14:paraId="598E77D3" w14:textId="77777777">
      <w:pPr>
        <w:pStyle w:val="JuQuot"/>
      </w:pPr>
      <w:r w:rsidRPr="008873B1">
        <w:t xml:space="preserve">“145. Contrary to the applicant’s claim, there are several provisions regulating the situations when intercepted data </w:t>
      </w:r>
      <w:proofErr w:type="gramStart"/>
      <w:r w:rsidRPr="008873B1">
        <w:t>has to</w:t>
      </w:r>
      <w:proofErr w:type="gramEnd"/>
      <w:r w:rsidRPr="008873B1">
        <w:t xml:space="preserve"> be destroyed. For example, intelligence must be destroyed immediately if it 1) concerns a specific natural person and has been determined to lack importance for the purpose of the signals intelligence, 2) is protected by constitutional provisions of secrecy for the protection of anonymous authors or media sources, 3) contains information shared between a criminal suspect and his or her counsel and is thus protected by attorney-client privilege, or 4) involves information given in a religious context of confession or individual counselling, unless there are exceptional reasons for examining the information ... Moreover, if communications have been intercepted between a sender and receiver both in Sweden, despite the ban on the interception of such communications, they must be destroyed as soon as their domestic nature has become evident ... Also, where a temporary permit granted by the FRA has been revoked by the Foreign Intelligence Court, all intelligence collected </w:t>
      </w:r>
      <w:proofErr w:type="gramStart"/>
      <w:r w:rsidRPr="008873B1">
        <w:t>on the basis of</w:t>
      </w:r>
      <w:proofErr w:type="gramEnd"/>
      <w:r w:rsidRPr="008873B1">
        <w:t xml:space="preserve"> that permit must be immediately destroyed ...</w:t>
      </w:r>
    </w:p>
    <w:p w:rsidRPr="008873B1" w:rsidR="004D0549" w:rsidP="004D0549" w:rsidRDefault="004D0549" w14:paraId="4997BDE8" w14:textId="77777777">
      <w:pPr>
        <w:pStyle w:val="JuQuot"/>
      </w:pPr>
      <w:r w:rsidRPr="008873B1">
        <w:t xml:space="preserve">146. Although the FRA may maintain databases for raw material containing personal data up to one year, it </w:t>
      </w:r>
      <w:proofErr w:type="gramStart"/>
      <w:r w:rsidRPr="008873B1">
        <w:t>has to</w:t>
      </w:r>
      <w:proofErr w:type="gramEnd"/>
      <w:r w:rsidRPr="008873B1">
        <w:t xml:space="preserve"> be kept in mind that raw material is unprocessed information. That is, it has yet to be subjected to manual treatment. The Court accepts that it is necessary for the FRA to store raw material before it can be manually processed. At the same time, the Court stresses the importance of deleting such data as soon as it is evident that it lacks pertinence for a signals intelligence mission.”</w:t>
      </w:r>
    </w:p>
    <w:p w:rsidRPr="008873B1" w:rsidR="004D0549" w:rsidP="004D0549" w:rsidRDefault="004D0549" w14:paraId="5D5D4878" w14:textId="091A7108">
      <w:pPr>
        <w:pStyle w:val="JuPara"/>
      </w:pPr>
      <w:r w:rsidRPr="008873B1">
        <w:fldChar w:fldCharType="begin"/>
      </w:r>
      <w:r w:rsidRPr="008873B1">
        <w:instrText xml:space="preserve"> SEQ level0 \*arabic </w:instrText>
      </w:r>
      <w:r w:rsidRPr="008873B1">
        <w:fldChar w:fldCharType="separate"/>
      </w:r>
      <w:r w:rsidR="004F11CA">
        <w:rPr>
          <w:noProof/>
        </w:rPr>
        <w:t>339</w:t>
      </w:r>
      <w:r w:rsidRPr="008873B1">
        <w:fldChar w:fldCharType="end"/>
      </w:r>
      <w:r w:rsidRPr="008873B1">
        <w:t xml:space="preserve">.  The Grand Chamber endorses this analysis in principle but also considers it important to point to the fact that it has insufficient information about certain aspects of the </w:t>
      </w:r>
      <w:proofErr w:type="gramStart"/>
      <w:r w:rsidRPr="008873B1">
        <w:t>manner in which</w:t>
      </w:r>
      <w:proofErr w:type="gramEnd"/>
      <w:r w:rsidRPr="008873B1">
        <w:t xml:space="preserve"> the rules on destruction of intercept material are applied in practice.</w:t>
      </w:r>
    </w:p>
    <w:p w:rsidRPr="008873B1" w:rsidR="004D0549" w:rsidP="004D0549" w:rsidRDefault="004D0549" w14:paraId="5EB1FF9B" w14:textId="489D2435">
      <w:pPr>
        <w:pStyle w:val="JuPara"/>
      </w:pPr>
      <w:r w:rsidRPr="008873B1">
        <w:fldChar w:fldCharType="begin"/>
      </w:r>
      <w:r w:rsidRPr="008873B1">
        <w:instrText xml:space="preserve"> SEQ level0 \*arabic </w:instrText>
      </w:r>
      <w:r w:rsidRPr="008873B1">
        <w:fldChar w:fldCharType="separate"/>
      </w:r>
      <w:r w:rsidR="004F11CA">
        <w:rPr>
          <w:noProof/>
        </w:rPr>
        <w:t>340</w:t>
      </w:r>
      <w:r w:rsidRPr="008873B1">
        <w:fldChar w:fldCharType="end"/>
      </w:r>
      <w:r w:rsidRPr="008873B1">
        <w:t xml:space="preserve">.  Certainly, the Inspectorate’s supervision powers include the monitoring of </w:t>
      </w:r>
      <w:r w:rsidR="00584694">
        <w:t xml:space="preserve">the </w:t>
      </w:r>
      <w:r w:rsidRPr="008873B1">
        <w:t xml:space="preserve">FRA’s practice on destroying intercept material and this aspect of its activities has already been the subject of inspections (see paragraph </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 This is an important safeguard for the proper application of the existing rules.</w:t>
      </w:r>
    </w:p>
    <w:p w:rsidRPr="008873B1" w:rsidR="004D0549" w:rsidP="004D0549" w:rsidRDefault="004D0549" w14:paraId="6DA7B93E" w14:textId="62E3F366">
      <w:pPr>
        <w:pStyle w:val="JuPara"/>
      </w:pPr>
      <w:r w:rsidRPr="008873B1">
        <w:fldChar w:fldCharType="begin"/>
      </w:r>
      <w:r w:rsidRPr="008873B1">
        <w:instrText xml:space="preserve"> SEQ level0 \*arabic </w:instrText>
      </w:r>
      <w:r w:rsidRPr="008873B1">
        <w:fldChar w:fldCharType="separate"/>
      </w:r>
      <w:r w:rsidR="004F11CA">
        <w:rPr>
          <w:noProof/>
        </w:rPr>
        <w:t>341</w:t>
      </w:r>
      <w:r w:rsidRPr="008873B1">
        <w:fldChar w:fldCharType="end"/>
      </w:r>
      <w:r w:rsidRPr="008873B1">
        <w:t>.  However, before the Grand Chamber the applicant pointed to the fact that the limits on the storing of intercept material and the requirements mentioned by the Chamber about destroying it did not apply to material which does not contain personal data. The Government did not address this issue specifically.</w:t>
      </w:r>
    </w:p>
    <w:p w:rsidRPr="008873B1" w:rsidR="004D0549" w:rsidP="004D0549" w:rsidRDefault="004D0549" w14:paraId="567A7ADB" w14:textId="35945CD6">
      <w:pPr>
        <w:pStyle w:val="JuPara"/>
      </w:pPr>
      <w:r w:rsidRPr="008873B1">
        <w:fldChar w:fldCharType="begin"/>
      </w:r>
      <w:r w:rsidRPr="008873B1">
        <w:instrText xml:space="preserve"> SEQ level0 \*arabic </w:instrText>
      </w:r>
      <w:r w:rsidRPr="008873B1">
        <w:fldChar w:fldCharType="separate"/>
      </w:r>
      <w:r w:rsidR="004F11CA">
        <w:rPr>
          <w:noProof/>
        </w:rPr>
        <w:t>342</w:t>
      </w:r>
      <w:r w:rsidRPr="008873B1">
        <w:fldChar w:fldCharType="end"/>
      </w:r>
      <w:r w:rsidRPr="008873B1">
        <w:t>.  In the Court’s view, while there is clear justification for special requirements regarding the destr</w:t>
      </w:r>
      <w:r w:rsidR="00584694">
        <w:t>uction</w:t>
      </w:r>
      <w:r w:rsidRPr="008873B1">
        <w:t xml:space="preserve"> of material containing personal data, there must also be a general legal rule governing the destr</w:t>
      </w:r>
      <w:r w:rsidR="00584694">
        <w:t>uction</w:t>
      </w:r>
      <w:r w:rsidRPr="008873B1">
        <w:t xml:space="preserve"> of other material obtained through bulk interception of communications, where keeping it may affect, for example, the right of respect for correspondence under Article 8, including concerning legal persons as the applicant. As a very minimum, as also stressed by the Chamber, there should be a legal requirement to delete intercepted data that has lost pertinence for signals intelligence purposes. The Government have not shown that the Swedish regulatory framework covers this aspect. However, while observing that there is only a narrow set of circumstances in which it could happen that none of the specific rules on destruction of intercept material noted in the preceding paragraphs would apply, the Court notes this point as a procedural shortcoming in the regulatory framework.</w:t>
      </w:r>
    </w:p>
    <w:p w:rsidRPr="008873B1" w:rsidR="004D0549" w:rsidP="004D0549" w:rsidRDefault="004D0549" w14:paraId="33C7FCCD" w14:textId="04BE4A0C">
      <w:pPr>
        <w:pStyle w:val="JuPara"/>
      </w:pPr>
      <w:r w:rsidRPr="008873B1">
        <w:fldChar w:fldCharType="begin"/>
      </w:r>
      <w:r w:rsidRPr="008873B1">
        <w:instrText xml:space="preserve"> SEQ level0 \*arabic </w:instrText>
      </w:r>
      <w:r w:rsidRPr="008873B1">
        <w:fldChar w:fldCharType="separate"/>
      </w:r>
      <w:r w:rsidR="004F11CA">
        <w:rPr>
          <w:noProof/>
        </w:rPr>
        <w:t>343</w:t>
      </w:r>
      <w:r w:rsidRPr="008873B1">
        <w:fldChar w:fldCharType="end"/>
      </w:r>
      <w:r w:rsidRPr="008873B1">
        <w:t xml:space="preserve">.  Finally, the Court does not have sufficient information as to the manner in which the necessity to keep or destroy material containing personal data is assessed in practice and as to whether unprocessed intercept material is always stored for the maximum period of one year or the necessity of continued storage is regularly reviewed, as it should be. This makes it difficult to arrive at comprehensive conclusions covering all aspects of the storage and deletion of intercept material. In the context of its analysis on the </w:t>
      </w:r>
      <w:r w:rsidRPr="00584694">
        <w:rPr>
          <w:i/>
          <w:iCs/>
        </w:rPr>
        <w:t>ex post facto</w:t>
      </w:r>
      <w:r w:rsidRPr="008873B1">
        <w:t xml:space="preserve"> review in the Swedish bulk interception system, the Court will return to the question what conclusions could be drawn from the fact that it has insufficient information on the above </w:t>
      </w:r>
      <w:r w:rsidR="00584694">
        <w:t xml:space="preserve">point </w:t>
      </w:r>
      <w:r w:rsidRPr="008873B1">
        <w:t>and other aspects of the functioning of the Swedish system.</w:t>
      </w:r>
    </w:p>
    <w:p w:rsidRPr="008873B1" w:rsidR="004D0549" w:rsidP="004D0549" w:rsidRDefault="004D0549" w14:paraId="1A3A04C4" w14:textId="31E23AE7">
      <w:pPr>
        <w:pStyle w:val="JuPara"/>
        <w:rPr>
          <w:rStyle w:val="FootnoteReference"/>
        </w:rPr>
      </w:pPr>
      <w:r w:rsidRPr="008873B1">
        <w:fldChar w:fldCharType="begin"/>
      </w:r>
      <w:r w:rsidRPr="008873B1">
        <w:instrText xml:space="preserve"> SEQ level0 \*arabic </w:instrText>
      </w:r>
      <w:r w:rsidRPr="008873B1">
        <w:fldChar w:fldCharType="separate"/>
      </w:r>
      <w:r w:rsidR="004F11CA">
        <w:rPr>
          <w:noProof/>
        </w:rPr>
        <w:t>344</w:t>
      </w:r>
      <w:r w:rsidRPr="008873B1">
        <w:fldChar w:fldCharType="end"/>
      </w:r>
      <w:r w:rsidRPr="008873B1">
        <w:t xml:space="preserve">.  In sum, for </w:t>
      </w:r>
      <w:r w:rsidR="00584694">
        <w:t xml:space="preserve">the </w:t>
      </w:r>
      <w:r w:rsidRPr="008873B1">
        <w:t>purposes of the present stage of the analysis, while the Court noted in the preceding paragraph a procedural shortcoming that needs to be addressed, it considers that, as a whole, the circumstances in which the intercept material has to be destroyed are clear under Swedish law.</w:t>
      </w:r>
    </w:p>
    <w:p w:rsidRPr="00C22FCE" w:rsidR="004D0549" w:rsidP="00C22FCE" w:rsidRDefault="004D0549" w14:paraId="3ED580D6" w14:textId="77777777">
      <w:pPr>
        <w:pStyle w:val="JuHalpha"/>
      </w:pPr>
      <w:r w:rsidRPr="00C22FCE">
        <w:t>Supervision</w:t>
      </w:r>
    </w:p>
    <w:bookmarkStart w:name="supervision_beguin" w:id="118"/>
    <w:p w:rsidRPr="008873B1" w:rsidR="004D0549" w:rsidP="004D0549" w:rsidRDefault="004D0549" w14:paraId="1FBC5CF9" w14:textId="18909A6A">
      <w:pPr>
        <w:pStyle w:val="JuPara"/>
      </w:pPr>
      <w:r w:rsidRPr="008873B1">
        <w:fldChar w:fldCharType="begin"/>
      </w:r>
      <w:r w:rsidRPr="008873B1">
        <w:instrText xml:space="preserve"> SEQ level0 \*arabic </w:instrText>
      </w:r>
      <w:r w:rsidRPr="008873B1">
        <w:fldChar w:fldCharType="separate"/>
      </w:r>
      <w:r w:rsidR="004F11CA">
        <w:rPr>
          <w:noProof/>
        </w:rPr>
        <w:t>345</w:t>
      </w:r>
      <w:r w:rsidRPr="008873B1">
        <w:fldChar w:fldCharType="end"/>
      </w:r>
      <w:bookmarkEnd w:id="118"/>
      <w:r w:rsidRPr="008873B1">
        <w:t xml:space="preserve">.  Under Swedish law the task of overseeing foreign intelligence activities in general and signals intelligence </w:t>
      </w:r>
      <w:proofErr w:type="gramStart"/>
      <w:r w:rsidRPr="008873B1">
        <w:t>in particular is</w:t>
      </w:r>
      <w:proofErr w:type="gramEnd"/>
      <w:r w:rsidRPr="008873B1">
        <w:t xml:space="preserve"> entrusted mainly to the Foreign Intelligence Inspectorate. Further supervisory functions</w:t>
      </w:r>
      <w:r w:rsidR="00DD12AB">
        <w:t>,</w:t>
      </w:r>
      <w:r w:rsidRPr="008873B1">
        <w:t xml:space="preserve"> albeit with lesser powers</w:t>
      </w:r>
      <w:r w:rsidR="00DD12AB">
        <w:t>,</w:t>
      </w:r>
      <w:r w:rsidRPr="008873B1">
        <w:t xml:space="preserve"> are exercised by the Data Protection Authority.</w:t>
      </w:r>
    </w:p>
    <w:p w:rsidRPr="008873B1" w:rsidR="004D0549" w:rsidP="004D0549" w:rsidRDefault="004D0549" w14:paraId="18477E06" w14:textId="20333B95">
      <w:pPr>
        <w:pStyle w:val="JuPara"/>
      </w:pPr>
      <w:r w:rsidRPr="008873B1">
        <w:fldChar w:fldCharType="begin"/>
      </w:r>
      <w:r w:rsidRPr="008873B1">
        <w:instrText xml:space="preserve"> SEQ level0 \*arabic </w:instrText>
      </w:r>
      <w:r w:rsidRPr="008873B1">
        <w:fldChar w:fldCharType="separate"/>
      </w:r>
      <w:r w:rsidR="004F11CA">
        <w:rPr>
          <w:noProof/>
        </w:rPr>
        <w:t>346</w:t>
      </w:r>
      <w:r w:rsidRPr="008873B1">
        <w:fldChar w:fldCharType="end"/>
      </w:r>
      <w:r w:rsidRPr="008873B1">
        <w:t>.  Noting that the Inspectorate’s board is presided over by permanent judges or former judges and that its members, appointed for terms of at least four years by the Government, are selected from candidates proposed by the party groups in the Parliament, the Court is satisfied that the Inspectorate’s role is that of an independent control mechanism.</w:t>
      </w:r>
    </w:p>
    <w:p w:rsidRPr="008873B1" w:rsidR="004D0549" w:rsidP="004D0549" w:rsidRDefault="004D0549" w14:paraId="09BA5D30" w14:textId="3868AEDF">
      <w:pPr>
        <w:pStyle w:val="JuPara"/>
      </w:pPr>
      <w:r w:rsidRPr="008873B1">
        <w:fldChar w:fldCharType="begin"/>
      </w:r>
      <w:r w:rsidRPr="008873B1">
        <w:instrText xml:space="preserve"> SEQ level0 \*arabic </w:instrText>
      </w:r>
      <w:r w:rsidRPr="008873B1">
        <w:fldChar w:fldCharType="separate"/>
      </w:r>
      <w:r w:rsidR="004F11CA">
        <w:rPr>
          <w:noProof/>
        </w:rPr>
        <w:t>347</w:t>
      </w:r>
      <w:r w:rsidRPr="008873B1">
        <w:fldChar w:fldCharType="end"/>
      </w:r>
      <w:r w:rsidRPr="008873B1">
        <w:t xml:space="preserve">.  The Inspectorate has wide-ranging powers covering the operation of signal intelligence activities from beginning to end. </w:t>
      </w:r>
      <w:proofErr w:type="gramStart"/>
      <w:r w:rsidRPr="008873B1">
        <w:t>In particular, it</w:t>
      </w:r>
      <w:proofErr w:type="gramEnd"/>
      <w:r w:rsidRPr="008873B1">
        <w:t xml:space="preserve"> is tasked with granting </w:t>
      </w:r>
      <w:r w:rsidR="00DD12AB">
        <w:t xml:space="preserve">the </w:t>
      </w:r>
      <w:r w:rsidRPr="008873B1">
        <w:t xml:space="preserve">FRA access to communications bearers after verifying that the requested access corresponds to the permit issued by the Foreign Intelligence Court (Chapter 6, section 19a of the Electronic Communications Act). The Inspectorate reviews all other aspects of </w:t>
      </w:r>
      <w:r w:rsidR="00DD12AB">
        <w:t xml:space="preserve">the </w:t>
      </w:r>
      <w:r w:rsidRPr="008873B1">
        <w:t>FRA’s activities, including the interception, analysis, use and destr</w:t>
      </w:r>
      <w:r w:rsidR="00DD12AB">
        <w:t>uction</w:t>
      </w:r>
      <w:r w:rsidRPr="008873B1">
        <w:t xml:space="preserve"> of material. Importantly, it can scrutinise the selectors used (section 10 of the Signals Intelligence Act) and enjoys access to all relevant documents of the FRA (see paragraphs </w:t>
      </w:r>
      <w:r w:rsidRPr="008873B1">
        <w:fldChar w:fldCharType="begin"/>
      </w:r>
      <w:r w:rsidRPr="008873B1">
        <w:instrText xml:space="preserve"> REF Inspectorate_begin \h </w:instrText>
      </w:r>
      <w:r w:rsidR="008873B1">
        <w:instrText xml:space="preserve"> \* MERGEFORMAT </w:instrText>
      </w:r>
      <w:r w:rsidRPr="008873B1">
        <w:fldChar w:fldCharType="separate"/>
      </w:r>
      <w:r w:rsidRPr="004F11CA" w:rsidR="004F11CA">
        <w:rPr>
          <w:rFonts w:cstheme="minorHAnsi"/>
        </w:rPr>
        <w:t>50</w:t>
      </w:r>
      <w:r w:rsidRPr="008873B1">
        <w:fldChar w:fldCharType="end"/>
      </w:r>
      <w:r w:rsidRPr="008873B1">
        <w:t>-</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w:t>
      </w:r>
    </w:p>
    <w:p w:rsidRPr="008873B1" w:rsidR="004D0549" w:rsidP="00674632" w:rsidRDefault="004D0549" w14:paraId="4D95A5F8" w14:textId="192DB833">
      <w:pPr>
        <w:pStyle w:val="JuPara"/>
      </w:pPr>
      <w:r w:rsidRPr="008873B1">
        <w:fldChar w:fldCharType="begin"/>
      </w:r>
      <w:r w:rsidRPr="008873B1">
        <w:instrText xml:space="preserve"> SEQ level0 \*arabic </w:instrText>
      </w:r>
      <w:r w:rsidRPr="008873B1">
        <w:fldChar w:fldCharType="separate"/>
      </w:r>
      <w:r w:rsidR="004F11CA">
        <w:rPr>
          <w:noProof/>
        </w:rPr>
        <w:t>348</w:t>
      </w:r>
      <w:r w:rsidRPr="008873B1">
        <w:fldChar w:fldCharType="end"/>
      </w:r>
      <w:r w:rsidRPr="008873B1">
        <w:t xml:space="preserve">.  It appears therefore that the Inspectorate has the powers and tools necessary to assess not only compliance with the formal requirements of Swedish law but also to examine aspects of the proportionality of the interference with individual rights that may be occasioned by signals intelligence activities. It is noteworthy in this regard that its inspections included numerous detailed examinations of, in particular, the selectors used (see paragraph </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w:t>
      </w:r>
    </w:p>
    <w:p w:rsidRPr="008873B1" w:rsidR="004D0549" w:rsidP="004D0549" w:rsidRDefault="004D0549" w14:paraId="010D0964" w14:textId="10D9BF09">
      <w:pPr>
        <w:pStyle w:val="JuPara"/>
      </w:pPr>
      <w:r w:rsidRPr="008873B1">
        <w:fldChar w:fldCharType="begin"/>
      </w:r>
      <w:r w:rsidRPr="008873B1">
        <w:instrText xml:space="preserve"> SEQ level0 \*arabic </w:instrText>
      </w:r>
      <w:r w:rsidRPr="008873B1">
        <w:fldChar w:fldCharType="separate"/>
      </w:r>
      <w:r w:rsidR="004F11CA">
        <w:rPr>
          <w:noProof/>
        </w:rPr>
        <w:t>349</w:t>
      </w:r>
      <w:r w:rsidRPr="008873B1">
        <w:fldChar w:fldCharType="end"/>
      </w:r>
      <w:r w:rsidRPr="008873B1">
        <w:t xml:space="preserve">.  The applicant pointed to the fact that some of the acts issued by the Inspectorate are in the form of opinions and recommendations, rather than legally binding decisions, and apparently considered that this weakened </w:t>
      </w:r>
      <w:r w:rsidR="00DD12AB">
        <w:t>substantially</w:t>
      </w:r>
      <w:r w:rsidRPr="008873B1">
        <w:t xml:space="preserve"> the real impact of the Inspectorate’s work.</w:t>
      </w:r>
    </w:p>
    <w:bookmarkStart w:name="Inspectorate_legally_binding_dec" w:id="119"/>
    <w:p w:rsidRPr="008873B1" w:rsidR="004D0549" w:rsidP="004D0549" w:rsidRDefault="004D0549" w14:paraId="6C2E0330" w14:textId="3F44EDBD">
      <w:pPr>
        <w:pStyle w:val="JuPara"/>
      </w:pPr>
      <w:r w:rsidRPr="008873B1">
        <w:fldChar w:fldCharType="begin"/>
      </w:r>
      <w:r w:rsidRPr="008873B1">
        <w:instrText xml:space="preserve"> SEQ level0 \*arabic </w:instrText>
      </w:r>
      <w:r w:rsidRPr="008873B1">
        <w:fldChar w:fldCharType="separate"/>
      </w:r>
      <w:r w:rsidR="004F11CA">
        <w:rPr>
          <w:noProof/>
        </w:rPr>
        <w:t>350</w:t>
      </w:r>
      <w:r w:rsidRPr="008873B1">
        <w:fldChar w:fldCharType="end"/>
      </w:r>
      <w:bookmarkEnd w:id="119"/>
      <w:r w:rsidRPr="008873B1">
        <w:t xml:space="preserve">.  The Court notes that under section 10 of the Signals Intelligence Act the Inspectorate, when it finds evidence of improper signals collection, has the power to decide, with legally binding effect, that the collection must cease or that recordings or notes of collected data must be destroyed. On certain other issues, such as potential civil liability of the State with respect to a person or organisation or where there is an indication that a criminal offence may have been committed, the Inspectorate has a duty to report to the competent authorities with which the power to take legally binding decisions lies. The Court considers the above arrangement to be satisfactory. While it is true that there appears to be no legal possibility under Swedish law for the enforcement of the Inspectorate’s recommendations when it seeks the evolution or correction of practices by the FRA, the Court observes that, according to the conclusions of the National Audit Office which audited the Inspectorate in 2015, </w:t>
      </w:r>
      <w:r w:rsidR="00DD12AB">
        <w:t xml:space="preserve">the </w:t>
      </w:r>
      <w:r w:rsidRPr="008873B1">
        <w:t xml:space="preserve">FRA had routines in place for handling the Inspectorate’s opinions, the latter’s suggestions were dealt with in a serious manner and, when called for, gave rise to reforms. The action decided by the Inspectorate had been taken, with the exception of one case when the FRA had referred the matter to the Government (see paragraph </w:t>
      </w:r>
      <w:r w:rsidRPr="008873B1">
        <w:fldChar w:fldCharType="begin"/>
      </w:r>
      <w:r w:rsidRPr="008873B1">
        <w:instrText xml:space="preserve"> REF Inspectorate_audited \h </w:instrText>
      </w:r>
      <w:r w:rsidR="008873B1">
        <w:instrText xml:space="preserve"> \* MERGEFORMAT </w:instrText>
      </w:r>
      <w:r w:rsidRPr="008873B1">
        <w:fldChar w:fldCharType="separate"/>
      </w:r>
      <w:r w:rsidRPr="004F11CA" w:rsidR="004F11CA">
        <w:rPr>
          <w:rFonts w:cstheme="minorHAnsi"/>
        </w:rPr>
        <w:t>54</w:t>
      </w:r>
      <w:r w:rsidRPr="008873B1">
        <w:fldChar w:fldCharType="end"/>
      </w:r>
      <w:r w:rsidRPr="008873B1">
        <w:t xml:space="preserve"> above).  </w:t>
      </w:r>
    </w:p>
    <w:p w:rsidRPr="008873B1" w:rsidR="004D0549" w:rsidP="004D0549" w:rsidRDefault="004D0549" w14:paraId="3C3D3BAE" w14:textId="0662A42E">
      <w:pPr>
        <w:pStyle w:val="JuPara"/>
      </w:pPr>
      <w:r w:rsidRPr="008873B1">
        <w:fldChar w:fldCharType="begin"/>
      </w:r>
      <w:r w:rsidRPr="008873B1">
        <w:instrText xml:space="preserve"> SEQ level0 \*arabic </w:instrText>
      </w:r>
      <w:r w:rsidRPr="008873B1">
        <w:fldChar w:fldCharType="separate"/>
      </w:r>
      <w:r w:rsidR="004F11CA">
        <w:rPr>
          <w:noProof/>
        </w:rPr>
        <w:t>351</w:t>
      </w:r>
      <w:r w:rsidRPr="008873B1">
        <w:fldChar w:fldCharType="end"/>
      </w:r>
      <w:r w:rsidRPr="008873B1">
        <w:t xml:space="preserve">.  Furthermore, the information available to the Court concerning the inspections conducted by the Inspectorate confirms that not only in theory but also in practice it actively reviews FRA’s actions both on a general systematic basis </w:t>
      </w:r>
      <w:proofErr w:type="gramStart"/>
      <w:r w:rsidRPr="008873B1">
        <w:t>and also</w:t>
      </w:r>
      <w:proofErr w:type="gramEnd"/>
      <w:r w:rsidRPr="008873B1">
        <w:t xml:space="preserve"> by themes. In particular, over a period of eight years the Inspectorate has undertaken 102 inspections, including detailed examinations of the selectors used, the destruction of intelligence, the communication of reports, cooperation with other </w:t>
      </w:r>
      <w:r w:rsidR="00DD12AB">
        <w:t>S</w:t>
      </w:r>
      <w:r w:rsidRPr="008873B1">
        <w:t xml:space="preserve">tates and international organisations, the </w:t>
      </w:r>
      <w:r w:rsidR="00DD12AB">
        <w:t>processing</w:t>
      </w:r>
      <w:r w:rsidRPr="008873B1">
        <w:t xml:space="preserve"> of personal data and the overall compliance with the legislation, directives and permits relevant to the signals intelligence activities. These resulted in several opinions and suggestions to the FRA and one opinion submitted to the Government. The effect of the Inspectorate’s activity is illustrated by the fact that, for example, when it suggested in 2011 some amendments to the FRA’s internal rules concerning destruction of data, these were introduced the same year (see paragraph </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w:t>
      </w:r>
    </w:p>
    <w:p w:rsidRPr="008873B1" w:rsidR="004D0549" w:rsidP="004D0549" w:rsidRDefault="004D0549" w14:paraId="14274F2A" w14:textId="12A77832">
      <w:pPr>
        <w:pStyle w:val="JuPara"/>
      </w:pPr>
      <w:r w:rsidRPr="008873B1">
        <w:fldChar w:fldCharType="begin"/>
      </w:r>
      <w:r w:rsidRPr="008873B1">
        <w:instrText xml:space="preserve"> SEQ level0 \*arabic </w:instrText>
      </w:r>
      <w:r w:rsidRPr="008873B1">
        <w:fldChar w:fldCharType="separate"/>
      </w:r>
      <w:r w:rsidR="004F11CA">
        <w:rPr>
          <w:noProof/>
        </w:rPr>
        <w:t>352</w:t>
      </w:r>
      <w:r w:rsidRPr="008873B1">
        <w:fldChar w:fldCharType="end"/>
      </w:r>
      <w:r w:rsidRPr="008873B1">
        <w:t xml:space="preserve">.  Finally, the Inspectorate issues annual reports which are made available to the public and its activities have been the object of audits by the National Audit Office (see paragraphs </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and </w:t>
      </w:r>
      <w:r w:rsidRPr="008873B1">
        <w:fldChar w:fldCharType="begin"/>
      </w:r>
      <w:r w:rsidRPr="008873B1">
        <w:instrText xml:space="preserve"> REF Inspectorate_audited \h </w:instrText>
      </w:r>
      <w:r w:rsidR="008873B1">
        <w:instrText xml:space="preserve"> \* MERGEFORMAT </w:instrText>
      </w:r>
      <w:r w:rsidRPr="008873B1">
        <w:fldChar w:fldCharType="separate"/>
      </w:r>
      <w:r w:rsidRPr="004F11CA" w:rsidR="004F11CA">
        <w:rPr>
          <w:rFonts w:cstheme="minorHAnsi"/>
        </w:rPr>
        <w:t>54</w:t>
      </w:r>
      <w:r w:rsidRPr="008873B1">
        <w:fldChar w:fldCharType="end"/>
      </w:r>
      <w:r w:rsidRPr="008873B1">
        <w:t xml:space="preserve"> above).</w:t>
      </w:r>
    </w:p>
    <w:bookmarkStart w:name="supervision_end" w:id="120"/>
    <w:p w:rsidRPr="008873B1" w:rsidR="004D0549" w:rsidP="004D0549" w:rsidRDefault="004D0549" w14:paraId="4314C6A4" w14:textId="59B8107A">
      <w:pPr>
        <w:pStyle w:val="JuPara"/>
      </w:pPr>
      <w:r w:rsidRPr="008873B1">
        <w:fldChar w:fldCharType="begin"/>
      </w:r>
      <w:r w:rsidRPr="008873B1">
        <w:instrText xml:space="preserve"> SEQ level0 \*arabic </w:instrText>
      </w:r>
      <w:r w:rsidRPr="008873B1">
        <w:fldChar w:fldCharType="separate"/>
      </w:r>
      <w:r w:rsidR="004F11CA">
        <w:rPr>
          <w:noProof/>
        </w:rPr>
        <w:t>353</w:t>
      </w:r>
      <w:r w:rsidRPr="008873B1">
        <w:fldChar w:fldCharType="end"/>
      </w:r>
      <w:bookmarkEnd w:id="120"/>
      <w:r w:rsidRPr="008873B1">
        <w:t>.  In these circumstances, there is no reason to doubt that Swedish law and practice secure an effective supervision on signal intelligence activities in Sweden. In the Court’s view, the Inspectorate’s role, coupled with the judicial pre-authorisation procedure before the Foreign Intelligence Court, form together a functioning safeguard against abuse at the crucial stages of the signals intelligence process – before and during the process of interception, analysis, use and destr</w:t>
      </w:r>
      <w:r w:rsidR="00DD12AB">
        <w:t>uction</w:t>
      </w:r>
      <w:r w:rsidRPr="008873B1">
        <w:t xml:space="preserve"> of the information obtained.</w:t>
      </w:r>
    </w:p>
    <w:p w:rsidRPr="00C22FCE" w:rsidR="004D0549" w:rsidP="00C22FCE" w:rsidRDefault="004D0549" w14:paraId="0F1546E4" w14:textId="77777777">
      <w:pPr>
        <w:pStyle w:val="JuHalpha"/>
      </w:pPr>
      <w:r w:rsidRPr="00C22FCE">
        <w:t>Ex post facto review</w:t>
      </w:r>
    </w:p>
    <w:bookmarkStart w:name="_Hlk64046812" w:id="121"/>
    <w:p w:rsidRPr="008873B1" w:rsidR="004D0549" w:rsidP="004D0549" w:rsidRDefault="004D0549" w14:paraId="3E4D4CFB" w14:textId="6398B983">
      <w:pPr>
        <w:pStyle w:val="JuPara"/>
      </w:pPr>
      <w:r w:rsidRPr="008873B1">
        <w:fldChar w:fldCharType="begin"/>
      </w:r>
      <w:r w:rsidRPr="008873B1">
        <w:instrText xml:space="preserve"> SEQ level0 \*arabic </w:instrText>
      </w:r>
      <w:r w:rsidRPr="008873B1">
        <w:fldChar w:fldCharType="separate"/>
      </w:r>
      <w:r w:rsidR="004F11CA">
        <w:rPr>
          <w:noProof/>
        </w:rPr>
        <w:t>354</w:t>
      </w:r>
      <w:r w:rsidRPr="008873B1">
        <w:fldChar w:fldCharType="end"/>
      </w:r>
      <w:r w:rsidRPr="008873B1">
        <w:t xml:space="preserve">.  It appears undisputed that, due to secrecy, no use has ever been made in practice of the theoretical possibility under the Signals Intelligence Act to notify natural persons when selectors directly related to them have been employed (see paragraphs </w:t>
      </w:r>
      <w:r w:rsidRPr="008873B1">
        <w:fldChar w:fldCharType="begin"/>
      </w:r>
      <w:r w:rsidRPr="008873B1">
        <w:instrText xml:space="preserve"> REF notification_begin \h \* MERGEFORMAT </w:instrText>
      </w:r>
      <w:r w:rsidRPr="008873B1">
        <w:fldChar w:fldCharType="separate"/>
      </w:r>
      <w:r w:rsidR="004F11CA">
        <w:t>58</w:t>
      </w:r>
      <w:r w:rsidRPr="008873B1">
        <w:fldChar w:fldCharType="end"/>
      </w:r>
      <w:r w:rsidRPr="008873B1">
        <w:t xml:space="preserve">, </w:t>
      </w:r>
      <w:r w:rsidRPr="008873B1">
        <w:fldChar w:fldCharType="begin"/>
      </w:r>
      <w:r w:rsidRPr="008873B1">
        <w:instrText xml:space="preserve"> REF notification_end \h \* MERGEFORMAT </w:instrText>
      </w:r>
      <w:r w:rsidRPr="008873B1">
        <w:fldChar w:fldCharType="separate"/>
      </w:r>
      <w:r w:rsidR="004F11CA">
        <w:t>59</w:t>
      </w:r>
      <w:r w:rsidRPr="008873B1">
        <w:fldChar w:fldCharType="end"/>
      </w:r>
      <w:r w:rsidRPr="008873B1">
        <w:t xml:space="preserve">, </w:t>
      </w:r>
      <w:r w:rsidRPr="008873B1">
        <w:fldChar w:fldCharType="begin"/>
      </w:r>
      <w:r w:rsidRPr="008873B1">
        <w:instrText xml:space="preserve"> REF report_DataProtAuth_6Dec2010 \h </w:instrText>
      </w:r>
      <w:r w:rsidR="008873B1">
        <w:instrText xml:space="preserve"> \* MERGEFORMAT </w:instrText>
      </w:r>
      <w:r w:rsidRPr="008873B1">
        <w:fldChar w:fldCharType="separate"/>
      </w:r>
      <w:r w:rsidRPr="004F11CA" w:rsidR="004F11CA">
        <w:rPr>
          <w:rFonts w:cstheme="minorHAnsi"/>
        </w:rPr>
        <w:t>75</w:t>
      </w:r>
      <w:r w:rsidRPr="008873B1">
        <w:fldChar w:fldCharType="end"/>
      </w:r>
      <w:r w:rsidRPr="008873B1">
        <w:t xml:space="preserve"> </w:t>
      </w:r>
      <w:r w:rsidRPr="008873B1">
        <w:rPr>
          <w:i/>
        </w:rPr>
        <w:t>in fine</w:t>
      </w:r>
      <w:r w:rsidRPr="008873B1">
        <w:t xml:space="preserve"> and </w:t>
      </w:r>
      <w:r w:rsidRPr="008873B1">
        <w:fldChar w:fldCharType="begin"/>
      </w:r>
      <w:r w:rsidRPr="008873B1">
        <w:instrText xml:space="preserve"> REF report_SignIntelCte_2011 \h </w:instrText>
      </w:r>
      <w:r w:rsidR="008873B1">
        <w:instrText xml:space="preserve"> \* MERGEFORMAT </w:instrText>
      </w:r>
      <w:r w:rsidRPr="008873B1">
        <w:fldChar w:fldCharType="separate"/>
      </w:r>
      <w:r w:rsidR="004F11CA">
        <w:rPr>
          <w:rFonts w:cstheme="minorHAnsi"/>
        </w:rPr>
        <w:t>80</w:t>
      </w:r>
      <w:r w:rsidRPr="008873B1">
        <w:fldChar w:fldCharType="end"/>
      </w:r>
      <w:r w:rsidRPr="008873B1">
        <w:t xml:space="preserve"> above).</w:t>
      </w:r>
    </w:p>
    <w:bookmarkStart w:name="_Hlk64047196" w:id="122"/>
    <w:bookmarkEnd w:id="121"/>
    <w:p w:rsidRPr="008873B1" w:rsidR="004D0549" w:rsidP="004D0549" w:rsidRDefault="004D0549" w14:paraId="368EFCD8" w14:textId="4C2C96A5">
      <w:pPr>
        <w:pStyle w:val="JuPara"/>
      </w:pPr>
      <w:r w:rsidRPr="008873B1">
        <w:fldChar w:fldCharType="begin"/>
      </w:r>
      <w:r w:rsidRPr="008873B1">
        <w:instrText xml:space="preserve"> SEQ level0 \*arabic </w:instrText>
      </w:r>
      <w:r w:rsidRPr="008873B1">
        <w:fldChar w:fldCharType="separate"/>
      </w:r>
      <w:r w:rsidR="004F11CA">
        <w:rPr>
          <w:noProof/>
        </w:rPr>
        <w:t>355</w:t>
      </w:r>
      <w:r w:rsidRPr="008873B1">
        <w:fldChar w:fldCharType="end"/>
      </w:r>
      <w:r w:rsidRPr="008873B1">
        <w:t xml:space="preserve">.  In the Court’s view, </w:t>
      </w:r>
      <w:proofErr w:type="gramStart"/>
      <w:r w:rsidRPr="008873B1">
        <w:t>it is clear that notifying</w:t>
      </w:r>
      <w:proofErr w:type="gramEnd"/>
      <w:r w:rsidRPr="008873B1">
        <w:t xml:space="preserve"> affected individuals in the context of the Swedish system of signals intelligence as part of foreign intelligence, if at all technically possible, might have far-reaching consequences that are difficult to foresee in advance. As already noted (see paragraph </w:t>
      </w:r>
      <w:r w:rsidRPr="008873B1">
        <w:fldChar w:fldCharType="begin"/>
      </w:r>
      <w:r w:rsidRPr="008873B1">
        <w:instrText xml:space="preserve"> REF no_notific_required \h </w:instrText>
      </w:r>
      <w:r w:rsidR="008873B1">
        <w:instrText xml:space="preserve"> \* MERGEFORMAT </w:instrText>
      </w:r>
      <w:r w:rsidRPr="008873B1">
        <w:fldChar w:fldCharType="separate"/>
      </w:r>
      <w:r w:rsidR="004F11CA">
        <w:t>272</w:t>
      </w:r>
      <w:r w:rsidRPr="008873B1">
        <w:fldChar w:fldCharType="end"/>
      </w:r>
      <w:r w:rsidRPr="008873B1">
        <w:t xml:space="preserve"> above) a remedy which does not depend on notification to the interception subject could be an effective remedy in the context of bulk interception. The Court therefore accepts the respondent State’s approach in this regard as being legitimate. However, the absence of a functioning notification mechanism should be counterbalanced by the effectiveness of the remedies that must be available to individuals who suspect that their communications may have been intercepted and analysed.</w:t>
      </w:r>
    </w:p>
    <w:bookmarkEnd w:id="122"/>
    <w:p w:rsidRPr="008873B1" w:rsidR="004D0549" w:rsidP="004D0549" w:rsidRDefault="004D0549" w14:paraId="2686C522" w14:textId="0CE4D31B">
      <w:pPr>
        <w:pStyle w:val="JuPara"/>
      </w:pPr>
      <w:r w:rsidRPr="008873B1">
        <w:fldChar w:fldCharType="begin"/>
      </w:r>
      <w:r w:rsidRPr="008873B1">
        <w:instrText xml:space="preserve"> SEQ level0 \*arabic </w:instrText>
      </w:r>
      <w:r w:rsidRPr="008873B1">
        <w:fldChar w:fldCharType="separate"/>
      </w:r>
      <w:r w:rsidR="004F11CA">
        <w:rPr>
          <w:noProof/>
        </w:rPr>
        <w:t>356</w:t>
      </w:r>
      <w:r w:rsidRPr="008873B1">
        <w:fldChar w:fldCharType="end"/>
      </w:r>
      <w:r w:rsidRPr="008873B1">
        <w:t xml:space="preserve">.  The Court notes in this regard that the Signals Intelligence Act provides for </w:t>
      </w:r>
      <w:r w:rsidRPr="008873B1">
        <w:rPr>
          <w:i/>
        </w:rPr>
        <w:t>ex post facto</w:t>
      </w:r>
      <w:r w:rsidRPr="008873B1">
        <w:t xml:space="preserve"> review on the initiative of individuals or legal persons without them having to demonstrate that they may have been affected by a bulk interception operation. In reaction to a request by anyone, regardless of nationality and residence, the Foreign Intelligence Inspectorate must investigate if the person’s communications have been intercepted through signals intelligence and, if so, verify whether the interception and treatment of the information have been in accordance with the law. As already noted (see paragraph </w:t>
      </w:r>
      <w:r w:rsidRPr="008873B1">
        <w:fldChar w:fldCharType="begin"/>
      </w:r>
      <w:r w:rsidRPr="008873B1">
        <w:instrText xml:space="preserve"> REF Inspectorate_legally_binding_dec \h </w:instrText>
      </w:r>
      <w:r w:rsidR="008873B1">
        <w:instrText xml:space="preserve"> \* MERGEFORMAT </w:instrText>
      </w:r>
      <w:r w:rsidRPr="008873B1">
        <w:fldChar w:fldCharType="separate"/>
      </w:r>
      <w:r w:rsidR="004F11CA">
        <w:t>350</w:t>
      </w:r>
      <w:r w:rsidRPr="008873B1">
        <w:fldChar w:fldCharType="end"/>
      </w:r>
      <w:r w:rsidRPr="008873B1">
        <w:t xml:space="preserve"> above), the Inspectorate has the power to decide that the signals intelligence operation shall cease or that the intelligence shall be destroyed.</w:t>
      </w:r>
    </w:p>
    <w:bookmarkStart w:name="_Hlk64048571" w:id="123"/>
    <w:p w:rsidRPr="008873B1" w:rsidR="004D0549" w:rsidP="00674632" w:rsidRDefault="004D0549" w14:paraId="1B457AF3" w14:textId="4BAD77B0">
      <w:pPr>
        <w:pStyle w:val="JuPara"/>
      </w:pPr>
      <w:r w:rsidRPr="008873B1">
        <w:fldChar w:fldCharType="begin"/>
      </w:r>
      <w:r w:rsidRPr="008873B1">
        <w:instrText xml:space="preserve"> SEQ level0 \*arabic </w:instrText>
      </w:r>
      <w:r w:rsidRPr="008873B1">
        <w:fldChar w:fldCharType="separate"/>
      </w:r>
      <w:r w:rsidR="004F11CA">
        <w:rPr>
          <w:noProof/>
        </w:rPr>
        <w:t>357</w:t>
      </w:r>
      <w:r w:rsidRPr="008873B1">
        <w:fldChar w:fldCharType="end"/>
      </w:r>
      <w:r w:rsidRPr="008873B1">
        <w:t xml:space="preserve">.  The applicant pointed out that there is no possibility for an individual to be informed of whether his or her communications have </w:t>
      </w:r>
      <w:proofErr w:type="gramStart"/>
      <w:r w:rsidRPr="008873B1">
        <w:t>actually been</w:t>
      </w:r>
      <w:proofErr w:type="gramEnd"/>
      <w:r w:rsidRPr="008873B1">
        <w:t xml:space="preserve"> intercepted or, generally, to be given reasoned decisions. Under the relevant domestic </w:t>
      </w:r>
      <w:proofErr w:type="gramStart"/>
      <w:r w:rsidRPr="008873B1">
        <w:t>law</w:t>
      </w:r>
      <w:proofErr w:type="gramEnd"/>
      <w:r w:rsidRPr="008873B1">
        <w:t xml:space="preserve"> the Inspectorate informs the complainant only that an investigation has been carried out (see paragraph 61 above).</w:t>
      </w:r>
    </w:p>
    <w:bookmarkEnd w:id="123"/>
    <w:p w:rsidRPr="008873B1" w:rsidR="004D0549" w:rsidP="00674632" w:rsidRDefault="004D0549" w14:paraId="538A8EB3" w14:textId="5965321F">
      <w:pPr>
        <w:pStyle w:val="JuPara"/>
      </w:pPr>
      <w:r w:rsidRPr="008873B1">
        <w:fldChar w:fldCharType="begin"/>
      </w:r>
      <w:r w:rsidRPr="008873B1">
        <w:instrText xml:space="preserve"> SEQ level0 \*arabic </w:instrText>
      </w:r>
      <w:r w:rsidRPr="008873B1">
        <w:fldChar w:fldCharType="separate"/>
      </w:r>
      <w:r w:rsidR="004F11CA">
        <w:rPr>
          <w:noProof/>
        </w:rPr>
        <w:t>358</w:t>
      </w:r>
      <w:r w:rsidRPr="008873B1">
        <w:fldChar w:fldCharType="end"/>
      </w:r>
      <w:r w:rsidRPr="008873B1">
        <w:t>.  It transpires from the material available to the Court (see</w:t>
      </w:r>
      <w:proofErr w:type="gramStart"/>
      <w:r w:rsidRPr="008873B1">
        <w:t>, in particular, paragraphs</w:t>
      </w:r>
      <w:proofErr w:type="gramEnd"/>
      <w:r w:rsidRPr="008873B1">
        <w:t xml:space="preserve"> 61 and 203 above) that the Inspectorate regularly examines the requests submitted to it by individuals.</w:t>
      </w:r>
    </w:p>
    <w:p w:rsidRPr="008873B1" w:rsidR="004D0549" w:rsidP="00674632" w:rsidRDefault="004D0549" w14:paraId="05913B61" w14:textId="3199E837">
      <w:pPr>
        <w:pStyle w:val="JuPara"/>
      </w:pPr>
      <w:r w:rsidRPr="008873B1">
        <w:fldChar w:fldCharType="begin"/>
      </w:r>
      <w:r w:rsidRPr="008873B1">
        <w:instrText xml:space="preserve"> SEQ level0 \*arabic </w:instrText>
      </w:r>
      <w:r w:rsidRPr="008873B1">
        <w:fldChar w:fldCharType="separate"/>
      </w:r>
      <w:r w:rsidR="004F11CA">
        <w:rPr>
          <w:noProof/>
        </w:rPr>
        <w:t>359</w:t>
      </w:r>
      <w:r w:rsidRPr="008873B1">
        <w:fldChar w:fldCharType="end"/>
      </w:r>
      <w:r w:rsidRPr="008873B1">
        <w:t xml:space="preserve">.  However, while it is true that the Inspectorate is an independent body, the Court observes that, having regard to that body’s duty to supervise and monitor </w:t>
      </w:r>
      <w:r w:rsidR="000735A7">
        <w:t xml:space="preserve">the </w:t>
      </w:r>
      <w:r w:rsidRPr="008873B1">
        <w:t>FRA’s activities, which includes taking or authorising operational decisions such as those concerning access to the signal carriers, use of selectors, analysis, use and destr</w:t>
      </w:r>
      <w:r w:rsidR="00592296">
        <w:t>uction</w:t>
      </w:r>
      <w:r w:rsidRPr="008873B1">
        <w:t xml:space="preserve"> of intercept material (see paragraphs </w:t>
      </w:r>
      <w:r w:rsidRPr="008873B1">
        <w:fldChar w:fldCharType="begin"/>
      </w:r>
      <w:r w:rsidRPr="008873B1">
        <w:instrText xml:space="preserve"> REF Inspectorate_begin \h </w:instrText>
      </w:r>
      <w:r w:rsidR="008873B1">
        <w:instrText xml:space="preserve"> \* MERGEFORMAT </w:instrText>
      </w:r>
      <w:r w:rsidRPr="008873B1">
        <w:fldChar w:fldCharType="separate"/>
      </w:r>
      <w:r w:rsidRPr="004F11CA" w:rsidR="004F11CA">
        <w:rPr>
          <w:rFonts w:cstheme="minorHAnsi"/>
        </w:rPr>
        <w:t>50</w:t>
      </w:r>
      <w:r w:rsidRPr="008873B1">
        <w:fldChar w:fldCharType="end"/>
      </w:r>
      <w:r w:rsidRPr="008873B1">
        <w:t>-</w:t>
      </w:r>
      <w:r w:rsidRPr="008873B1">
        <w:fldChar w:fldCharType="begin"/>
      </w:r>
      <w:r w:rsidRPr="008873B1">
        <w:instrText xml:space="preserve"> REF Inspectorate_reports \h </w:instrText>
      </w:r>
      <w:r w:rsidR="008873B1">
        <w:instrText xml:space="preserve"> \* MERGEFORMAT </w:instrText>
      </w:r>
      <w:r w:rsidRPr="008873B1">
        <w:fldChar w:fldCharType="separate"/>
      </w:r>
      <w:r w:rsidRPr="004F11CA" w:rsidR="004F11CA">
        <w:rPr>
          <w:rFonts w:cstheme="minorHAnsi"/>
        </w:rPr>
        <w:t>53</w:t>
      </w:r>
      <w:r w:rsidRPr="008873B1">
        <w:fldChar w:fldCharType="end"/>
      </w:r>
      <w:r w:rsidRPr="008873B1">
        <w:t xml:space="preserve"> above), the Inspectorate’s additional role of </w:t>
      </w:r>
      <w:r w:rsidRPr="008873B1">
        <w:rPr>
          <w:i/>
        </w:rPr>
        <w:t>ex post facto</w:t>
      </w:r>
      <w:r w:rsidRPr="008873B1">
        <w:t xml:space="preserve"> </w:t>
      </w:r>
      <w:r w:rsidR="005C5429">
        <w:t>review</w:t>
      </w:r>
      <w:r w:rsidRPr="008873B1">
        <w:t xml:space="preserve"> on request from individuals may lead to situations where it will have to </w:t>
      </w:r>
      <w:r w:rsidR="005C5429">
        <w:t>assess</w:t>
      </w:r>
      <w:r w:rsidRPr="008873B1">
        <w:t xml:space="preserve"> its own activities in supervising bulk interception by the FRA. In the conditions of secrecy, which legitimately characterise the relevant procedures, and failing a legal obligation for the Inspectorate to provide reasons to the individual concerned, there may be doubts as to whether the Inspectorate’s examination of individual complaints in such situations affords adequate guarantees of objectivity and thoroughness. It cannot be excluded that the dual role of the Inspectorate may generate conflicts of interest and, therefore, the temptation to </w:t>
      </w:r>
      <w:r w:rsidR="00592296">
        <w:t>overlook</w:t>
      </w:r>
      <w:r w:rsidRPr="008873B1">
        <w:t xml:space="preserve"> an omission or misconduct in order to avoid criticism or other consequences.</w:t>
      </w:r>
    </w:p>
    <w:p w:rsidRPr="008873B1" w:rsidR="004D0549" w:rsidP="00674632" w:rsidRDefault="004D0549" w14:paraId="2F9F9D41" w14:textId="74926BF9">
      <w:pPr>
        <w:pStyle w:val="JuPara"/>
      </w:pPr>
      <w:r w:rsidRPr="008873B1">
        <w:fldChar w:fldCharType="begin"/>
      </w:r>
      <w:r w:rsidRPr="008873B1">
        <w:instrText xml:space="preserve"> SEQ level0 \*arabic </w:instrText>
      </w:r>
      <w:r w:rsidRPr="008873B1">
        <w:fldChar w:fldCharType="separate"/>
      </w:r>
      <w:r w:rsidR="004F11CA">
        <w:rPr>
          <w:noProof/>
        </w:rPr>
        <w:t>360</w:t>
      </w:r>
      <w:r w:rsidRPr="008873B1">
        <w:fldChar w:fldCharType="end"/>
      </w:r>
      <w:r w:rsidRPr="008873B1">
        <w:t xml:space="preserve">.  The Court does not disregard in this respect the fact that the Inspectorate is itself subject to audits (paragraph </w:t>
      </w:r>
      <w:r w:rsidRPr="008873B1">
        <w:fldChar w:fldCharType="begin"/>
      </w:r>
      <w:r w:rsidRPr="008873B1">
        <w:instrText xml:space="preserve"> REF Inspectorate_audited \h </w:instrText>
      </w:r>
      <w:r w:rsidR="008873B1">
        <w:instrText xml:space="preserve"> \* MERGEFORMAT </w:instrText>
      </w:r>
      <w:r w:rsidRPr="008873B1">
        <w:fldChar w:fldCharType="separate"/>
      </w:r>
      <w:r w:rsidRPr="004F11CA" w:rsidR="004F11CA">
        <w:rPr>
          <w:rFonts w:cstheme="minorHAnsi"/>
        </w:rPr>
        <w:t>54</w:t>
      </w:r>
      <w:r w:rsidRPr="008873B1">
        <w:fldChar w:fldCharType="end"/>
      </w:r>
      <w:r w:rsidRPr="008873B1">
        <w:t xml:space="preserve"> above), which could in principle be seen as a relevant safeguard. It notes, however, that the Government have not provided any information demonstrating that the audits conducted so far covered the Inspectorate’s investigations undertaken at the requests of individuals seeking information as to whether their communications had been intercepted by the FRA. It appears that there is no legal obligation for the National Audit Office – which is responsible for auditing a significant number of administrative bodies in various sectors – to conduct such specific audits and to do so regularly. In these circumstances and having regard to the structural issue noted in the preceding paragraph, the Court is not convinced that the potential possibility of the National Audit Office examining the Inspectorate’s handling of individuals’ complaints is </w:t>
      </w:r>
      <w:proofErr w:type="gramStart"/>
      <w:r w:rsidRPr="008873B1">
        <w:t>sufficient</w:t>
      </w:r>
      <w:proofErr w:type="gramEnd"/>
      <w:r w:rsidRPr="008873B1">
        <w:t xml:space="preserve">.  </w:t>
      </w:r>
    </w:p>
    <w:p w:rsidRPr="008873B1" w:rsidR="004D0549" w:rsidP="00674632" w:rsidRDefault="004D0549" w14:paraId="1960961D" w14:textId="12F78D3C">
      <w:pPr>
        <w:pStyle w:val="JuPara"/>
      </w:pPr>
      <w:r w:rsidRPr="008873B1">
        <w:fldChar w:fldCharType="begin"/>
      </w:r>
      <w:r w:rsidRPr="008873B1">
        <w:instrText xml:space="preserve"> SEQ level0 \*arabic </w:instrText>
      </w:r>
      <w:r w:rsidRPr="008873B1">
        <w:fldChar w:fldCharType="separate"/>
      </w:r>
      <w:r w:rsidR="004F11CA">
        <w:rPr>
          <w:noProof/>
        </w:rPr>
        <w:t>361</w:t>
      </w:r>
      <w:r w:rsidRPr="008873B1">
        <w:fldChar w:fldCharType="end"/>
      </w:r>
      <w:r w:rsidRPr="008873B1">
        <w:t xml:space="preserve">.  Furthermore, in the Court’s view, a system of </w:t>
      </w:r>
      <w:r w:rsidRPr="008873B1">
        <w:rPr>
          <w:i/>
        </w:rPr>
        <w:t>ex post facto</w:t>
      </w:r>
      <w:r w:rsidRPr="008873B1">
        <w:t xml:space="preserve"> </w:t>
      </w:r>
      <w:r w:rsidR="00FE2469">
        <w:t>review</w:t>
      </w:r>
      <w:r w:rsidRPr="008873B1">
        <w:t xml:space="preserve"> that does not produce reasoned decisions in response to complaints submitted by individuals, or at least decisions that contain reasons accessible to security-cleared special counsel, is too dependent on the initiative and perseverance of appointed officials operating away from the public eye. </w:t>
      </w:r>
      <w:proofErr w:type="gramStart"/>
      <w:r w:rsidRPr="008873B1">
        <w:t>With regard to</w:t>
      </w:r>
      <w:proofErr w:type="gramEnd"/>
      <w:r w:rsidRPr="008873B1">
        <w:t xml:space="preserve"> the Swedish system, the Court notes that no details are communicated to the complainant as to the content and outcome of the investigation conducted by the Inspectorate and, hence, the Inspectorate seems to be afforded wide discretion. A reasoned decision has the undeniable advantage of providing publicly available guidance on the interpretation of the applicable legal rules, the limits to be observed and the manner in which the public interest and individual rights are to be balanced in the specific context of bulk interception of communications. As noted by the Court in </w:t>
      </w:r>
      <w:r w:rsidRPr="008873B1">
        <w:rPr>
          <w:i/>
          <w:iCs/>
        </w:rPr>
        <w:t>Kennedy</w:t>
      </w:r>
      <w:r w:rsidRPr="008873B1">
        <w:t xml:space="preserve"> (cited above, § 167), the publication of such legal rulings enhanced the level of scrutiny in this area. These observations lead the Court to consider that the above</w:t>
      </w:r>
      <w:r w:rsidR="008B6EC7">
        <w:t>-</w:t>
      </w:r>
      <w:r w:rsidRPr="008873B1">
        <w:t xml:space="preserve">mentioned features of the Swedish system do not offer a </w:t>
      </w:r>
      <w:proofErr w:type="gramStart"/>
      <w:r w:rsidRPr="008873B1">
        <w:t>sufficient</w:t>
      </w:r>
      <w:proofErr w:type="gramEnd"/>
      <w:r w:rsidRPr="008873B1">
        <w:t xml:space="preserve"> basis for public confidence that abuses, if they occur, will be unveiled and remedied.</w:t>
      </w:r>
    </w:p>
    <w:p w:rsidRPr="008873B1" w:rsidR="004D0549" w:rsidP="00674632" w:rsidRDefault="004D0549" w14:paraId="296BA5A9" w14:textId="2CFBCD6B">
      <w:pPr>
        <w:pStyle w:val="JuPara"/>
        <w:rPr>
          <w:rFonts w:cstheme="minorHAnsi"/>
        </w:rPr>
      </w:pPr>
      <w:r w:rsidRPr="008873B1">
        <w:fldChar w:fldCharType="begin"/>
      </w:r>
      <w:r w:rsidRPr="008873B1">
        <w:instrText xml:space="preserve"> SEQ level0 \*arabic </w:instrText>
      </w:r>
      <w:r w:rsidRPr="008873B1">
        <w:fldChar w:fldCharType="separate"/>
      </w:r>
      <w:r w:rsidR="004F11CA">
        <w:rPr>
          <w:noProof/>
        </w:rPr>
        <w:t>362</w:t>
      </w:r>
      <w:r w:rsidRPr="008873B1">
        <w:fldChar w:fldCharType="end"/>
      </w:r>
      <w:r w:rsidRPr="008873B1">
        <w:t>.  It is true that individuals can turn to the Parliamentary Ombudsmen and the Chancellor of Justice</w:t>
      </w:r>
      <w:r w:rsidR="008B6EC7">
        <w:t>,</w:t>
      </w:r>
      <w:r w:rsidRPr="008873B1">
        <w:rPr>
          <w:rFonts w:cstheme="minorHAnsi"/>
        </w:rPr>
        <w:t xml:space="preserve"> who can scrutinise the authorities’ actions for, </w:t>
      </w:r>
      <w:r w:rsidRPr="008873B1">
        <w:rPr>
          <w:rFonts w:cstheme="minorHAnsi"/>
          <w:i/>
        </w:rPr>
        <w:t>inter alia</w:t>
      </w:r>
      <w:r w:rsidRPr="008873B1">
        <w:rPr>
          <w:rFonts w:cstheme="minorHAnsi"/>
        </w:rPr>
        <w:t xml:space="preserve">, lawfulness and possible encroachment upon fundamental rights and freedoms. The Chancellor and the Ombudsmen have the power to initiate criminal or disciplinary proceedings (see paragraphs </w:t>
      </w:r>
      <w:r w:rsidRPr="008873B1">
        <w:rPr>
          <w:rFonts w:cstheme="minorHAnsi"/>
        </w:rPr>
        <w:fldChar w:fldCharType="begin"/>
      </w:r>
      <w:r w:rsidRPr="008873B1">
        <w:rPr>
          <w:rFonts w:cstheme="minorHAnsi"/>
        </w:rPr>
        <w:instrText xml:space="preserve"> REF Ombuds_Chancellor_beguin \h </w:instrText>
      </w:r>
      <w:r w:rsidR="008873B1">
        <w:rPr>
          <w:rFonts w:cstheme="minorHAnsi"/>
        </w:rPr>
        <w:instrText xml:space="preserve"> \* MERGEFORMAT </w:instrText>
      </w:r>
      <w:r w:rsidRPr="008873B1">
        <w:rPr>
          <w:rFonts w:cstheme="minorHAnsi"/>
        </w:rPr>
      </w:r>
      <w:r w:rsidRPr="008873B1">
        <w:rPr>
          <w:rFonts w:cstheme="minorHAnsi"/>
        </w:rPr>
        <w:fldChar w:fldCharType="separate"/>
      </w:r>
      <w:r w:rsidRPr="004F11CA" w:rsidR="004F11CA">
        <w:rPr>
          <w:rFonts w:cstheme="minorHAnsi"/>
        </w:rPr>
        <w:t>66</w:t>
      </w:r>
      <w:r w:rsidRPr="008873B1">
        <w:rPr>
          <w:rFonts w:cstheme="minorHAnsi"/>
        </w:rPr>
        <w:fldChar w:fldCharType="end"/>
      </w:r>
      <w:r w:rsidRPr="008873B1">
        <w:rPr>
          <w:rFonts w:cstheme="minorHAnsi"/>
        </w:rPr>
        <w:t>-</w:t>
      </w:r>
      <w:r w:rsidRPr="008873B1">
        <w:rPr>
          <w:rFonts w:cstheme="minorHAnsi"/>
        </w:rPr>
        <w:fldChar w:fldCharType="begin"/>
      </w:r>
      <w:r w:rsidRPr="008873B1">
        <w:rPr>
          <w:rFonts w:cstheme="minorHAnsi"/>
        </w:rPr>
        <w:instrText xml:space="preserve"> REF Chancellor_initiate_crim_proc \h </w:instrText>
      </w:r>
      <w:r w:rsidR="008873B1">
        <w:rPr>
          <w:rFonts w:cstheme="minorHAnsi"/>
        </w:rPr>
        <w:instrText xml:space="preserve"> \* MERGEFORMAT </w:instrText>
      </w:r>
      <w:r w:rsidRPr="008873B1">
        <w:rPr>
          <w:rFonts w:cstheme="minorHAnsi"/>
        </w:rPr>
      </w:r>
      <w:r w:rsidRPr="008873B1">
        <w:rPr>
          <w:rFonts w:cstheme="minorHAnsi"/>
        </w:rPr>
        <w:fldChar w:fldCharType="separate"/>
      </w:r>
      <w:r w:rsidRPr="004F11CA" w:rsidR="004F11CA">
        <w:rPr>
          <w:rFonts w:cstheme="minorHAnsi"/>
        </w:rPr>
        <w:t>68</w:t>
      </w:r>
      <w:r w:rsidRPr="008873B1">
        <w:rPr>
          <w:rFonts w:cstheme="minorHAnsi"/>
        </w:rPr>
        <w:fldChar w:fldCharType="end"/>
      </w:r>
      <w:r w:rsidRPr="008873B1">
        <w:rPr>
          <w:rFonts w:cstheme="minorHAnsi"/>
        </w:rPr>
        <w:t xml:space="preserve"> above). While these are relevant complaint mechanisms, the Court notes that they do not seem to have been used frequently in the context of bulk interception of communications (see above, paragraph </w:t>
      </w:r>
      <w:r w:rsidRPr="008873B1">
        <w:rPr>
          <w:rFonts w:cstheme="minorHAnsi"/>
        </w:rPr>
        <w:fldChar w:fldCharType="begin"/>
      </w:r>
      <w:r w:rsidRPr="008873B1">
        <w:rPr>
          <w:rFonts w:cstheme="minorHAnsi"/>
        </w:rPr>
        <w:instrText xml:space="preserve"> REF how_many_compl_Chancellor \h </w:instrText>
      </w:r>
      <w:r w:rsidR="008873B1">
        <w:rPr>
          <w:rFonts w:cstheme="minorHAnsi"/>
        </w:rPr>
        <w:instrText xml:space="preserve"> \* MERGEFORMAT </w:instrText>
      </w:r>
      <w:r w:rsidRPr="008873B1">
        <w:rPr>
          <w:rFonts w:cstheme="minorHAnsi"/>
        </w:rPr>
      </w:r>
      <w:r w:rsidRPr="008873B1">
        <w:rPr>
          <w:rFonts w:cstheme="minorHAnsi"/>
        </w:rPr>
        <w:fldChar w:fldCharType="separate"/>
      </w:r>
      <w:r w:rsidRPr="004F11CA" w:rsidR="004F11CA">
        <w:rPr>
          <w:rFonts w:cstheme="minorHAnsi"/>
        </w:rPr>
        <w:t>67</w:t>
      </w:r>
      <w:r w:rsidRPr="008873B1">
        <w:rPr>
          <w:rFonts w:cstheme="minorHAnsi"/>
        </w:rPr>
        <w:fldChar w:fldCharType="end"/>
      </w:r>
      <w:r w:rsidRPr="008873B1">
        <w:rPr>
          <w:rFonts w:cstheme="minorHAnsi"/>
        </w:rPr>
        <w:t xml:space="preserve"> </w:t>
      </w:r>
      <w:r w:rsidRPr="008873B1">
        <w:rPr>
          <w:rFonts w:cstheme="minorHAnsi"/>
          <w:i/>
        </w:rPr>
        <w:t>in fine</w:t>
      </w:r>
      <w:r w:rsidRPr="008873B1">
        <w:rPr>
          <w:rFonts w:cstheme="minorHAnsi"/>
        </w:rPr>
        <w:t>). In any event, it is of the view that a legal procedure before an independent body, which in</w:t>
      </w:r>
      <w:r w:rsidR="008B6EC7">
        <w:rPr>
          <w:rFonts w:cstheme="minorHAnsi"/>
        </w:rPr>
        <w:t xml:space="preserve"> </w:t>
      </w:r>
      <w:r w:rsidRPr="008873B1">
        <w:rPr>
          <w:rFonts w:cstheme="minorHAnsi"/>
        </w:rPr>
        <w:t>so</w:t>
      </w:r>
      <w:r w:rsidR="008B6EC7">
        <w:rPr>
          <w:rFonts w:cstheme="minorHAnsi"/>
        </w:rPr>
        <w:t xml:space="preserve"> </w:t>
      </w:r>
      <w:r w:rsidRPr="008873B1">
        <w:rPr>
          <w:rFonts w:cstheme="minorHAnsi"/>
        </w:rPr>
        <w:t>far as possible offers an adversarial process resulting in reasoned and legally binding decisions</w:t>
      </w:r>
      <w:r w:rsidR="00DA5C04">
        <w:rPr>
          <w:rFonts w:cstheme="minorHAnsi"/>
        </w:rPr>
        <w:t>,</w:t>
      </w:r>
      <w:r w:rsidRPr="008873B1">
        <w:rPr>
          <w:rFonts w:cstheme="minorHAnsi"/>
        </w:rPr>
        <w:t xml:space="preserve"> is an essential element of an effective </w:t>
      </w:r>
      <w:r w:rsidRPr="008873B1">
        <w:rPr>
          <w:rFonts w:cstheme="minorHAnsi"/>
          <w:i/>
          <w:iCs/>
        </w:rPr>
        <w:t>ex post facto</w:t>
      </w:r>
      <w:r w:rsidRPr="008873B1">
        <w:rPr>
          <w:rFonts w:cstheme="minorHAnsi"/>
        </w:rPr>
        <w:t xml:space="preserve"> review. However, these conditions were met neither by the Chancellor not the Ombudsmen.</w:t>
      </w:r>
    </w:p>
    <w:p w:rsidRPr="008873B1" w:rsidR="004D0549" w:rsidP="00674632" w:rsidRDefault="004D0549" w14:paraId="21BF170B" w14:textId="114BF884">
      <w:pPr>
        <w:pStyle w:val="JuPara"/>
      </w:pPr>
      <w:r w:rsidRPr="008873B1">
        <w:fldChar w:fldCharType="begin"/>
      </w:r>
      <w:r w:rsidRPr="008873B1">
        <w:instrText xml:space="preserve"> SEQ level0 \*arabic </w:instrText>
      </w:r>
      <w:r w:rsidRPr="008873B1">
        <w:fldChar w:fldCharType="separate"/>
      </w:r>
      <w:r w:rsidR="004F11CA">
        <w:rPr>
          <w:noProof/>
        </w:rPr>
        <w:t>363</w:t>
      </w:r>
      <w:r w:rsidRPr="008873B1">
        <w:fldChar w:fldCharType="end"/>
      </w:r>
      <w:r w:rsidRPr="008873B1">
        <w:t xml:space="preserve">.  Finally, the Court agrees with the applicant that the remedy available in the United Kingdom before the IPT (see </w:t>
      </w:r>
      <w:r w:rsidRPr="008873B1">
        <w:rPr>
          <w:i/>
          <w:iCs/>
        </w:rPr>
        <w:t>Big Brother Watch and Others</w:t>
      </w:r>
      <w:r w:rsidRPr="008873B1">
        <w:t xml:space="preserve">, cited above, §§ 413-15), illustrates that it is possible to reconcile legitimate security concerns and the need to ensure a reliable </w:t>
      </w:r>
      <w:r w:rsidRPr="008873B1">
        <w:rPr>
          <w:i/>
        </w:rPr>
        <w:t>ex post facto</w:t>
      </w:r>
      <w:r w:rsidRPr="008873B1">
        <w:t xml:space="preserve"> control of bulk interception activities.</w:t>
      </w:r>
    </w:p>
    <w:bookmarkStart w:name="_Hlk64048847" w:id="124"/>
    <w:p w:rsidRPr="008873B1" w:rsidR="004D0549" w:rsidP="00674632" w:rsidRDefault="004D0549" w14:paraId="3AE3C1E2" w14:textId="2D1BD4C2">
      <w:pPr>
        <w:pStyle w:val="JuPara"/>
      </w:pPr>
      <w:r w:rsidRPr="008873B1">
        <w:fldChar w:fldCharType="begin"/>
      </w:r>
      <w:r w:rsidRPr="008873B1">
        <w:instrText xml:space="preserve"> SEQ level0 \*arabic </w:instrText>
      </w:r>
      <w:r w:rsidRPr="008873B1">
        <w:fldChar w:fldCharType="separate"/>
      </w:r>
      <w:r w:rsidR="004F11CA">
        <w:rPr>
          <w:noProof/>
        </w:rPr>
        <w:t>364</w:t>
      </w:r>
      <w:r w:rsidRPr="008873B1">
        <w:fldChar w:fldCharType="end"/>
      </w:r>
      <w:r w:rsidRPr="008873B1">
        <w:t xml:space="preserve">.  In sum, the Inspectorate’s dual role and the absence of a possibility for members of the public to obtain reasoned decisions in some form in response to inquiries or complaints regarding bulk interception of communications, elements that are not in line with the requirements of an effective </w:t>
      </w:r>
      <w:r w:rsidRPr="007D165E">
        <w:rPr>
          <w:i/>
          <w:iCs/>
        </w:rPr>
        <w:t>ex post facto</w:t>
      </w:r>
      <w:r w:rsidRPr="008873B1">
        <w:t xml:space="preserve"> review, must be seen as a shortcoming of the Swedish regime, to be taken into account in the Court’s assessment of its compatibility with Article 8 of the Convention. In the Court’s view, the above</w:t>
      </w:r>
      <w:r w:rsidR="007D165E">
        <w:t>-</w:t>
      </w:r>
      <w:r w:rsidRPr="008873B1">
        <w:t xml:space="preserve">mentioned shortcoming is particularly relevant having regard to the fact that the Court has insufficient information about the practice of the Foreign Intelligence Court on judicial pre-authorisation of strong selectors or categories of selectors (see paragraph </w:t>
      </w:r>
      <w:r w:rsidRPr="008873B1">
        <w:fldChar w:fldCharType="begin"/>
      </w:r>
      <w:r w:rsidRPr="008873B1">
        <w:instrText xml:space="preserve"> REF para299 \h </w:instrText>
      </w:r>
      <w:r w:rsidR="008873B1">
        <w:instrText xml:space="preserve"> \* MERGEFORMAT </w:instrText>
      </w:r>
      <w:r w:rsidRPr="008873B1">
        <w:fldChar w:fldCharType="separate"/>
      </w:r>
      <w:r w:rsidR="004F11CA">
        <w:t>300</w:t>
      </w:r>
      <w:r w:rsidRPr="008873B1">
        <w:fldChar w:fldCharType="end"/>
      </w:r>
      <w:r w:rsidRPr="008873B1">
        <w:t xml:space="preserve"> above) and on the manner in which the legal requirements on destruction of intercept material are applied in practice (see paragraph 343 above). This undoubtedly exacerbates the uncertainty for the individuals concerned as to whether arbitrariness or abuse concerning them might have occurred.</w:t>
      </w:r>
      <w:bookmarkEnd w:id="124"/>
    </w:p>
    <w:p w:rsidRPr="00152E15" w:rsidR="004D0549" w:rsidP="00152E15" w:rsidRDefault="004D0549" w14:paraId="4E91E07B" w14:textId="77777777">
      <w:pPr>
        <w:pStyle w:val="JuHalpha"/>
      </w:pPr>
      <w:r w:rsidRPr="00152E15">
        <w:t xml:space="preserve"> Conclusion</w:t>
      </w:r>
    </w:p>
    <w:p w:rsidRPr="008873B1" w:rsidR="004D0549" w:rsidP="004D0549" w:rsidRDefault="004D0549" w14:paraId="4D5D9F4E" w14:textId="22BDEF9F">
      <w:pPr>
        <w:pStyle w:val="JuPara"/>
      </w:pPr>
      <w:r w:rsidRPr="008873B1">
        <w:fldChar w:fldCharType="begin"/>
      </w:r>
      <w:r w:rsidRPr="008873B1">
        <w:instrText xml:space="preserve"> SEQ level0 \*arabic </w:instrText>
      </w:r>
      <w:r w:rsidRPr="008873B1">
        <w:fldChar w:fldCharType="separate"/>
      </w:r>
      <w:r w:rsidR="004F11CA">
        <w:rPr>
          <w:noProof/>
        </w:rPr>
        <w:t>365</w:t>
      </w:r>
      <w:r w:rsidRPr="008873B1">
        <w:fldChar w:fldCharType="end"/>
      </w:r>
      <w:r w:rsidRPr="008873B1">
        <w:t xml:space="preserve">.  The Court is in no doubt that bulk interception is of vital importance to Contracting States in identifying threats to their national security. This has been recognised, in particular, by the Venice Commission (see paragraph </w:t>
      </w:r>
      <w:r w:rsidRPr="008873B1">
        <w:fldChar w:fldCharType="begin"/>
      </w:r>
      <w:r w:rsidRPr="008873B1">
        <w:instrText xml:space="preserve"> REF report_Venice_Comm_begin \h \* MERGEFORMAT </w:instrText>
      </w:r>
      <w:r w:rsidRPr="008873B1">
        <w:fldChar w:fldCharType="separate"/>
      </w:r>
      <w:r w:rsidR="004F11CA">
        <w:t>86</w:t>
      </w:r>
      <w:r w:rsidRPr="008873B1">
        <w:fldChar w:fldCharType="end"/>
      </w:r>
      <w:r w:rsidRPr="008873B1">
        <w:t xml:space="preserve"> above). It appears that, in present-day conditions, no alternative or combination of alternatives would be </w:t>
      </w:r>
      <w:proofErr w:type="gramStart"/>
      <w:r w:rsidRPr="008873B1">
        <w:t>sufficient</w:t>
      </w:r>
      <w:proofErr w:type="gramEnd"/>
      <w:r w:rsidRPr="008873B1">
        <w:t xml:space="preserve"> to substitute for the bulk interception power.</w:t>
      </w:r>
    </w:p>
    <w:p w:rsidRPr="008873B1" w:rsidR="004D0549" w:rsidP="004D0549" w:rsidRDefault="004D0549" w14:paraId="1BB55E43" w14:textId="7B39EF3B">
      <w:pPr>
        <w:pStyle w:val="JuPara"/>
      </w:pPr>
      <w:r w:rsidRPr="008873B1">
        <w:fldChar w:fldCharType="begin"/>
      </w:r>
      <w:r w:rsidRPr="008873B1">
        <w:instrText xml:space="preserve"> SEQ level0 \*arabic </w:instrText>
      </w:r>
      <w:r w:rsidRPr="008873B1">
        <w:fldChar w:fldCharType="separate"/>
      </w:r>
      <w:r w:rsidR="004F11CA">
        <w:rPr>
          <w:noProof/>
        </w:rPr>
        <w:t>366</w:t>
      </w:r>
      <w:r w:rsidRPr="008873B1">
        <w:fldChar w:fldCharType="end"/>
      </w:r>
      <w:r w:rsidRPr="008873B1">
        <w:t xml:space="preserve">. The Court further reiterates that it is not its role to prescribe an ideal model for signals intelligence but rather to review for Convention compliance </w:t>
      </w:r>
      <w:r w:rsidR="005B2E7F">
        <w:t xml:space="preserve">the </w:t>
      </w:r>
      <w:r w:rsidRPr="008873B1">
        <w:t>existing legal and practical arrangements</w:t>
      </w:r>
      <w:r w:rsidR="005B2E7F">
        <w:t>,</w:t>
      </w:r>
      <w:r w:rsidRPr="008873B1">
        <w:t xml:space="preserve"> which vary conceptually and functionally from one Contracting Party to another. In this exercise, the Swedish signals intelligence model and its safeguards against abuse must </w:t>
      </w:r>
      <w:proofErr w:type="gramStart"/>
      <w:r w:rsidRPr="008873B1">
        <w:t>be seen as</w:t>
      </w:r>
      <w:proofErr w:type="gramEnd"/>
      <w:r w:rsidRPr="008873B1">
        <w:t xml:space="preserve"> one whole.</w:t>
      </w:r>
    </w:p>
    <w:p w:rsidRPr="008873B1" w:rsidR="004D0549" w:rsidP="004D0549" w:rsidRDefault="004D0549" w14:paraId="17EDEB89" w14:textId="740B699F">
      <w:pPr>
        <w:pStyle w:val="JuPara"/>
      </w:pPr>
      <w:r w:rsidRPr="008873B1">
        <w:fldChar w:fldCharType="begin"/>
      </w:r>
      <w:r w:rsidRPr="008873B1">
        <w:instrText xml:space="preserve"> SEQ level0 \*arabic </w:instrText>
      </w:r>
      <w:r w:rsidRPr="008873B1">
        <w:fldChar w:fldCharType="separate"/>
      </w:r>
      <w:r w:rsidR="004F11CA">
        <w:rPr>
          <w:noProof/>
        </w:rPr>
        <w:t>367</w:t>
      </w:r>
      <w:r w:rsidRPr="008873B1">
        <w:fldChar w:fldCharType="end"/>
      </w:r>
      <w:r w:rsidRPr="008873B1">
        <w:t>.  The review of the Swedish bulk interception system in the present case has revealed that it is based on detailed legal rules, is clearly delimited in scope and provides for safeguards. The grounds upon which bulk interception can be authorised in Sweden are clearly circumscribed, the circumstances in which communications might be intercepted and examined are set out with sufficient clarity, its duration is legally regulated and controlled and the procedures for selecting, examining and using intercepted material are accompanied by adequate safeguards against abuse. The same protections apply equally to the content of intercepted communications and communications data.</w:t>
      </w:r>
    </w:p>
    <w:p w:rsidRPr="008873B1" w:rsidR="004D0549" w:rsidP="004D0549" w:rsidRDefault="004D0549" w14:paraId="1D71AD48" w14:textId="0688AE64">
      <w:pPr>
        <w:pStyle w:val="JuPara"/>
      </w:pPr>
      <w:r w:rsidRPr="008873B1">
        <w:fldChar w:fldCharType="begin"/>
      </w:r>
      <w:r w:rsidRPr="008873B1">
        <w:instrText xml:space="preserve"> SEQ level0 \*arabic </w:instrText>
      </w:r>
      <w:r w:rsidRPr="008873B1">
        <w:fldChar w:fldCharType="separate"/>
      </w:r>
      <w:r w:rsidR="004F11CA">
        <w:rPr>
          <w:noProof/>
        </w:rPr>
        <w:t>368</w:t>
      </w:r>
      <w:r w:rsidRPr="008873B1">
        <w:fldChar w:fldCharType="end"/>
      </w:r>
      <w:r w:rsidRPr="008873B1">
        <w:t xml:space="preserve">.  Crucially, the judicial pre-authorisation procedure as it exists in Sweden and the supervision exercised by an independent body in Sweden serve </w:t>
      </w:r>
      <w:r w:rsidRPr="008873B1" w:rsidR="005B2E7F">
        <w:t xml:space="preserve">in principle </w:t>
      </w:r>
      <w:r w:rsidRPr="008873B1">
        <w:t>to ensure the application of the domestic legal requirements and the Convention standards in practice and</w:t>
      </w:r>
      <w:r w:rsidR="00F02521">
        <w:t xml:space="preserve"> to</w:t>
      </w:r>
      <w:r w:rsidRPr="008873B1">
        <w:t xml:space="preserve"> limit the risk of disproportionate consequences affecting Article 8 rights. Notably, regard must be had to the fact that in Sweden the limits to be observed in each bulk interception mission, as well as its lawfulness and proportionality in general, are the subject</w:t>
      </w:r>
      <w:r w:rsidR="00F02521">
        <w:t xml:space="preserve"> </w:t>
      </w:r>
      <w:r w:rsidRPr="008873B1">
        <w:t>matter of judicial pre-authorisation proceedings before the Foreign Intelligence Court, which sits in the presence of a privacy protection representative defending the public interest.</w:t>
      </w:r>
    </w:p>
    <w:p w:rsidRPr="008873B1" w:rsidR="004D0549" w:rsidP="004D0549" w:rsidRDefault="004D0549" w14:paraId="2D1153B6" w14:textId="0D7D8ED2">
      <w:pPr>
        <w:pStyle w:val="JuPara"/>
      </w:pPr>
      <w:r w:rsidRPr="008873B1">
        <w:fldChar w:fldCharType="begin"/>
      </w:r>
      <w:r w:rsidRPr="008873B1">
        <w:instrText xml:space="preserve"> SEQ level0 \*arabic </w:instrText>
      </w:r>
      <w:r w:rsidRPr="008873B1">
        <w:fldChar w:fldCharType="separate"/>
      </w:r>
      <w:r w:rsidR="004F11CA">
        <w:rPr>
          <w:noProof/>
        </w:rPr>
        <w:t>369</w:t>
      </w:r>
      <w:r w:rsidRPr="008873B1">
        <w:fldChar w:fldCharType="end"/>
      </w:r>
      <w:r w:rsidRPr="008873B1">
        <w:t xml:space="preserve">.  The Court noted </w:t>
      </w:r>
      <w:bookmarkStart w:name="_Hlk72523317" w:id="125"/>
      <w:r w:rsidRPr="008873B1">
        <w:t xml:space="preserve">three shortcomings </w:t>
      </w:r>
      <w:r w:rsidR="00F02521">
        <w:t>in</w:t>
      </w:r>
      <w:r w:rsidRPr="008873B1">
        <w:t xml:space="preserve"> the Swedish bulk interception regime: the absence of a clear rule on destroying intercepted material which does not contain personal data (see paragraph 342 above)</w:t>
      </w:r>
      <w:r w:rsidR="00F02521">
        <w:t>;</w:t>
      </w:r>
      <w:r w:rsidRPr="008873B1">
        <w:t xml:space="preserve"> the absence of a requirement in the Signals Intelligence Act or other relevant legislation that, when making a decision to transmit intelligence material to foreign partners, consideration is given to the privacy interests of individuals (see paragraphs 326-330 above)</w:t>
      </w:r>
      <w:r w:rsidR="00F02521">
        <w:t>;</w:t>
      </w:r>
      <w:r w:rsidRPr="008873B1">
        <w:t xml:space="preserve"> and the absence of an effective </w:t>
      </w:r>
      <w:r w:rsidRPr="008873B1">
        <w:rPr>
          <w:i/>
          <w:iCs/>
        </w:rPr>
        <w:t>ex post facto</w:t>
      </w:r>
      <w:r w:rsidRPr="008873B1">
        <w:t xml:space="preserve"> review</w:t>
      </w:r>
      <w:bookmarkEnd w:id="125"/>
      <w:r w:rsidRPr="008873B1">
        <w:t xml:space="preserve"> (see paragraphs 359-364 above).</w:t>
      </w:r>
    </w:p>
    <w:p w:rsidRPr="008873B1" w:rsidR="004D0549" w:rsidP="004D0549" w:rsidRDefault="004D0549" w14:paraId="0CC53B92" w14:textId="165F6E38">
      <w:pPr>
        <w:pStyle w:val="JuPara"/>
      </w:pPr>
      <w:r w:rsidRPr="008873B1">
        <w:fldChar w:fldCharType="begin"/>
      </w:r>
      <w:r w:rsidRPr="008873B1">
        <w:instrText xml:space="preserve"> SEQ level0 \*arabic </w:instrText>
      </w:r>
      <w:r w:rsidRPr="008873B1">
        <w:fldChar w:fldCharType="separate"/>
      </w:r>
      <w:r w:rsidR="004F11CA">
        <w:rPr>
          <w:noProof/>
        </w:rPr>
        <w:t>370</w:t>
      </w:r>
      <w:r w:rsidRPr="008873B1">
        <w:fldChar w:fldCharType="end"/>
      </w:r>
      <w:r w:rsidRPr="008873B1">
        <w:t>.  As regards the first of these shortcomings, its potential for causing adverse consequences on Article 8 rights is limited by the fact that Swedish law provides for clear rules on the destruction of intercept material in a number of circumstances and, above all, when it contains personal data.</w:t>
      </w:r>
    </w:p>
    <w:p w:rsidRPr="008873B1" w:rsidR="004D0549" w:rsidP="004D0549" w:rsidRDefault="004D0549" w14:paraId="058B0A56" w14:textId="599761C5">
      <w:pPr>
        <w:pStyle w:val="JuPara"/>
      </w:pPr>
      <w:r w:rsidRPr="008873B1">
        <w:fldChar w:fldCharType="begin"/>
      </w:r>
      <w:r w:rsidRPr="008873B1">
        <w:instrText xml:space="preserve"> SEQ level0 \*arabic </w:instrText>
      </w:r>
      <w:r w:rsidRPr="008873B1">
        <w:fldChar w:fldCharType="separate"/>
      </w:r>
      <w:r w:rsidR="004F11CA">
        <w:rPr>
          <w:noProof/>
        </w:rPr>
        <w:t>371</w:t>
      </w:r>
      <w:r w:rsidRPr="008873B1">
        <w:fldChar w:fldCharType="end"/>
      </w:r>
      <w:r w:rsidRPr="008873B1">
        <w:t>.  However, the Court considers that the second shortcoming may potentially lead to very significant adverse consequences for affected individuals or organisations. As noted, the above-mentioned shortcoming may allow information seriously compromising privacy rights or the right to respect for correspondence to be transmitted abroad mechanically, even if its intelligence value is very low. Such transmission may therefore generate clearly disproportionate risks for Article 8 Convention rights. Furthermore, no legally binding obligation is imposed on the FRA to analyse and determine whether the foreign recipient of intelligence offers an acceptable minimum level of safeguards.</w:t>
      </w:r>
    </w:p>
    <w:p w:rsidRPr="008873B1" w:rsidR="004D0549" w:rsidP="004D0549" w:rsidRDefault="004D0549" w14:paraId="421844DB" w14:textId="65FF7A15">
      <w:pPr>
        <w:pStyle w:val="JuPara"/>
      </w:pPr>
      <w:r w:rsidRPr="008873B1">
        <w:fldChar w:fldCharType="begin"/>
      </w:r>
      <w:r w:rsidRPr="008873B1">
        <w:instrText xml:space="preserve"> SEQ level0 \*arabic </w:instrText>
      </w:r>
      <w:r w:rsidRPr="008873B1">
        <w:fldChar w:fldCharType="separate"/>
      </w:r>
      <w:r w:rsidR="004F11CA">
        <w:rPr>
          <w:noProof/>
        </w:rPr>
        <w:t>372</w:t>
      </w:r>
      <w:r w:rsidRPr="008873B1">
        <w:fldChar w:fldCharType="end"/>
      </w:r>
      <w:r w:rsidRPr="008873B1">
        <w:t xml:space="preserve">.  Finally, the Inspectorate’s dual role and the absence of a possibility for members of the public to obtain reasoned decisions in some form in response to inquiries or complaints regarding bulk interception of communications weakens the </w:t>
      </w:r>
      <w:r w:rsidRPr="008873B1">
        <w:rPr>
          <w:i/>
          <w:iCs/>
        </w:rPr>
        <w:t>ex post facto</w:t>
      </w:r>
      <w:r w:rsidRPr="008873B1">
        <w:t xml:space="preserve"> control mechanism to an extent that generates risks for the observance of the affected individuals’ fundamental rights. Moreover, the lack of an effective review at the final stage of interception cannot be reconciled with the Court’s view that the degree of interference with individuals’ Article 8 rights increases as the process </w:t>
      </w:r>
      <w:r w:rsidR="00F02521">
        <w:t>advances</w:t>
      </w:r>
      <w:r w:rsidRPr="008873B1">
        <w:t xml:space="preserve"> (see paragraphs </w:t>
      </w:r>
      <w:r w:rsidRPr="008873B1">
        <w:fldChar w:fldCharType="begin"/>
      </w:r>
      <w:r w:rsidRPr="008873B1">
        <w:instrText xml:space="preserve"> REF Stages \h </w:instrText>
      </w:r>
      <w:r w:rsidR="008873B1">
        <w:instrText xml:space="preserve"> \* MERGEFORMAT </w:instrText>
      </w:r>
      <w:r w:rsidRPr="008873B1">
        <w:fldChar w:fldCharType="separate"/>
      </w:r>
      <w:r w:rsidR="004F11CA">
        <w:t>239</w:t>
      </w:r>
      <w:r w:rsidRPr="008873B1">
        <w:fldChar w:fldCharType="end"/>
      </w:r>
      <w:r w:rsidRPr="008873B1">
        <w:t xml:space="preserve"> and </w:t>
      </w:r>
      <w:r w:rsidRPr="008873B1">
        <w:fldChar w:fldCharType="begin"/>
      </w:r>
      <w:r w:rsidRPr="008873B1">
        <w:instrText xml:space="preserve"> REF degree_interference_increases \h </w:instrText>
      </w:r>
      <w:r w:rsidR="008873B1">
        <w:instrText xml:space="preserve"> \* MERGEFORMAT </w:instrText>
      </w:r>
      <w:r w:rsidRPr="008873B1">
        <w:fldChar w:fldCharType="separate"/>
      </w:r>
      <w:r w:rsidR="004F11CA">
        <w:t>245</w:t>
      </w:r>
      <w:r w:rsidRPr="008873B1">
        <w:fldChar w:fldCharType="end"/>
      </w:r>
      <w:r w:rsidRPr="008873B1">
        <w:t xml:space="preserve"> above) and falls short of the requirement of “end-to-end” safeguards (see paragraph </w:t>
      </w:r>
      <w:r w:rsidRPr="008873B1">
        <w:fldChar w:fldCharType="begin"/>
      </w:r>
      <w:r w:rsidRPr="008873B1">
        <w:instrText xml:space="preserve"> REF endTOend \h </w:instrText>
      </w:r>
      <w:r w:rsidR="008873B1">
        <w:instrText xml:space="preserve"> \* MERGEFORMAT </w:instrText>
      </w:r>
      <w:r w:rsidRPr="008873B1">
        <w:fldChar w:fldCharType="separate"/>
      </w:r>
      <w:r w:rsidR="004F11CA">
        <w:t>264</w:t>
      </w:r>
      <w:r w:rsidRPr="008873B1">
        <w:fldChar w:fldCharType="end"/>
      </w:r>
      <w:r w:rsidRPr="008873B1">
        <w:t xml:space="preserve"> above).</w:t>
      </w:r>
    </w:p>
    <w:p w:rsidRPr="008873B1" w:rsidR="004D0549" w:rsidP="004D0549" w:rsidRDefault="004D0549" w14:paraId="38166791" w14:textId="0898DCBC">
      <w:pPr>
        <w:pStyle w:val="JuPara"/>
      </w:pPr>
      <w:r w:rsidRPr="008873B1">
        <w:fldChar w:fldCharType="begin"/>
      </w:r>
      <w:r w:rsidRPr="008873B1">
        <w:instrText xml:space="preserve"> SEQ level0 \*arabic </w:instrText>
      </w:r>
      <w:r w:rsidRPr="008873B1">
        <w:fldChar w:fldCharType="separate"/>
      </w:r>
      <w:r w:rsidR="004F11CA">
        <w:rPr>
          <w:noProof/>
        </w:rPr>
        <w:t>373</w:t>
      </w:r>
      <w:r w:rsidRPr="008873B1">
        <w:fldChar w:fldCharType="end"/>
      </w:r>
      <w:r w:rsidRPr="008873B1">
        <w:t>.  The Court is satisfied that the main features of the Swedish bulk interception regime meet the Convention requirements on quality of the law and considers that the operation of this regime at the time of the Chamber examination was therefore in most aspects kept within the limits of what is “necessary in a democratic society”. It finds, however, that the shortcomings mentioned in the preceding paragraphs are not sufficiently compensated by the existing safeguards and that, therefore, the Swedish bulk interception regime oversteps the margin of appreciation left to the authorities of the respondent State in that regard. The Court r</w:t>
      </w:r>
      <w:r w:rsidR="00D91D7E">
        <w:t>eiterate</w:t>
      </w:r>
      <w:r w:rsidRPr="008873B1">
        <w:t xml:space="preserve">s that there is considerable potential for bulk interception to be abused in a manner adversely affecting the rights of individuals to respect for private life (see paragraph 261 above). Therefore, having regard to rule of law principle, which is expressly mentioned in the Preamble to the Convention and is inherent in the object and purpose of Article 8 (see </w:t>
      </w:r>
      <w:r w:rsidRPr="008873B1">
        <w:rPr>
          <w:i/>
        </w:rPr>
        <w:t xml:space="preserve">Roman </w:t>
      </w:r>
      <w:proofErr w:type="spellStart"/>
      <w:r w:rsidRPr="008873B1">
        <w:rPr>
          <w:i/>
        </w:rPr>
        <w:t>Zakharov</w:t>
      </w:r>
      <w:proofErr w:type="spellEnd"/>
      <w:r w:rsidRPr="008873B1">
        <w:t>, cited above, § 228), the Court considers that the Swedish bulk interception regime, when viewed as a whole, did not contain sufficient “end</w:t>
      </w:r>
      <w:r w:rsidR="00D91D7E">
        <w:t>-</w:t>
      </w:r>
      <w:r w:rsidRPr="008873B1">
        <w:t>to</w:t>
      </w:r>
      <w:r w:rsidR="00D91D7E">
        <w:t>-</w:t>
      </w:r>
      <w:r w:rsidRPr="008873B1">
        <w:t>end” safeguards to provide adequate and effective guarantees against arbitrariness and the risk of abuse.</w:t>
      </w:r>
    </w:p>
    <w:p w:rsidRPr="008873B1" w:rsidR="004D0549" w:rsidP="004D0549" w:rsidRDefault="004D0549" w14:paraId="4E8FEFA1" w14:textId="06257C99">
      <w:pPr>
        <w:pStyle w:val="JuHa0"/>
        <w:numPr>
          <w:ilvl w:val="0"/>
          <w:numId w:val="0"/>
        </w:numPr>
        <w:ind w:left="975" w:hanging="340"/>
      </w:pPr>
      <w:r w:rsidRPr="008873B1">
        <w:t>(</w:t>
      </w:r>
      <w:r w:rsidR="00772B25">
        <w:t>d</w:t>
      </w:r>
      <w:r w:rsidRPr="008873B1">
        <w:t>) Conclusion on Article 8</w:t>
      </w:r>
    </w:p>
    <w:p w:rsidRPr="008873B1" w:rsidR="004D0549" w:rsidP="004D0549" w:rsidRDefault="004D0549" w14:paraId="02E8D80C" w14:textId="25284735">
      <w:pPr>
        <w:pStyle w:val="JuPara"/>
      </w:pPr>
      <w:r w:rsidRPr="008873B1">
        <w:fldChar w:fldCharType="begin"/>
      </w:r>
      <w:r w:rsidRPr="008873B1">
        <w:instrText xml:space="preserve"> SEQ level0 \*arabic </w:instrText>
      </w:r>
      <w:r w:rsidRPr="008873B1">
        <w:fldChar w:fldCharType="separate"/>
      </w:r>
      <w:r w:rsidR="004F11CA">
        <w:rPr>
          <w:noProof/>
        </w:rPr>
        <w:t>374</w:t>
      </w:r>
      <w:r w:rsidRPr="008873B1">
        <w:fldChar w:fldCharType="end"/>
      </w:r>
      <w:r w:rsidRPr="008873B1">
        <w:t xml:space="preserve">.  Having regard to the </w:t>
      </w:r>
      <w:r w:rsidR="00D91D7E">
        <w:t xml:space="preserve">above </w:t>
      </w:r>
      <w:r w:rsidRPr="008873B1">
        <w:t>conclusion concerning the lawfulness and justification of the impugned bulk interception regime, the Court finds that in the present case there has been a violation of Article 8 of the Convention.</w:t>
      </w:r>
    </w:p>
    <w:p w:rsidRPr="008873B1" w:rsidR="004D0549" w:rsidP="008873B1" w:rsidRDefault="004D0549" w14:paraId="39B4EEB2" w14:textId="77777777">
      <w:pPr>
        <w:pStyle w:val="JuHIRoman"/>
        <w:numPr>
          <w:ilvl w:val="1"/>
          <w:numId w:val="1"/>
        </w:numPr>
        <w:tabs>
          <w:tab w:val="clear" w:pos="454"/>
          <w:tab w:val="clear" w:pos="567"/>
          <w:tab w:val="clear" w:pos="680"/>
        </w:tabs>
      </w:pPr>
      <w:r w:rsidRPr="008873B1">
        <w:t>ALLEGED VIOLATION OF ARTICLE 13 OF THE CONVENTION</w:t>
      </w:r>
    </w:p>
    <w:p w:rsidRPr="008873B1" w:rsidR="004D0549" w:rsidP="004D0549" w:rsidRDefault="004D0549" w14:paraId="6D35EE31" w14:textId="1A430C06">
      <w:pPr>
        <w:pStyle w:val="JuPara"/>
      </w:pPr>
      <w:r w:rsidRPr="008873B1">
        <w:fldChar w:fldCharType="begin"/>
      </w:r>
      <w:r w:rsidRPr="008873B1">
        <w:instrText xml:space="preserve"> SEQ level0 \*arabic </w:instrText>
      </w:r>
      <w:r w:rsidRPr="008873B1">
        <w:fldChar w:fldCharType="separate"/>
      </w:r>
      <w:r w:rsidR="004F11CA">
        <w:rPr>
          <w:noProof/>
        </w:rPr>
        <w:t>375</w:t>
      </w:r>
      <w:r w:rsidRPr="008873B1">
        <w:fldChar w:fldCharType="end"/>
      </w:r>
      <w:r w:rsidRPr="008873B1">
        <w:t>.  The applicant complained that the remedies available under the Swedish bulk interception regime were insufficient and did not meet the requirements of Article 13 of the Convention. That provision reads as follows:</w:t>
      </w:r>
    </w:p>
    <w:p w:rsidRPr="008873B1" w:rsidR="004D0549" w:rsidP="004D0549" w:rsidRDefault="004D0549" w14:paraId="48FFC23D" w14:textId="77777777">
      <w:pPr>
        <w:pStyle w:val="JuQuot"/>
      </w:pPr>
      <w:r w:rsidRPr="008873B1">
        <w:t>“Everyone whose rights and freedoms as set forth in [the] Convention are violated shall have an effective remedy before a national authority notwithstanding that the violation has been committed by persons acting in an official capacity.”</w:t>
      </w:r>
    </w:p>
    <w:p w:rsidRPr="008873B1" w:rsidR="004D0549" w:rsidP="004D0549" w:rsidRDefault="004D0549" w14:paraId="16CB827E" w14:textId="31D132E8">
      <w:pPr>
        <w:pStyle w:val="JuPara"/>
      </w:pPr>
      <w:r w:rsidRPr="008873B1">
        <w:fldChar w:fldCharType="begin"/>
      </w:r>
      <w:r w:rsidRPr="008873B1">
        <w:instrText xml:space="preserve"> SEQ level0 \*arabic </w:instrText>
      </w:r>
      <w:r w:rsidRPr="008873B1">
        <w:fldChar w:fldCharType="separate"/>
      </w:r>
      <w:r w:rsidR="004F11CA">
        <w:rPr>
          <w:noProof/>
        </w:rPr>
        <w:t>376</w:t>
      </w:r>
      <w:r w:rsidRPr="008873B1">
        <w:fldChar w:fldCharType="end"/>
      </w:r>
      <w:r w:rsidRPr="008873B1">
        <w:t>.  The Chamber found that no separate issue arose under that provision (see paragraph 184 of the Chamber judgment).</w:t>
      </w:r>
    </w:p>
    <w:p w:rsidRPr="008873B1" w:rsidR="004D0549" w:rsidP="004D0549" w:rsidRDefault="004D0549" w14:paraId="1859D792" w14:textId="3F6B19BC">
      <w:pPr>
        <w:pStyle w:val="JuPara"/>
        <w:rPr>
          <w:b/>
        </w:rPr>
      </w:pPr>
      <w:r w:rsidRPr="008873B1">
        <w:fldChar w:fldCharType="begin"/>
      </w:r>
      <w:r w:rsidRPr="008873B1">
        <w:instrText xml:space="preserve"> SEQ level0 \*arabic </w:instrText>
      </w:r>
      <w:r w:rsidRPr="008873B1">
        <w:fldChar w:fldCharType="separate"/>
      </w:r>
      <w:r w:rsidR="004F11CA">
        <w:rPr>
          <w:noProof/>
        </w:rPr>
        <w:t>377</w:t>
      </w:r>
      <w:r w:rsidRPr="008873B1">
        <w:fldChar w:fldCharType="end"/>
      </w:r>
      <w:r w:rsidRPr="008873B1">
        <w:t>.  The Grand Chamber adopts the same conclusion, having regard to its finding above that there has been a violation of Article 8.</w:t>
      </w:r>
    </w:p>
    <w:p w:rsidRPr="008873B1" w:rsidR="004D0549" w:rsidP="008873B1" w:rsidRDefault="004D0549" w14:paraId="49AFAD91" w14:textId="77777777">
      <w:pPr>
        <w:pStyle w:val="JuHIRoman"/>
        <w:numPr>
          <w:ilvl w:val="1"/>
          <w:numId w:val="1"/>
        </w:numPr>
        <w:tabs>
          <w:tab w:val="clear" w:pos="454"/>
          <w:tab w:val="clear" w:pos="567"/>
          <w:tab w:val="clear" w:pos="680"/>
        </w:tabs>
      </w:pPr>
      <w:r w:rsidRPr="008873B1">
        <w:t>APPLICATION OF ARTICLE 41 OF THE CONVENTION</w:t>
      </w:r>
    </w:p>
    <w:p w:rsidRPr="008873B1" w:rsidR="004D0549" w:rsidP="004D0549" w:rsidRDefault="004D0549" w14:paraId="73A26FFC" w14:textId="2D7B5406">
      <w:pPr>
        <w:pStyle w:val="JuPara"/>
      </w:pPr>
      <w:r w:rsidRPr="008873B1">
        <w:fldChar w:fldCharType="begin"/>
      </w:r>
      <w:r w:rsidRPr="008873B1">
        <w:instrText xml:space="preserve"> SEQ level0 \*arabic </w:instrText>
      </w:r>
      <w:r w:rsidRPr="008873B1">
        <w:fldChar w:fldCharType="separate"/>
      </w:r>
      <w:r w:rsidR="004F11CA">
        <w:rPr>
          <w:noProof/>
        </w:rPr>
        <w:t>378</w:t>
      </w:r>
      <w:r w:rsidRPr="008873B1">
        <w:fldChar w:fldCharType="end"/>
      </w:r>
      <w:r w:rsidRPr="008873B1">
        <w:t>.  Article 41 of the Convention provides:</w:t>
      </w:r>
    </w:p>
    <w:p w:rsidRPr="008873B1" w:rsidR="004D0549" w:rsidP="004D0549" w:rsidRDefault="004D0549" w14:paraId="39AF0E5C" w14:textId="77777777">
      <w:pPr>
        <w:pStyle w:val="JuQuot"/>
        <w:keepNext/>
        <w:keepLines/>
      </w:pPr>
      <w:r w:rsidRPr="008873B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8873B1" w:rsidR="004D0549" w:rsidP="008873B1" w:rsidRDefault="004D0549" w14:paraId="0BC6A3FC" w14:textId="77777777">
      <w:pPr>
        <w:pStyle w:val="JuHA"/>
        <w:numPr>
          <w:ilvl w:val="2"/>
          <w:numId w:val="1"/>
        </w:numPr>
        <w:ind w:left="584"/>
      </w:pPr>
      <w:r w:rsidRPr="008873B1">
        <w:t>Damage</w:t>
      </w:r>
    </w:p>
    <w:p w:rsidRPr="008873B1" w:rsidR="004D0549" w:rsidP="004D0549" w:rsidRDefault="004D0549" w14:paraId="5E8DB5BD" w14:textId="1F9D9CE6">
      <w:pPr>
        <w:pStyle w:val="JuPara"/>
      </w:pPr>
      <w:r w:rsidRPr="008873B1">
        <w:fldChar w:fldCharType="begin"/>
      </w:r>
      <w:r w:rsidRPr="008873B1">
        <w:instrText xml:space="preserve"> SEQ level0 \*arabic </w:instrText>
      </w:r>
      <w:r w:rsidRPr="008873B1">
        <w:fldChar w:fldCharType="separate"/>
      </w:r>
      <w:r w:rsidR="004F11CA">
        <w:rPr>
          <w:noProof/>
        </w:rPr>
        <w:t>379</w:t>
      </w:r>
      <w:r w:rsidRPr="008873B1">
        <w:fldChar w:fldCharType="end"/>
      </w:r>
      <w:r w:rsidRPr="008873B1">
        <w:t xml:space="preserve">.  The applicant stated that a finding of a violation would constitute </w:t>
      </w:r>
      <w:proofErr w:type="gramStart"/>
      <w:r w:rsidRPr="008873B1">
        <w:t>sufficient</w:t>
      </w:r>
      <w:proofErr w:type="gramEnd"/>
      <w:r w:rsidRPr="008873B1">
        <w:t xml:space="preserve"> redress. The Government agreed.</w:t>
      </w:r>
    </w:p>
    <w:p w:rsidRPr="008873B1" w:rsidR="004D0549" w:rsidP="004D0549" w:rsidRDefault="004D0549" w14:paraId="7D820087" w14:textId="7580691D">
      <w:pPr>
        <w:pStyle w:val="JuPara"/>
      </w:pPr>
      <w:r w:rsidRPr="008873B1">
        <w:fldChar w:fldCharType="begin"/>
      </w:r>
      <w:r w:rsidRPr="008873B1">
        <w:instrText xml:space="preserve"> SEQ level0 \*arabic </w:instrText>
      </w:r>
      <w:r w:rsidRPr="008873B1">
        <w:fldChar w:fldCharType="separate"/>
      </w:r>
      <w:r w:rsidR="004F11CA">
        <w:rPr>
          <w:noProof/>
        </w:rPr>
        <w:t>380</w:t>
      </w:r>
      <w:r w:rsidRPr="008873B1">
        <w:fldChar w:fldCharType="end"/>
      </w:r>
      <w:r w:rsidRPr="008873B1">
        <w:t>.  The Court accordingly makes no award under this head.</w:t>
      </w:r>
    </w:p>
    <w:p w:rsidRPr="008873B1" w:rsidR="004D0549" w:rsidP="008873B1" w:rsidRDefault="004D0549" w14:paraId="7F5B3852" w14:textId="77777777">
      <w:pPr>
        <w:pStyle w:val="JuHA"/>
        <w:numPr>
          <w:ilvl w:val="2"/>
          <w:numId w:val="1"/>
        </w:numPr>
        <w:ind w:left="584"/>
      </w:pPr>
      <w:r w:rsidRPr="008873B1">
        <w:t>Costs and expenses</w:t>
      </w:r>
    </w:p>
    <w:p w:rsidRPr="008873B1" w:rsidR="004D0549" w:rsidP="004D0549" w:rsidRDefault="004D0549" w14:paraId="698C969A" w14:textId="151182F6">
      <w:pPr>
        <w:pStyle w:val="JuPara"/>
      </w:pPr>
      <w:r w:rsidRPr="008873B1">
        <w:fldChar w:fldCharType="begin"/>
      </w:r>
      <w:r w:rsidRPr="008873B1">
        <w:instrText xml:space="preserve"> SEQ level0 \*arabic </w:instrText>
      </w:r>
      <w:r w:rsidRPr="008873B1">
        <w:fldChar w:fldCharType="separate"/>
      </w:r>
      <w:r w:rsidR="004F11CA">
        <w:rPr>
          <w:noProof/>
        </w:rPr>
        <w:t>381</w:t>
      </w:r>
      <w:r w:rsidRPr="008873B1">
        <w:fldChar w:fldCharType="end"/>
      </w:r>
      <w:r w:rsidRPr="008873B1">
        <w:t>.  The applicant claimed 544,734 Swedish crowns (“SEK”) for 217 hours of legal work in the Chamber proceedings and 190 hours of legal work in the Grand Chamber proceedings (407 hours in total) at hourly rates ranging from SEK 1,302 to SEK 1,380.</w:t>
      </w:r>
    </w:p>
    <w:p w:rsidRPr="008873B1" w:rsidR="004D0549" w:rsidP="004D0549" w:rsidRDefault="004D0549" w14:paraId="517A72AD" w14:textId="233F8AE9">
      <w:pPr>
        <w:pStyle w:val="JuPara"/>
      </w:pPr>
      <w:r w:rsidRPr="008873B1">
        <w:fldChar w:fldCharType="begin"/>
      </w:r>
      <w:r w:rsidRPr="008873B1">
        <w:instrText xml:space="preserve"> SEQ level0 \*arabic </w:instrText>
      </w:r>
      <w:r w:rsidRPr="008873B1">
        <w:fldChar w:fldCharType="separate"/>
      </w:r>
      <w:r w:rsidR="004F11CA">
        <w:rPr>
          <w:noProof/>
        </w:rPr>
        <w:t>382</w:t>
      </w:r>
      <w:r w:rsidRPr="008873B1">
        <w:fldChar w:fldCharType="end"/>
      </w:r>
      <w:r w:rsidRPr="008873B1">
        <w:t>.  The applicant also claimed travel and accommodation expenses for the attendance of its three representatives at the hearing before the Grand Chamber on 10 July 2019. These expenses amounted to SEK 8,669 for flight tickets and SEK 8,231 for hotel accommodation (SEK 16,900 in total). The applicant submitted copies of the relevant invoices.</w:t>
      </w:r>
    </w:p>
    <w:p w:rsidRPr="008873B1" w:rsidR="004D0549" w:rsidP="004D0549" w:rsidRDefault="004D0549" w14:paraId="618E43CB" w14:textId="7A7B24D0">
      <w:pPr>
        <w:pStyle w:val="JuPara"/>
      </w:pPr>
      <w:r w:rsidRPr="008873B1">
        <w:fldChar w:fldCharType="begin"/>
      </w:r>
      <w:r w:rsidRPr="008873B1">
        <w:instrText xml:space="preserve"> SEQ level0 \*arabic </w:instrText>
      </w:r>
      <w:r w:rsidRPr="008873B1">
        <w:fldChar w:fldCharType="separate"/>
      </w:r>
      <w:r w:rsidR="004F11CA">
        <w:rPr>
          <w:noProof/>
        </w:rPr>
        <w:t>383</w:t>
      </w:r>
      <w:r w:rsidRPr="008873B1">
        <w:fldChar w:fldCharType="end"/>
      </w:r>
      <w:r w:rsidRPr="008873B1">
        <w:t>.  The total amount claimed by the applicant was thus SEK 561,634 (the equivalent of approximately EUR 52,625).</w:t>
      </w:r>
    </w:p>
    <w:p w:rsidRPr="008873B1" w:rsidR="004D0549" w:rsidP="004D0549" w:rsidRDefault="004D0549" w14:paraId="29CBA0A2" w14:textId="4C455BA6">
      <w:pPr>
        <w:pStyle w:val="JuPara"/>
      </w:pPr>
      <w:r w:rsidRPr="008873B1">
        <w:fldChar w:fldCharType="begin"/>
      </w:r>
      <w:r w:rsidRPr="008873B1">
        <w:instrText xml:space="preserve"> SEQ level0 \*arabic </w:instrText>
      </w:r>
      <w:r w:rsidRPr="008873B1">
        <w:fldChar w:fldCharType="separate"/>
      </w:r>
      <w:r w:rsidR="004F11CA">
        <w:rPr>
          <w:noProof/>
        </w:rPr>
        <w:t>384</w:t>
      </w:r>
      <w:r w:rsidRPr="008873B1">
        <w:fldChar w:fldCharType="end"/>
      </w:r>
      <w:r w:rsidRPr="008873B1">
        <w:t>.  The Government stated that they did not object to the claims made by the applicant but considered that if only one of the Convention Articles covered by the complaint is found to be violated the reimbursement should be reduced accordingly.</w:t>
      </w:r>
    </w:p>
    <w:p w:rsidRPr="008873B1" w:rsidR="004D0549" w:rsidP="004D0549" w:rsidRDefault="004D0549" w14:paraId="03DE312F" w14:textId="7A28D7D4">
      <w:pPr>
        <w:pStyle w:val="JuPara"/>
      </w:pPr>
      <w:r w:rsidRPr="008873B1">
        <w:fldChar w:fldCharType="begin"/>
      </w:r>
      <w:r w:rsidRPr="008873B1">
        <w:instrText xml:space="preserve"> SEQ level0 \*arabic </w:instrText>
      </w:r>
      <w:r w:rsidRPr="008873B1">
        <w:fldChar w:fldCharType="separate"/>
      </w:r>
      <w:r w:rsidR="004F11CA">
        <w:rPr>
          <w:noProof/>
        </w:rPr>
        <w:t>385</w:t>
      </w:r>
      <w:r w:rsidRPr="008873B1">
        <w:fldChar w:fldCharType="end"/>
      </w:r>
      <w:r w:rsidRPr="008873B1">
        <w:t>.  According to the Court’s case-law, an applicant is entitled to the reimbursement of costs and expenses only in so far as it has been shown that these have been actually and necessarily incurred and are reasonable as to quantum. In the present case, regard being had to the documents in the Court’s possession and the above criteria and noting, in addition, that a violation of the Convention was found in respect of the applicant’s main complaint, the complaint under Article 8, the Court considers it reasonable to award EUR 52,625</w:t>
      </w:r>
      <w:r w:rsidR="00D91D7E">
        <w:t xml:space="preserve"> to</w:t>
      </w:r>
      <w:r w:rsidRPr="008873B1">
        <w:t xml:space="preserve"> cover costs and expenses under all heads.</w:t>
      </w:r>
    </w:p>
    <w:p w:rsidRPr="008873B1" w:rsidR="004D0549" w:rsidP="008873B1" w:rsidRDefault="004D0549" w14:paraId="7E1192BD" w14:textId="77777777">
      <w:pPr>
        <w:pStyle w:val="JuHA"/>
        <w:numPr>
          <w:ilvl w:val="2"/>
          <w:numId w:val="1"/>
        </w:numPr>
        <w:ind w:left="584"/>
      </w:pPr>
      <w:r w:rsidRPr="008873B1">
        <w:t>Default interest</w:t>
      </w:r>
    </w:p>
    <w:p w:rsidRPr="008873B1" w:rsidR="004D0549" w:rsidP="004D0549" w:rsidRDefault="004D0549" w14:paraId="0337657C" w14:textId="3FB8E6B0">
      <w:pPr>
        <w:pStyle w:val="JuPara"/>
      </w:pPr>
      <w:r w:rsidRPr="008873B1">
        <w:fldChar w:fldCharType="begin"/>
      </w:r>
      <w:r w:rsidRPr="008873B1">
        <w:instrText xml:space="preserve"> SEQ level0 \*arabic </w:instrText>
      </w:r>
      <w:r w:rsidRPr="008873B1">
        <w:fldChar w:fldCharType="separate"/>
      </w:r>
      <w:r w:rsidR="004F11CA">
        <w:rPr>
          <w:noProof/>
        </w:rPr>
        <w:t>386</w:t>
      </w:r>
      <w:r w:rsidRPr="008873B1">
        <w:fldChar w:fldCharType="end"/>
      </w:r>
      <w:r w:rsidRPr="008873B1">
        <w:t>.  The Court considers it appropriate that the default interest rate should be based on the marginal lending rate of the European Central Bank, to which should be added three percentage points.</w:t>
      </w:r>
    </w:p>
    <w:p w:rsidRPr="008873B1" w:rsidR="004D0549" w:rsidP="008873B1" w:rsidRDefault="004D0549" w14:paraId="7F3CED3B" w14:textId="77777777">
      <w:pPr>
        <w:pStyle w:val="JuHHead"/>
        <w:numPr>
          <w:ilvl w:val="0"/>
          <w:numId w:val="1"/>
        </w:numPr>
      </w:pPr>
      <w:r w:rsidRPr="008873B1">
        <w:t>FOR THESE REASONS, THE COURT</w:t>
      </w:r>
    </w:p>
    <w:p w:rsidRPr="008873B1" w:rsidR="004D0549" w:rsidP="008873B1" w:rsidRDefault="004D0549" w14:paraId="5F65F090" w14:textId="77777777">
      <w:pPr>
        <w:pStyle w:val="JuList"/>
        <w:numPr>
          <w:ilvl w:val="0"/>
          <w:numId w:val="2"/>
        </w:numPr>
        <w:ind w:left="0" w:firstLine="0"/>
      </w:pPr>
      <w:r w:rsidRPr="008873B1">
        <w:rPr>
          <w:i/>
        </w:rPr>
        <w:t>Rejects</w:t>
      </w:r>
      <w:r w:rsidRPr="008873B1">
        <w:t>, unanimously,</w:t>
      </w:r>
      <w:r w:rsidRPr="008873B1">
        <w:rPr>
          <w:color w:val="000000"/>
        </w:rPr>
        <w:t xml:space="preserve"> </w:t>
      </w:r>
      <w:r w:rsidRPr="008873B1">
        <w:t>the respondent Government’s preliminary objection regarding the applicant’s victim status.</w:t>
      </w:r>
    </w:p>
    <w:p w:rsidRPr="008873B1" w:rsidR="004D0549" w:rsidP="008873B1" w:rsidRDefault="004D0549" w14:paraId="64CAA618" w14:textId="77777777">
      <w:pPr>
        <w:pStyle w:val="JuList"/>
        <w:numPr>
          <w:ilvl w:val="0"/>
          <w:numId w:val="2"/>
        </w:numPr>
      </w:pPr>
      <w:r w:rsidRPr="008873B1">
        <w:rPr>
          <w:i/>
        </w:rPr>
        <w:t>Holds</w:t>
      </w:r>
      <w:r w:rsidRPr="008873B1">
        <w:t>, by fifteen votes to two,</w:t>
      </w:r>
      <w:r w:rsidRPr="008873B1">
        <w:rPr>
          <w:color w:val="000000"/>
        </w:rPr>
        <w:t xml:space="preserve"> </w:t>
      </w:r>
      <w:r w:rsidRPr="008873B1">
        <w:t>that there has been a violation of Article 8 of the Convention;</w:t>
      </w:r>
    </w:p>
    <w:p w:rsidRPr="008873B1" w:rsidR="004D0549" w:rsidP="008873B1" w:rsidRDefault="004D0549" w14:paraId="4D52C221" w14:textId="77777777">
      <w:pPr>
        <w:pStyle w:val="JuList"/>
        <w:numPr>
          <w:ilvl w:val="0"/>
          <w:numId w:val="2"/>
        </w:numPr>
      </w:pPr>
      <w:r w:rsidRPr="008873B1">
        <w:rPr>
          <w:i/>
        </w:rPr>
        <w:t>Holds</w:t>
      </w:r>
      <w:r w:rsidRPr="008873B1">
        <w:t>, unanimously,</w:t>
      </w:r>
      <w:r w:rsidRPr="008873B1">
        <w:rPr>
          <w:color w:val="000000"/>
        </w:rPr>
        <w:t xml:space="preserve"> </w:t>
      </w:r>
      <w:r w:rsidRPr="008873B1">
        <w:t>that it is not necessary to examine separately the complaint under Article 13 of the Convention;</w:t>
      </w:r>
    </w:p>
    <w:p w:rsidRPr="008873B1" w:rsidR="004D0549" w:rsidP="008873B1" w:rsidRDefault="004D0549" w14:paraId="7AEE5CE7" w14:textId="77777777">
      <w:pPr>
        <w:pStyle w:val="JuList"/>
        <w:numPr>
          <w:ilvl w:val="0"/>
          <w:numId w:val="2"/>
        </w:numPr>
      </w:pPr>
      <w:r w:rsidRPr="008873B1">
        <w:rPr>
          <w:i/>
        </w:rPr>
        <w:t>Holds</w:t>
      </w:r>
      <w:r w:rsidRPr="008873B1">
        <w:t>, unanimously,</w:t>
      </w:r>
    </w:p>
    <w:p w:rsidR="0040563F" w:rsidP="0040563F" w:rsidRDefault="004D0549" w14:paraId="3CE31056" w14:textId="7089EE9F">
      <w:pPr>
        <w:pStyle w:val="JuLista"/>
        <w:numPr>
          <w:ilvl w:val="1"/>
          <w:numId w:val="2"/>
        </w:numPr>
      </w:pPr>
      <w:r w:rsidRPr="008873B1">
        <w:t>that the respondent State is to pay the applicant, with respect to costs and expenses, within three months EUR 52,625, plus any tax that may be chargeable to the applicant,</w:t>
      </w:r>
      <w:r w:rsidRPr="008873B1">
        <w:rPr>
          <w:b/>
        </w:rPr>
        <w:t xml:space="preserve"> </w:t>
      </w:r>
      <w:r w:rsidRPr="008873B1">
        <w:t xml:space="preserve">to be converted into </w:t>
      </w:r>
      <w:r w:rsidRPr="008873B1">
        <w:rPr>
          <w:color w:val="000000"/>
        </w:rPr>
        <w:t>the currency of the respondent State</w:t>
      </w:r>
      <w:r w:rsidRPr="008873B1">
        <w:t xml:space="preserve"> at the rate applicable at the date of settlement;</w:t>
      </w:r>
    </w:p>
    <w:p w:rsidRPr="008873B1" w:rsidR="00FB7C95" w:rsidP="0040563F" w:rsidRDefault="004D0549" w14:paraId="2E5A4ACD" w14:textId="4F6A5245">
      <w:pPr>
        <w:pStyle w:val="JuLista"/>
        <w:numPr>
          <w:ilvl w:val="1"/>
          <w:numId w:val="2"/>
        </w:numPr>
      </w:pPr>
      <w:r w:rsidRPr="008873B1">
        <w:t>that from the expiry of the above-mentioned three months until settlement simple interest shall be payable on the above amount at a rate equal to the marginal lending rate of the European Central Bank during the default period plus three percentage points.</w:t>
      </w:r>
    </w:p>
    <w:p w:rsidRPr="008873B1" w:rsidR="00FB7C95" w:rsidP="00FB7C95" w:rsidRDefault="00FB7C95" w14:paraId="58F476EF" w14:textId="4137412A">
      <w:pPr>
        <w:pStyle w:val="JuParaLast"/>
      </w:pPr>
      <w:r w:rsidRPr="008873B1">
        <w:t>Done in English</w:t>
      </w:r>
      <w:r w:rsidR="001016FA">
        <w:t xml:space="preserve"> and in French</w:t>
      </w:r>
      <w:r w:rsidRPr="008873B1">
        <w:t xml:space="preserve">, and </w:t>
      </w:r>
      <w:r w:rsidR="00E95E52">
        <w:t>delivered at a hearing</w:t>
      </w:r>
      <w:r w:rsidRPr="008873B1">
        <w:t xml:space="preserve"> on </w:t>
      </w:r>
      <w:r w:rsidRPr="008873B1" w:rsidR="004D0549">
        <w:t>25</w:t>
      </w:r>
      <w:r w:rsidR="00E95E52">
        <w:t> </w:t>
      </w:r>
      <w:r w:rsidRPr="008873B1" w:rsidR="004D0549">
        <w:t>May</w:t>
      </w:r>
      <w:r w:rsidR="00E95E52">
        <w:t> </w:t>
      </w:r>
      <w:r w:rsidRPr="008873B1" w:rsidR="004D0549">
        <w:t>2021</w:t>
      </w:r>
      <w:r w:rsidRPr="008873B1">
        <w:t>, pursuant to Rule 77 §§ 2 and 3 of the Rules of Court.</w:t>
      </w:r>
    </w:p>
    <w:p w:rsidRPr="008873B1" w:rsidR="004D0549" w:rsidP="00EE08FA" w:rsidRDefault="00EE08FA" w14:paraId="35838E35" w14:textId="77777777">
      <w:pPr>
        <w:pStyle w:val="JuSigned"/>
        <w:keepNext/>
        <w:keepLines/>
        <w:rPr>
          <w:color w:val="F8F8F8" w:themeColor="background2"/>
        </w:rPr>
      </w:pPr>
      <w:r w:rsidRPr="008873B1">
        <w:rPr>
          <w:color w:val="F8F8F8" w:themeColor="background2"/>
        </w:rPr>
        <w:t xml:space="preserve">{signature_p_1} </w:t>
      </w:r>
      <w:r w:rsidRPr="008873B1">
        <w:rPr>
          <w:color w:val="F8F8F8" w:themeColor="background2"/>
        </w:rPr>
        <w:tab/>
        <w:t xml:space="preserve"> {signature_p_2}</w:t>
      </w:r>
    </w:p>
    <w:p w:rsidRPr="001C4C77" w:rsidR="00C835D4" w:rsidP="001C4C77" w:rsidRDefault="001C4C77" w14:paraId="12F369DD" w14:textId="3C2EFA7B">
      <w:pPr>
        <w:pStyle w:val="JuSigned"/>
      </w:pPr>
      <w:r>
        <w:tab/>
        <w:t xml:space="preserve">    </w:t>
      </w:r>
      <w:proofErr w:type="spellStart"/>
      <w:r w:rsidRPr="001C4C77" w:rsidR="004D0549">
        <w:t>Søren</w:t>
      </w:r>
      <w:proofErr w:type="spellEnd"/>
      <w:r w:rsidRPr="001C4C77" w:rsidR="004D0549">
        <w:t xml:space="preserve"> Prebensen</w:t>
      </w:r>
      <w:r w:rsidRPr="001C4C77" w:rsidR="00C835D4">
        <w:tab/>
      </w:r>
      <w:r w:rsidRPr="001C4C77" w:rsidR="004D0549">
        <w:t>Robert</w:t>
      </w:r>
      <w:r w:rsidRPr="001C4C77" w:rsidR="006B50E4">
        <w:t xml:space="preserve"> </w:t>
      </w:r>
      <w:r w:rsidRPr="001C4C77" w:rsidR="004D0549">
        <w:t>Spano</w:t>
      </w:r>
      <w:r w:rsidRPr="001C4C77" w:rsidR="00C835D4">
        <w:br/>
      </w:r>
      <w:r w:rsidRPr="001C4C77" w:rsidR="00C835D4">
        <w:tab/>
      </w:r>
      <w:r w:rsidRPr="001C4C77" w:rsidR="004D0549">
        <w:t xml:space="preserve">Deputy </w:t>
      </w:r>
      <w:r w:rsidRPr="001C4C77" w:rsidR="00035CD4">
        <w:t xml:space="preserve">to the </w:t>
      </w:r>
      <w:r w:rsidRPr="001C4C77" w:rsidR="004D0549">
        <w:t>Registrar</w:t>
      </w:r>
      <w:r w:rsidRPr="001C4C77" w:rsidR="00C835D4">
        <w:tab/>
        <w:t>President</w:t>
      </w:r>
    </w:p>
    <w:p w:rsidRPr="008873B1" w:rsidR="009E00A8" w:rsidP="004363F2" w:rsidRDefault="009E00A8" w14:paraId="1F30F843" w14:textId="77777777">
      <w:pPr>
        <w:rPr>
          <w:rFonts w:asciiTheme="majorHAnsi" w:hAnsiTheme="majorHAnsi"/>
          <w:b/>
          <w:caps/>
        </w:rPr>
      </w:pPr>
    </w:p>
    <w:p w:rsidRPr="008873B1" w:rsidR="00597002" w:rsidP="00313DA4" w:rsidRDefault="00597002" w14:paraId="34B0E5ED" w14:textId="37114ECC">
      <w:pPr>
        <w:pStyle w:val="JuParaLast"/>
      </w:pPr>
      <w:r w:rsidRPr="008873B1">
        <w:t>In accordance with Article 45 § 2 of the Convention and Rule 74 § 2 of the Rules of Court, the following separate opinions are annexed to this judgment:</w:t>
      </w:r>
    </w:p>
    <w:p w:rsidRPr="008873B1" w:rsidR="00597002" w:rsidP="00313DA4" w:rsidRDefault="00597002" w14:paraId="017188CC" w14:textId="1DF16EAC">
      <w:pPr>
        <w:pStyle w:val="JuPara"/>
      </w:pPr>
      <w:r w:rsidRPr="008873B1">
        <w:t>(a)  </w:t>
      </w:r>
      <w:sdt>
        <w:sdtPr>
          <w:id w:val="1420915250"/>
          <w:placeholder>
            <w:docPart w:val="DAB7E82779CE449AB0DDA5346A854315"/>
          </w:placeholder>
        </w:sdtPr>
        <w:sdtEndPr/>
        <w:sdtContent>
          <w:r w:rsidR="009C11AE">
            <w:t>j</w:t>
          </w:r>
          <w:r w:rsidRPr="008873B1">
            <w:t>oint concurring</w:t>
          </w:r>
        </w:sdtContent>
      </w:sdt>
      <w:r w:rsidRPr="008873B1">
        <w:t xml:space="preserve"> opinion of Judges </w:t>
      </w:r>
      <w:sdt>
        <w:sdtPr>
          <w:id w:val="-1684507107"/>
          <w:placeholder>
            <w:docPart w:val="19AA54435D344B89BDE2F57AD38E2F56"/>
          </w:placeholder>
        </w:sdtPr>
        <w:sdtEndPr/>
        <w:sdtContent>
          <w:r w:rsidRPr="008873B1">
            <w:t xml:space="preserve">Lemmens, </w:t>
          </w:r>
          <w:proofErr w:type="spellStart"/>
          <w:r w:rsidRPr="008873B1">
            <w:t>Vehabovi</w:t>
          </w:r>
          <w:r w:rsidRPr="008873B1">
            <w:rPr>
              <w:rFonts w:cstheme="minorHAnsi"/>
            </w:rPr>
            <w:t>ć</w:t>
          </w:r>
          <w:proofErr w:type="spellEnd"/>
          <w:r w:rsidRPr="008873B1">
            <w:t xml:space="preserve"> and </w:t>
          </w:r>
          <w:proofErr w:type="spellStart"/>
          <w:r w:rsidRPr="008873B1">
            <w:t>Bo</w:t>
          </w:r>
          <w:r w:rsidRPr="008873B1">
            <w:rPr>
              <w:rFonts w:cstheme="minorHAnsi"/>
            </w:rPr>
            <w:t>š</w:t>
          </w:r>
          <w:r w:rsidRPr="008873B1">
            <w:t>njak</w:t>
          </w:r>
          <w:proofErr w:type="spellEnd"/>
        </w:sdtContent>
      </w:sdt>
      <w:r w:rsidRPr="008873B1">
        <w:t>;</w:t>
      </w:r>
    </w:p>
    <w:p w:rsidR="00597002" w:rsidP="00313DA4" w:rsidRDefault="00597002" w14:paraId="7B99A976" w14:textId="31AA64BE">
      <w:pPr>
        <w:pStyle w:val="JuPara"/>
      </w:pPr>
      <w:r w:rsidRPr="008873B1">
        <w:t>(b)  </w:t>
      </w:r>
      <w:sdt>
        <w:sdtPr>
          <w:id w:val="1650021608"/>
          <w:placeholder>
            <w:docPart w:val="63F45BCD4F5A491DBD216AD7106E0C1D"/>
          </w:placeholder>
        </w:sdtPr>
        <w:sdtEndPr/>
        <w:sdtContent>
          <w:r w:rsidR="009C11AE">
            <w:t>c</w:t>
          </w:r>
          <w:r w:rsidRPr="008873B1" w:rsidR="00152DC9">
            <w:t>oncurring</w:t>
          </w:r>
        </w:sdtContent>
      </w:sdt>
      <w:r w:rsidRPr="008873B1">
        <w:t xml:space="preserve"> opinion of Judge </w:t>
      </w:r>
      <w:sdt>
        <w:sdtPr>
          <w:id w:val="1272977864"/>
          <w:placeholder>
            <w:docPart w:val="341804F653C843308F74CFCCB6F41082"/>
          </w:placeholder>
        </w:sdtPr>
        <w:sdtEndPr/>
        <w:sdtContent>
          <w:r w:rsidRPr="008873B1" w:rsidR="00152DC9">
            <w:t>Pinto de Albuquerque</w:t>
          </w:r>
        </w:sdtContent>
      </w:sdt>
      <w:r w:rsidR="009C11AE">
        <w:t>;</w:t>
      </w:r>
    </w:p>
    <w:p w:rsidRPr="008873B1" w:rsidR="009C11AE" w:rsidP="00313DA4" w:rsidRDefault="009C11AE" w14:paraId="70E79CF8" w14:textId="556F8D0A">
      <w:pPr>
        <w:pStyle w:val="JuPara"/>
      </w:pPr>
      <w:r>
        <w:t xml:space="preserve">(c)  joint declaration of vote of Judges </w:t>
      </w:r>
      <w:proofErr w:type="spellStart"/>
      <w:r>
        <w:t>Kj</w:t>
      </w:r>
      <w:r>
        <w:rPr>
          <w:rFonts w:cstheme="minorHAnsi"/>
        </w:rPr>
        <w:t>ø</w:t>
      </w:r>
      <w:r>
        <w:t>lbro</w:t>
      </w:r>
      <w:proofErr w:type="spellEnd"/>
      <w:r>
        <w:t xml:space="preserve"> and </w:t>
      </w:r>
      <w:proofErr w:type="spellStart"/>
      <w:r>
        <w:t>Wennerstr</w:t>
      </w:r>
      <w:r>
        <w:rPr>
          <w:rFonts w:cstheme="minorHAnsi"/>
        </w:rPr>
        <w:t>ö</w:t>
      </w:r>
      <w:r>
        <w:t>m</w:t>
      </w:r>
      <w:proofErr w:type="spellEnd"/>
      <w:r>
        <w:t>.</w:t>
      </w:r>
    </w:p>
    <w:p w:rsidR="00597002" w:rsidP="00313DA4" w:rsidRDefault="000D1749" w14:paraId="51070C47" w14:textId="6962A107">
      <w:pPr>
        <w:pStyle w:val="JuInitialled"/>
      </w:pPr>
      <w:sdt>
        <w:sdtPr>
          <w:id w:val="753392593"/>
          <w:placeholder>
            <w:docPart w:val="56C7E96D4F0C45338685D676D4E133A8"/>
          </w:placeholder>
        </w:sdtPr>
        <w:sdtEndPr/>
        <w:sdtContent>
          <w:r w:rsidRPr="008873B1" w:rsidR="00597002">
            <w:t>R.S.O.</w:t>
          </w:r>
        </w:sdtContent>
      </w:sdt>
      <w:r w:rsidRPr="008873B1" w:rsidR="00597002">
        <w:br/>
      </w:r>
      <w:sdt>
        <w:sdtPr>
          <w:id w:val="1952127781"/>
          <w:placeholder>
            <w:docPart w:val="207751B2535443EEB147B0358A52D28B"/>
          </w:placeholder>
        </w:sdtPr>
        <w:sdtEndPr/>
        <w:sdtContent>
          <w:r w:rsidRPr="008873B1" w:rsidR="00597002">
            <w:t>S.C.P.</w:t>
          </w:r>
        </w:sdtContent>
      </w:sdt>
    </w:p>
    <w:p w:rsidR="00B70200" w:rsidP="00313DA4" w:rsidRDefault="00B70200" w14:paraId="709C256F" w14:textId="77777777">
      <w:pPr>
        <w:pStyle w:val="JuInitialled"/>
        <w:sectPr w:rsidR="00B70200" w:rsidSect="00261BA9">
          <w:headerReference w:type="even" r:id="rId12"/>
          <w:headerReference w:type="default" r:id="rId13"/>
          <w:footerReference w:type="default" r:id="rId14"/>
          <w:footnotePr>
            <w:numRestart w:val="eachSect"/>
          </w:footnotePr>
          <w:pgSz w:w="11906" w:h="16838" w:code="9"/>
          <w:pgMar w:top="2274" w:right="2274" w:bottom="2274" w:left="2274" w:header="1701" w:footer="720" w:gutter="0"/>
          <w:pgNumType w:start="1"/>
          <w:cols w:space="720"/>
        </w:sectPr>
      </w:pPr>
    </w:p>
    <w:p w:rsidRPr="00C80074" w:rsidR="00B70200" w:rsidP="00B70200" w:rsidRDefault="00B70200" w14:paraId="0C842194" w14:textId="77777777">
      <w:pPr>
        <w:pStyle w:val="DecHTitle"/>
      </w:pPr>
      <w:r>
        <w:t>JOINT CONCURRING</w:t>
      </w:r>
      <w:r w:rsidRPr="00C80074">
        <w:t xml:space="preserve"> OPINION OF JUDGE</w:t>
      </w:r>
      <w:r>
        <w:t>S</w:t>
      </w:r>
      <w:r w:rsidRPr="00C80074">
        <w:t xml:space="preserve"> </w:t>
      </w:r>
      <w:r>
        <w:rPr>
          <w:rFonts w:cstheme="minorHAnsi"/>
        </w:rPr>
        <w:t>LEMMENS, VEHABOVIĆ AND BOŠNJAK</w:t>
      </w:r>
    </w:p>
    <w:p w:rsidRPr="00C80074" w:rsidR="00B70200" w:rsidP="00B70200" w:rsidRDefault="00B70200" w14:paraId="4408E5BC" w14:textId="77777777"/>
    <w:p w:rsidR="00B70200" w:rsidP="00B70200" w:rsidRDefault="00B70200" w14:paraId="24623544" w14:textId="77777777">
      <w:pPr>
        <w:pStyle w:val="JuPara"/>
      </w:pPr>
      <w:r>
        <w:t xml:space="preserve">In this case, we voted with the majority on all counts of the operative part. As in the connected case of </w:t>
      </w:r>
      <w:r w:rsidRPr="0008401B">
        <w:rPr>
          <w:i/>
          <w:iCs/>
        </w:rPr>
        <w:t xml:space="preserve">Big Brother Watch and </w:t>
      </w:r>
      <w:r>
        <w:rPr>
          <w:i/>
          <w:iCs/>
        </w:rPr>
        <w:t>O</w:t>
      </w:r>
      <w:r w:rsidRPr="0008401B">
        <w:rPr>
          <w:i/>
          <w:iCs/>
        </w:rPr>
        <w:t>thers v. the United Kingdom</w:t>
      </w:r>
      <w:r>
        <w:t xml:space="preserve"> (applications nos. 58170/13, 62322/14 and 24969/15) we consider that the judgment should go considerably further in upholding the importance of the protection of private life and correspondence, in particular by introducing stricter minimum safeguards, but also by applying those safeguards more rigorously to the impugned bulk interception regime. The arguments advanced in our concurring opinion in that case are largely applicable in this case too. In order to avoid unnecessary repetition, we refer the reader to that separate opinion. In so far as certain passages are not pertinent to the present case due to differences in the regulatory frameworks of the two bulk interception regimes, the reader should simply disregard them as irrelevant.</w:t>
      </w:r>
    </w:p>
    <w:p w:rsidR="00B70200" w:rsidP="00B70200" w:rsidRDefault="00B70200" w14:paraId="3035CCDF" w14:textId="77777777">
      <w:pPr>
        <w:pStyle w:val="JuPara"/>
      </w:pPr>
    </w:p>
    <w:p w:rsidR="00B70200" w:rsidP="00B70200" w:rsidRDefault="00B70200" w14:paraId="692187EE" w14:textId="1F30DA5C">
      <w:pPr>
        <w:pStyle w:val="JuPara"/>
      </w:pPr>
    </w:p>
    <w:p w:rsidR="00B70200" w:rsidP="00B70200" w:rsidRDefault="00B70200" w14:paraId="1BBA21BA" w14:textId="77777777">
      <w:pPr>
        <w:pStyle w:val="JuPara"/>
        <w:sectPr w:rsidR="00B70200" w:rsidSect="00B70200">
          <w:headerReference w:type="default" r:id="rId15"/>
          <w:footnotePr>
            <w:numRestart w:val="eachSect"/>
          </w:footnotePr>
          <w:pgSz w:w="11906" w:h="16838" w:code="9"/>
          <w:pgMar w:top="2274" w:right="2274" w:bottom="2274" w:left="2274" w:header="1701" w:footer="720" w:gutter="0"/>
          <w:cols w:space="720"/>
          <w:docGrid w:linePitch="326"/>
        </w:sectPr>
      </w:pPr>
    </w:p>
    <w:p w:rsidRPr="00704DAE" w:rsidR="00B70200" w:rsidP="00B70200" w:rsidRDefault="00B70200" w14:paraId="3CC8C150" w14:textId="77777777">
      <w:pPr>
        <w:pStyle w:val="DecHTitle"/>
      </w:pPr>
      <w:r>
        <w:t>CONCURRING</w:t>
      </w:r>
      <w:r w:rsidRPr="00C80074">
        <w:t xml:space="preserve"> OPINION </w:t>
      </w:r>
      <w:r>
        <w:br/>
      </w:r>
      <w:r w:rsidRPr="00704DAE">
        <w:t>OF JUDGE PINTO DE ALBUQUERQUE</w:t>
      </w:r>
    </w:p>
    <w:p w:rsidRPr="00704DAE" w:rsidR="00B70200" w:rsidP="00B70200" w:rsidRDefault="00B70200" w14:paraId="7CACE882" w14:textId="77777777"/>
    <w:p w:rsidR="00B70200" w:rsidP="00B70200" w:rsidRDefault="00B70200" w14:paraId="1060CA40" w14:textId="77777777">
      <w:pPr>
        <w:pStyle w:val="JuPara"/>
      </w:pPr>
      <w:r w:rsidRPr="00704DAE">
        <w:t xml:space="preserve">1.  I voted with the majority, but for very different reasons. The Swedish legal framework of bulk interception is problematic in many aspects which the majority either disregarded or downplayed. The domestic practice is even worse. In fact, the domestic practice is highly opaque, even more </w:t>
      </w:r>
      <w:r>
        <w:t xml:space="preserve">so </w:t>
      </w:r>
      <w:r w:rsidRPr="00704DAE">
        <w:t>than in the United Kingdom. Yet the European Court of Human Rights (the Court) chose to adjudicate the case without being cognisant of important features of this practice, such as the actual practice regarding the keeping of logs and detailed records of each step in the bulk interception operations.</w:t>
      </w:r>
      <w:r>
        <w:t xml:space="preserve"> </w:t>
      </w:r>
      <w:r w:rsidRPr="00704DAE">
        <w:t xml:space="preserve">Astonishingly, the Government was dispensed </w:t>
      </w:r>
      <w:r>
        <w:t xml:space="preserve">from </w:t>
      </w:r>
      <w:r w:rsidRPr="00704DAE">
        <w:t>the burden of presenting evidence of what they pleaded, because the Court simply assumed the veracity of the Government</w:t>
      </w:r>
      <w:r>
        <w:t>’</w:t>
      </w:r>
      <w:r w:rsidRPr="00704DAE">
        <w:t>s pleading</w:t>
      </w:r>
      <w:r>
        <w:t>s</w:t>
      </w:r>
      <w:r w:rsidRPr="00704DAE">
        <w:rPr>
          <w:vertAlign w:val="superscript"/>
        </w:rPr>
        <w:footnoteReference w:id="1"/>
      </w:r>
      <w:r w:rsidRPr="00704DAE">
        <w:t>. Even more baffling is the fact that the Court did not even have access to the relevant case</w:t>
      </w:r>
      <w:r>
        <w:t>-</w:t>
      </w:r>
      <w:r w:rsidRPr="00704DAE">
        <w:t>law of the competent domestic court in the field of bulk interception, ignoring for instance the actual interpretation of section 3 of the Signals Intelligence Act by the Foreign Intelligence Court (FIC)</w:t>
      </w:r>
      <w:r w:rsidRPr="00704DAE">
        <w:rPr>
          <w:vertAlign w:val="superscript"/>
        </w:rPr>
        <w:footnoteReference w:id="2"/>
      </w:r>
      <w:r w:rsidRPr="00704DAE">
        <w:t xml:space="preserve">. Just </w:t>
      </w:r>
      <w:r>
        <w:t xml:space="preserve">as </w:t>
      </w:r>
      <w:r w:rsidRPr="00704DAE">
        <w:t xml:space="preserve">in the </w:t>
      </w:r>
      <w:r w:rsidRPr="00704DAE">
        <w:rPr>
          <w:i/>
          <w:iCs/>
        </w:rPr>
        <w:t>Big Brother Watch and Others</w:t>
      </w:r>
      <w:r w:rsidRPr="00704DAE">
        <w:t xml:space="preserve"> </w:t>
      </w:r>
      <w:r w:rsidRPr="0044450F">
        <w:rPr>
          <w:i/>
          <w:iCs/>
        </w:rPr>
        <w:t>v. the United Kingdom</w:t>
      </w:r>
      <w:r w:rsidRPr="0044450F">
        <w:t xml:space="preserve"> </w:t>
      </w:r>
      <w:r>
        <w:t xml:space="preserve">case </w:t>
      </w:r>
      <w:r w:rsidRPr="0044450F">
        <w:t>(</w:t>
      </w:r>
      <w:r>
        <w:t>a</w:t>
      </w:r>
      <w:r w:rsidRPr="0044450F">
        <w:t>pplications nos.</w:t>
      </w:r>
      <w:r>
        <w:t> </w:t>
      </w:r>
      <w:r w:rsidRPr="0044450F">
        <w:t>58170/13, 62322/14 and 24960/15)</w:t>
      </w:r>
      <w:r w:rsidRPr="00704DAE">
        <w:t>, the Court</w:t>
      </w:r>
      <w:r>
        <w:t>’</w:t>
      </w:r>
      <w:r w:rsidRPr="00704DAE">
        <w:t xml:space="preserve">s biased methodology, coupled with vague language, </w:t>
      </w:r>
      <w:r>
        <w:t xml:space="preserve">has </w:t>
      </w:r>
      <w:r w:rsidRPr="00704DAE">
        <w:t>led to a defective regime of safeguards in the present case</w:t>
      </w:r>
      <w:r w:rsidRPr="00704DAE">
        <w:rPr>
          <w:vertAlign w:val="superscript"/>
        </w:rPr>
        <w:footnoteReference w:id="3"/>
      </w:r>
      <w:r w:rsidRPr="00704DAE">
        <w:t>.</w:t>
      </w:r>
    </w:p>
    <w:p w:rsidRPr="00704DAE" w:rsidR="00B70200" w:rsidP="00B70200" w:rsidRDefault="00B70200" w14:paraId="6C3BB903" w14:textId="77777777">
      <w:pPr>
        <w:pStyle w:val="JuHA"/>
        <w:numPr>
          <w:ilvl w:val="0"/>
          <w:numId w:val="0"/>
        </w:numPr>
        <w:ind w:left="510" w:hanging="340"/>
      </w:pPr>
      <w:r w:rsidRPr="00704DAE">
        <w:t>Legal purposes of bulk interception</w:t>
      </w:r>
    </w:p>
    <w:p w:rsidR="00B70200" w:rsidP="00B70200" w:rsidRDefault="00B70200" w14:paraId="4A359808" w14:textId="77777777">
      <w:pPr>
        <w:pStyle w:val="JuPara"/>
      </w:pPr>
      <w:r w:rsidRPr="00704DAE">
        <w:t xml:space="preserve">2.  The lack of foreseeability </w:t>
      </w:r>
      <w:proofErr w:type="gramStart"/>
      <w:r>
        <w:t>with regard to</w:t>
      </w:r>
      <w:proofErr w:type="gramEnd"/>
      <w:r>
        <w:t xml:space="preserve"> </w:t>
      </w:r>
      <w:r w:rsidRPr="00704DAE">
        <w:t xml:space="preserve">the legal purposes </w:t>
      </w:r>
      <w:r>
        <w:t xml:space="preserve">of </w:t>
      </w:r>
      <w:r w:rsidRPr="00704DAE">
        <w:t xml:space="preserve">bulk interception, as set out in the Signals Intelligence Act, stands out as the first major flaw of the Swedish regime. The purpose </w:t>
      </w:r>
      <w:r>
        <w:t xml:space="preserve">related to </w:t>
      </w:r>
      <w:r w:rsidRPr="00704DAE">
        <w:t>external military threats to the country may include “not only imminent threats, such as threats of invasion, but also phenomena that may in the long term develop into security threats”</w:t>
      </w:r>
      <w:r w:rsidRPr="00704DAE">
        <w:rPr>
          <w:vertAlign w:val="superscript"/>
        </w:rPr>
        <w:footnoteReference w:id="4"/>
      </w:r>
      <w:r w:rsidRPr="00704DAE">
        <w:t xml:space="preserve">. This is a highly undefined purpose, in terms </w:t>
      </w:r>
      <w:r>
        <w:t xml:space="preserve">both of </w:t>
      </w:r>
      <w:r w:rsidRPr="00704DAE">
        <w:t xml:space="preserve">its </w:t>
      </w:r>
      <w:r>
        <w:t xml:space="preserve">temporal </w:t>
      </w:r>
      <w:r w:rsidRPr="00704DAE">
        <w:t xml:space="preserve">and </w:t>
      </w:r>
      <w:r>
        <w:t xml:space="preserve">its </w:t>
      </w:r>
      <w:r w:rsidRPr="00704DAE">
        <w:t>spa</w:t>
      </w:r>
      <w:r>
        <w:t xml:space="preserve">tial </w:t>
      </w:r>
      <w:r w:rsidRPr="00704DAE">
        <w:t>dimensions, allowing for profiling of foreigners, minorities and legitimate businesses that may be considered as long-term potential threats.</w:t>
      </w:r>
    </w:p>
    <w:p w:rsidRPr="00704DAE" w:rsidR="00B70200" w:rsidP="00B70200" w:rsidRDefault="00B70200" w14:paraId="05165323" w14:textId="77777777">
      <w:pPr>
        <w:pStyle w:val="JuPara"/>
      </w:pPr>
      <w:r w:rsidRPr="00704DAE">
        <w:t xml:space="preserve">3.  The purpose </w:t>
      </w:r>
      <w:r>
        <w:t xml:space="preserve">related to </w:t>
      </w:r>
      <w:r w:rsidRPr="00704DAE">
        <w:t>strategic circumstances concerning international terrorism or other serious cross-border crime that may threaten essential national interests, including “drug or human trafficking of such severity that it may threaten significant national interests”</w:t>
      </w:r>
      <w:r w:rsidRPr="00704DAE">
        <w:rPr>
          <w:vertAlign w:val="superscript"/>
        </w:rPr>
        <w:footnoteReference w:id="5"/>
      </w:r>
      <w:r w:rsidRPr="00704DAE">
        <w:t xml:space="preserve">, does not delimit serious cross-border crime sufficiently. The concept of serious crime </w:t>
      </w:r>
      <w:r>
        <w:t xml:space="preserve">as it exists </w:t>
      </w:r>
      <w:r w:rsidRPr="00704DAE">
        <w:t>in international law encompasses offences punishable with imprisonment for a term of four or more years</w:t>
      </w:r>
      <w:r w:rsidRPr="00704DAE">
        <w:rPr>
          <w:vertAlign w:val="superscript"/>
        </w:rPr>
        <w:footnoteReference w:id="6"/>
      </w:r>
      <w:r w:rsidRPr="00704DAE">
        <w:t>.</w:t>
      </w:r>
      <w:r>
        <w:t xml:space="preserve"> </w:t>
      </w:r>
      <w:r w:rsidRPr="00704DAE">
        <w:t xml:space="preserve">Hence, to be foreseeable, the concept of serious offences that may trigger bulk interception must </w:t>
      </w:r>
      <w:r>
        <w:t xml:space="preserve">be linked </w:t>
      </w:r>
      <w:r w:rsidRPr="00704DAE">
        <w:t>either to a list of specific serious offences or</w:t>
      </w:r>
      <w:r>
        <w:t>,</w:t>
      </w:r>
      <w:r w:rsidRPr="00704DAE">
        <w:t xml:space="preserve"> generally</w:t>
      </w:r>
      <w:r>
        <w:t>,</w:t>
      </w:r>
      <w:r w:rsidRPr="00704DAE">
        <w:t xml:space="preserve"> to offences punishable by four or more years</w:t>
      </w:r>
      <w:r>
        <w:t>’</w:t>
      </w:r>
      <w:r w:rsidRPr="00704DAE">
        <w:t xml:space="preserve"> imprisonment. That is not the case in Sweden.</w:t>
      </w:r>
    </w:p>
    <w:p w:rsidR="00B70200" w:rsidP="00B70200" w:rsidRDefault="00B70200" w14:paraId="44800C3A" w14:textId="77777777">
      <w:pPr>
        <w:pStyle w:val="JuPara"/>
      </w:pPr>
      <w:r w:rsidRPr="00704DAE">
        <w:t xml:space="preserve">4.  The purpose </w:t>
      </w:r>
      <w:r>
        <w:t xml:space="preserve">related to </w:t>
      </w:r>
      <w:r w:rsidRPr="00704DAE">
        <w:t>the development and proliferation of weapons of mass destruction, military equipment and other similar specified products may include, “among other things, activities relevant to Sweden</w:t>
      </w:r>
      <w:r>
        <w:t>’</w:t>
      </w:r>
      <w:r w:rsidRPr="00704DAE">
        <w:t>s commitments in regard to non-proliferation and export control, even in cases where the activity does not constitute a crime or contravenes international conventions”</w:t>
      </w:r>
      <w:r w:rsidRPr="00704DAE">
        <w:rPr>
          <w:vertAlign w:val="superscript"/>
        </w:rPr>
        <w:footnoteReference w:id="7"/>
      </w:r>
      <w:r w:rsidRPr="00704DAE">
        <w:t xml:space="preserve">. </w:t>
      </w:r>
      <w:r>
        <w:t>According to information officially provided by the Government</w:t>
      </w:r>
      <w:r w:rsidRPr="00704DAE">
        <w:t>,</w:t>
      </w:r>
      <w:r w:rsidRPr="00704DAE">
        <w:rPr>
          <w:vertAlign w:val="superscript"/>
        </w:rPr>
        <w:footnoteReference w:id="8"/>
      </w:r>
      <w:r>
        <w:t>,</w:t>
      </w:r>
      <w:r w:rsidRPr="00704DAE">
        <w:t>“similar specified products” includes munitions and military and civil dual-use products and even technical assistance</w:t>
      </w:r>
      <w:r>
        <w:t xml:space="preserve">, as provided for </w:t>
      </w:r>
      <w:proofErr w:type="gramStart"/>
      <w:r>
        <w:t>in  Law</w:t>
      </w:r>
      <w:proofErr w:type="gramEnd"/>
      <w:r>
        <w:t xml:space="preserve"> no, 1064 </w:t>
      </w:r>
      <w:r w:rsidRPr="00113100">
        <w:t xml:space="preserve">(2000) </w:t>
      </w:r>
      <w:r w:rsidRPr="00704DAE">
        <w:t xml:space="preserve">on control of products with dual uses and </w:t>
      </w:r>
      <w:r w:rsidRPr="00874678">
        <w:t>t</w:t>
      </w:r>
      <w:r w:rsidRPr="00704DAE">
        <w:t>echnical assistance</w:t>
      </w:r>
      <w:r>
        <w:t xml:space="preserve">. However, </w:t>
      </w:r>
      <w:r w:rsidRPr="00704DAE">
        <w:t xml:space="preserve">the </w:t>
      </w:r>
      <w:r>
        <w:t xml:space="preserve">monitored </w:t>
      </w:r>
      <w:r w:rsidRPr="00704DAE">
        <w:t xml:space="preserve">activities (“among other things”) are not sufficiently defined. Is economic and trade espionage for the benefit of the Swedish arms, aerospace, electronics, petrochemical and other manufacturing industry </w:t>
      </w:r>
      <w:r>
        <w:t xml:space="preserve">included in </w:t>
      </w:r>
      <w:r w:rsidRPr="00704DAE">
        <w:t>this purpose?</w:t>
      </w:r>
    </w:p>
    <w:p w:rsidR="00B70200" w:rsidP="00B70200" w:rsidRDefault="00B70200" w14:paraId="7F61F4D8" w14:textId="77777777">
      <w:pPr>
        <w:pStyle w:val="JuPara"/>
      </w:pPr>
      <w:r w:rsidRPr="00704DAE">
        <w:t xml:space="preserve">5.  The purpose </w:t>
      </w:r>
      <w:r>
        <w:t xml:space="preserve">related to </w:t>
      </w:r>
      <w:r w:rsidRPr="00704DAE">
        <w:t>serious external threats to societ</w:t>
      </w:r>
      <w:r>
        <w:t xml:space="preserve">al </w:t>
      </w:r>
      <w:r w:rsidRPr="00704DAE">
        <w:t>infrastructure “includes, among other things, serious IT-related threats emanating from abroad. That the threats should be of a serious nature means that they, for example, should be directed towards vital societal systems for energy and water supply, communication or monetary services.”</w:t>
      </w:r>
      <w:r w:rsidRPr="00704DAE">
        <w:rPr>
          <w:vertAlign w:val="superscript"/>
        </w:rPr>
        <w:footnoteReference w:id="9"/>
      </w:r>
      <w:r w:rsidRPr="00704DAE">
        <w:t xml:space="preserve"> Neither the types of threats (“among other things”) nor the societ</w:t>
      </w:r>
      <w:r>
        <w:t xml:space="preserve">al </w:t>
      </w:r>
      <w:r w:rsidRPr="00704DAE">
        <w:t xml:space="preserve">infrastructure systems that may be threatened (“for example”) are sufficiently delimited. Does this purpose mean, for example, that a general strike in a neighbouring country that </w:t>
      </w:r>
      <w:r>
        <w:t xml:space="preserve">might ultimately </w:t>
      </w:r>
      <w:r w:rsidRPr="00704DAE">
        <w:t>disturb and derail the Swedish energy or petroleum distribution system may justify surveillance of the trade unions involved in the strike</w:t>
      </w:r>
      <w:r>
        <w:t>,</w:t>
      </w:r>
      <w:r w:rsidRPr="0058095F">
        <w:t xml:space="preserve"> </w:t>
      </w:r>
      <w:r w:rsidRPr="00704DAE">
        <w:t xml:space="preserve">and </w:t>
      </w:r>
      <w:r>
        <w:t xml:space="preserve">of </w:t>
      </w:r>
      <w:r w:rsidRPr="00704DAE">
        <w:t xml:space="preserve">their members? What if the supposed “threat” is directed </w:t>
      </w:r>
      <w:r>
        <w:t xml:space="preserve">against </w:t>
      </w:r>
      <w:r w:rsidRPr="00704DAE">
        <w:t xml:space="preserve">the Swedish public transportation and sports systems? Does the massive movement of foreign football fans for a football championship in Sweden justify </w:t>
      </w:r>
      <w:r>
        <w:t xml:space="preserve">monitoring </w:t>
      </w:r>
      <w:r w:rsidRPr="00704DAE">
        <w:t xml:space="preserve">all football fans </w:t>
      </w:r>
      <w:r>
        <w:t xml:space="preserve">from </w:t>
      </w:r>
      <w:r w:rsidRPr="00704DAE">
        <w:t>the countries involved in the championship?</w:t>
      </w:r>
      <w:r>
        <w:t xml:space="preserve"> </w:t>
      </w:r>
    </w:p>
    <w:p w:rsidR="00B70200" w:rsidP="00B70200" w:rsidRDefault="00B70200" w14:paraId="6BFAF242" w14:textId="77777777">
      <w:pPr>
        <w:pStyle w:val="JuPara"/>
      </w:pPr>
      <w:r w:rsidRPr="00704DAE">
        <w:t xml:space="preserve">6.  The purpose </w:t>
      </w:r>
      <w:r>
        <w:t xml:space="preserve">related </w:t>
      </w:r>
      <w:proofErr w:type="gramStart"/>
      <w:r>
        <w:t xml:space="preserve">to </w:t>
      </w:r>
      <w:r w:rsidRPr="00704DAE">
        <w:t xml:space="preserve"> actions</w:t>
      </w:r>
      <w:proofErr w:type="gramEnd"/>
      <w:r w:rsidRPr="00704DAE">
        <w:t xml:space="preserve"> or intentions of </w:t>
      </w:r>
      <w:r>
        <w:t xml:space="preserve">a </w:t>
      </w:r>
      <w:r w:rsidRPr="00704DAE">
        <w:t>foreign power that are of substantial importance for the Swedish foreign, security or defence policy is very broadly phrased. It is clarified that “it is not sufficient that the phenomenon is of general interest but that the intelligence should have a direct impact on Swedish actions or positions in various foreign, security or defence policy matters”</w:t>
      </w:r>
      <w:r w:rsidRPr="00704DAE">
        <w:rPr>
          <w:vertAlign w:val="superscript"/>
        </w:rPr>
        <w:footnoteReference w:id="10"/>
      </w:r>
      <w:r w:rsidRPr="00704DAE">
        <w:t xml:space="preserve">, but this clarification is insufficient, since it does not delimit the </w:t>
      </w:r>
      <w:r>
        <w:t xml:space="preserve">threshold of </w:t>
      </w:r>
      <w:r w:rsidRPr="002C7D47">
        <w:t xml:space="preserve">materiality </w:t>
      </w:r>
      <w:r w:rsidRPr="00704DAE">
        <w:t xml:space="preserve">and the specific subject matters at stake. It is also worrying that even the “intentions” of a foreign power may justify the launching of a surveillance campaign, which </w:t>
      </w:r>
      <w:r>
        <w:t xml:space="preserve">opens the door </w:t>
      </w:r>
      <w:r w:rsidRPr="00704DAE">
        <w:t xml:space="preserve">for </w:t>
      </w:r>
      <w:r>
        <w:t xml:space="preserve">monitoring </w:t>
      </w:r>
      <w:r w:rsidRPr="00704DAE">
        <w:t xml:space="preserve">of “alien” philosophical and religious </w:t>
      </w:r>
      <w:proofErr w:type="spellStart"/>
      <w:r w:rsidRPr="00704DAE">
        <w:rPr>
          <w:i/>
          <w:iCs/>
        </w:rPr>
        <w:t>Weltanschauungen</w:t>
      </w:r>
      <w:proofErr w:type="spellEnd"/>
      <w:r w:rsidRPr="00704DAE">
        <w:t xml:space="preserve">. </w:t>
      </w:r>
      <w:r>
        <w:t xml:space="preserve">Monitoring </w:t>
      </w:r>
      <w:r w:rsidRPr="00704DAE">
        <w:t>of the “causes”</w:t>
      </w:r>
      <w:r w:rsidRPr="00704DAE">
        <w:rPr>
          <w:vertAlign w:val="superscript"/>
        </w:rPr>
        <w:footnoteReference w:id="11"/>
      </w:r>
      <w:r w:rsidRPr="00704DAE">
        <w:t xml:space="preserve"> of ethnic, religious and political conflicts, which is included in the purpose </w:t>
      </w:r>
      <w:r>
        <w:t xml:space="preserve">related to </w:t>
      </w:r>
      <w:r w:rsidRPr="00704DAE">
        <w:t xml:space="preserve">foreign conflicts with consequences for international security, feeds into this same updated Orwellian </w:t>
      </w:r>
      <w:r>
        <w:t xml:space="preserve">policy of </w:t>
      </w:r>
      <w:r w:rsidRPr="00704DAE">
        <w:t>thought control</w:t>
      </w:r>
      <w:r w:rsidRPr="00704DAE">
        <w:rPr>
          <w:vertAlign w:val="superscript"/>
        </w:rPr>
        <w:footnoteReference w:id="12"/>
      </w:r>
      <w:r w:rsidRPr="00704DAE">
        <w:t>.</w:t>
      </w:r>
    </w:p>
    <w:p w:rsidR="00B70200" w:rsidP="00B70200" w:rsidRDefault="00B70200" w14:paraId="152CCE7B" w14:textId="77777777">
      <w:pPr>
        <w:pStyle w:val="JuPara"/>
      </w:pPr>
      <w:r w:rsidRPr="00704DAE">
        <w:t xml:space="preserve">7.  The purpose </w:t>
      </w:r>
      <w:r>
        <w:t xml:space="preserve">related to </w:t>
      </w:r>
      <w:r w:rsidRPr="00704DAE">
        <w:t>“development activities”</w:t>
      </w:r>
      <w:r w:rsidRPr="00704DAE">
        <w:rPr>
          <w:vertAlign w:val="superscript"/>
        </w:rPr>
        <w:footnoteReference w:id="13"/>
      </w:r>
      <w:r w:rsidRPr="00704DAE">
        <w:t xml:space="preserve"> is a true legal black hole, which has allowed for the interception and analysis of communications which do not fall within the eight foreign</w:t>
      </w:r>
      <w:r>
        <w:t>-</w:t>
      </w:r>
      <w:r w:rsidRPr="00704DAE">
        <w:t>intelligence purposes</w:t>
      </w:r>
      <w:r w:rsidRPr="00704DAE">
        <w:rPr>
          <w:vertAlign w:val="superscript"/>
        </w:rPr>
        <w:footnoteReference w:id="14"/>
      </w:r>
      <w:r w:rsidRPr="00704DAE">
        <w:t>. This is a blank che</w:t>
      </w:r>
      <w:r>
        <w:t xml:space="preserve">que </w:t>
      </w:r>
      <w:r w:rsidRPr="00704DAE">
        <w:t>for monitoring “large segments of the international signals traffic”</w:t>
      </w:r>
      <w:r w:rsidRPr="00704DAE">
        <w:rPr>
          <w:vertAlign w:val="superscript"/>
        </w:rPr>
        <w:footnoteReference w:id="15"/>
      </w:r>
      <w:r w:rsidRPr="00704DAE">
        <w:t>. The Government</w:t>
      </w:r>
      <w:r>
        <w:t>’</w:t>
      </w:r>
      <w:r w:rsidRPr="00704DAE">
        <w:t xml:space="preserve">s argument that these data do not generate any intelligence reports but are vital </w:t>
      </w:r>
      <w:r>
        <w:t xml:space="preserve">in order </w:t>
      </w:r>
      <w:r w:rsidRPr="00704DAE">
        <w:t>to monitor the “ever-changing signals environment, technical developments and signals protection”</w:t>
      </w:r>
      <w:r w:rsidRPr="00704DAE">
        <w:rPr>
          <w:vertAlign w:val="superscript"/>
        </w:rPr>
        <w:footnoteReference w:id="16"/>
      </w:r>
      <w:r w:rsidRPr="00704DAE">
        <w:t xml:space="preserve"> is tantamount to saying that all internet communication should be </w:t>
      </w:r>
      <w:r>
        <w:t xml:space="preserve">scrutinised </w:t>
      </w:r>
      <w:r w:rsidRPr="00704DAE">
        <w:t xml:space="preserve">so that </w:t>
      </w:r>
      <w:r>
        <w:t xml:space="preserve">the </w:t>
      </w:r>
      <w:r w:rsidRPr="00645E43">
        <w:t>FRA</w:t>
      </w:r>
      <w:r w:rsidRPr="00704DAE">
        <w:t xml:space="preserve"> can keep pace with the ever-changing internet environment, technical developments and internet protection. This is evidently absurd, but in practical terms it is what the Government is </w:t>
      </w:r>
      <w:r>
        <w:t>claiming</w:t>
      </w:r>
      <w:r w:rsidRPr="00704DAE">
        <w:t>. The purposeless (</w:t>
      </w:r>
      <w:r>
        <w:t xml:space="preserve">that is, </w:t>
      </w:r>
      <w:r w:rsidRPr="00704DAE">
        <w:t xml:space="preserve">beyond the eight purposes of the law) </w:t>
      </w:r>
      <w:r>
        <w:t xml:space="preserve">gathering </w:t>
      </w:r>
      <w:r w:rsidRPr="00704DAE">
        <w:t xml:space="preserve">of such </w:t>
      </w:r>
      <w:r>
        <w:t xml:space="preserve">an </w:t>
      </w:r>
      <w:r w:rsidRPr="00704DAE">
        <w:t xml:space="preserve">unlimited amount of data represents </w:t>
      </w:r>
      <w:r w:rsidRPr="00704DAE">
        <w:rPr>
          <w:i/>
          <w:iCs/>
        </w:rPr>
        <w:t>per se</w:t>
      </w:r>
      <w:r w:rsidRPr="00704DAE">
        <w:t xml:space="preserve"> a disproportionate interference with Articles 8 and 10 of the European Convention on Human Rights (the Convention).</w:t>
      </w:r>
    </w:p>
    <w:p w:rsidR="00B70200" w:rsidP="00B70200" w:rsidRDefault="00B70200" w14:paraId="72FA0BF0" w14:textId="77777777">
      <w:pPr>
        <w:pStyle w:val="JuPara"/>
      </w:pPr>
      <w:r w:rsidRPr="00704DAE">
        <w:t xml:space="preserve">8.  Finally, it is also </w:t>
      </w:r>
      <w:r>
        <w:t xml:space="preserve">a matter of </w:t>
      </w:r>
      <w:r w:rsidRPr="00704DAE">
        <w:t>concern</w:t>
      </w:r>
      <w:r>
        <w:t xml:space="preserve"> </w:t>
      </w:r>
      <w:r w:rsidRPr="00704DAE">
        <w:t xml:space="preserve">that the </w:t>
      </w:r>
      <w:r w:rsidRPr="00F833B0">
        <w:t>ever-increasing</w:t>
      </w:r>
      <w:r w:rsidRPr="00704DAE">
        <w:t xml:space="preserve"> powers of law</w:t>
      </w:r>
      <w:r>
        <w:t>-</w:t>
      </w:r>
      <w:r w:rsidRPr="00704DAE">
        <w:t>enforcement agencies</w:t>
      </w:r>
      <w:r>
        <w:t xml:space="preserve"> (</w:t>
      </w:r>
      <w:r w:rsidRPr="00704DAE">
        <w:t>such as the Security Policy and the National Operative Department of the Police Authority</w:t>
      </w:r>
      <w:r>
        <w:t>)</w:t>
      </w:r>
      <w:r w:rsidRPr="00704DAE">
        <w:t xml:space="preserve"> to commission signals intelligence and access collected data or intelligence reports </w:t>
      </w:r>
      <w:r>
        <w:t xml:space="preserve">endangers </w:t>
      </w:r>
      <w:r w:rsidRPr="00704DAE">
        <w:t xml:space="preserve">the finality principle underlying the Swedish bulk interception regime, </w:t>
      </w:r>
      <w:r>
        <w:t xml:space="preserve">that is, </w:t>
      </w:r>
      <w:r w:rsidRPr="00704DAE">
        <w:t xml:space="preserve">that data must be collected and processed for one or more legal purposes, and may not be used in a way inconsistent with that or those purposes, namely </w:t>
      </w:r>
      <w:r>
        <w:t xml:space="preserve">they </w:t>
      </w:r>
      <w:r w:rsidRPr="00704DAE">
        <w:t>may not be used for law</w:t>
      </w:r>
      <w:r>
        <w:t>-</w:t>
      </w:r>
      <w:r w:rsidRPr="00704DAE">
        <w:t>enforcement purposes in ongoing criminal proceedings. As a matter of fact, the FII itself warned recently that law</w:t>
      </w:r>
      <w:r>
        <w:t>-</w:t>
      </w:r>
      <w:r w:rsidRPr="00704DAE">
        <w:t>enforcement agencies would not be able to keep information received from the FRA separate from their law</w:t>
      </w:r>
      <w:r>
        <w:t>-</w:t>
      </w:r>
      <w:r w:rsidRPr="00704DAE">
        <w:t>enforcement activities</w:t>
      </w:r>
      <w:r w:rsidRPr="00704DAE">
        <w:rPr>
          <w:vertAlign w:val="superscript"/>
        </w:rPr>
        <w:footnoteReference w:id="17"/>
      </w:r>
      <w:r w:rsidRPr="00704DAE">
        <w:t>.</w:t>
      </w:r>
      <w:r>
        <w:t xml:space="preserve"> </w:t>
      </w:r>
    </w:p>
    <w:p w:rsidRPr="00704DAE" w:rsidR="00B70200" w:rsidP="00B70200" w:rsidRDefault="00B70200" w14:paraId="7DA8EC6C" w14:textId="77777777">
      <w:pPr>
        <w:pStyle w:val="JuHA"/>
        <w:numPr>
          <w:ilvl w:val="0"/>
          <w:numId w:val="0"/>
        </w:numPr>
        <w:ind w:left="510" w:hanging="340"/>
      </w:pPr>
      <w:r w:rsidRPr="00704DAE">
        <w:t>Authorisation of bulk interception</w:t>
      </w:r>
    </w:p>
    <w:p w:rsidR="00B70200" w:rsidP="00B70200" w:rsidRDefault="00B70200" w14:paraId="5482DD59" w14:textId="77777777">
      <w:pPr>
        <w:pStyle w:val="JuPara"/>
      </w:pPr>
      <w:r w:rsidRPr="00704DAE">
        <w:t>9.  Swedish law entrusts the authorisation of bulk surveillance to a court. But the FIC is not an ordinary court. Here</w:t>
      </w:r>
      <w:r>
        <w:t>in</w:t>
      </w:r>
      <w:r w:rsidRPr="00704DAE">
        <w:t xml:space="preserve"> lies the second major shortcoming </w:t>
      </w:r>
      <w:r>
        <w:t xml:space="preserve">in </w:t>
      </w:r>
      <w:r w:rsidRPr="00704DAE">
        <w:t>the Swedish system. The FIC</w:t>
      </w:r>
      <w:r>
        <w:t>’</w:t>
      </w:r>
      <w:r w:rsidRPr="00704DAE">
        <w:t>s composition consists of one president, one or two vi</w:t>
      </w:r>
      <w:r>
        <w:t>c</w:t>
      </w:r>
      <w:r w:rsidRPr="00704DAE">
        <w:t>e-presidents and two to six lay members, mainly former politicians</w:t>
      </w:r>
      <w:r w:rsidRPr="00704DAE">
        <w:rPr>
          <w:vertAlign w:val="superscript"/>
        </w:rPr>
        <w:footnoteReference w:id="18"/>
      </w:r>
      <w:r w:rsidRPr="00704DAE">
        <w:t xml:space="preserve">, all </w:t>
      </w:r>
      <w:r>
        <w:t xml:space="preserve">of whom are </w:t>
      </w:r>
      <w:r w:rsidRPr="00704DAE">
        <w:t xml:space="preserve">appointed by </w:t>
      </w:r>
      <w:r>
        <w:t xml:space="preserve">the </w:t>
      </w:r>
      <w:r w:rsidRPr="00704DAE">
        <w:t>Government for a four-year mandate. Their appointment is renewable</w:t>
      </w:r>
      <w:r>
        <w:t>,</w:t>
      </w:r>
      <w:r w:rsidRPr="00704DAE">
        <w:t xml:space="preserve"> which </w:t>
      </w:r>
      <w:r>
        <w:t xml:space="preserve">strengthens </w:t>
      </w:r>
      <w:r w:rsidRPr="00704DAE">
        <w:t xml:space="preserve">their political bond to the Government. Even the </w:t>
      </w:r>
      <w:r w:rsidRPr="00645E43">
        <w:t>privacy protection</w:t>
      </w:r>
      <w:r w:rsidRPr="00704DAE">
        <w:t xml:space="preserve"> representative, who is supposed to act in the public interest, but not in the interest of any affected individual, is a Government appointee, with a renewable mandate. </w:t>
      </w:r>
      <w:r>
        <w:t xml:space="preserve">Furthermore, his or her </w:t>
      </w:r>
      <w:r w:rsidRPr="00704DAE">
        <w:t>intervention can be dispensed with. If the matter is so urgent that a delay would seriously jeopardize the purpose of the application, a meeting may be held, and a decision taken</w:t>
      </w:r>
      <w:r>
        <w:t>,</w:t>
      </w:r>
      <w:r w:rsidRPr="00704DAE">
        <w:t xml:space="preserve"> without a privacy protection representative having been present or otherwise given an opportunity to comment. The highly politicised status of the FIC</w:t>
      </w:r>
      <w:r>
        <w:t>’</w:t>
      </w:r>
      <w:r w:rsidRPr="00704DAE">
        <w:t xml:space="preserve">s members is consonant with the fact that it </w:t>
      </w:r>
      <w:r>
        <w:t xml:space="preserve">has </w:t>
      </w:r>
      <w:r w:rsidRPr="00704DAE">
        <w:t>never held a public hearing and its decisions are final and confidential</w:t>
      </w:r>
      <w:r w:rsidRPr="00704DAE">
        <w:rPr>
          <w:vertAlign w:val="superscript"/>
        </w:rPr>
        <w:footnoteReference w:id="19"/>
      </w:r>
      <w:r w:rsidRPr="00704DAE">
        <w:t>. In view of these characteristics the FIC is more akin to a political body than to a truly independent judicial authority</w:t>
      </w:r>
      <w:r w:rsidRPr="00704DAE">
        <w:rPr>
          <w:vertAlign w:val="superscript"/>
        </w:rPr>
        <w:footnoteReference w:id="20"/>
      </w:r>
      <w:r w:rsidRPr="00704DAE">
        <w:t>.</w:t>
      </w:r>
    </w:p>
    <w:p w:rsidR="00B70200" w:rsidP="00B70200" w:rsidRDefault="00B70200" w14:paraId="3B7291C0" w14:textId="77777777">
      <w:pPr>
        <w:pStyle w:val="JuPara"/>
      </w:pPr>
      <w:r w:rsidRPr="00704DAE">
        <w:t>10.  The FIC</w:t>
      </w:r>
      <w:r>
        <w:t>’</w:t>
      </w:r>
      <w:r w:rsidRPr="00704DAE">
        <w:t xml:space="preserve">s oversight encompasses assessment of the specific </w:t>
      </w:r>
      <w:r>
        <w:t>“</w:t>
      </w:r>
      <w:r w:rsidRPr="00704DAE">
        <w:t>bearers</w:t>
      </w:r>
      <w:r>
        <w:t>” (signal carriers)</w:t>
      </w:r>
      <w:r w:rsidRPr="00704DAE">
        <w:t xml:space="preserve"> to which </w:t>
      </w:r>
      <w:r>
        <w:t xml:space="preserve">the </w:t>
      </w:r>
      <w:r w:rsidRPr="00704DAE">
        <w:t xml:space="preserve">FRA will have access, as well as the </w:t>
      </w:r>
      <w:r>
        <w:t>“</w:t>
      </w:r>
      <w:r w:rsidRPr="00704DAE">
        <w:t>selectors</w:t>
      </w:r>
      <w:r>
        <w:t>” (search terms)</w:t>
      </w:r>
      <w:r w:rsidRPr="00704DAE">
        <w:t xml:space="preserve"> and the categories of selectors that will be used for the automatic collection of data, and the duration of the surveillance permit. But there is no requirement that the permit must be cancelled if the collection of the communication ceases to be necessary</w:t>
      </w:r>
      <w:r w:rsidRPr="00704DAE">
        <w:rPr>
          <w:vertAlign w:val="superscript"/>
        </w:rPr>
        <w:footnoteReference w:id="21"/>
      </w:r>
      <w:r w:rsidRPr="00704DAE">
        <w:t xml:space="preserve"> or that intercepted material which does not contain personal data must be destroyed within a certain period</w:t>
      </w:r>
      <w:r w:rsidRPr="00704DAE">
        <w:rPr>
          <w:vertAlign w:val="superscript"/>
        </w:rPr>
        <w:footnoteReference w:id="22"/>
      </w:r>
      <w:r w:rsidRPr="00704DAE">
        <w:t>.</w:t>
      </w:r>
      <w:r>
        <w:t xml:space="preserve"> </w:t>
      </w:r>
      <w:r w:rsidRPr="00704DAE">
        <w:t>Nor is there any requirement that the FIC verif</w:t>
      </w:r>
      <w:r>
        <w:t>y</w:t>
      </w:r>
      <w:r w:rsidRPr="00704DAE">
        <w:t xml:space="preserve"> the existence of reasonable suspicion in relation to any person targeted. It is true that strong selectors directly relating to a specific person may be used if this is of “exceptional importance” for the intelligence activities</w:t>
      </w:r>
      <w:r w:rsidRPr="00704DAE">
        <w:rPr>
          <w:vertAlign w:val="superscript"/>
        </w:rPr>
        <w:footnoteReference w:id="23"/>
      </w:r>
      <w:r w:rsidRPr="00704DAE">
        <w:t>, but this restriction only applies to the automated collection of data, not to the selectors used to search the bulk collected data. This means that the law allows for a large degree of discretion in the collection and search of communications and related communications data by the FRA, especially when the FIC</w:t>
      </w:r>
      <w:r>
        <w:t>’</w:t>
      </w:r>
      <w:r w:rsidRPr="00704DAE">
        <w:t>s permit refers to categories of selectors</w:t>
      </w:r>
      <w:r w:rsidRPr="00704DAE">
        <w:rPr>
          <w:vertAlign w:val="superscript"/>
        </w:rPr>
        <w:footnoteReference w:id="24"/>
      </w:r>
      <w:r w:rsidRPr="00704DAE">
        <w:t xml:space="preserve">. The problem of </w:t>
      </w:r>
      <w:r>
        <w:t xml:space="preserve">a </w:t>
      </w:r>
      <w:r w:rsidRPr="00704DAE">
        <w:t xml:space="preserve">lack of specificity </w:t>
      </w:r>
      <w:proofErr w:type="gramStart"/>
      <w:r>
        <w:t>with regard to</w:t>
      </w:r>
      <w:proofErr w:type="gramEnd"/>
      <w:r>
        <w:t xml:space="preserve"> </w:t>
      </w:r>
      <w:r w:rsidRPr="00704DAE">
        <w:t xml:space="preserve">the selectors seems to be even more serious regarding </w:t>
      </w:r>
      <w:r>
        <w:t xml:space="preserve">the </w:t>
      </w:r>
      <w:r w:rsidRPr="00704DAE">
        <w:t>selectors used for related communications data</w:t>
      </w:r>
      <w:r w:rsidRPr="00704DAE">
        <w:rPr>
          <w:vertAlign w:val="superscript"/>
        </w:rPr>
        <w:footnoteReference w:id="25"/>
      </w:r>
      <w:r w:rsidRPr="00704DAE">
        <w:t>.</w:t>
      </w:r>
    </w:p>
    <w:p w:rsidR="00B70200" w:rsidP="00B70200" w:rsidRDefault="00B70200" w14:paraId="354E343D" w14:textId="77777777">
      <w:pPr>
        <w:pStyle w:val="JuPara"/>
      </w:pPr>
      <w:r w:rsidRPr="00704DAE">
        <w:t>11.  Furthermore, there is no evidence that the FIC can and does assess the need to protect privileged communications</w:t>
      </w:r>
      <w:r>
        <w:t xml:space="preserve">, including situations </w:t>
      </w:r>
      <w:r w:rsidRPr="00704DAE">
        <w:t xml:space="preserve">where there is a reasonable probability that </w:t>
      </w:r>
      <w:r>
        <w:t xml:space="preserve">such </w:t>
      </w:r>
      <w:r w:rsidRPr="00704DAE">
        <w:t>communications will be intercepted as a by-catch of the requested interception.</w:t>
      </w:r>
      <w:r>
        <w:t xml:space="preserve"> </w:t>
      </w:r>
      <w:r w:rsidRPr="00704DAE">
        <w:t xml:space="preserve">Privileged communications, such as those related to media sources and attorney-client privilege, are protected </w:t>
      </w:r>
      <w:r>
        <w:t xml:space="preserve">only to the extent </w:t>
      </w:r>
      <w:r w:rsidRPr="00704DAE">
        <w:t xml:space="preserve">that they </w:t>
      </w:r>
      <w:r>
        <w:t xml:space="preserve">ought to </w:t>
      </w:r>
      <w:r w:rsidRPr="00704DAE">
        <w:t xml:space="preserve">be destroyed if they have been intercepted. </w:t>
      </w:r>
      <w:r>
        <w:t>T</w:t>
      </w:r>
      <w:r w:rsidRPr="00704DAE">
        <w:t>he fact that not even communications in a religious context of confession or individual counselling are protected</w:t>
      </w:r>
      <w:r>
        <w:t>,</w:t>
      </w:r>
      <w:r w:rsidRPr="00704DAE">
        <w:t xml:space="preserve"> since they may be intercepted and exceptionally examined</w:t>
      </w:r>
      <w:r>
        <w:t>, is quite disturbing</w:t>
      </w:r>
      <w:r w:rsidRPr="00704DAE">
        <w:t>.</w:t>
      </w:r>
    </w:p>
    <w:p w:rsidR="00B70200" w:rsidP="00B70200" w:rsidRDefault="00B70200" w14:paraId="1436D890" w14:textId="77777777">
      <w:pPr>
        <w:pStyle w:val="JuHA"/>
        <w:numPr>
          <w:ilvl w:val="0"/>
          <w:numId w:val="0"/>
        </w:numPr>
        <w:ind w:left="510" w:hanging="340"/>
      </w:pPr>
      <w:r w:rsidRPr="00704DAE">
        <w:t>Supervision of the implementation of the interception permit</w:t>
      </w:r>
    </w:p>
    <w:p w:rsidRPr="00704DAE" w:rsidR="00B70200" w:rsidP="00B70200" w:rsidRDefault="00B70200" w14:paraId="171EBBF8" w14:textId="77777777">
      <w:pPr>
        <w:pStyle w:val="JuPara"/>
      </w:pPr>
      <w:r w:rsidRPr="00704DAE">
        <w:t xml:space="preserve">12.  The FIC does not oversee the implementation of the bulk interception permit, nor even the intended subsequent use of the intercepted communication, this task being </w:t>
      </w:r>
      <w:r>
        <w:t xml:space="preserve">assigned </w:t>
      </w:r>
      <w:r w:rsidRPr="00704DAE">
        <w:t xml:space="preserve">to the Foreign Intelligence Inspectorate (FII). </w:t>
      </w:r>
      <w:r>
        <w:t xml:space="preserve">As with </w:t>
      </w:r>
      <w:r w:rsidRPr="00704DAE">
        <w:t>the FIC, the composition of the FII</w:t>
      </w:r>
      <w:r>
        <w:t>’</w:t>
      </w:r>
      <w:r w:rsidRPr="00704DAE">
        <w:t>s board is dependent on the Government. The Government appoints its members for a renewable four-year mandate, the president and the vice-president being or having been permanent judges and the other four lay</w:t>
      </w:r>
      <w:bookmarkStart w:name="_GoBack" w:id="126"/>
      <w:bookmarkEnd w:id="126"/>
      <w:r w:rsidRPr="00704DAE">
        <w:t xml:space="preserve"> members </w:t>
      </w:r>
      <w:r>
        <w:t xml:space="preserve">chosen </w:t>
      </w:r>
      <w:r w:rsidRPr="00704DAE">
        <w:t>from among former politicians proposed by party groups represented in Parliament</w:t>
      </w:r>
      <w:r w:rsidRPr="00704DAE">
        <w:rPr>
          <w:vertAlign w:val="superscript"/>
        </w:rPr>
        <w:footnoteReference w:id="26"/>
      </w:r>
      <w:r w:rsidRPr="00704DAE">
        <w:t>. The FII works part-time</w:t>
      </w:r>
      <w:r w:rsidRPr="00704DAE">
        <w:rPr>
          <w:vertAlign w:val="superscript"/>
        </w:rPr>
        <w:footnoteReference w:id="27"/>
      </w:r>
      <w:r w:rsidRPr="00704DAE">
        <w:t>, assisted by a “small secretariat”</w:t>
      </w:r>
      <w:r w:rsidRPr="00704DAE">
        <w:rPr>
          <w:vertAlign w:val="superscript"/>
        </w:rPr>
        <w:footnoteReference w:id="28"/>
      </w:r>
      <w:r w:rsidRPr="00704DAE">
        <w:t>.</w:t>
      </w:r>
    </w:p>
    <w:p w:rsidR="00B70200" w:rsidP="00B70200" w:rsidRDefault="00B70200" w14:paraId="111DE0A7" w14:textId="77777777">
      <w:pPr>
        <w:pStyle w:val="JuPara"/>
      </w:pPr>
      <w:r w:rsidRPr="00704DAE">
        <w:t>13.  The FII does not have power</w:t>
      </w:r>
      <w:r>
        <w:t>s</w:t>
      </w:r>
      <w:r w:rsidRPr="00704DAE">
        <w:t xml:space="preserve"> to determine, by means of a legally binding decision, </w:t>
      </w:r>
      <w:r>
        <w:t xml:space="preserve">whether </w:t>
      </w:r>
      <w:r w:rsidRPr="00704DAE">
        <w:t>the FIC</w:t>
      </w:r>
      <w:r>
        <w:t>’</w:t>
      </w:r>
      <w:r w:rsidRPr="00704DAE">
        <w:t>s permit</w:t>
      </w:r>
      <w:r>
        <w:t xml:space="preserve"> is lawful</w:t>
      </w:r>
      <w:r w:rsidRPr="00704DAE">
        <w:t xml:space="preserve">, nor to order </w:t>
      </w:r>
      <w:r>
        <w:t xml:space="preserve">a rectification </w:t>
      </w:r>
      <w:r w:rsidRPr="00704DAE">
        <w:t>of the FRA</w:t>
      </w:r>
      <w:r>
        <w:t>’</w:t>
      </w:r>
      <w:r w:rsidRPr="00704DAE">
        <w:t xml:space="preserve">s practices or </w:t>
      </w:r>
      <w:r>
        <w:t>a</w:t>
      </w:r>
      <w:r w:rsidRPr="00704DAE">
        <w:t xml:space="preserve"> reform of its internal rules, nor to grant compensation, but </w:t>
      </w:r>
      <w:r>
        <w:t xml:space="preserve">it </w:t>
      </w:r>
      <w:r w:rsidRPr="00704DAE">
        <w:t>can decide that an operation should cease or that the intercepted material should be destroyed if it did not comply with the relevant permit. The FII cannot take any legally binding decisions relating to breaches of the Convention, the Swedish Constitution or the FRA Personal Data Processing Act. Instead, it may report the matter to the Data Protection Authority.</w:t>
      </w:r>
    </w:p>
    <w:p w:rsidR="00B70200" w:rsidP="00B70200" w:rsidRDefault="00B70200" w14:paraId="42402C0D" w14:textId="77777777">
      <w:pPr>
        <w:pStyle w:val="JuPara"/>
      </w:pPr>
      <w:r w:rsidRPr="00704DAE">
        <w:t xml:space="preserve">14.  The Data Protection Authority has a general supervisory function </w:t>
      </w:r>
      <w:r>
        <w:t xml:space="preserve">in respect </w:t>
      </w:r>
      <w:r w:rsidRPr="00704DAE">
        <w:t xml:space="preserve">of </w:t>
      </w:r>
      <w:r>
        <w:t xml:space="preserve">the </w:t>
      </w:r>
      <w:r w:rsidRPr="00704DAE">
        <w:t xml:space="preserve">protection of personal data. In the exercise of its function, it has access to personal data processed by the FRA and </w:t>
      </w:r>
      <w:r>
        <w:t xml:space="preserve">the </w:t>
      </w:r>
      <w:r w:rsidRPr="00704DAE">
        <w:t xml:space="preserve">relevant documentation as well as </w:t>
      </w:r>
      <w:r>
        <w:t xml:space="preserve">to </w:t>
      </w:r>
      <w:r w:rsidRPr="00704DAE">
        <w:t xml:space="preserve">the facilities where they are kept. The Data Protection Authority cannot itself </w:t>
      </w:r>
      <w:r>
        <w:t>t</w:t>
      </w:r>
      <w:r w:rsidRPr="00704DAE">
        <w:t xml:space="preserve">ake any legally binding decisions with respect to the FRA and is under no obligation to take any action upon receiving a report from the FII. If it chooses to act, all that the Data Protection Authority can do is to communicate its views to the FRA, or to apply to the Administrative Court for the destruction of illegally processed personal data, but </w:t>
      </w:r>
      <w:r>
        <w:t xml:space="preserve">to date </w:t>
      </w:r>
      <w:r w:rsidRPr="00704DAE">
        <w:t xml:space="preserve">it </w:t>
      </w:r>
      <w:r>
        <w:t xml:space="preserve">has </w:t>
      </w:r>
      <w:r w:rsidRPr="00704DAE">
        <w:t>never used this power</w:t>
      </w:r>
      <w:r w:rsidRPr="00704DAE">
        <w:rPr>
          <w:vertAlign w:val="superscript"/>
        </w:rPr>
        <w:footnoteReference w:id="29"/>
      </w:r>
      <w:r w:rsidRPr="00704DAE">
        <w:t>.</w:t>
      </w:r>
    </w:p>
    <w:p w:rsidR="00B70200" w:rsidP="00B70200" w:rsidRDefault="00B70200" w14:paraId="32E6D035" w14:textId="77777777">
      <w:pPr>
        <w:pStyle w:val="JuPara"/>
      </w:pPr>
      <w:r w:rsidRPr="00704DAE">
        <w:t xml:space="preserve">15.  Lastly, in terms of internal oversight, the Privacy Protection Council of the FRA, which is tasked with monitoring the measures taken to protect personal integrity, is also composed </w:t>
      </w:r>
      <w:r>
        <w:t xml:space="preserve">of </w:t>
      </w:r>
      <w:r w:rsidRPr="00704DAE">
        <w:t xml:space="preserve">members appointed by the Government. </w:t>
      </w:r>
      <w:r>
        <w:t xml:space="preserve">This body appears to be toothless, </w:t>
      </w:r>
      <w:r w:rsidRPr="00704DAE">
        <w:t xml:space="preserve">as evidenced by the fact that the Data Protection Authority </w:t>
      </w:r>
      <w:r>
        <w:t xml:space="preserve">unsuccessfully </w:t>
      </w:r>
      <w:r w:rsidRPr="00704DAE">
        <w:t xml:space="preserve">reproached the FRA in 2010 and 2016 for </w:t>
      </w:r>
      <w:r>
        <w:t xml:space="preserve">failing to monitor </w:t>
      </w:r>
      <w:r w:rsidRPr="00704DAE">
        <w:t>adequately logs used to detect unwarranted use of personal data</w:t>
      </w:r>
      <w:r w:rsidRPr="00704DAE">
        <w:rPr>
          <w:vertAlign w:val="superscript"/>
        </w:rPr>
        <w:footnoteReference w:id="30"/>
      </w:r>
      <w:r w:rsidRPr="00704DAE">
        <w:t>. The alleged introduction in 2018 of a central function for monitoring and follow</w:t>
      </w:r>
      <w:r>
        <w:t>ing</w:t>
      </w:r>
      <w:r w:rsidRPr="00704DAE">
        <w:t xml:space="preserve"> up logs, invoked by the Government, does not suffice. In fact, there is no legal obligation on </w:t>
      </w:r>
      <w:r>
        <w:t xml:space="preserve">the </w:t>
      </w:r>
      <w:r w:rsidRPr="00704DAE">
        <w:t xml:space="preserve">FRA to keep logs and detailed records of each </w:t>
      </w:r>
      <w:proofErr w:type="gramStart"/>
      <w:r w:rsidRPr="00704DAE">
        <w:t>step in</w:t>
      </w:r>
      <w:proofErr w:type="gramEnd"/>
      <w:r w:rsidRPr="00704DAE">
        <w:t xml:space="preserve"> bulk interception operations, including interception, subsequent use and communication of data. This means that any record-keeping practice, if it exists, essentially </w:t>
      </w:r>
      <w:r>
        <w:t xml:space="preserve">depends on </w:t>
      </w:r>
      <w:r w:rsidRPr="00704DAE">
        <w:t>internal procedures and discretion.</w:t>
      </w:r>
      <w:r>
        <w:t xml:space="preserve"> </w:t>
      </w:r>
    </w:p>
    <w:p w:rsidRPr="00704DAE" w:rsidR="00B70200" w:rsidP="00B70200" w:rsidRDefault="00B70200" w14:paraId="5BCE40CB" w14:textId="77777777">
      <w:pPr>
        <w:pStyle w:val="JuHA"/>
        <w:numPr>
          <w:ilvl w:val="0"/>
          <w:numId w:val="0"/>
        </w:numPr>
        <w:ind w:left="510" w:hanging="340"/>
      </w:pPr>
      <w:r w:rsidRPr="00704DAE">
        <w:t>Remedies</w:t>
      </w:r>
    </w:p>
    <w:p w:rsidR="00B70200" w:rsidP="00B70200" w:rsidRDefault="00B70200" w14:paraId="129886C9" w14:textId="77777777">
      <w:pPr>
        <w:pStyle w:val="JuPara"/>
      </w:pPr>
      <w:r w:rsidRPr="00704DAE">
        <w:t xml:space="preserve">16.  The lack of truly independent authorisation </w:t>
      </w:r>
      <w:r>
        <w:t xml:space="preserve">for </w:t>
      </w:r>
      <w:r w:rsidRPr="00704DAE">
        <w:t>and supervision of the implementation of bulk interception measures is aggravated by the purely virtual character of the remedies available to the intercept subject</w:t>
      </w:r>
      <w:r w:rsidRPr="00704DAE">
        <w:rPr>
          <w:vertAlign w:val="superscript"/>
        </w:rPr>
        <w:footnoteReference w:id="31"/>
      </w:r>
      <w:r w:rsidRPr="00704DAE">
        <w:t xml:space="preserve">. The law provides for notification of bulk interception to the intercept subject, when selectors directly related to an individual have been used and secrecy reasons do not prevail. The guarantee pertains only to natural persons, not to legal persons </w:t>
      </w:r>
      <w:r>
        <w:t xml:space="preserve">such as </w:t>
      </w:r>
      <w:r w:rsidRPr="00704DAE">
        <w:t xml:space="preserve">the applicant. In any event, this law remains </w:t>
      </w:r>
      <w:r>
        <w:t xml:space="preserve">a </w:t>
      </w:r>
      <w:r w:rsidRPr="00704DAE">
        <w:t>dead letter</w:t>
      </w:r>
      <w:r w:rsidRPr="00704DAE">
        <w:rPr>
          <w:vertAlign w:val="superscript"/>
        </w:rPr>
        <w:footnoteReference w:id="32"/>
      </w:r>
      <w:r w:rsidRPr="00704DAE">
        <w:t>.</w:t>
      </w:r>
    </w:p>
    <w:p w:rsidR="00B70200" w:rsidP="00B70200" w:rsidRDefault="00B70200" w14:paraId="00779B19" w14:textId="77777777">
      <w:pPr>
        <w:pStyle w:val="JuPara"/>
      </w:pPr>
      <w:r w:rsidRPr="00704DAE">
        <w:t xml:space="preserve">17.  In addition, </w:t>
      </w:r>
      <w:r>
        <w:t xml:space="preserve">at the </w:t>
      </w:r>
      <w:r w:rsidRPr="00704DAE">
        <w:t xml:space="preserve">request of a natural or legal person, the FII may investigate whether the interception and treatment of intercept material have been in accordance with the law, and it has done so. Astonishingly, in all 132 cases investigated by the FII it never </w:t>
      </w:r>
      <w:r>
        <w:t xml:space="preserve">once </w:t>
      </w:r>
      <w:r w:rsidRPr="00704DAE">
        <w:t>found in favour of the applicant</w:t>
      </w:r>
      <w:r>
        <w:t xml:space="preserve"> party</w:t>
      </w:r>
      <w:r w:rsidRPr="00704DAE">
        <w:rPr>
          <w:vertAlign w:val="superscript"/>
        </w:rPr>
        <w:footnoteReference w:id="33"/>
      </w:r>
      <w:r w:rsidRPr="00704DAE">
        <w:t xml:space="preserve">. The simple reason for this is that the FII is </w:t>
      </w:r>
      <w:proofErr w:type="spellStart"/>
      <w:r w:rsidRPr="00704DAE">
        <w:rPr>
          <w:i/>
          <w:iCs/>
        </w:rPr>
        <w:t>iudex</w:t>
      </w:r>
      <w:proofErr w:type="spellEnd"/>
      <w:r w:rsidRPr="00704DAE">
        <w:rPr>
          <w:i/>
          <w:iCs/>
        </w:rPr>
        <w:t xml:space="preserve"> in causa </w:t>
      </w:r>
      <w:proofErr w:type="spellStart"/>
      <w:r w:rsidRPr="00704DAE">
        <w:rPr>
          <w:i/>
          <w:iCs/>
        </w:rPr>
        <w:t>sua</w:t>
      </w:r>
      <w:proofErr w:type="spellEnd"/>
      <w:r>
        <w:t xml:space="preserve">, in that </w:t>
      </w:r>
      <w:r w:rsidRPr="00704DAE">
        <w:t xml:space="preserve">it is asked to </w:t>
      </w:r>
      <w:r>
        <w:t xml:space="preserve">review </w:t>
      </w:r>
      <w:r w:rsidRPr="00704DAE">
        <w:t>its own overseeing conduct, without even having to inform the complainant of its findings or provide any reasons for its decisions</w:t>
      </w:r>
      <w:r w:rsidRPr="00704DAE">
        <w:rPr>
          <w:vertAlign w:val="superscript"/>
        </w:rPr>
        <w:footnoteReference w:id="34"/>
      </w:r>
      <w:r w:rsidRPr="00704DAE">
        <w:t>. The FII</w:t>
      </w:r>
      <w:r>
        <w:t>’s</w:t>
      </w:r>
      <w:r w:rsidRPr="00704DAE">
        <w:t xml:space="preserve"> working methods are not far from the dark tenebrous process described </w:t>
      </w:r>
      <w:r>
        <w:t xml:space="preserve">by </w:t>
      </w:r>
      <w:r w:rsidRPr="00704DAE">
        <w:t>Franz Kafka.</w:t>
      </w:r>
    </w:p>
    <w:p w:rsidR="00B70200" w:rsidP="00B70200" w:rsidRDefault="00B70200" w14:paraId="0785CBE7" w14:textId="77777777">
      <w:pPr>
        <w:pStyle w:val="JuPara"/>
      </w:pPr>
      <w:r w:rsidRPr="00704DAE">
        <w:t xml:space="preserve">18.  Furthermore, individuals can make requests to the FRA for disclosure and correction </w:t>
      </w:r>
      <w:proofErr w:type="gramStart"/>
      <w:r w:rsidRPr="00704DAE">
        <w:t>in regard to</w:t>
      </w:r>
      <w:proofErr w:type="gramEnd"/>
      <w:r w:rsidRPr="00704DAE">
        <w:t xml:space="preserve"> processed personal data</w:t>
      </w:r>
      <w:r>
        <w:t>,</w:t>
      </w:r>
      <w:r w:rsidRPr="00704DAE">
        <w:t xml:space="preserve"> and the FRA</w:t>
      </w:r>
      <w:r>
        <w:t>’</w:t>
      </w:r>
      <w:r w:rsidRPr="00704DAE">
        <w:t>s decisions to disclose information may be appealed against to the Administrative Court. Yet domestic rules on secrecy may hamper the individual</w:t>
      </w:r>
      <w:r>
        <w:t>’</w:t>
      </w:r>
      <w:r w:rsidRPr="00704DAE">
        <w:t>s access to th</w:t>
      </w:r>
      <w:r>
        <w:t xml:space="preserve">at </w:t>
      </w:r>
      <w:r w:rsidRPr="00704DAE">
        <w:t>information</w:t>
      </w:r>
      <w:r w:rsidRPr="00704DAE">
        <w:rPr>
          <w:vertAlign w:val="superscript"/>
        </w:rPr>
        <w:footnoteReference w:id="35"/>
      </w:r>
      <w:r>
        <w:t xml:space="preserve">, not to mention </w:t>
      </w:r>
      <w:r w:rsidRPr="00704DAE">
        <w:t>the Administrative Court</w:t>
      </w:r>
      <w:r>
        <w:t>’</w:t>
      </w:r>
      <w:r w:rsidRPr="00704DAE">
        <w:t xml:space="preserve">s </w:t>
      </w:r>
      <w:r w:rsidRPr="00113100">
        <w:rPr>
          <w:i/>
          <w:iCs/>
        </w:rPr>
        <w:t>de facto</w:t>
      </w:r>
      <w:r>
        <w:t xml:space="preserve"> </w:t>
      </w:r>
      <w:r w:rsidRPr="00704DAE">
        <w:t>power</w:t>
      </w:r>
      <w:r>
        <w:t>s</w:t>
      </w:r>
      <w:r w:rsidRPr="00704DAE">
        <w:t xml:space="preserve"> to review the FRA</w:t>
      </w:r>
      <w:r>
        <w:t>’</w:t>
      </w:r>
      <w:r w:rsidRPr="00704DAE">
        <w:t xml:space="preserve">s own secrecy assessment. This </w:t>
      </w:r>
      <w:r>
        <w:t>“C</w:t>
      </w:r>
      <w:r w:rsidRPr="00704DAE">
        <w:t>atch 22</w:t>
      </w:r>
      <w:r>
        <w:t>”</w:t>
      </w:r>
      <w:r w:rsidRPr="00704DAE">
        <w:t xml:space="preserve"> situation is evidenced by the fact that this possibility </w:t>
      </w:r>
      <w:r>
        <w:t xml:space="preserve">has </w:t>
      </w:r>
      <w:r w:rsidRPr="00704DAE">
        <w:t xml:space="preserve">never </w:t>
      </w:r>
      <w:r>
        <w:t xml:space="preserve">been </w:t>
      </w:r>
      <w:r w:rsidRPr="00704DAE">
        <w:t>used</w:t>
      </w:r>
      <w:r w:rsidRPr="00704DAE">
        <w:rPr>
          <w:vertAlign w:val="superscript"/>
        </w:rPr>
        <w:footnoteReference w:id="36"/>
      </w:r>
      <w:r w:rsidRPr="00704DAE">
        <w:t>. In any event, this legal avenue is not available to legal persons</w:t>
      </w:r>
      <w:r>
        <w:t xml:space="preserve"> such </w:t>
      </w:r>
      <w:r w:rsidRPr="00704DAE">
        <w:t>as the applicant.</w:t>
      </w:r>
    </w:p>
    <w:p w:rsidR="00B70200" w:rsidP="00B70200" w:rsidRDefault="00B70200" w14:paraId="32EC0AC7" w14:textId="77777777">
      <w:pPr>
        <w:pStyle w:val="JuPara"/>
      </w:pPr>
      <w:r w:rsidRPr="00704DAE">
        <w:t>19.  Finally, neither the Parliamentary Ombudsmen nor the Chancellor of Justice provide any effective scrutiny</w:t>
      </w:r>
      <w:r>
        <w:t>,</w:t>
      </w:r>
      <w:r w:rsidRPr="00704DAE">
        <w:t xml:space="preserve"> since they are not entitled to produce legally binding decisions to cease any interception activities or to destroy any intercepted material. As a matter of fact, n</w:t>
      </w:r>
      <w:r>
        <w:t xml:space="preserve">either </w:t>
      </w:r>
      <w:r w:rsidRPr="00704DAE">
        <w:t>of them has ever found it necessary to act within their remit, for example by triggering criminal or disciplinary proceedings against FRA officials</w:t>
      </w:r>
      <w:r w:rsidRPr="00704DAE">
        <w:rPr>
          <w:vertAlign w:val="superscript"/>
        </w:rPr>
        <w:footnoteReference w:id="37"/>
      </w:r>
      <w:r w:rsidRPr="00704DAE">
        <w:t xml:space="preserve"> or, in the case of the Chancellor, by awarding compensation.</w:t>
      </w:r>
    </w:p>
    <w:p w:rsidRPr="00704DAE" w:rsidR="00B70200" w:rsidP="00B70200" w:rsidRDefault="00B70200" w14:paraId="24663991" w14:textId="77777777">
      <w:pPr>
        <w:pStyle w:val="JuHA"/>
        <w:numPr>
          <w:ilvl w:val="0"/>
          <w:numId w:val="0"/>
        </w:numPr>
        <w:ind w:left="510" w:hanging="340"/>
      </w:pPr>
      <w:r w:rsidRPr="00704DAE">
        <w:t>Transfer of intercept data to foreign intelligence services</w:t>
      </w:r>
    </w:p>
    <w:p w:rsidRPr="00704DAE" w:rsidR="00B70200" w:rsidP="00B70200" w:rsidRDefault="00B70200" w14:paraId="00BB3387" w14:textId="77777777">
      <w:pPr>
        <w:pStyle w:val="JuPara"/>
      </w:pPr>
      <w:r w:rsidRPr="00704DAE">
        <w:t xml:space="preserve">20.  Regarding the transfer of intercept material to foreign third parties, the sole guarantee provided by law is that it should be in the national interest. There is no requirement to consider privacy rights or to guarantee that the receiving State has similar safeguards </w:t>
      </w:r>
      <w:r>
        <w:t xml:space="preserve">to </w:t>
      </w:r>
      <w:r w:rsidRPr="00704DAE">
        <w:t>those applicable in Sweden. Where the remit of the intercepting authority is framed in such broad terms in the l</w:t>
      </w:r>
      <w:r>
        <w:t>egislation</w:t>
      </w:r>
      <w:r w:rsidRPr="00704DAE">
        <w:t>, and oversight is limited to checking if the authority remains within its statutory remit, the oversight is of very limited use</w:t>
      </w:r>
      <w:r w:rsidRPr="00704DAE">
        <w:rPr>
          <w:vertAlign w:val="superscript"/>
        </w:rPr>
        <w:footnoteReference w:id="38"/>
      </w:r>
      <w:r w:rsidRPr="00704DAE">
        <w:t>.</w:t>
      </w:r>
    </w:p>
    <w:p w:rsidR="00B70200" w:rsidP="00B70200" w:rsidRDefault="00B70200" w14:paraId="28B47495" w14:textId="77777777">
      <w:pPr>
        <w:pStyle w:val="JuPara"/>
      </w:pPr>
      <w:r w:rsidRPr="00704DAE">
        <w:t>21.  The Government</w:t>
      </w:r>
      <w:r>
        <w:t>’</w:t>
      </w:r>
      <w:r w:rsidRPr="00704DAE">
        <w:t xml:space="preserve">s argument that international cooperation is conditional on the receiving State respecting Swedish legislation is not evidenced in any </w:t>
      </w:r>
      <w:r>
        <w:t xml:space="preserve">national </w:t>
      </w:r>
      <w:r w:rsidRPr="00704DAE">
        <w:t>legislation. In fact, the Government only refers to the “FRA</w:t>
      </w:r>
      <w:r>
        <w:t>’</w:t>
      </w:r>
      <w:r w:rsidRPr="00704DAE">
        <w:t>s general guideline</w:t>
      </w:r>
      <w:r>
        <w:t>s</w:t>
      </w:r>
      <w:r w:rsidRPr="00704DAE">
        <w:t>”</w:t>
      </w:r>
      <w:r w:rsidRPr="00704DAE">
        <w:rPr>
          <w:vertAlign w:val="superscript"/>
        </w:rPr>
        <w:footnoteReference w:id="39"/>
      </w:r>
      <w:r w:rsidRPr="00704DAE">
        <w:t>. As a matter of law, the FRA is only required to inform the FII of the principles governing its foreign intelligence cooperation and to which countries or organi</w:t>
      </w:r>
      <w:r>
        <w:t>s</w:t>
      </w:r>
      <w:r w:rsidRPr="00704DAE">
        <w:t>ations it transfers data and to provide general information on the operations.</w:t>
      </w:r>
      <w:r>
        <w:t xml:space="preserve"> </w:t>
      </w:r>
      <w:r w:rsidRPr="00704DAE">
        <w:t xml:space="preserve">Since no oversight body is vested with powers to exercise actual control over whether </w:t>
      </w:r>
      <w:r>
        <w:t xml:space="preserve">or not </w:t>
      </w:r>
      <w:r w:rsidRPr="00704DAE">
        <w:t>foreign intelligence cooperation is being used to circumvent national law, and the recipient States protect the data with the same or similar safeguards as those under Swedish law, the FII´s monitoring of the FRA</w:t>
      </w:r>
      <w:r>
        <w:t>’</w:t>
      </w:r>
      <w:r w:rsidRPr="00704DAE">
        <w:t>s international cooperation activities, invoked by the Government, is irrelevant</w:t>
      </w:r>
      <w:r w:rsidRPr="00704DAE">
        <w:rPr>
          <w:vertAlign w:val="superscript"/>
        </w:rPr>
        <w:footnoteReference w:id="40"/>
      </w:r>
      <w:r w:rsidRPr="00704DAE">
        <w:t>.</w:t>
      </w:r>
    </w:p>
    <w:p w:rsidRPr="00704DAE" w:rsidR="00B70200" w:rsidP="00B70200" w:rsidRDefault="00B70200" w14:paraId="2DE9529B" w14:textId="77777777">
      <w:pPr>
        <w:pStyle w:val="JuPara"/>
      </w:pPr>
      <w:r w:rsidRPr="00704DAE">
        <w:t>22.  The Government</w:t>
      </w:r>
      <w:r>
        <w:t>’</w:t>
      </w:r>
      <w:r w:rsidRPr="00704DAE">
        <w:t>s position is even less acceptable because it is inconsistent with Sweden</w:t>
      </w:r>
      <w:r>
        <w:t>’</w:t>
      </w:r>
      <w:r w:rsidRPr="00704DAE">
        <w:t xml:space="preserve">s international obligations, not only in view of its </w:t>
      </w:r>
      <w:proofErr w:type="gramStart"/>
      <w:r w:rsidRPr="00704DAE">
        <w:t>obligations</w:t>
      </w:r>
      <w:proofErr w:type="gramEnd"/>
      <w:r w:rsidRPr="00704DAE">
        <w:t xml:space="preserve"> </w:t>
      </w:r>
      <w:r w:rsidRPr="00113100">
        <w:rPr>
          <w:i/>
          <w:iCs/>
        </w:rPr>
        <w:t>vis-a-vis</w:t>
      </w:r>
      <w:r w:rsidRPr="00704DAE">
        <w:t xml:space="preserve"> the European Union</w:t>
      </w:r>
      <w:r w:rsidRPr="00704DAE">
        <w:rPr>
          <w:vertAlign w:val="superscript"/>
        </w:rPr>
        <w:footnoteReference w:id="41"/>
      </w:r>
      <w:r w:rsidRPr="00704DAE">
        <w:t>, but also the Council of Europe. In addition to the Convention, Article 2 of the Additional Protocol to the Convention for the Protection of Individuals with regard to Automatic Processing of Personal Data, regarding supervisory authorities and transborder data flows (ETS n</w:t>
      </w:r>
      <w:r>
        <w:t>o.</w:t>
      </w:r>
      <w:r w:rsidRPr="00704DAE">
        <w:t xml:space="preserve"> 181), which Sweden </w:t>
      </w:r>
      <w:r>
        <w:t xml:space="preserve">has </w:t>
      </w:r>
      <w:r w:rsidRPr="00704DAE">
        <w:t>ratified,</w:t>
      </w:r>
      <w:r>
        <w:t xml:space="preserve"> </w:t>
      </w:r>
      <w:r w:rsidRPr="00704DAE">
        <w:t xml:space="preserve">states that parties must ensure an adequate level of protection for personal data transfers to third countries, and that derogations are admitted only when there are legitimate prevailing interests. The Explanatory Report to </w:t>
      </w:r>
      <w:r>
        <w:t xml:space="preserve">this Additional Protocol </w:t>
      </w:r>
      <w:r w:rsidRPr="00704DAE">
        <w:t>adds that exceptions must be interpreted restrictively, “so that the exception does not become the rule” (§ 31). This is precisely what is happening in Sweden.</w:t>
      </w:r>
    </w:p>
    <w:p w:rsidRPr="00704DAE" w:rsidR="00B70200" w:rsidP="00B70200" w:rsidRDefault="00B70200" w14:paraId="6B12E32A" w14:textId="77777777">
      <w:pPr>
        <w:pStyle w:val="JuHA"/>
        <w:numPr>
          <w:ilvl w:val="0"/>
          <w:numId w:val="0"/>
        </w:numPr>
        <w:ind w:left="510" w:hanging="340"/>
      </w:pPr>
      <w:r w:rsidRPr="00704DAE">
        <w:t>Conclusion</w:t>
      </w:r>
    </w:p>
    <w:p w:rsidR="00B70200" w:rsidP="00B70200" w:rsidRDefault="00B70200" w14:paraId="4EA1C0D0" w14:textId="77777777">
      <w:pPr>
        <w:pStyle w:val="JuPara"/>
      </w:pPr>
      <w:r w:rsidRPr="00704DAE">
        <w:t xml:space="preserve">23.  In sum, the Swedish oversight bodies either do not meet the requirement of </w:t>
      </w:r>
      <w:proofErr w:type="gramStart"/>
      <w:r w:rsidRPr="00704DAE">
        <w:t>sufficient</w:t>
      </w:r>
      <w:proofErr w:type="gramEnd"/>
      <w:r w:rsidRPr="00704DAE">
        <w:t xml:space="preserve"> independence or provide effective scrutiny</w:t>
      </w:r>
      <w:r>
        <w:t>,</w:t>
      </w:r>
      <w:r w:rsidRPr="00704DAE">
        <w:t xml:space="preserve"> or both. With its concealed procedure and unappealable and secret decisions, the FIC is not a court administering justice in the name of the Swedish </w:t>
      </w:r>
      <w:r>
        <w:t>p</w:t>
      </w:r>
      <w:r w:rsidRPr="00704DAE">
        <w:t>eople and accountable</w:t>
      </w:r>
      <w:r>
        <w:t xml:space="preserve"> to </w:t>
      </w:r>
      <w:r w:rsidRPr="00704DAE">
        <w:t>it</w:t>
      </w:r>
      <w:r>
        <w:t>. I</w:t>
      </w:r>
      <w:r w:rsidRPr="00704DAE">
        <w:t>t is a secretive commission of political appointees which produces a res</w:t>
      </w:r>
      <w:r>
        <w:t xml:space="preserve">tricted </w:t>
      </w:r>
      <w:r w:rsidRPr="00704DAE">
        <w:t>diktat</w:t>
      </w:r>
      <w:r>
        <w:t xml:space="preserve"> that cannot be appealed against</w:t>
      </w:r>
      <w:r w:rsidRPr="00704DAE">
        <w:t>. It serves one sole purpose: to whitewash the FRA</w:t>
      </w:r>
      <w:r>
        <w:t>’s choices</w:t>
      </w:r>
      <w:r w:rsidRPr="00704DAE">
        <w:t xml:space="preserve">, </w:t>
      </w:r>
      <w:r>
        <w:t xml:space="preserve">which in reality </w:t>
      </w:r>
      <w:proofErr w:type="gramStart"/>
      <w:r w:rsidRPr="00704DAE">
        <w:t>mean</w:t>
      </w:r>
      <w:r>
        <w:t xml:space="preserve">s </w:t>
      </w:r>
      <w:r w:rsidRPr="00704DAE">
        <w:t>,</w:t>
      </w:r>
      <w:proofErr w:type="gramEnd"/>
      <w:r w:rsidRPr="00704DAE">
        <w:t xml:space="preserve"> the Government</w:t>
      </w:r>
      <w:r>
        <w:t>’</w:t>
      </w:r>
      <w:r w:rsidRPr="00704DAE">
        <w:t xml:space="preserve">s own surveillance policy choices, giving the Swedish </w:t>
      </w:r>
      <w:r>
        <w:t>p</w:t>
      </w:r>
      <w:r w:rsidRPr="00704DAE">
        <w:t>eople the deceitful impression that there is a court in Stockholm taking care of privacy rights.</w:t>
      </w:r>
    </w:p>
    <w:p w:rsidR="00B70200" w:rsidP="00B70200" w:rsidRDefault="00B70200" w14:paraId="2E6EBD76" w14:textId="77777777">
      <w:pPr>
        <w:pStyle w:val="JuPara"/>
      </w:pPr>
      <w:r w:rsidRPr="00704DAE">
        <w:t>24.  The FII is no better. When asked to investigate whether interception and processing of communications ha</w:t>
      </w:r>
      <w:r>
        <w:t>ve</w:t>
      </w:r>
      <w:r w:rsidRPr="00704DAE">
        <w:t xml:space="preserve"> </w:t>
      </w:r>
      <w:r>
        <w:t xml:space="preserve">taken place </w:t>
      </w:r>
      <w:r w:rsidRPr="00704DAE">
        <w:t xml:space="preserve">in accordance with the law, it decides </w:t>
      </w:r>
      <w:r w:rsidRPr="00704DAE">
        <w:rPr>
          <w:i/>
          <w:iCs/>
        </w:rPr>
        <w:t xml:space="preserve">in causa </w:t>
      </w:r>
      <w:proofErr w:type="spellStart"/>
      <w:r w:rsidRPr="00704DAE">
        <w:rPr>
          <w:i/>
          <w:iCs/>
        </w:rPr>
        <w:t>sua</w:t>
      </w:r>
      <w:proofErr w:type="spellEnd"/>
      <w:r w:rsidRPr="00704DAE">
        <w:t xml:space="preserve">, without even </w:t>
      </w:r>
      <w:r>
        <w:t xml:space="preserve">being under an </w:t>
      </w:r>
      <w:r w:rsidRPr="00704DAE">
        <w:t>obligation to inform the complainant of its findings or to provide reasons for its decisions. The complainant is treated as a subject</w:t>
      </w:r>
      <w:r>
        <w:t xml:space="preserve">, deprived of privacy rights, </w:t>
      </w:r>
      <w:r w:rsidRPr="00704DAE">
        <w:t>in the hands of the Kafkian all-mighty State, not as a person empowered with rights before and against the State.</w:t>
      </w:r>
      <w:r>
        <w:t xml:space="preserve"> </w:t>
      </w:r>
    </w:p>
    <w:p w:rsidR="00B70200" w:rsidP="00B70200" w:rsidRDefault="00B70200" w14:paraId="69671FCC" w14:textId="77777777">
      <w:pPr>
        <w:pStyle w:val="JuPara"/>
      </w:pPr>
      <w:r w:rsidRPr="00704DAE">
        <w:t xml:space="preserve">25.  The Swedish full-take approach to </w:t>
      </w:r>
      <w:r>
        <w:t xml:space="preserve">the </w:t>
      </w:r>
      <w:r w:rsidRPr="00704DAE">
        <w:t>international exchange of intercept data between intelligence services is more dangerous to civil rights and democratic government than a targeted one.</w:t>
      </w:r>
    </w:p>
    <w:p w:rsidR="00B70200" w:rsidP="00B70200" w:rsidRDefault="00B70200" w14:paraId="343BBD56" w14:textId="77777777">
      <w:pPr>
        <w:pStyle w:val="JuPara"/>
      </w:pPr>
      <w:r w:rsidRPr="00704DAE">
        <w:t xml:space="preserve">26.  Instead of the proliferation of oversight bodies with virtual powers, it would be wiser to have a fully-fledged independent court of law, composed </w:t>
      </w:r>
      <w:r>
        <w:t xml:space="preserve">of </w:t>
      </w:r>
      <w:r w:rsidRPr="00704DAE">
        <w:t xml:space="preserve">senior judges, with the power to provide effective, end-to-end control of the interception process, </w:t>
      </w:r>
      <w:r>
        <w:t xml:space="preserve">that is, </w:t>
      </w:r>
      <w:r w:rsidRPr="00704DAE">
        <w:t>to authorise and supervise on a regular basis the implementation of suspicion-based, targeted bulk interception measures and to stop unlawful collection and retention of the intercepted data, with the necessary access to classified documents pertaining to the exercise of their function</w:t>
      </w:r>
      <w:r w:rsidRPr="00704DAE">
        <w:rPr>
          <w:vertAlign w:val="superscript"/>
        </w:rPr>
        <w:footnoteReference w:id="42"/>
      </w:r>
      <w:r w:rsidRPr="00704DAE">
        <w:t>.</w:t>
      </w:r>
    </w:p>
    <w:p w:rsidR="00B70200" w:rsidP="00B70200" w:rsidRDefault="00B70200" w14:paraId="72DB591E" w14:textId="77777777">
      <w:pPr>
        <w:pStyle w:val="JuPara"/>
      </w:pPr>
      <w:r w:rsidRPr="00704DAE">
        <w:t xml:space="preserve">27.  Arguments about the impracticality of </w:t>
      </w:r>
      <w:r>
        <w:t xml:space="preserve">the </w:t>
      </w:r>
      <w:r w:rsidRPr="00704DAE">
        <w:t xml:space="preserve">above-mentioned standard </w:t>
      </w:r>
      <w:r>
        <w:t xml:space="preserve">ought to </w:t>
      </w:r>
      <w:r w:rsidRPr="00704DAE">
        <w:t>be dismissed</w:t>
      </w:r>
      <w:r w:rsidRPr="00E9575A">
        <w:t xml:space="preserve"> </w:t>
      </w:r>
      <w:r w:rsidRPr="00704DAE">
        <w:t>outright: the issue at stake is not a matter of practical effectiveness but of the rule of law. It is the law that sets the boundaries of effective public service, not the other way around. But that can only be discerned when</w:t>
      </w:r>
      <w:r>
        <w:t>,</w:t>
      </w:r>
      <w:r w:rsidRPr="00704DAE">
        <w:t xml:space="preserve"> like Caspar David Friedrich</w:t>
      </w:r>
      <w:r>
        <w:t>’</w:t>
      </w:r>
      <w:r w:rsidRPr="00704DAE">
        <w:t>s Wanderer</w:t>
      </w:r>
      <w:r>
        <w:t>,</w:t>
      </w:r>
      <w:r w:rsidRPr="00704DAE">
        <w:t xml:space="preserve"> one r</w:t>
      </w:r>
      <w:r>
        <w:t>i</w:t>
      </w:r>
      <w:r w:rsidRPr="00704DAE">
        <w:t xml:space="preserve">ses above the sea of fog </w:t>
      </w:r>
      <w:r>
        <w:t xml:space="preserve">enveloping </w:t>
      </w:r>
      <w:r w:rsidRPr="00704DAE">
        <w:t>the Government</w:t>
      </w:r>
      <w:r>
        <w:t>’</w:t>
      </w:r>
      <w:r w:rsidRPr="00704DAE">
        <w:t>s discourse.</w:t>
      </w:r>
    </w:p>
    <w:p w:rsidRPr="00704DAE" w:rsidR="00B70200" w:rsidP="00B70200" w:rsidRDefault="00B70200" w14:paraId="63F6BBAC" w14:textId="77777777">
      <w:pPr>
        <w:pStyle w:val="JuPara"/>
      </w:pPr>
    </w:p>
    <w:p w:rsidR="00624B85" w:rsidP="00B70200" w:rsidRDefault="00624B85" w14:paraId="65C702EC" w14:textId="77777777">
      <w:pPr>
        <w:pStyle w:val="JuPara"/>
        <w:sectPr w:rsidR="00624B85" w:rsidSect="00B70200">
          <w:headerReference w:type="default" r:id="rId16"/>
          <w:footnotePr>
            <w:numRestart w:val="eachSect"/>
          </w:footnotePr>
          <w:pgSz w:w="11906" w:h="16838" w:code="9"/>
          <w:pgMar w:top="2274" w:right="2274" w:bottom="2274" w:left="2274" w:header="1701" w:footer="720" w:gutter="0"/>
          <w:cols w:space="720"/>
          <w:docGrid w:linePitch="326"/>
        </w:sectPr>
      </w:pPr>
    </w:p>
    <w:p w:rsidRPr="008F2CF6" w:rsidR="00624B85" w:rsidP="00624B85" w:rsidRDefault="00624B85" w14:paraId="1EC80F66" w14:textId="081FF693">
      <w:pPr>
        <w:pStyle w:val="DecHTitle"/>
      </w:pPr>
      <w:r>
        <w:t>J</w:t>
      </w:r>
      <w:r w:rsidRPr="008F2CF6">
        <w:t>OINT DECLARATION OF VOTE OF JUDGES KJ</w:t>
      </w:r>
      <w:r>
        <w:rPr>
          <w:rFonts w:cstheme="majorHAnsi"/>
        </w:rPr>
        <w:t>Ø</w:t>
      </w:r>
      <w:r w:rsidRPr="008F2CF6">
        <w:t>LBRO AND WENNERSTRÖM</w:t>
      </w:r>
    </w:p>
    <w:p w:rsidRPr="008F2CF6" w:rsidR="00624B85" w:rsidP="00624B85" w:rsidRDefault="00624B85" w14:paraId="2B5060C7" w14:textId="77777777">
      <w:pPr>
        <w:pStyle w:val="JuPara"/>
      </w:pPr>
    </w:p>
    <w:p w:rsidRPr="008F2CF6" w:rsidR="00624B85" w:rsidP="00624B85" w:rsidRDefault="004F11CA" w14:paraId="459D7C3F" w14:textId="122B04AB">
      <w:pPr>
        <w:pStyle w:val="JuPara"/>
      </w:pPr>
      <w:r>
        <w:fldChar w:fldCharType="begin"/>
      </w:r>
      <w:r>
        <w:instrText xml:space="preserve"> SEQ level0 \*arabic \r1 </w:instrText>
      </w:r>
      <w:r>
        <w:fldChar w:fldCharType="separate"/>
      </w:r>
      <w:r>
        <w:rPr>
          <w:noProof/>
        </w:rPr>
        <w:t>1</w:t>
      </w:r>
      <w:r>
        <w:fldChar w:fldCharType="end"/>
      </w:r>
      <w:r>
        <w:t>.  </w:t>
      </w:r>
      <w:r w:rsidRPr="008F2CF6" w:rsidR="00624B85">
        <w:t>We voted for finding no violation of Article 8 of the Convention and, therefore, we distance ourselves from the Court</w:t>
      </w:r>
      <w:r w:rsidR="00624B85">
        <w:t>’</w:t>
      </w:r>
      <w:r w:rsidRPr="008F2CF6" w:rsidR="00624B85">
        <w:t xml:space="preserve">s reasoning and findings concerning intelligence sharing (see §§ 317-330) and </w:t>
      </w:r>
      <w:r w:rsidRPr="001517D7" w:rsidR="00624B85">
        <w:rPr>
          <w:i/>
          <w:iCs/>
        </w:rPr>
        <w:t>ex post facto</w:t>
      </w:r>
      <w:r w:rsidRPr="008F2CF6" w:rsidR="00624B85">
        <w:t xml:space="preserve"> control (see §§ 354-364).</w:t>
      </w:r>
    </w:p>
    <w:p w:rsidRPr="008F2CF6" w:rsidR="00624B85" w:rsidP="00624B85" w:rsidRDefault="00624B85" w14:paraId="340AFCC0" w14:textId="6D649706">
      <w:pPr>
        <w:pStyle w:val="JuPara"/>
      </w:pPr>
      <w:r w:rsidRPr="008F2CF6">
        <w:fldChar w:fldCharType="begin"/>
      </w:r>
      <w:r w:rsidRPr="008F2CF6">
        <w:instrText xml:space="preserve"> SEQ level0 \*arabic </w:instrText>
      </w:r>
      <w:r w:rsidRPr="008F2CF6">
        <w:fldChar w:fldCharType="separate"/>
      </w:r>
      <w:r w:rsidR="004F11CA">
        <w:rPr>
          <w:noProof/>
        </w:rPr>
        <w:t>2</w:t>
      </w:r>
      <w:r w:rsidRPr="008F2CF6">
        <w:fldChar w:fldCharType="end"/>
      </w:r>
      <w:r w:rsidRPr="008F2CF6">
        <w:t>.  Having regard to the nature of the issue decided by the Court, the importance of the Court</w:t>
      </w:r>
      <w:r>
        <w:t>’</w:t>
      </w:r>
      <w:r w:rsidRPr="008F2CF6">
        <w:t>s judgment, the large majority for finding a violation of Article 8 of the Convention and also having regard to the reasoning in the unanimous Chamber judgment, we will refrain from elaborating on our legal arguments in this case and will limit ourselves to this declaration of vote.</w:t>
      </w:r>
    </w:p>
    <w:sectPr w:rsidRPr="008F2CF6" w:rsidR="00624B85" w:rsidSect="00B70200">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9EB7E" w14:textId="77777777" w:rsidR="00E94B40" w:rsidRPr="004D0549" w:rsidRDefault="00E94B40" w:rsidP="00DC4033">
      <w:r w:rsidRPr="004D0549">
        <w:separator/>
      </w:r>
    </w:p>
  </w:endnote>
  <w:endnote w:type="continuationSeparator" w:id="0">
    <w:p w14:paraId="4715991F" w14:textId="77777777" w:rsidR="00E94B40" w:rsidRPr="004D0549" w:rsidRDefault="00E94B40" w:rsidP="00DC4033">
      <w:r w:rsidRPr="004D05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98E47" w14:textId="77777777" w:rsidR="00E94B40" w:rsidRPr="00150BFA" w:rsidRDefault="00E94B40" w:rsidP="00805CF8">
    <w:pPr>
      <w:jc w:val="center"/>
    </w:pPr>
    <w:r>
      <w:rPr>
        <w:noProof/>
        <w:lang w:val="en-US" w:eastAsia="ja-JP"/>
      </w:rPr>
      <w:drawing>
        <wp:inline distT="0" distB="0" distL="0" distR="0" wp14:anchorId="02588C31" wp14:editId="1A06F823">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6541AFA" w14:textId="77777777" w:rsidR="00E94B40" w:rsidRPr="00A737D1" w:rsidRDefault="00E94B40" w:rsidP="00A737D1">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C991" w14:textId="7B367432" w:rsidR="00E94B40" w:rsidRDefault="00E94B40" w:rsidP="003B7CD1">
    <w:pPr>
      <w:pStyle w:val="Footer0"/>
      <w:jc w:val="center"/>
    </w:pPr>
    <w:r>
      <w:rPr>
        <w:noProof/>
        <w:lang w:val="en-US" w:eastAsia="ja-JP"/>
      </w:rPr>
      <w:drawing>
        <wp:inline distT="0" distB="0" distL="0" distR="0" wp14:anchorId="7314AF07" wp14:editId="7B8B8BF6">
          <wp:extent cx="771525" cy="619125"/>
          <wp:effectExtent l="0" t="0" r="9525" b="9525"/>
          <wp:docPr id="113" name="Picture 11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A5E7C" w14:textId="77777777" w:rsidR="00E94B40" w:rsidRPr="00261BA9" w:rsidRDefault="00E94B40" w:rsidP="00261BA9">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FEBEE" w14:textId="77777777" w:rsidR="00E94B40" w:rsidRPr="004D0549" w:rsidRDefault="00E94B40" w:rsidP="00DC4033">
      <w:r w:rsidRPr="004D0549">
        <w:separator/>
      </w:r>
    </w:p>
  </w:footnote>
  <w:footnote w:type="continuationSeparator" w:id="0">
    <w:p w14:paraId="50C6AB29" w14:textId="77777777" w:rsidR="00E94B40" w:rsidRPr="004D0549" w:rsidRDefault="00E94B40" w:rsidP="00DC4033">
      <w:r w:rsidRPr="004D0549">
        <w:continuationSeparator/>
      </w:r>
    </w:p>
  </w:footnote>
  <w:footnote w:id="1">
    <w:p w14:paraId="0B8AA55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31</w:t>
      </w:r>
      <w:r>
        <w:rPr>
          <w:rFonts w:ascii="Times New Roman" w:hAnsi="Times New Roman" w:cs="Times New Roman"/>
        </w:rPr>
        <w:t>1</w:t>
      </w:r>
      <w:r w:rsidRPr="0028404F">
        <w:rPr>
          <w:rFonts w:ascii="Times New Roman" w:hAnsi="Times New Roman" w:cs="Times New Roman"/>
        </w:rPr>
        <w:t xml:space="preserve"> of this judgment: “there is no reason to consider that detailed logs and records are not kept in practice or that the FRA could proceed to changing its internal instructions arbitrarily and removing its obligation in that regard”.</w:t>
      </w:r>
    </w:p>
  </w:footnote>
  <w:footnote w:id="2">
    <w:p w14:paraId="60F64ECD"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w:t>
      </w:r>
      <w:r>
        <w:rPr>
          <w:rFonts w:ascii="Times New Roman" w:hAnsi="Times New Roman" w:cs="Times New Roman"/>
        </w:rPr>
        <w:t>300</w:t>
      </w:r>
      <w:r w:rsidRPr="0028404F">
        <w:rPr>
          <w:rFonts w:ascii="Times New Roman" w:hAnsi="Times New Roman" w:cs="Times New Roman"/>
        </w:rPr>
        <w:t xml:space="preserve"> of this judgment: “</w:t>
      </w:r>
      <w:r w:rsidRPr="00660CA0">
        <w:t>The interpretation of section 3 of the Signals Intelligence Act in the practice of the Foreign Intelligence Court has not been explained to the Court</w:t>
      </w:r>
      <w:r w:rsidRPr="0028404F">
        <w:rPr>
          <w:rFonts w:ascii="Times New Roman" w:hAnsi="Times New Roman" w:cs="Times New Roman"/>
        </w:rPr>
        <w:t xml:space="preserve"> </w:t>
      </w:r>
      <w:r>
        <w:rPr>
          <w:rFonts w:ascii="Times New Roman" w:hAnsi="Times New Roman" w:cs="Times New Roman"/>
        </w:rPr>
        <w:t>......</w:t>
      </w:r>
      <w:r w:rsidRPr="0028404F">
        <w:rPr>
          <w:rFonts w:ascii="Times New Roman" w:hAnsi="Times New Roman" w:cs="Times New Roman"/>
        </w:rPr>
        <w:t>”. I will return to this point below.</w:t>
      </w:r>
    </w:p>
  </w:footnote>
  <w:footnote w:id="3">
    <w:p w14:paraId="6439F7E5"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For </w:t>
      </w:r>
      <w:r>
        <w:rPr>
          <w:rFonts w:ascii="Times New Roman" w:hAnsi="Times New Roman" w:cs="Times New Roman"/>
        </w:rPr>
        <w:t xml:space="preserve">a </w:t>
      </w:r>
      <w:r w:rsidRPr="0028404F">
        <w:rPr>
          <w:rFonts w:ascii="Times New Roman" w:hAnsi="Times New Roman" w:cs="Times New Roman"/>
        </w:rPr>
        <w:t xml:space="preserve">critique of the Court’s </w:t>
      </w:r>
      <w:r w:rsidRPr="0028404F">
        <w:rPr>
          <w:rFonts w:ascii="Times New Roman" w:hAnsi="Times New Roman" w:cs="Times New Roman"/>
          <w:i/>
          <w:iCs/>
        </w:rPr>
        <w:t xml:space="preserve">pro </w:t>
      </w:r>
      <w:proofErr w:type="spellStart"/>
      <w:r w:rsidRPr="0028404F">
        <w:rPr>
          <w:rFonts w:ascii="Times New Roman" w:hAnsi="Times New Roman" w:cs="Times New Roman"/>
          <w:i/>
          <w:iCs/>
        </w:rPr>
        <w:t>autoritate</w:t>
      </w:r>
      <w:proofErr w:type="spellEnd"/>
      <w:r w:rsidRPr="0028404F">
        <w:rPr>
          <w:rFonts w:ascii="Times New Roman" w:hAnsi="Times New Roman" w:cs="Times New Roman"/>
        </w:rPr>
        <w:t xml:space="preserve"> regime of bulk interception</w:t>
      </w:r>
      <w:r>
        <w:rPr>
          <w:rFonts w:ascii="Times New Roman" w:hAnsi="Times New Roman" w:cs="Times New Roman"/>
        </w:rPr>
        <w:t>,</w:t>
      </w:r>
      <w:r w:rsidRPr="0028404F">
        <w:rPr>
          <w:rFonts w:ascii="Times New Roman" w:hAnsi="Times New Roman" w:cs="Times New Roman"/>
        </w:rPr>
        <w:t xml:space="preserve"> I refer to my opinion in the </w:t>
      </w:r>
      <w:r w:rsidRPr="0028404F">
        <w:rPr>
          <w:rFonts w:ascii="Times New Roman" w:hAnsi="Times New Roman" w:cs="Times New Roman"/>
          <w:i/>
          <w:iCs/>
        </w:rPr>
        <w:t>Big Brother Watch and Others</w:t>
      </w:r>
      <w:r w:rsidRPr="0028404F">
        <w:rPr>
          <w:rFonts w:ascii="Times New Roman" w:hAnsi="Times New Roman" w:cs="Times New Roman"/>
        </w:rPr>
        <w:t xml:space="preserve"> case.</w:t>
      </w:r>
    </w:p>
  </w:footnote>
  <w:footnote w:id="4">
    <w:p w14:paraId="1EE7FBD6"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23 of this judgment.</w:t>
      </w:r>
    </w:p>
  </w:footnote>
  <w:footnote w:id="5">
    <w:p w14:paraId="44B50CF2"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Ibid</w:t>
      </w:r>
      <w:r>
        <w:rPr>
          <w:rFonts w:ascii="Times New Roman" w:hAnsi="Times New Roman" w:cs="Times New Roman"/>
        </w:rPr>
        <w:t>.</w:t>
      </w:r>
    </w:p>
  </w:footnote>
  <w:footnote w:id="6">
    <w:p w14:paraId="70BE6F56"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Article 2 (b) of the UN Convention against Transnational Organized Crime defines “serious crime” as conduct punishable by a maximum deprivation of liberty of at least four years or </w:t>
      </w:r>
      <w:r>
        <w:rPr>
          <w:rFonts w:ascii="Times New Roman" w:hAnsi="Times New Roman" w:cs="Times New Roman"/>
        </w:rPr>
        <w:t xml:space="preserve">by </w:t>
      </w:r>
      <w:r w:rsidRPr="0028404F">
        <w:rPr>
          <w:rFonts w:ascii="Times New Roman" w:hAnsi="Times New Roman" w:cs="Times New Roman"/>
        </w:rPr>
        <w:t xml:space="preserve">a more serious penalty. The Explanatory Report on Recommendation </w:t>
      </w:r>
      <w:proofErr w:type="gramStart"/>
      <w:r w:rsidRPr="0028404F">
        <w:rPr>
          <w:rFonts w:ascii="Times New Roman" w:hAnsi="Times New Roman" w:cs="Times New Roman"/>
        </w:rPr>
        <w:t>Rec(</w:t>
      </w:r>
      <w:proofErr w:type="gramEnd"/>
      <w:r w:rsidRPr="0028404F">
        <w:rPr>
          <w:rFonts w:ascii="Times New Roman" w:hAnsi="Times New Roman" w:cs="Times New Roman"/>
        </w:rPr>
        <w:t xml:space="preserve">2005)10 of the Committee of Ministers </w:t>
      </w:r>
      <w:r>
        <w:rPr>
          <w:rFonts w:ascii="Times New Roman" w:hAnsi="Times New Roman" w:cs="Times New Roman"/>
        </w:rPr>
        <w:t xml:space="preserve">of the Council of Europe </w:t>
      </w:r>
      <w:r w:rsidRPr="0028404F">
        <w:rPr>
          <w:rFonts w:ascii="Times New Roman" w:hAnsi="Times New Roman" w:cs="Times New Roman"/>
        </w:rPr>
        <w:t xml:space="preserve">follows that </w:t>
      </w:r>
      <w:r>
        <w:rPr>
          <w:rFonts w:ascii="Times New Roman" w:hAnsi="Times New Roman" w:cs="Times New Roman"/>
        </w:rPr>
        <w:t>approach (see its paragraph 20)</w:t>
      </w:r>
      <w:r w:rsidRPr="0028404F">
        <w:rPr>
          <w:rFonts w:ascii="Times New Roman" w:hAnsi="Times New Roman" w:cs="Times New Roman"/>
        </w:rPr>
        <w:t>.</w:t>
      </w:r>
    </w:p>
  </w:footnote>
  <w:footnote w:id="7">
    <w:p w14:paraId="54C224C3"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23 of this judgment.</w:t>
      </w:r>
    </w:p>
  </w:footnote>
  <w:footnote w:id="8">
    <w:p w14:paraId="370923AF" w14:textId="0058F83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hyperlink r:id="rId1" w:anchor="Signal" w:history="1">
        <w:r w:rsidRPr="0028404F">
          <w:rPr>
            <w:rStyle w:val="Hyperlink"/>
            <w:rFonts w:ascii="Times New Roman" w:hAnsi="Times New Roman" w:cs="Times New Roman"/>
          </w:rPr>
          <w:t>https://www.loc.gov/law/help/foreign-intelligence-gathering/sweden.php#Signal</w:t>
        </w:r>
      </w:hyperlink>
    </w:p>
  </w:footnote>
  <w:footnote w:id="9">
    <w:p w14:paraId="74AAB80E"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 23 of this judgment</w:t>
      </w:r>
      <w:r w:rsidRPr="0028404F">
        <w:rPr>
          <w:rFonts w:ascii="Times New Roman" w:hAnsi="Times New Roman" w:cs="Times New Roman"/>
        </w:rPr>
        <w:t>.</w:t>
      </w:r>
    </w:p>
  </w:footnote>
  <w:footnote w:id="10">
    <w:p w14:paraId="5463D5DD"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Ibid.</w:t>
      </w:r>
    </w:p>
  </w:footnote>
  <w:footnote w:id="11">
    <w:p w14:paraId="151064F7"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Ibid.</w:t>
      </w:r>
    </w:p>
  </w:footnote>
  <w:footnote w:id="12">
    <w:p w14:paraId="30FE1DDD"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 xml:space="preserve">Likewise, the </w:t>
      </w:r>
      <w:r w:rsidRPr="0028404F">
        <w:rPr>
          <w:rFonts w:ascii="Times New Roman" w:hAnsi="Times New Roman" w:cs="Times New Roman"/>
        </w:rPr>
        <w:t xml:space="preserve">United Nations Human Rights Committee </w:t>
      </w:r>
      <w:r>
        <w:rPr>
          <w:rFonts w:ascii="Times New Roman" w:hAnsi="Times New Roman" w:cs="Times New Roman"/>
        </w:rPr>
        <w:t xml:space="preserve">(HRC) </w:t>
      </w:r>
      <w:r w:rsidRPr="0028404F">
        <w:rPr>
          <w:rFonts w:ascii="Times New Roman" w:hAnsi="Times New Roman" w:cs="Times New Roman"/>
        </w:rPr>
        <w:t>Concluding observations on the seventh report of Sweden, 28 April 2016, CCP</w:t>
      </w:r>
      <w:r>
        <w:rPr>
          <w:rFonts w:ascii="Times New Roman" w:hAnsi="Times New Roman" w:cs="Times New Roman"/>
        </w:rPr>
        <w:t>R</w:t>
      </w:r>
      <w:r w:rsidRPr="0028404F">
        <w:rPr>
          <w:rFonts w:ascii="Times New Roman" w:hAnsi="Times New Roman" w:cs="Times New Roman"/>
        </w:rPr>
        <w:t>/C/SWE/CO/7,</w:t>
      </w:r>
      <w:r>
        <w:rPr>
          <w:rFonts w:ascii="Times New Roman" w:hAnsi="Times New Roman" w:cs="Times New Roman"/>
        </w:rPr>
        <w:t xml:space="preserve"> § 36, expressed c</w:t>
      </w:r>
      <w:r w:rsidRPr="005157B6">
        <w:rPr>
          <w:rFonts w:ascii="Times New Roman" w:hAnsi="Times New Roman" w:cs="Times New Roman"/>
        </w:rPr>
        <w:t>oncern</w:t>
      </w:r>
      <w:r>
        <w:rPr>
          <w:rFonts w:ascii="Times New Roman" w:hAnsi="Times New Roman" w:cs="Times New Roman"/>
        </w:rPr>
        <w:t xml:space="preserve"> </w:t>
      </w:r>
      <w:r w:rsidRPr="005157B6">
        <w:rPr>
          <w:rFonts w:ascii="Times New Roman" w:hAnsi="Times New Roman" w:cs="Times New Roman"/>
        </w:rPr>
        <w:t xml:space="preserve">about </w:t>
      </w:r>
      <w:r>
        <w:rPr>
          <w:rFonts w:ascii="Times New Roman" w:hAnsi="Times New Roman" w:cs="Times New Roman"/>
        </w:rPr>
        <w:t>“</w:t>
      </w:r>
      <w:r w:rsidRPr="005157B6">
        <w:rPr>
          <w:rFonts w:ascii="Times New Roman" w:hAnsi="Times New Roman" w:cs="Times New Roman"/>
        </w:rPr>
        <w:t>the limited degree of transparency with regard to the scope of surveillance</w:t>
      </w:r>
      <w:r>
        <w:rPr>
          <w:rFonts w:ascii="Times New Roman" w:hAnsi="Times New Roman" w:cs="Times New Roman"/>
        </w:rPr>
        <w:t xml:space="preserve"> </w:t>
      </w:r>
      <w:r w:rsidRPr="005157B6">
        <w:rPr>
          <w:rFonts w:ascii="Times New Roman" w:hAnsi="Times New Roman" w:cs="Times New Roman"/>
        </w:rPr>
        <w:t>powers and the safeguards on their application</w:t>
      </w:r>
      <w:r>
        <w:rPr>
          <w:rFonts w:ascii="Times New Roman" w:hAnsi="Times New Roman" w:cs="Times New Roman"/>
        </w:rPr>
        <w:t xml:space="preserve">”. </w:t>
      </w:r>
      <w:r w:rsidRPr="0028404F">
        <w:rPr>
          <w:rFonts w:ascii="Times New Roman" w:hAnsi="Times New Roman" w:cs="Times New Roman"/>
        </w:rPr>
        <w:t xml:space="preserve">I </w:t>
      </w:r>
      <w:r>
        <w:rPr>
          <w:rFonts w:ascii="Times New Roman" w:hAnsi="Times New Roman" w:cs="Times New Roman"/>
        </w:rPr>
        <w:t xml:space="preserve">would point out </w:t>
      </w:r>
      <w:r w:rsidRPr="0028404F">
        <w:rPr>
          <w:rFonts w:ascii="Times New Roman" w:hAnsi="Times New Roman" w:cs="Times New Roman"/>
        </w:rPr>
        <w:t xml:space="preserve">that the UN Special Rapporteur on the promotion and protection of human rights and fundamental freedoms while countering terrorism, 22 February 2016, A/HRC/31/65, </w:t>
      </w:r>
      <w:r>
        <w:rPr>
          <w:rFonts w:ascii="Times New Roman" w:hAnsi="Times New Roman" w:cs="Times New Roman"/>
        </w:rPr>
        <w:t xml:space="preserve">§ 43, </w:t>
      </w:r>
      <w:r w:rsidRPr="0028404F">
        <w:rPr>
          <w:rFonts w:ascii="Times New Roman" w:hAnsi="Times New Roman" w:cs="Times New Roman"/>
        </w:rPr>
        <w:t>was of the opinion that “effective strategies should not be based on pre- or mis-conceptions about the groups that are most susceptible to radicalisation or violent extremism, but should be developed in reliance on evidence to ensure a proper understanding of the national and local issues that impact on the radicalisation process.”</w:t>
      </w:r>
    </w:p>
  </w:footnote>
  <w:footnote w:id="13">
    <w:p w14:paraId="1FCC81BA"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24 of this judgment.</w:t>
      </w:r>
    </w:p>
  </w:footnote>
  <w:footnote w:id="14">
    <w:p w14:paraId="03997944"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As concluded by the report of the Signals Intelligence Committee (</w:t>
      </w:r>
      <w:r>
        <w:rPr>
          <w:rFonts w:ascii="Times New Roman" w:hAnsi="Times New Roman" w:cs="Times New Roman"/>
        </w:rPr>
        <w:t>in paragraph </w:t>
      </w:r>
      <w:r w:rsidRPr="0028404F">
        <w:rPr>
          <w:rFonts w:ascii="Times New Roman" w:hAnsi="Times New Roman" w:cs="Times New Roman"/>
        </w:rPr>
        <w:t>7</w:t>
      </w:r>
      <w:r>
        <w:rPr>
          <w:rFonts w:ascii="Times New Roman" w:hAnsi="Times New Roman" w:cs="Times New Roman"/>
        </w:rPr>
        <w:t>9</w:t>
      </w:r>
      <w:r w:rsidRPr="0028404F">
        <w:rPr>
          <w:rFonts w:ascii="Times New Roman" w:hAnsi="Times New Roman" w:cs="Times New Roman"/>
        </w:rPr>
        <w:t xml:space="preserve"> of this judgment). </w:t>
      </w:r>
    </w:p>
  </w:footnote>
  <w:footnote w:id="15">
    <w:p w14:paraId="31CDDE20"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29</w:t>
      </w:r>
      <w:r>
        <w:rPr>
          <w:rFonts w:ascii="Times New Roman" w:hAnsi="Times New Roman" w:cs="Times New Roman"/>
        </w:rPr>
        <w:t>2</w:t>
      </w:r>
      <w:r w:rsidRPr="0028404F">
        <w:rPr>
          <w:rFonts w:ascii="Times New Roman" w:hAnsi="Times New Roman" w:cs="Times New Roman"/>
        </w:rPr>
        <w:t xml:space="preserve"> of this judgment.</w:t>
      </w:r>
    </w:p>
  </w:footnote>
  <w:footnote w:id="16">
    <w:p w14:paraId="41CF42D9"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Government’s pleadings during the Grand Chamber hearing on 10 July 2019.</w:t>
      </w:r>
    </w:p>
  </w:footnote>
  <w:footnote w:id="17">
    <w:p w14:paraId="474454C6"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See the reference to the FII’s position in the applicant’s observations before the Grand Chamber of 3 May 2019, p. 24, not disputed by the Government. </w:t>
      </w:r>
    </w:p>
  </w:footnote>
  <w:footnote w:id="18">
    <w:p w14:paraId="237516E2"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See the </w:t>
      </w:r>
      <w:r>
        <w:rPr>
          <w:rFonts w:ascii="Times New Roman" w:hAnsi="Times New Roman" w:cs="Times New Roman"/>
        </w:rPr>
        <w:t xml:space="preserve">Venice Commission </w:t>
      </w:r>
      <w:r w:rsidRPr="0028404F">
        <w:rPr>
          <w:rFonts w:ascii="Times New Roman" w:hAnsi="Times New Roman" w:cs="Times New Roman"/>
        </w:rPr>
        <w:t>Report on the democratic oversight of signals intelligence agencies, 2015, p. 33.</w:t>
      </w:r>
    </w:p>
  </w:footnote>
  <w:footnote w:id="19">
    <w:p w14:paraId="5DFBA59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It is beyond my understanding that the majority reproach the FII (which is not a court) for not delivering public decisions but are ready to accept that the FIC (which is a court) does not deliver public decisions (compare and contrast </w:t>
      </w:r>
      <w:r>
        <w:rPr>
          <w:rFonts w:ascii="Times New Roman" w:hAnsi="Times New Roman" w:cs="Times New Roman"/>
        </w:rPr>
        <w:t>paragraphs</w:t>
      </w:r>
      <w:r w:rsidRPr="0028404F">
        <w:rPr>
          <w:rFonts w:ascii="Times New Roman" w:hAnsi="Times New Roman" w:cs="Times New Roman"/>
        </w:rPr>
        <w:t xml:space="preserve"> 29</w:t>
      </w:r>
      <w:r>
        <w:rPr>
          <w:rFonts w:ascii="Times New Roman" w:hAnsi="Times New Roman" w:cs="Times New Roman"/>
        </w:rPr>
        <w:t>7</w:t>
      </w:r>
      <w:r w:rsidRPr="0028404F">
        <w:rPr>
          <w:rFonts w:ascii="Times New Roman" w:hAnsi="Times New Roman" w:cs="Times New Roman"/>
        </w:rPr>
        <w:t xml:space="preserve"> and </w:t>
      </w:r>
      <w:r w:rsidRPr="00C074AF">
        <w:rPr>
          <w:rFonts w:ascii="Times New Roman" w:hAnsi="Times New Roman" w:cs="Times New Roman"/>
        </w:rPr>
        <w:t>37</w:t>
      </w:r>
      <w:r w:rsidRPr="00113100">
        <w:rPr>
          <w:rFonts w:ascii="Times New Roman" w:hAnsi="Times New Roman" w:cs="Times New Roman"/>
        </w:rPr>
        <w:t>2</w:t>
      </w:r>
      <w:r w:rsidRPr="0028404F">
        <w:rPr>
          <w:rFonts w:ascii="Times New Roman" w:hAnsi="Times New Roman" w:cs="Times New Roman"/>
        </w:rPr>
        <w:t xml:space="preserve"> of this judgment).  </w:t>
      </w:r>
    </w:p>
  </w:footnote>
  <w:footnote w:id="20">
    <w:p w14:paraId="1A0D0C6B" w14:textId="77777777" w:rsidR="00E94B40" w:rsidRPr="005157B6"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Venice Commission considered it a “hybrid body” (</w:t>
      </w:r>
      <w:r>
        <w:rPr>
          <w:rFonts w:ascii="Times New Roman" w:hAnsi="Times New Roman" w:cs="Times New Roman"/>
        </w:rPr>
        <w:t xml:space="preserve">Venice Commission </w:t>
      </w:r>
      <w:r w:rsidRPr="0028404F">
        <w:rPr>
          <w:rFonts w:ascii="Times New Roman" w:hAnsi="Times New Roman" w:cs="Times New Roman"/>
        </w:rPr>
        <w:t>Report</w:t>
      </w:r>
      <w:r>
        <w:rPr>
          <w:rFonts w:ascii="Times New Roman" w:hAnsi="Times New Roman" w:cs="Times New Roman"/>
        </w:rPr>
        <w:t xml:space="preserve">, cited above, </w:t>
      </w:r>
      <w:r w:rsidRPr="0028404F">
        <w:rPr>
          <w:rFonts w:ascii="Times New Roman" w:hAnsi="Times New Roman" w:cs="Times New Roman"/>
        </w:rPr>
        <w:t>p. 33</w:t>
      </w:r>
      <w:r>
        <w:rPr>
          <w:rFonts w:ascii="Times New Roman" w:hAnsi="Times New Roman" w:cs="Times New Roman"/>
        </w:rPr>
        <w:t>)</w:t>
      </w:r>
      <w:r w:rsidRPr="0028404F">
        <w:rPr>
          <w:rFonts w:ascii="Times New Roman" w:hAnsi="Times New Roman" w:cs="Times New Roman"/>
        </w:rPr>
        <w:t xml:space="preserve">. </w:t>
      </w:r>
      <w:r>
        <w:rPr>
          <w:rFonts w:ascii="Times New Roman" w:hAnsi="Times New Roman" w:cs="Times New Roman"/>
        </w:rPr>
        <w:t>That is why the HRC asked the Swedish State to ensure that “</w:t>
      </w:r>
      <w:r w:rsidRPr="005157B6">
        <w:rPr>
          <w:rFonts w:ascii="Times New Roman" w:hAnsi="Times New Roman" w:cs="Times New Roman"/>
        </w:rPr>
        <w:t>effective</w:t>
      </w:r>
      <w:r>
        <w:rPr>
          <w:rFonts w:ascii="Times New Roman" w:hAnsi="Times New Roman" w:cs="Times New Roman"/>
        </w:rPr>
        <w:t xml:space="preserve"> </w:t>
      </w:r>
      <w:r w:rsidRPr="005157B6">
        <w:rPr>
          <w:rFonts w:ascii="Times New Roman" w:hAnsi="Times New Roman" w:cs="Times New Roman"/>
        </w:rPr>
        <w:t>and independent oversight mechanisms over intelligence-sharing of personal data are</w:t>
      </w:r>
      <w:r>
        <w:rPr>
          <w:rFonts w:ascii="Times New Roman" w:hAnsi="Times New Roman" w:cs="Times New Roman"/>
        </w:rPr>
        <w:t xml:space="preserve"> </w:t>
      </w:r>
      <w:r w:rsidRPr="005157B6">
        <w:rPr>
          <w:rFonts w:ascii="Times New Roman" w:hAnsi="Times New Roman" w:cs="Times New Roman"/>
        </w:rPr>
        <w:t>put in place</w:t>
      </w:r>
      <w:r>
        <w:rPr>
          <w:rFonts w:ascii="Times New Roman" w:hAnsi="Times New Roman" w:cs="Times New Roman"/>
        </w:rPr>
        <w:t>” (</w:t>
      </w:r>
      <w:r w:rsidRPr="0028404F">
        <w:rPr>
          <w:rFonts w:ascii="Times New Roman" w:hAnsi="Times New Roman" w:cs="Times New Roman"/>
        </w:rPr>
        <w:t>United Nations Human Rights Committee Concluding observations</w:t>
      </w:r>
      <w:r>
        <w:rPr>
          <w:rFonts w:ascii="Times New Roman" w:hAnsi="Times New Roman" w:cs="Times New Roman"/>
        </w:rPr>
        <w:t>, cited above, § 37).</w:t>
      </w:r>
      <w:r w:rsidRPr="000F5F6C">
        <w:rPr>
          <w:rFonts w:ascii="Times New Roman" w:hAnsi="Times New Roman" w:cs="Times New Roman"/>
        </w:rPr>
        <w:t xml:space="preserve"> </w:t>
      </w:r>
      <w:r w:rsidRPr="0028404F">
        <w:rPr>
          <w:rFonts w:ascii="Times New Roman" w:hAnsi="Times New Roman" w:cs="Times New Roman"/>
        </w:rPr>
        <w:t>This is not an isolated case in Europe. The E</w:t>
      </w:r>
      <w:r>
        <w:rPr>
          <w:rFonts w:ascii="Times New Roman" w:hAnsi="Times New Roman" w:cs="Times New Roman"/>
        </w:rPr>
        <w:t>uropean Union’s</w:t>
      </w:r>
      <w:r w:rsidRPr="0028404F">
        <w:rPr>
          <w:rFonts w:ascii="Times New Roman" w:hAnsi="Times New Roman" w:cs="Times New Roman"/>
        </w:rPr>
        <w:t xml:space="preserve"> Fundamental Rights Agency </w:t>
      </w:r>
      <w:r>
        <w:rPr>
          <w:rFonts w:ascii="Times New Roman" w:hAnsi="Times New Roman" w:cs="Times New Roman"/>
        </w:rPr>
        <w:t xml:space="preserve">(FRA of the EU) </w:t>
      </w:r>
      <w:r w:rsidRPr="0028404F">
        <w:rPr>
          <w:rFonts w:ascii="Times New Roman" w:hAnsi="Times New Roman" w:cs="Times New Roman"/>
        </w:rPr>
        <w:t>identified the following shortcomings</w:t>
      </w:r>
      <w:r>
        <w:rPr>
          <w:rFonts w:ascii="Times New Roman" w:hAnsi="Times New Roman" w:cs="Times New Roman"/>
        </w:rPr>
        <w:t xml:space="preserve"> in the EU states</w:t>
      </w:r>
      <w:r w:rsidRPr="0028404F">
        <w:rPr>
          <w:rFonts w:ascii="Times New Roman" w:hAnsi="Times New Roman" w:cs="Times New Roman"/>
        </w:rPr>
        <w:t>: “</w:t>
      </w:r>
      <w:r w:rsidRPr="0028404F">
        <w:rPr>
          <w:rFonts w:ascii="Times New Roman" w:hAnsi="Times New Roman" w:cs="Times New Roman"/>
          <w:color w:val="000000"/>
        </w:rPr>
        <w:t>the findings also identified limits to full independence, with some oversight bodies remaining strongly dependent on the executive: the law does not grant them binding decision-making powers, they have limited staff and budget, or their offices are located in government buildings.</w:t>
      </w:r>
      <w:r w:rsidRPr="0028404F">
        <w:rPr>
          <w:rFonts w:ascii="Times New Roman" w:hAnsi="Times New Roman" w:cs="Times New Roman"/>
        </w:rPr>
        <w:t>” (</w:t>
      </w:r>
      <w:r>
        <w:rPr>
          <w:rFonts w:ascii="Times New Roman" w:hAnsi="Times New Roman" w:cs="Times New Roman"/>
        </w:rPr>
        <w:t xml:space="preserve">FRA, </w:t>
      </w:r>
      <w:r w:rsidRPr="0028404F">
        <w:rPr>
          <w:rFonts w:ascii="Times New Roman" w:hAnsi="Times New Roman" w:cs="Times New Roman"/>
        </w:rPr>
        <w:t>Surveillance by intelligence services: fundamental rights safeguards and remedies in the EU, volume II: Field perspectives and legal updates, 2017, p. 11)</w:t>
      </w:r>
      <w:r>
        <w:rPr>
          <w:rFonts w:ascii="Times New Roman" w:hAnsi="Times New Roman" w:cs="Times New Roman"/>
        </w:rPr>
        <w:t>.</w:t>
      </w:r>
    </w:p>
  </w:footnote>
  <w:footnote w:id="21">
    <w:p w14:paraId="01A227F0"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majority neglect the importance of this </w:t>
      </w:r>
      <w:r>
        <w:rPr>
          <w:rFonts w:ascii="Times New Roman" w:hAnsi="Times New Roman" w:cs="Times New Roman"/>
        </w:rPr>
        <w:t>flaw</w:t>
      </w:r>
      <w:r w:rsidRPr="0028404F">
        <w:rPr>
          <w:rFonts w:ascii="Times New Roman" w:hAnsi="Times New Roman" w:cs="Times New Roman"/>
        </w:rPr>
        <w:t>, confusing the “existence of supervision mechanisms” with the provision of a specific substantive guarantee that mandates the cessation of unnecessary interception measures (</w:t>
      </w:r>
      <w:r>
        <w:rPr>
          <w:rFonts w:ascii="Times New Roman" w:hAnsi="Times New Roman" w:cs="Times New Roman"/>
        </w:rPr>
        <w:t xml:space="preserve">see </w:t>
      </w:r>
      <w:r w:rsidRPr="00AB4D0F">
        <w:rPr>
          <w:rFonts w:ascii="Times New Roman" w:hAnsi="Times New Roman" w:cs="Times New Roman"/>
        </w:rPr>
        <w:t>paragraph 336</w:t>
      </w:r>
      <w:r w:rsidRPr="0028404F">
        <w:rPr>
          <w:rFonts w:ascii="Times New Roman" w:hAnsi="Times New Roman" w:cs="Times New Roman"/>
        </w:rPr>
        <w:t xml:space="preserve"> of this judgment).   </w:t>
      </w:r>
    </w:p>
  </w:footnote>
  <w:footnote w:id="22">
    <w:p w14:paraId="44E2C51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majority consider the rules pertaining to the destruction of intercepted material containing personal data sufficiently </w:t>
      </w:r>
      <w:proofErr w:type="gramStart"/>
      <w:r w:rsidRPr="0028404F">
        <w:rPr>
          <w:rFonts w:ascii="Times New Roman" w:hAnsi="Times New Roman" w:cs="Times New Roman"/>
        </w:rPr>
        <w:t>clear“</w:t>
      </w:r>
      <w:r>
        <w:rPr>
          <w:rFonts w:ascii="Times New Roman" w:hAnsi="Times New Roman" w:cs="Times New Roman"/>
        </w:rPr>
        <w:t xml:space="preserve"> </w:t>
      </w:r>
      <w:r w:rsidRPr="0028404F">
        <w:rPr>
          <w:rFonts w:ascii="Times New Roman" w:hAnsi="Times New Roman" w:cs="Times New Roman"/>
        </w:rPr>
        <w:t>as</w:t>
      </w:r>
      <w:proofErr w:type="gramEnd"/>
      <w:r w:rsidRPr="0028404F">
        <w:rPr>
          <w:rFonts w:ascii="Times New Roman" w:hAnsi="Times New Roman" w:cs="Times New Roman"/>
        </w:rPr>
        <w:t xml:space="preserve"> a whole”, ignoring the regulatory omission regarding material which does not contain personal data (</w:t>
      </w:r>
      <w:r>
        <w:rPr>
          <w:rFonts w:ascii="Times New Roman" w:hAnsi="Times New Roman" w:cs="Times New Roman"/>
        </w:rPr>
        <w:t>see paragraph </w:t>
      </w:r>
      <w:r w:rsidRPr="0028404F">
        <w:rPr>
          <w:rFonts w:ascii="Times New Roman" w:hAnsi="Times New Roman" w:cs="Times New Roman"/>
        </w:rPr>
        <w:t xml:space="preserve"> 3</w:t>
      </w:r>
      <w:r>
        <w:rPr>
          <w:rFonts w:ascii="Times New Roman" w:hAnsi="Times New Roman" w:cs="Times New Roman"/>
        </w:rPr>
        <w:t>44</w:t>
      </w:r>
      <w:r w:rsidRPr="0028404F">
        <w:rPr>
          <w:rFonts w:ascii="Times New Roman" w:hAnsi="Times New Roman" w:cs="Times New Roman"/>
        </w:rPr>
        <w:t xml:space="preserve"> of this judgment).</w:t>
      </w:r>
    </w:p>
  </w:footnote>
  <w:footnote w:id="23">
    <w:p w14:paraId="4AB06903"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I find it puzzling that the majority </w:t>
      </w:r>
      <w:r>
        <w:rPr>
          <w:rFonts w:ascii="Times New Roman" w:hAnsi="Times New Roman" w:cs="Times New Roman"/>
        </w:rPr>
        <w:t xml:space="preserve">are </w:t>
      </w:r>
      <w:r w:rsidRPr="0028404F">
        <w:rPr>
          <w:rFonts w:ascii="Times New Roman" w:hAnsi="Times New Roman" w:cs="Times New Roman"/>
        </w:rPr>
        <w:t>willing to accept that the “exceptional importance standard” for the authorisation of strong selectors is “capable of providing relevant enhanced protection” when they have no clue about how the FIC applies this standard (</w:t>
      </w:r>
      <w:r>
        <w:rPr>
          <w:rFonts w:ascii="Times New Roman" w:hAnsi="Times New Roman" w:cs="Times New Roman"/>
        </w:rPr>
        <w:t>see paragraph</w:t>
      </w:r>
      <w:r w:rsidRPr="0028404F">
        <w:rPr>
          <w:rFonts w:ascii="Times New Roman" w:hAnsi="Times New Roman" w:cs="Times New Roman"/>
        </w:rPr>
        <w:t xml:space="preserve"> </w:t>
      </w:r>
      <w:r>
        <w:rPr>
          <w:rFonts w:ascii="Times New Roman" w:hAnsi="Times New Roman" w:cs="Times New Roman"/>
        </w:rPr>
        <w:t>300</w:t>
      </w:r>
      <w:r w:rsidRPr="0028404F">
        <w:rPr>
          <w:rFonts w:ascii="Times New Roman" w:hAnsi="Times New Roman" w:cs="Times New Roman"/>
        </w:rPr>
        <w:t xml:space="preserve"> of this judgment). This </w:t>
      </w:r>
      <w:r>
        <w:rPr>
          <w:rFonts w:ascii="Times New Roman" w:hAnsi="Times New Roman" w:cs="Times New Roman"/>
        </w:rPr>
        <w:t xml:space="preserve">amounts to </w:t>
      </w:r>
      <w:r w:rsidRPr="0028404F">
        <w:rPr>
          <w:rFonts w:ascii="Times New Roman" w:hAnsi="Times New Roman" w:cs="Times New Roman"/>
        </w:rPr>
        <w:t>a blan</w:t>
      </w:r>
      <w:r>
        <w:rPr>
          <w:rFonts w:ascii="Times New Roman" w:hAnsi="Times New Roman" w:cs="Times New Roman"/>
        </w:rPr>
        <w:t>k</w:t>
      </w:r>
      <w:r w:rsidRPr="0028404F">
        <w:rPr>
          <w:rFonts w:ascii="Times New Roman" w:hAnsi="Times New Roman" w:cs="Times New Roman"/>
        </w:rPr>
        <w:t xml:space="preserve"> che</w:t>
      </w:r>
      <w:r>
        <w:rPr>
          <w:rFonts w:ascii="Times New Roman" w:hAnsi="Times New Roman" w:cs="Times New Roman"/>
        </w:rPr>
        <w:t xml:space="preserve">que for </w:t>
      </w:r>
      <w:r w:rsidRPr="0028404F">
        <w:rPr>
          <w:rFonts w:ascii="Times New Roman" w:hAnsi="Times New Roman" w:cs="Times New Roman"/>
        </w:rPr>
        <w:t xml:space="preserve">the FIC and to the Government.  </w:t>
      </w:r>
    </w:p>
  </w:footnote>
  <w:footnote w:id="24">
    <w:p w14:paraId="6CB972FA"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majority rightly acknowledge this, admitting that “it may be difficult” to appreciate the proportionality aspect when only categories of selectors are specified in </w:t>
      </w:r>
      <w:r>
        <w:rPr>
          <w:rFonts w:ascii="Times New Roman" w:hAnsi="Times New Roman" w:cs="Times New Roman"/>
        </w:rPr>
        <w:t xml:space="preserve">the </w:t>
      </w:r>
      <w:r w:rsidRPr="0028404F">
        <w:rPr>
          <w:rFonts w:ascii="Times New Roman" w:hAnsi="Times New Roman" w:cs="Times New Roman"/>
        </w:rPr>
        <w:t>FRA’s request for a permit (</w:t>
      </w:r>
      <w:r>
        <w:rPr>
          <w:rFonts w:ascii="Times New Roman" w:hAnsi="Times New Roman" w:cs="Times New Roman"/>
        </w:rPr>
        <w:t>see paragraph</w:t>
      </w:r>
      <w:r w:rsidRPr="0028404F">
        <w:rPr>
          <w:rFonts w:ascii="Times New Roman" w:hAnsi="Times New Roman" w:cs="Times New Roman"/>
        </w:rPr>
        <w:t xml:space="preserve"> 30</w:t>
      </w:r>
      <w:r>
        <w:rPr>
          <w:rFonts w:ascii="Times New Roman" w:hAnsi="Times New Roman" w:cs="Times New Roman"/>
        </w:rPr>
        <w:t>1</w:t>
      </w:r>
      <w:r w:rsidRPr="0028404F">
        <w:rPr>
          <w:rFonts w:ascii="Times New Roman" w:hAnsi="Times New Roman" w:cs="Times New Roman"/>
        </w:rPr>
        <w:t xml:space="preserve"> of this judgment). That is precisely why bulk interception based on categories of selectors should not be admissible (see my separate opinion in </w:t>
      </w:r>
      <w:r w:rsidRPr="0028404F">
        <w:rPr>
          <w:rFonts w:ascii="Times New Roman" w:hAnsi="Times New Roman" w:cs="Times New Roman"/>
          <w:i/>
          <w:iCs/>
        </w:rPr>
        <w:t>Big Brother Watch and Others</w:t>
      </w:r>
      <w:r w:rsidRPr="0028404F">
        <w:rPr>
          <w:rFonts w:ascii="Times New Roman" w:hAnsi="Times New Roman" w:cs="Times New Roman"/>
        </w:rPr>
        <w:t xml:space="preserve">, cited above). </w:t>
      </w:r>
    </w:p>
  </w:footnote>
  <w:footnote w:id="25">
    <w:p w14:paraId="217CC753"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As concluded by the report of the Signals Intelligence Committee (</w:t>
      </w:r>
      <w:r>
        <w:rPr>
          <w:rFonts w:ascii="Times New Roman" w:hAnsi="Times New Roman" w:cs="Times New Roman"/>
        </w:rPr>
        <w:t>see paragraph</w:t>
      </w:r>
      <w:r w:rsidRPr="0028404F">
        <w:rPr>
          <w:rFonts w:ascii="Times New Roman" w:hAnsi="Times New Roman" w:cs="Times New Roman"/>
        </w:rPr>
        <w:t xml:space="preserve"> 7</w:t>
      </w:r>
      <w:r>
        <w:rPr>
          <w:rFonts w:ascii="Times New Roman" w:hAnsi="Times New Roman" w:cs="Times New Roman"/>
        </w:rPr>
        <w:t>8</w:t>
      </w:r>
      <w:r w:rsidRPr="0028404F">
        <w:rPr>
          <w:rFonts w:ascii="Times New Roman" w:hAnsi="Times New Roman" w:cs="Times New Roman"/>
        </w:rPr>
        <w:t xml:space="preserve"> of this judgment) and acknowledged by the Government (</w:t>
      </w:r>
      <w:r>
        <w:rPr>
          <w:rFonts w:ascii="Times New Roman" w:hAnsi="Times New Roman" w:cs="Times New Roman"/>
        </w:rPr>
        <w:t>see paragraph</w:t>
      </w:r>
      <w:r w:rsidRPr="0028404F">
        <w:rPr>
          <w:rFonts w:ascii="Times New Roman" w:hAnsi="Times New Roman" w:cs="Times New Roman"/>
        </w:rPr>
        <w:t xml:space="preserve"> 2</w:t>
      </w:r>
      <w:r>
        <w:rPr>
          <w:rFonts w:ascii="Times New Roman" w:hAnsi="Times New Roman" w:cs="Times New Roman"/>
        </w:rPr>
        <w:t>20</w:t>
      </w:r>
      <w:r w:rsidRPr="0028404F">
        <w:rPr>
          <w:rFonts w:ascii="Times New Roman" w:hAnsi="Times New Roman" w:cs="Times New Roman"/>
        </w:rPr>
        <w:t xml:space="preserve"> of this judgment).</w:t>
      </w:r>
    </w:p>
  </w:footnote>
  <w:footnote w:id="26">
    <w:p w14:paraId="4AF78136"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Venice Commission considered </w:t>
      </w:r>
      <w:r>
        <w:rPr>
          <w:rFonts w:ascii="Times New Roman" w:hAnsi="Times New Roman" w:cs="Times New Roman"/>
        </w:rPr>
        <w:t xml:space="preserve">the FII a </w:t>
      </w:r>
      <w:r w:rsidRPr="0028404F">
        <w:rPr>
          <w:rFonts w:ascii="Times New Roman" w:hAnsi="Times New Roman" w:cs="Times New Roman"/>
        </w:rPr>
        <w:t xml:space="preserve">“hybrid body”, just </w:t>
      </w:r>
      <w:r>
        <w:rPr>
          <w:rFonts w:ascii="Times New Roman" w:hAnsi="Times New Roman" w:cs="Times New Roman"/>
        </w:rPr>
        <w:t xml:space="preserve">as it did regarding </w:t>
      </w:r>
      <w:r w:rsidRPr="0028404F">
        <w:rPr>
          <w:rFonts w:ascii="Times New Roman" w:hAnsi="Times New Roman" w:cs="Times New Roman"/>
        </w:rPr>
        <w:t>the FIC (</w:t>
      </w:r>
      <w:r>
        <w:rPr>
          <w:rFonts w:ascii="Times New Roman" w:hAnsi="Times New Roman" w:cs="Times New Roman"/>
        </w:rPr>
        <w:t xml:space="preserve">Venice Commission report, cited above, </w:t>
      </w:r>
      <w:r w:rsidRPr="0028404F">
        <w:rPr>
          <w:rFonts w:ascii="Times New Roman" w:hAnsi="Times New Roman" w:cs="Times New Roman"/>
        </w:rPr>
        <w:t xml:space="preserve">p. 33). </w:t>
      </w:r>
    </w:p>
  </w:footnote>
  <w:footnote w:id="27">
    <w:p w14:paraId="1424C817"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As the Government admitted in the Grand Chamber hearing on 10 July 2019.</w:t>
      </w:r>
    </w:p>
  </w:footnote>
  <w:footnote w:id="28">
    <w:p w14:paraId="621CDB2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As described by the Venice Commission report, cited above, p. 33.</w:t>
      </w:r>
    </w:p>
  </w:footnote>
  <w:footnote w:id="29">
    <w:p w14:paraId="0810DF09"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5</w:t>
      </w:r>
      <w:r>
        <w:rPr>
          <w:rFonts w:ascii="Times New Roman" w:hAnsi="Times New Roman" w:cs="Times New Roman"/>
        </w:rPr>
        <w:t>7</w:t>
      </w:r>
      <w:r w:rsidRPr="0028404F">
        <w:rPr>
          <w:rFonts w:ascii="Times New Roman" w:hAnsi="Times New Roman" w:cs="Times New Roman"/>
        </w:rPr>
        <w:t xml:space="preserve"> of this judgment.</w:t>
      </w:r>
    </w:p>
  </w:footnote>
  <w:footnote w:id="30">
    <w:p w14:paraId="0A490AA7"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7</w:t>
      </w:r>
      <w:r>
        <w:rPr>
          <w:rFonts w:ascii="Times New Roman" w:hAnsi="Times New Roman" w:cs="Times New Roman"/>
        </w:rPr>
        <w:t>6</w:t>
      </w:r>
      <w:r w:rsidRPr="0028404F">
        <w:rPr>
          <w:rFonts w:ascii="Times New Roman" w:hAnsi="Times New Roman" w:cs="Times New Roman"/>
        </w:rPr>
        <w:t xml:space="preserve"> of this judgment.</w:t>
      </w:r>
    </w:p>
  </w:footnote>
  <w:footnote w:id="31">
    <w:p w14:paraId="2F2A6CD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The </w:t>
      </w:r>
      <w:r>
        <w:rPr>
          <w:rFonts w:ascii="Times New Roman" w:hAnsi="Times New Roman" w:cs="Times New Roman"/>
        </w:rPr>
        <w:t>FRA</w:t>
      </w:r>
      <w:r w:rsidRPr="0028404F">
        <w:rPr>
          <w:rFonts w:ascii="Times New Roman" w:hAnsi="Times New Roman" w:cs="Times New Roman"/>
        </w:rPr>
        <w:t xml:space="preserve"> </w:t>
      </w:r>
      <w:r>
        <w:rPr>
          <w:rFonts w:ascii="Times New Roman" w:hAnsi="Times New Roman" w:cs="Times New Roman"/>
        </w:rPr>
        <w:t xml:space="preserve">of the EU </w:t>
      </w:r>
      <w:r w:rsidRPr="0028404F">
        <w:rPr>
          <w:rFonts w:ascii="Times New Roman" w:hAnsi="Times New Roman" w:cs="Times New Roman"/>
        </w:rPr>
        <w:t>has emphasised that the effectiveness of remedies depends on the capacity to issue legally binding decisions, which at a minimum should include the power to order termination of the surveillance, destruction of unlawfully collected data and payment of the appropriate compensation (</w:t>
      </w:r>
      <w:r>
        <w:rPr>
          <w:rFonts w:ascii="Times New Roman" w:hAnsi="Times New Roman" w:cs="Times New Roman"/>
        </w:rPr>
        <w:t xml:space="preserve">FRA, </w:t>
      </w:r>
      <w:r w:rsidRPr="0028404F">
        <w:rPr>
          <w:rFonts w:ascii="Times New Roman" w:hAnsi="Times New Roman" w:cs="Times New Roman"/>
        </w:rPr>
        <w:t>Surveillance by intelligence services, cited above, p. 114).</w:t>
      </w:r>
    </w:p>
  </w:footnote>
  <w:footnote w:id="32">
    <w:p w14:paraId="099ECC47"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paragraphs</w:t>
      </w:r>
      <w:r w:rsidRPr="0028404F">
        <w:rPr>
          <w:rFonts w:ascii="Times New Roman" w:hAnsi="Times New Roman" w:cs="Times New Roman"/>
        </w:rPr>
        <w:t xml:space="preserve"> </w:t>
      </w:r>
      <w:r>
        <w:rPr>
          <w:rFonts w:ascii="Times New Roman" w:hAnsi="Times New Roman" w:cs="Times New Roman"/>
        </w:rPr>
        <w:t xml:space="preserve">60 </w:t>
      </w:r>
      <w:r w:rsidRPr="0028404F">
        <w:rPr>
          <w:rFonts w:ascii="Times New Roman" w:hAnsi="Times New Roman" w:cs="Times New Roman"/>
        </w:rPr>
        <w:t xml:space="preserve">and </w:t>
      </w:r>
      <w:r>
        <w:rPr>
          <w:rFonts w:ascii="Times New Roman" w:hAnsi="Times New Roman" w:cs="Times New Roman"/>
        </w:rPr>
        <w:t>80</w:t>
      </w:r>
      <w:r w:rsidRPr="0028404F">
        <w:rPr>
          <w:rFonts w:ascii="Times New Roman" w:hAnsi="Times New Roman" w:cs="Times New Roman"/>
        </w:rPr>
        <w:t xml:space="preserve"> of this judgment.</w:t>
      </w:r>
      <w:r>
        <w:rPr>
          <w:rFonts w:ascii="Times New Roman" w:hAnsi="Times New Roman" w:cs="Times New Roman"/>
        </w:rPr>
        <w:t xml:space="preserve"> In fact, the HRC asked the Swedish State to ensure “</w:t>
      </w:r>
      <w:r w:rsidRPr="005157B6">
        <w:rPr>
          <w:rFonts w:ascii="Times New Roman" w:hAnsi="Times New Roman" w:cs="Times New Roman"/>
        </w:rPr>
        <w:t>that affected persons have proper access to effective remedies in</w:t>
      </w:r>
      <w:r>
        <w:rPr>
          <w:rFonts w:ascii="Times New Roman" w:hAnsi="Times New Roman" w:cs="Times New Roman"/>
        </w:rPr>
        <w:t xml:space="preserve"> </w:t>
      </w:r>
      <w:r w:rsidRPr="005157B6">
        <w:rPr>
          <w:rFonts w:ascii="Times New Roman" w:hAnsi="Times New Roman" w:cs="Times New Roman"/>
        </w:rPr>
        <w:t>cases of abuse</w:t>
      </w:r>
      <w:r>
        <w:rPr>
          <w:rFonts w:ascii="Times New Roman" w:hAnsi="Times New Roman" w:cs="Times New Roman"/>
        </w:rPr>
        <w:t>.” (</w:t>
      </w:r>
      <w:r w:rsidRPr="0028404F">
        <w:rPr>
          <w:rFonts w:ascii="Times New Roman" w:hAnsi="Times New Roman" w:cs="Times New Roman"/>
        </w:rPr>
        <w:t>United Nations Human Rights Committee Concluding observations</w:t>
      </w:r>
      <w:r>
        <w:rPr>
          <w:rFonts w:ascii="Times New Roman" w:hAnsi="Times New Roman" w:cs="Times New Roman"/>
        </w:rPr>
        <w:t>, cited above, § 37).</w:t>
      </w:r>
    </w:p>
  </w:footnote>
  <w:footnote w:id="33">
    <w:p w14:paraId="2C0F748B"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6</w:t>
      </w:r>
      <w:r>
        <w:rPr>
          <w:rFonts w:ascii="Times New Roman" w:hAnsi="Times New Roman" w:cs="Times New Roman"/>
        </w:rPr>
        <w:t>1</w:t>
      </w:r>
      <w:r w:rsidRPr="0028404F">
        <w:rPr>
          <w:rFonts w:ascii="Times New Roman" w:hAnsi="Times New Roman" w:cs="Times New Roman"/>
        </w:rPr>
        <w:t xml:space="preserve"> of this judgment. In § 21</w:t>
      </w:r>
      <w:r>
        <w:rPr>
          <w:rFonts w:ascii="Times New Roman" w:hAnsi="Times New Roman" w:cs="Times New Roman"/>
        </w:rPr>
        <w:t>8</w:t>
      </w:r>
      <w:r w:rsidRPr="0028404F">
        <w:rPr>
          <w:rFonts w:ascii="Times New Roman" w:hAnsi="Times New Roman" w:cs="Times New Roman"/>
        </w:rPr>
        <w:t xml:space="preserve"> </w:t>
      </w:r>
      <w:r>
        <w:rPr>
          <w:rFonts w:ascii="Times New Roman" w:hAnsi="Times New Roman" w:cs="Times New Roman"/>
        </w:rPr>
        <w:t xml:space="preserve">of this judgment, reference is made to </w:t>
      </w:r>
      <w:r w:rsidRPr="0028404F">
        <w:rPr>
          <w:rFonts w:ascii="Times New Roman" w:hAnsi="Times New Roman" w:cs="Times New Roman"/>
        </w:rPr>
        <w:t>141</w:t>
      </w:r>
      <w:r>
        <w:rPr>
          <w:rFonts w:ascii="Times New Roman" w:hAnsi="Times New Roman" w:cs="Times New Roman"/>
        </w:rPr>
        <w:t xml:space="preserve"> controls </w:t>
      </w:r>
      <w:r w:rsidRPr="0028404F">
        <w:rPr>
          <w:rFonts w:ascii="Times New Roman" w:hAnsi="Times New Roman" w:cs="Times New Roman"/>
        </w:rPr>
        <w:t>at the request of individual</w:t>
      </w:r>
      <w:r>
        <w:rPr>
          <w:rFonts w:ascii="Times New Roman" w:hAnsi="Times New Roman" w:cs="Times New Roman"/>
        </w:rPr>
        <w:t xml:space="preserve">s, none of </w:t>
      </w:r>
      <w:proofErr w:type="gramStart"/>
      <w:r>
        <w:rPr>
          <w:rFonts w:ascii="Times New Roman" w:hAnsi="Times New Roman" w:cs="Times New Roman"/>
        </w:rPr>
        <w:t xml:space="preserve">which </w:t>
      </w:r>
      <w:r w:rsidRPr="0028404F">
        <w:rPr>
          <w:rFonts w:ascii="Times New Roman" w:hAnsi="Times New Roman" w:cs="Times New Roman"/>
        </w:rPr>
        <w:t xml:space="preserve"> ever</w:t>
      </w:r>
      <w:proofErr w:type="gramEnd"/>
      <w:r w:rsidRPr="0028404F">
        <w:rPr>
          <w:rFonts w:ascii="Times New Roman" w:hAnsi="Times New Roman" w:cs="Times New Roman"/>
        </w:rPr>
        <w:t xml:space="preserve"> show</w:t>
      </w:r>
      <w:r>
        <w:rPr>
          <w:rFonts w:ascii="Times New Roman" w:hAnsi="Times New Roman" w:cs="Times New Roman"/>
        </w:rPr>
        <w:t xml:space="preserve">ed </w:t>
      </w:r>
      <w:r w:rsidRPr="0028404F">
        <w:rPr>
          <w:rFonts w:ascii="Times New Roman" w:hAnsi="Times New Roman" w:cs="Times New Roman"/>
        </w:rPr>
        <w:t xml:space="preserve">“improper signals collection”. It is not clear what the majority </w:t>
      </w:r>
      <w:r>
        <w:rPr>
          <w:rFonts w:ascii="Times New Roman" w:hAnsi="Times New Roman" w:cs="Times New Roman"/>
        </w:rPr>
        <w:t xml:space="preserve">seek to demonstrate </w:t>
      </w:r>
      <w:r w:rsidRPr="0028404F">
        <w:rPr>
          <w:rFonts w:ascii="Times New Roman" w:hAnsi="Times New Roman" w:cs="Times New Roman"/>
        </w:rPr>
        <w:t xml:space="preserve">in this regard. On the one hand they admit that decisions may be notified to a “security-cleared special counsel” </w:t>
      </w:r>
      <w:r>
        <w:rPr>
          <w:rFonts w:ascii="Times New Roman" w:hAnsi="Times New Roman" w:cs="Times New Roman"/>
        </w:rPr>
        <w:t>but on</w:t>
      </w:r>
      <w:r w:rsidRPr="0028404F">
        <w:rPr>
          <w:rFonts w:ascii="Times New Roman" w:hAnsi="Times New Roman" w:cs="Times New Roman"/>
        </w:rPr>
        <w:t xml:space="preserve"> the other hand they require that the decision be “publicly available” and </w:t>
      </w:r>
      <w:r>
        <w:rPr>
          <w:rFonts w:ascii="Times New Roman" w:hAnsi="Times New Roman" w:cs="Times New Roman"/>
        </w:rPr>
        <w:t xml:space="preserve">criticise </w:t>
      </w:r>
      <w:r w:rsidRPr="0028404F">
        <w:rPr>
          <w:rFonts w:ascii="Times New Roman" w:hAnsi="Times New Roman" w:cs="Times New Roman"/>
        </w:rPr>
        <w:t>the “absence of a possibility for members of the public to obtain reasoned decisions in some form in response to inquiries”</w:t>
      </w:r>
      <w:r>
        <w:rPr>
          <w:rFonts w:ascii="Times New Roman" w:hAnsi="Times New Roman" w:cs="Times New Roman"/>
        </w:rPr>
        <w:t xml:space="preserve"> (compare and contrast paragraphs 361 </w:t>
      </w:r>
      <w:r w:rsidRPr="00F833B0">
        <w:rPr>
          <w:rFonts w:ascii="Times New Roman" w:hAnsi="Times New Roman" w:cs="Times New Roman"/>
        </w:rPr>
        <w:t>and 37</w:t>
      </w:r>
      <w:r w:rsidRPr="00113100">
        <w:rPr>
          <w:rFonts w:ascii="Times New Roman" w:hAnsi="Times New Roman" w:cs="Times New Roman"/>
        </w:rPr>
        <w:t>2</w:t>
      </w:r>
      <w:r>
        <w:rPr>
          <w:rFonts w:ascii="Times New Roman" w:hAnsi="Times New Roman" w:cs="Times New Roman"/>
        </w:rPr>
        <w:t xml:space="preserve"> of this judgment).</w:t>
      </w:r>
    </w:p>
  </w:footnote>
  <w:footnote w:id="34">
    <w:p w14:paraId="67F6CD8A"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This has nothing to do with the European Union standard as stated in FRA of the EU</w:t>
      </w:r>
      <w:r w:rsidRPr="0028404F">
        <w:rPr>
          <w:rFonts w:ascii="Times New Roman" w:hAnsi="Times New Roman" w:cs="Times New Roman"/>
        </w:rPr>
        <w:t xml:space="preserve">, Surveillance by intelligence services, </w:t>
      </w:r>
      <w:r>
        <w:rPr>
          <w:rFonts w:ascii="Times New Roman" w:hAnsi="Times New Roman" w:cs="Times New Roman"/>
        </w:rPr>
        <w:t>c</w:t>
      </w:r>
      <w:r w:rsidRPr="0028404F">
        <w:rPr>
          <w:rFonts w:ascii="Times New Roman" w:hAnsi="Times New Roman" w:cs="Times New Roman"/>
        </w:rPr>
        <w:t>ited above, p. 14: “EU Member States should ensure that judicial and non-judicial bodies with remedial powers have the powers and competences to effectively assess and decide on individuals’ complaints related to surveillance… In particular, the remedial body should have access to the premises of intelligence services and the</w:t>
      </w:r>
      <w:r>
        <w:rPr>
          <w:rFonts w:ascii="Times New Roman" w:hAnsi="Times New Roman" w:cs="Times New Roman"/>
        </w:rPr>
        <w:t xml:space="preserve"> </w:t>
      </w:r>
      <w:r w:rsidRPr="0028404F">
        <w:rPr>
          <w:rFonts w:ascii="Times New Roman" w:hAnsi="Times New Roman" w:cs="Times New Roman"/>
        </w:rPr>
        <w:t>data collected; be given the power to issue binding decisions; and inform complainants on the outcome of its investigations. The individual should be able to appeal the body’s decision.”</w:t>
      </w:r>
    </w:p>
  </w:footnote>
  <w:footnote w:id="35">
    <w:p w14:paraId="02380732"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As the chamber itself admitted (see § 175 of the Chamber judgment).</w:t>
      </w:r>
    </w:p>
  </w:footnote>
  <w:footnote w:id="36">
    <w:p w14:paraId="3A78B765"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w:t>
      </w:r>
      <w:r w:rsidRPr="0028404F">
        <w:rPr>
          <w:rFonts w:ascii="Times New Roman" w:hAnsi="Times New Roman" w:cs="Times New Roman"/>
        </w:rPr>
        <w:t xml:space="preserve"> 6</w:t>
      </w:r>
      <w:r>
        <w:rPr>
          <w:rFonts w:ascii="Times New Roman" w:hAnsi="Times New Roman" w:cs="Times New Roman"/>
        </w:rPr>
        <w:t>4</w:t>
      </w:r>
      <w:r w:rsidRPr="0028404F">
        <w:rPr>
          <w:rFonts w:ascii="Times New Roman" w:hAnsi="Times New Roman" w:cs="Times New Roman"/>
        </w:rPr>
        <w:t xml:space="preserve"> of this judgment.</w:t>
      </w:r>
    </w:p>
  </w:footnote>
  <w:footnote w:id="37">
    <w:p w14:paraId="44207A4E" w14:textId="77777777" w:rsidR="00E94B40" w:rsidRPr="00BA0F99"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See paragraphs</w:t>
      </w:r>
      <w:r w:rsidRPr="0028404F">
        <w:rPr>
          <w:rFonts w:ascii="Times New Roman" w:hAnsi="Times New Roman" w:cs="Times New Roman"/>
        </w:rPr>
        <w:t xml:space="preserve"> </w:t>
      </w:r>
      <w:r w:rsidRPr="00BA0F99">
        <w:rPr>
          <w:rFonts w:ascii="Times New Roman" w:hAnsi="Times New Roman" w:cs="Times New Roman"/>
        </w:rPr>
        <w:t>6</w:t>
      </w:r>
      <w:r>
        <w:rPr>
          <w:rFonts w:ascii="Times New Roman" w:hAnsi="Times New Roman" w:cs="Times New Roman"/>
        </w:rPr>
        <w:t>6-8</w:t>
      </w:r>
      <w:r w:rsidRPr="00BA0F99">
        <w:rPr>
          <w:rFonts w:ascii="Times New Roman" w:hAnsi="Times New Roman" w:cs="Times New Roman"/>
        </w:rPr>
        <w:t xml:space="preserve"> of this judgment.</w:t>
      </w:r>
    </w:p>
  </w:footnote>
  <w:footnote w:id="38">
    <w:p w14:paraId="2D00E04C" w14:textId="77777777" w:rsidR="00E94B40" w:rsidRPr="00BA0F99" w:rsidRDefault="00E94B40" w:rsidP="00B70200">
      <w:pPr>
        <w:pStyle w:val="FootnoteText"/>
        <w:jc w:val="both"/>
        <w:rPr>
          <w:rFonts w:ascii="Times New Roman" w:hAnsi="Times New Roman" w:cs="Times New Roman"/>
        </w:rPr>
      </w:pPr>
      <w:r w:rsidRPr="00BA0F99">
        <w:rPr>
          <w:rStyle w:val="FootnoteReference"/>
          <w:rFonts w:ascii="Times New Roman" w:hAnsi="Times New Roman" w:cs="Times New Roman"/>
        </w:rPr>
        <w:footnoteRef/>
      </w:r>
      <w:r w:rsidRPr="00BA0F99">
        <w:rPr>
          <w:rFonts w:ascii="Times New Roman" w:hAnsi="Times New Roman" w:cs="Times New Roman"/>
        </w:rPr>
        <w:t xml:space="preserve"> Swedish law </w:t>
      </w:r>
      <w:r>
        <w:rPr>
          <w:rFonts w:ascii="Times New Roman" w:hAnsi="Times New Roman" w:cs="Times New Roman"/>
        </w:rPr>
        <w:t xml:space="preserve">is very far from </w:t>
      </w:r>
      <w:r w:rsidRPr="00BA0F99">
        <w:rPr>
          <w:rFonts w:ascii="Times New Roman" w:hAnsi="Times New Roman" w:cs="Times New Roman"/>
        </w:rPr>
        <w:t>the universal</w:t>
      </w:r>
      <w:r>
        <w:rPr>
          <w:rFonts w:ascii="Times New Roman" w:hAnsi="Times New Roman" w:cs="Times New Roman"/>
        </w:rPr>
        <w:t xml:space="preserve"> </w:t>
      </w:r>
      <w:r w:rsidRPr="00BA0F99">
        <w:rPr>
          <w:rFonts w:ascii="Times New Roman" w:hAnsi="Times New Roman" w:cs="Times New Roman"/>
        </w:rPr>
        <w:t>standard described by the United Nations Compilation of good practices on legal and institutional frameworks and measures that ensure respect for human rights by intelligence agencies while countering terrorism, including on their oversight, 17 May 2010 (A/HRC/14/46): “Practice 31. Intelligence-sharing between intelligence agencies of the same State or with the authorities of a foreign State is based on national law that outlines clear parameters for intelligence exchange, including the conditions that must be met for information to be shared, the entities with which intelligence may be shared, and the safeguards that apply to exchanges of intelligence.” See also Practices 32-35.</w:t>
      </w:r>
    </w:p>
  </w:footnote>
  <w:footnote w:id="39">
    <w:p w14:paraId="15A994E9" w14:textId="77777777" w:rsidR="00E94B40" w:rsidRPr="0028404F" w:rsidRDefault="00E94B40" w:rsidP="00B70200">
      <w:pPr>
        <w:pStyle w:val="FootnoteText"/>
        <w:jc w:val="both"/>
        <w:rPr>
          <w:rFonts w:ascii="Times New Roman" w:hAnsi="Times New Roman" w:cs="Times New Roman"/>
        </w:rPr>
      </w:pPr>
      <w:r w:rsidRPr="00BA0F99">
        <w:rPr>
          <w:rStyle w:val="FootnoteReference"/>
          <w:rFonts w:ascii="Times New Roman" w:hAnsi="Times New Roman" w:cs="Times New Roman"/>
        </w:rPr>
        <w:footnoteRef/>
      </w:r>
      <w:r w:rsidRPr="00BA0F99">
        <w:rPr>
          <w:rFonts w:ascii="Times New Roman" w:hAnsi="Times New Roman" w:cs="Times New Roman"/>
        </w:rPr>
        <w:t xml:space="preserve"> </w:t>
      </w:r>
      <w:r>
        <w:rPr>
          <w:rFonts w:ascii="Times New Roman" w:hAnsi="Times New Roman" w:cs="Times New Roman"/>
        </w:rPr>
        <w:t>See paragraph</w:t>
      </w:r>
      <w:r w:rsidRPr="00BA0F99">
        <w:rPr>
          <w:rFonts w:ascii="Times New Roman" w:hAnsi="Times New Roman" w:cs="Times New Roman"/>
        </w:rPr>
        <w:t xml:space="preserve"> 21</w:t>
      </w:r>
      <w:r>
        <w:rPr>
          <w:rFonts w:ascii="Times New Roman" w:hAnsi="Times New Roman" w:cs="Times New Roman"/>
        </w:rPr>
        <w:t>6</w:t>
      </w:r>
      <w:r w:rsidRPr="00BA0F99">
        <w:rPr>
          <w:rFonts w:ascii="Times New Roman" w:hAnsi="Times New Roman" w:cs="Times New Roman"/>
        </w:rPr>
        <w:t xml:space="preserve"> of</w:t>
      </w:r>
      <w:r w:rsidRPr="0028404F">
        <w:rPr>
          <w:rFonts w:ascii="Times New Roman" w:hAnsi="Times New Roman" w:cs="Times New Roman"/>
        </w:rPr>
        <w:t xml:space="preserve"> this judgment.</w:t>
      </w:r>
    </w:p>
  </w:footnote>
  <w:footnote w:id="40">
    <w:p w14:paraId="25C26532"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See also the United Nations Human Rights Committee Concluding observations</w:t>
      </w:r>
      <w:r>
        <w:rPr>
          <w:rFonts w:ascii="Times New Roman" w:hAnsi="Times New Roman" w:cs="Times New Roman"/>
        </w:rPr>
        <w:t>, cited above, § 36, where the</w:t>
      </w:r>
      <w:r w:rsidRPr="0028404F">
        <w:rPr>
          <w:rFonts w:ascii="Times New Roman" w:hAnsi="Times New Roman" w:cs="Times New Roman"/>
        </w:rPr>
        <w:t xml:space="preserve"> Committee raised specific concerns with regard to </w:t>
      </w:r>
      <w:r>
        <w:rPr>
          <w:rFonts w:ascii="Times New Roman" w:hAnsi="Times New Roman" w:cs="Times New Roman"/>
        </w:rPr>
        <w:t>“</w:t>
      </w:r>
      <w:r w:rsidRPr="0028404F">
        <w:rPr>
          <w:rFonts w:ascii="Times New Roman" w:hAnsi="Times New Roman" w:cs="Times New Roman"/>
        </w:rPr>
        <w:t>the lack of sufficient safeguards against arbitrary interference with the right to privacy in relation to the sharing of data with other intelligence agencies.</w:t>
      </w:r>
      <w:r>
        <w:rPr>
          <w:rFonts w:ascii="Times New Roman" w:hAnsi="Times New Roman" w:cs="Times New Roman"/>
        </w:rPr>
        <w:t>”</w:t>
      </w:r>
    </w:p>
  </w:footnote>
  <w:footnote w:id="41">
    <w:p w14:paraId="2DB0EBA2"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w:t>
      </w:r>
      <w:r>
        <w:rPr>
          <w:rFonts w:ascii="Times New Roman" w:hAnsi="Times New Roman" w:cs="Times New Roman"/>
        </w:rPr>
        <w:t>FRA of the EU</w:t>
      </w:r>
      <w:r w:rsidRPr="0028404F">
        <w:rPr>
          <w:rFonts w:ascii="Times New Roman" w:hAnsi="Times New Roman" w:cs="Times New Roman"/>
        </w:rPr>
        <w:t>, Surveillance by intelligence services, cited above, p. 13: “EU Member States should define rules on how international intelligence sharing takes place. These rules should be subject to review by oversight bodies, which should assess whether the processes for transferring and receiving intelligence respect fundamental rights and include adequate safeguards… EU Member States should ensure that legal frameworks regulating intelligence cooperation clearly define the extent of oversight bodies’</w:t>
      </w:r>
      <w:r>
        <w:rPr>
          <w:rFonts w:ascii="Times New Roman" w:hAnsi="Times New Roman" w:cs="Times New Roman"/>
        </w:rPr>
        <w:t xml:space="preserve"> </w:t>
      </w:r>
      <w:r w:rsidRPr="0028404F">
        <w:rPr>
          <w:rFonts w:ascii="Times New Roman" w:hAnsi="Times New Roman" w:cs="Times New Roman"/>
        </w:rPr>
        <w:t>competences in the area of intelligence services cooperation.</w:t>
      </w:r>
      <w:r>
        <w:rPr>
          <w:rFonts w:ascii="Times New Roman" w:hAnsi="Times New Roman" w:cs="Times New Roman"/>
        </w:rPr>
        <w:t>”</w:t>
      </w:r>
    </w:p>
  </w:footnote>
  <w:footnote w:id="42">
    <w:p w14:paraId="774C6FBA" w14:textId="77777777" w:rsidR="00E94B40" w:rsidRPr="0028404F" w:rsidRDefault="00E94B40" w:rsidP="00B70200">
      <w:pPr>
        <w:pStyle w:val="FootnoteText"/>
        <w:jc w:val="both"/>
        <w:rPr>
          <w:rFonts w:ascii="Times New Roman" w:hAnsi="Times New Roman" w:cs="Times New Roman"/>
        </w:rPr>
      </w:pPr>
      <w:r w:rsidRPr="0028404F">
        <w:rPr>
          <w:rStyle w:val="FootnoteReference"/>
          <w:rFonts w:ascii="Times New Roman" w:hAnsi="Times New Roman" w:cs="Times New Roman"/>
        </w:rPr>
        <w:footnoteRef/>
      </w:r>
      <w:r w:rsidRPr="0028404F">
        <w:rPr>
          <w:rFonts w:ascii="Times New Roman" w:hAnsi="Times New Roman" w:cs="Times New Roman"/>
        </w:rPr>
        <w:t xml:space="preserve"> See my separate opinion in </w:t>
      </w:r>
      <w:r w:rsidRPr="0028404F">
        <w:rPr>
          <w:rFonts w:ascii="Times New Roman" w:hAnsi="Times New Roman" w:cs="Times New Roman"/>
          <w:i/>
          <w:iCs/>
        </w:rPr>
        <w:t>Big Brother Watch and Others v. the United Kingdom</w:t>
      </w:r>
      <w:r w:rsidRPr="0028404F">
        <w:rPr>
          <w:rFonts w:ascii="Times New Roman" w:hAnsi="Times New Roman" w:cs="Times New Roman"/>
        </w:rPr>
        <w:t xml:space="preserve">, where the requirements for a Convention-compatible bulk interception regime are discussed.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06577" w14:textId="77777777" w:rsidR="00E94B40" w:rsidRPr="00A45145" w:rsidRDefault="00E94B40" w:rsidP="00805CF8">
    <w:pPr>
      <w:jc w:val="center"/>
    </w:pPr>
    <w:r>
      <w:rPr>
        <w:noProof/>
        <w:lang w:val="en-US" w:eastAsia="ja-JP"/>
      </w:rPr>
      <w:drawing>
        <wp:inline distT="0" distB="0" distL="0" distR="0" wp14:anchorId="0BA76852" wp14:editId="3059DBF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216B89" w14:textId="77777777" w:rsidR="00E94B40" w:rsidRDefault="00E94B40" w:rsidP="00805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74D2" w14:textId="456B72CE" w:rsidR="00E94B40" w:rsidRDefault="00E94B40" w:rsidP="003B7CD1">
    <w:pPr>
      <w:pStyle w:val="Header"/>
      <w:jc w:val="center"/>
    </w:pPr>
    <w:r>
      <w:rPr>
        <w:noProof/>
        <w:lang w:val="en-US" w:eastAsia="ja-JP"/>
      </w:rPr>
      <w:drawing>
        <wp:inline distT="0" distB="0" distL="0" distR="0" wp14:anchorId="46203110" wp14:editId="5C06FFB0">
          <wp:extent cx="2962275" cy="1219200"/>
          <wp:effectExtent l="0" t="0" r="9525" b="0"/>
          <wp:docPr id="5" name="Picture 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92A7" w14:textId="77777777" w:rsidR="00E94B40" w:rsidRPr="004D0549" w:rsidRDefault="00E94B40" w:rsidP="006A1F8B">
    <w:pPr>
      <w:pStyle w:val="JuHeader"/>
      <w:rPr>
        <w:lang w:val="sv-SE"/>
      </w:rPr>
    </w:pPr>
    <w:r w:rsidRPr="004D0549">
      <w:rPr>
        <w:lang w:val="sv-SE"/>
      </w:rPr>
      <w:t>CENTRUM FÖR RÄTTVISA v. SWEDEN JUDGMENT</w:t>
    </w:r>
    <w:r w:rsidRPr="004D0549">
      <w:rPr>
        <w:noProof/>
        <w:lang w:val="sv-S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245E" w14:textId="77777777" w:rsidR="00E94B40" w:rsidRPr="004D0549" w:rsidRDefault="00E94B40" w:rsidP="00261BA9">
    <w:pPr>
      <w:pStyle w:val="JuHeader"/>
      <w:rPr>
        <w:lang w:val="sv-SE"/>
      </w:rPr>
    </w:pPr>
    <w:r w:rsidRPr="004D0549">
      <w:rPr>
        <w:lang w:val="sv-SE"/>
      </w:rPr>
      <w:t>CENTRUM FÖR RÄTTVISA v. SWEDEN JUDGMENT</w:t>
    </w:r>
    <w:r w:rsidRPr="004D0549">
      <w:rPr>
        <w:noProof/>
        <w:lang w:val="sv-S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2673" w14:textId="4ED6E489" w:rsidR="00E94B40" w:rsidRPr="000666E3" w:rsidRDefault="00E94B40" w:rsidP="00B70200">
    <w:pPr>
      <w:pStyle w:val="JuHeader"/>
      <w:tabs>
        <w:tab w:val="center" w:pos="3685"/>
        <w:tab w:val="right" w:pos="7370"/>
      </w:tabs>
      <w:rPr>
        <w:lang w:val="sv-SE"/>
      </w:rPr>
    </w:pPr>
    <w:r w:rsidRPr="000666E3">
      <w:rPr>
        <w:lang w:val="sv-SE"/>
      </w:rPr>
      <w:t>CENTRUM FÖR RÄTTVISA v. SWEDEN JUDGMENT</w:t>
    </w:r>
    <w:r w:rsidRPr="000666E3">
      <w:rPr>
        <w:noProof/>
        <w:lang w:val="sv-SE"/>
      </w:rPr>
      <w:t xml:space="preserve"> – SEPARATE OPINIONS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CEC4A" w14:textId="763CCDB6" w:rsidR="00E94B40" w:rsidRPr="004D0549" w:rsidRDefault="00E94B40" w:rsidP="00B70200">
    <w:pPr>
      <w:pStyle w:val="JuHeader"/>
      <w:tabs>
        <w:tab w:val="center" w:pos="3685"/>
        <w:tab w:val="right" w:pos="7370"/>
      </w:tabs>
      <w:rPr>
        <w:lang w:val="sv-SE"/>
      </w:rPr>
    </w:pPr>
    <w:r w:rsidRPr="004D0549">
      <w:rPr>
        <w:lang w:val="sv-SE"/>
      </w:rPr>
      <w:t>CENTRUM FÖR RÄTTVISA v. SWEDEN JUDGMENT</w:t>
    </w:r>
    <w:r w:rsidRPr="004D0549">
      <w:rPr>
        <w:noProof/>
        <w:lang w:val="sv-SE"/>
      </w:rPr>
      <w:t xml:space="preserve"> </w:t>
    </w:r>
    <w:r>
      <w:rPr>
        <w:noProof/>
        <w:lang w:val="sv-SE"/>
      </w:rPr>
      <w:t>–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3183A4C"/>
    <w:multiLevelType w:val="hybridMultilevel"/>
    <w:tmpl w:val="64162ECC"/>
    <w:lvl w:ilvl="0" w:tplc="040C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5E6A40"/>
    <w:multiLevelType w:val="multilevel"/>
    <w:tmpl w:val="84A2DB1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4B5BA4"/>
    <w:multiLevelType w:val="hybridMultilevel"/>
    <w:tmpl w:val="B9EE8488"/>
    <w:lvl w:ilvl="0" w:tplc="3AF087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8"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9" w15:restartNumberingAfterBreak="0">
    <w:nsid w:val="56B9429C"/>
    <w:multiLevelType w:val="multilevel"/>
    <w:tmpl w:val="426C9D3E"/>
    <w:lvl w:ilvl="0">
      <w:start w:val="1"/>
      <w:numFmt w:val="none"/>
      <w:suff w:val="nothing"/>
      <w:lvlText w:val=""/>
      <w:lvlJc w:val="left"/>
      <w:pPr>
        <w:ind w:left="0" w:firstLine="0"/>
      </w:pPr>
      <w:rPr>
        <w:rFonts w:hint="default"/>
      </w:rPr>
    </w:lvl>
    <w:lvl w:ilvl="1">
      <w:start w:val="1"/>
      <w:numFmt w:val="upperRoman"/>
      <w:lvlText w:val="%2."/>
      <w:lvlJc w:val="left"/>
      <w:pPr>
        <w:ind w:left="499" w:hanging="357"/>
      </w:pPr>
      <w:rPr>
        <w:rFonts w:hint="default"/>
        <w:sz w:val="24"/>
      </w:rPr>
    </w:lvl>
    <w:lvl w:ilvl="2">
      <w:start w:val="1"/>
      <w:numFmt w:val="upperLetter"/>
      <w:lvlText w:val="%3."/>
      <w:lvlJc w:val="left"/>
      <w:pPr>
        <w:ind w:left="494" w:hanging="352"/>
      </w:pPr>
      <w:rPr>
        <w:rFonts w:hint="default"/>
      </w:rPr>
    </w:lvl>
    <w:lvl w:ilvl="3">
      <w:start w:val="1"/>
      <w:numFmt w:val="decimal"/>
      <w:lvlText w:val="%4."/>
      <w:lvlJc w:val="left"/>
      <w:pPr>
        <w:ind w:left="725" w:hanging="300"/>
      </w:pPr>
      <w:rPr>
        <w:rFonts w:hint="default"/>
      </w:rPr>
    </w:lvl>
    <w:lvl w:ilvl="4">
      <w:start w:val="1"/>
      <w:numFmt w:val="lowerLetter"/>
      <w:lvlText w:val="(%5)"/>
      <w:lvlJc w:val="left"/>
      <w:pPr>
        <w:ind w:left="975" w:hanging="340"/>
      </w:pPr>
      <w:rPr>
        <w:rFonts w:hint="default"/>
      </w:rPr>
    </w:lvl>
    <w:lvl w:ilvl="5">
      <w:start w:val="1"/>
      <w:numFmt w:val="lowerRoman"/>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20"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9"/>
  </w:num>
  <w:num w:numId="2">
    <w:abstractNumId w:val="14"/>
  </w:num>
  <w:num w:numId="3">
    <w:abstractNumId w:val="16"/>
  </w:num>
  <w:num w:numId="4">
    <w:abstractNumId w:val="10"/>
  </w:num>
  <w:num w:numId="5">
    <w:abstractNumId w:val="9"/>
  </w:num>
  <w:num w:numId="6">
    <w:abstractNumId w:val="15"/>
  </w:num>
  <w:num w:numId="7">
    <w:abstractNumId w:val="12"/>
  </w:num>
  <w:num w:numId="8">
    <w:abstractNumId w:val="11"/>
  </w:num>
  <w:num w:numId="9">
    <w:abstractNumId w:val="17"/>
  </w:num>
  <w:num w:numId="10">
    <w:abstractNumId w:val="13"/>
  </w:num>
  <w:num w:numId="11">
    <w:abstractNumId w:val="18"/>
  </w:num>
  <w:num w:numId="12">
    <w:abstractNumId w:val="20"/>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655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LetCode" w:val="Judgment "/>
    <w:docVar w:name="NBEMMDOC" w:val="0"/>
  </w:docVars>
  <w:rsids>
    <w:rsidRoot w:val="004D0549"/>
    <w:rsid w:val="00000375"/>
    <w:rsid w:val="0000298C"/>
    <w:rsid w:val="000041F8"/>
    <w:rsid w:val="000042A8"/>
    <w:rsid w:val="00004308"/>
    <w:rsid w:val="00005BF0"/>
    <w:rsid w:val="00007154"/>
    <w:rsid w:val="00007A11"/>
    <w:rsid w:val="000103AE"/>
    <w:rsid w:val="00011D69"/>
    <w:rsid w:val="00012AD3"/>
    <w:rsid w:val="00015C2D"/>
    <w:rsid w:val="00015F00"/>
    <w:rsid w:val="00022C1D"/>
    <w:rsid w:val="00022E3B"/>
    <w:rsid w:val="00030E21"/>
    <w:rsid w:val="0003300B"/>
    <w:rsid w:val="00034987"/>
    <w:rsid w:val="00035CD4"/>
    <w:rsid w:val="00041BAF"/>
    <w:rsid w:val="000477C3"/>
    <w:rsid w:val="000602DF"/>
    <w:rsid w:val="00061B05"/>
    <w:rsid w:val="000632D5"/>
    <w:rsid w:val="000644EE"/>
    <w:rsid w:val="00065F6F"/>
    <w:rsid w:val="000666E3"/>
    <w:rsid w:val="000735A7"/>
    <w:rsid w:val="0007370E"/>
    <w:rsid w:val="000925AD"/>
    <w:rsid w:val="000A24EB"/>
    <w:rsid w:val="000A31B4"/>
    <w:rsid w:val="000A7934"/>
    <w:rsid w:val="000B6923"/>
    <w:rsid w:val="000C5F3C"/>
    <w:rsid w:val="000C6DCC"/>
    <w:rsid w:val="000D137E"/>
    <w:rsid w:val="000D47AA"/>
    <w:rsid w:val="000D721F"/>
    <w:rsid w:val="000E069B"/>
    <w:rsid w:val="000E0E82"/>
    <w:rsid w:val="000E1DC5"/>
    <w:rsid w:val="000E223F"/>
    <w:rsid w:val="000E43DD"/>
    <w:rsid w:val="000E7D45"/>
    <w:rsid w:val="000F1963"/>
    <w:rsid w:val="000F34DF"/>
    <w:rsid w:val="000F5BE7"/>
    <w:rsid w:val="000F7851"/>
    <w:rsid w:val="001016FA"/>
    <w:rsid w:val="00104E23"/>
    <w:rsid w:val="001054DF"/>
    <w:rsid w:val="00111B0C"/>
    <w:rsid w:val="00112827"/>
    <w:rsid w:val="00120D6C"/>
    <w:rsid w:val="00121D46"/>
    <w:rsid w:val="001257EC"/>
    <w:rsid w:val="00131A20"/>
    <w:rsid w:val="0013326E"/>
    <w:rsid w:val="00133D33"/>
    <w:rsid w:val="00134D64"/>
    <w:rsid w:val="00135A30"/>
    <w:rsid w:val="00135C37"/>
    <w:rsid w:val="0013612C"/>
    <w:rsid w:val="00137C1F"/>
    <w:rsid w:val="00137FF6"/>
    <w:rsid w:val="00141650"/>
    <w:rsid w:val="001517D7"/>
    <w:rsid w:val="00152DC9"/>
    <w:rsid w:val="00152E15"/>
    <w:rsid w:val="001622CE"/>
    <w:rsid w:val="00162A12"/>
    <w:rsid w:val="00166530"/>
    <w:rsid w:val="001832BD"/>
    <w:rsid w:val="00192C2F"/>
    <w:rsid w:val="001943B5"/>
    <w:rsid w:val="00195134"/>
    <w:rsid w:val="001A145B"/>
    <w:rsid w:val="001A6247"/>
    <w:rsid w:val="001A674C"/>
    <w:rsid w:val="001B0627"/>
    <w:rsid w:val="001B3B24"/>
    <w:rsid w:val="001C0F98"/>
    <w:rsid w:val="001C2A42"/>
    <w:rsid w:val="001C2E6B"/>
    <w:rsid w:val="001C4C77"/>
    <w:rsid w:val="001D63ED"/>
    <w:rsid w:val="001D7348"/>
    <w:rsid w:val="001E035B"/>
    <w:rsid w:val="001E0961"/>
    <w:rsid w:val="001E3EAE"/>
    <w:rsid w:val="001E6F32"/>
    <w:rsid w:val="001E7604"/>
    <w:rsid w:val="001F06F8"/>
    <w:rsid w:val="001F1CD9"/>
    <w:rsid w:val="001F2145"/>
    <w:rsid w:val="001F6262"/>
    <w:rsid w:val="001F67B0"/>
    <w:rsid w:val="001F7B3D"/>
    <w:rsid w:val="0020049C"/>
    <w:rsid w:val="00205F9F"/>
    <w:rsid w:val="00206534"/>
    <w:rsid w:val="00210338"/>
    <w:rsid w:val="002115FC"/>
    <w:rsid w:val="0021423C"/>
    <w:rsid w:val="00225439"/>
    <w:rsid w:val="00230D00"/>
    <w:rsid w:val="00231DF7"/>
    <w:rsid w:val="00231FD1"/>
    <w:rsid w:val="002339E0"/>
    <w:rsid w:val="00233CF8"/>
    <w:rsid w:val="00233F58"/>
    <w:rsid w:val="0023575D"/>
    <w:rsid w:val="00237148"/>
    <w:rsid w:val="0024138A"/>
    <w:rsid w:val="0024222D"/>
    <w:rsid w:val="00244B0E"/>
    <w:rsid w:val="00244F6C"/>
    <w:rsid w:val="002518A2"/>
    <w:rsid w:val="00252FEA"/>
    <w:rsid w:val="002532C5"/>
    <w:rsid w:val="00260C03"/>
    <w:rsid w:val="00261BA9"/>
    <w:rsid w:val="0026540E"/>
    <w:rsid w:val="00265475"/>
    <w:rsid w:val="00275123"/>
    <w:rsid w:val="00282240"/>
    <w:rsid w:val="00284706"/>
    <w:rsid w:val="002948AD"/>
    <w:rsid w:val="002A01CC"/>
    <w:rsid w:val="002A3208"/>
    <w:rsid w:val="002A61B1"/>
    <w:rsid w:val="002A663C"/>
    <w:rsid w:val="002B291B"/>
    <w:rsid w:val="002B444B"/>
    <w:rsid w:val="002B4CD8"/>
    <w:rsid w:val="002B5887"/>
    <w:rsid w:val="002C0E27"/>
    <w:rsid w:val="002C3040"/>
    <w:rsid w:val="002D022D"/>
    <w:rsid w:val="002D24BB"/>
    <w:rsid w:val="002F2AF7"/>
    <w:rsid w:val="002F5D65"/>
    <w:rsid w:val="002F7E1C"/>
    <w:rsid w:val="003006BF"/>
    <w:rsid w:val="00301A75"/>
    <w:rsid w:val="00302F70"/>
    <w:rsid w:val="0030336F"/>
    <w:rsid w:val="0030375E"/>
    <w:rsid w:val="00312A30"/>
    <w:rsid w:val="00313DA4"/>
    <w:rsid w:val="00315E0E"/>
    <w:rsid w:val="00320F72"/>
    <w:rsid w:val="0032463E"/>
    <w:rsid w:val="00326224"/>
    <w:rsid w:val="00330074"/>
    <w:rsid w:val="003311CF"/>
    <w:rsid w:val="003356D0"/>
    <w:rsid w:val="00336879"/>
    <w:rsid w:val="00337EE4"/>
    <w:rsid w:val="0034094E"/>
    <w:rsid w:val="00340FFD"/>
    <w:rsid w:val="0034165B"/>
    <w:rsid w:val="0034383F"/>
    <w:rsid w:val="003506B1"/>
    <w:rsid w:val="00356AC7"/>
    <w:rsid w:val="003609FA"/>
    <w:rsid w:val="003615AF"/>
    <w:rsid w:val="003710C8"/>
    <w:rsid w:val="00371D96"/>
    <w:rsid w:val="00372F24"/>
    <w:rsid w:val="003750BE"/>
    <w:rsid w:val="0038408F"/>
    <w:rsid w:val="00384F11"/>
    <w:rsid w:val="00387B9D"/>
    <w:rsid w:val="0039364F"/>
    <w:rsid w:val="00396686"/>
    <w:rsid w:val="0039778E"/>
    <w:rsid w:val="003B2881"/>
    <w:rsid w:val="003B4941"/>
    <w:rsid w:val="003B7CD1"/>
    <w:rsid w:val="003C5714"/>
    <w:rsid w:val="003C6B9F"/>
    <w:rsid w:val="003C6E2A"/>
    <w:rsid w:val="003D0299"/>
    <w:rsid w:val="003D315E"/>
    <w:rsid w:val="003D5F20"/>
    <w:rsid w:val="003E38F3"/>
    <w:rsid w:val="003E6D80"/>
    <w:rsid w:val="003F043B"/>
    <w:rsid w:val="003F05FA"/>
    <w:rsid w:val="003F244A"/>
    <w:rsid w:val="003F30B8"/>
    <w:rsid w:val="003F4C45"/>
    <w:rsid w:val="003F5F7B"/>
    <w:rsid w:val="003F7D64"/>
    <w:rsid w:val="0040563F"/>
    <w:rsid w:val="00414300"/>
    <w:rsid w:val="00416259"/>
    <w:rsid w:val="00425C67"/>
    <w:rsid w:val="00427E7A"/>
    <w:rsid w:val="004363F2"/>
    <w:rsid w:val="00436C49"/>
    <w:rsid w:val="00442EF9"/>
    <w:rsid w:val="004442CB"/>
    <w:rsid w:val="00445366"/>
    <w:rsid w:val="00447F5B"/>
    <w:rsid w:val="0045649E"/>
    <w:rsid w:val="00461DB0"/>
    <w:rsid w:val="004631C0"/>
    <w:rsid w:val="00463926"/>
    <w:rsid w:val="00464C9A"/>
    <w:rsid w:val="00471A34"/>
    <w:rsid w:val="00474F3D"/>
    <w:rsid w:val="00477E3A"/>
    <w:rsid w:val="00483205"/>
    <w:rsid w:val="00483611"/>
    <w:rsid w:val="00483E5F"/>
    <w:rsid w:val="00485FF9"/>
    <w:rsid w:val="00486E86"/>
    <w:rsid w:val="00490772"/>
    <w:rsid w:val="004907F0"/>
    <w:rsid w:val="0049140B"/>
    <w:rsid w:val="004923A5"/>
    <w:rsid w:val="00494BFA"/>
    <w:rsid w:val="00496BFB"/>
    <w:rsid w:val="004A15C7"/>
    <w:rsid w:val="004A42C4"/>
    <w:rsid w:val="004A523E"/>
    <w:rsid w:val="004A5A0F"/>
    <w:rsid w:val="004B013B"/>
    <w:rsid w:val="004B112B"/>
    <w:rsid w:val="004C01E4"/>
    <w:rsid w:val="004C086C"/>
    <w:rsid w:val="004C1F56"/>
    <w:rsid w:val="004C27BC"/>
    <w:rsid w:val="004D0549"/>
    <w:rsid w:val="004D15F3"/>
    <w:rsid w:val="004D5311"/>
    <w:rsid w:val="004D5DCC"/>
    <w:rsid w:val="004D7EA0"/>
    <w:rsid w:val="004E453D"/>
    <w:rsid w:val="004F10AF"/>
    <w:rsid w:val="004F11A4"/>
    <w:rsid w:val="004F11CA"/>
    <w:rsid w:val="004F2389"/>
    <w:rsid w:val="004F304D"/>
    <w:rsid w:val="004F61BE"/>
    <w:rsid w:val="004F66B1"/>
    <w:rsid w:val="00511C07"/>
    <w:rsid w:val="005141D6"/>
    <w:rsid w:val="005173A6"/>
    <w:rsid w:val="00520BAA"/>
    <w:rsid w:val="00525208"/>
    <w:rsid w:val="005257A5"/>
    <w:rsid w:val="00526394"/>
    <w:rsid w:val="005264C0"/>
    <w:rsid w:val="00526A8A"/>
    <w:rsid w:val="00531DF2"/>
    <w:rsid w:val="00533C33"/>
    <w:rsid w:val="0053494A"/>
    <w:rsid w:val="005442EE"/>
    <w:rsid w:val="00547353"/>
    <w:rsid w:val="005474E7"/>
    <w:rsid w:val="00551142"/>
    <w:rsid w:val="005512A3"/>
    <w:rsid w:val="0055501A"/>
    <w:rsid w:val="005578CE"/>
    <w:rsid w:val="00562141"/>
    <w:rsid w:val="00562781"/>
    <w:rsid w:val="0057271C"/>
    <w:rsid w:val="00572845"/>
    <w:rsid w:val="00576D6F"/>
    <w:rsid w:val="00584694"/>
    <w:rsid w:val="00592296"/>
    <w:rsid w:val="00592772"/>
    <w:rsid w:val="0059574A"/>
    <w:rsid w:val="00597002"/>
    <w:rsid w:val="005A1B9B"/>
    <w:rsid w:val="005A6751"/>
    <w:rsid w:val="005B092E"/>
    <w:rsid w:val="005B152C"/>
    <w:rsid w:val="005B1EE0"/>
    <w:rsid w:val="005B2B24"/>
    <w:rsid w:val="005B2E7F"/>
    <w:rsid w:val="005B4425"/>
    <w:rsid w:val="005B4B94"/>
    <w:rsid w:val="005B790A"/>
    <w:rsid w:val="005C048A"/>
    <w:rsid w:val="005C20C0"/>
    <w:rsid w:val="005C3EE8"/>
    <w:rsid w:val="005C5429"/>
    <w:rsid w:val="005D34F9"/>
    <w:rsid w:val="005D4190"/>
    <w:rsid w:val="005D67A3"/>
    <w:rsid w:val="005E2988"/>
    <w:rsid w:val="005E3085"/>
    <w:rsid w:val="005F51E1"/>
    <w:rsid w:val="00601F70"/>
    <w:rsid w:val="00611058"/>
    <w:rsid w:val="00611C80"/>
    <w:rsid w:val="00613157"/>
    <w:rsid w:val="006164D8"/>
    <w:rsid w:val="00620692"/>
    <w:rsid w:val="00620C56"/>
    <w:rsid w:val="006242CA"/>
    <w:rsid w:val="00624525"/>
    <w:rsid w:val="00624B85"/>
    <w:rsid w:val="00627507"/>
    <w:rsid w:val="00633717"/>
    <w:rsid w:val="006344E1"/>
    <w:rsid w:val="006545C4"/>
    <w:rsid w:val="00656658"/>
    <w:rsid w:val="00661971"/>
    <w:rsid w:val="00661CE8"/>
    <w:rsid w:val="00661EF1"/>
    <w:rsid w:val="006623D9"/>
    <w:rsid w:val="00662E48"/>
    <w:rsid w:val="0066550C"/>
    <w:rsid w:val="006716F2"/>
    <w:rsid w:val="00674632"/>
    <w:rsid w:val="00682BF2"/>
    <w:rsid w:val="00682D77"/>
    <w:rsid w:val="006859CE"/>
    <w:rsid w:val="00691270"/>
    <w:rsid w:val="00694BA8"/>
    <w:rsid w:val="006A037C"/>
    <w:rsid w:val="006A1F8B"/>
    <w:rsid w:val="006A36F4"/>
    <w:rsid w:val="006A406F"/>
    <w:rsid w:val="006A5D3A"/>
    <w:rsid w:val="006B0F25"/>
    <w:rsid w:val="006B4F2B"/>
    <w:rsid w:val="006B50E4"/>
    <w:rsid w:val="006C23D4"/>
    <w:rsid w:val="006C4CD1"/>
    <w:rsid w:val="006C7BB0"/>
    <w:rsid w:val="006D2EE8"/>
    <w:rsid w:val="006D3237"/>
    <w:rsid w:val="006D7624"/>
    <w:rsid w:val="006E2E37"/>
    <w:rsid w:val="006E36AC"/>
    <w:rsid w:val="006E3CF1"/>
    <w:rsid w:val="006E7E80"/>
    <w:rsid w:val="006F48CA"/>
    <w:rsid w:val="006F64DD"/>
    <w:rsid w:val="0070544E"/>
    <w:rsid w:val="007058D5"/>
    <w:rsid w:val="00712838"/>
    <w:rsid w:val="00715127"/>
    <w:rsid w:val="00715E8E"/>
    <w:rsid w:val="00717725"/>
    <w:rsid w:val="00723580"/>
    <w:rsid w:val="00723755"/>
    <w:rsid w:val="007241AB"/>
    <w:rsid w:val="00727EEA"/>
    <w:rsid w:val="0073136C"/>
    <w:rsid w:val="00731F0F"/>
    <w:rsid w:val="00733250"/>
    <w:rsid w:val="00741404"/>
    <w:rsid w:val="007423C6"/>
    <w:rsid w:val="007449E5"/>
    <w:rsid w:val="00747FF0"/>
    <w:rsid w:val="007543AF"/>
    <w:rsid w:val="00764D4E"/>
    <w:rsid w:val="00765920"/>
    <w:rsid w:val="00765A1F"/>
    <w:rsid w:val="0076626B"/>
    <w:rsid w:val="007672A2"/>
    <w:rsid w:val="00767AD3"/>
    <w:rsid w:val="007701CC"/>
    <w:rsid w:val="00772B25"/>
    <w:rsid w:val="0077491B"/>
    <w:rsid w:val="00774CF7"/>
    <w:rsid w:val="00775B6D"/>
    <w:rsid w:val="00776D68"/>
    <w:rsid w:val="00781F37"/>
    <w:rsid w:val="007832BC"/>
    <w:rsid w:val="007850EE"/>
    <w:rsid w:val="00785B95"/>
    <w:rsid w:val="00790E96"/>
    <w:rsid w:val="00793366"/>
    <w:rsid w:val="007960B0"/>
    <w:rsid w:val="007A716F"/>
    <w:rsid w:val="007B1C35"/>
    <w:rsid w:val="007B270A"/>
    <w:rsid w:val="007B3C4C"/>
    <w:rsid w:val="007B4DD9"/>
    <w:rsid w:val="007C0695"/>
    <w:rsid w:val="007C419A"/>
    <w:rsid w:val="007C4CC8"/>
    <w:rsid w:val="007C5426"/>
    <w:rsid w:val="007C5798"/>
    <w:rsid w:val="007D165E"/>
    <w:rsid w:val="007D4832"/>
    <w:rsid w:val="007E21B2"/>
    <w:rsid w:val="007E2C4E"/>
    <w:rsid w:val="007F1905"/>
    <w:rsid w:val="00802C64"/>
    <w:rsid w:val="00805CF8"/>
    <w:rsid w:val="00805E52"/>
    <w:rsid w:val="008061D0"/>
    <w:rsid w:val="00810B38"/>
    <w:rsid w:val="0081407C"/>
    <w:rsid w:val="00817600"/>
    <w:rsid w:val="008204C7"/>
    <w:rsid w:val="00820992"/>
    <w:rsid w:val="00823602"/>
    <w:rsid w:val="008236DF"/>
    <w:rsid w:val="008255F5"/>
    <w:rsid w:val="00827F8B"/>
    <w:rsid w:val="0083014E"/>
    <w:rsid w:val="00830D7A"/>
    <w:rsid w:val="0083214A"/>
    <w:rsid w:val="00834220"/>
    <w:rsid w:val="00845723"/>
    <w:rsid w:val="00846214"/>
    <w:rsid w:val="00851EF9"/>
    <w:rsid w:val="008577FD"/>
    <w:rsid w:val="00860B03"/>
    <w:rsid w:val="008614EF"/>
    <w:rsid w:val="00862353"/>
    <w:rsid w:val="0086497A"/>
    <w:rsid w:val="008713A1"/>
    <w:rsid w:val="008754AB"/>
    <w:rsid w:val="0088060C"/>
    <w:rsid w:val="008809DE"/>
    <w:rsid w:val="008873B1"/>
    <w:rsid w:val="00893576"/>
    <w:rsid w:val="00893E73"/>
    <w:rsid w:val="008945EE"/>
    <w:rsid w:val="008A6DCA"/>
    <w:rsid w:val="008B02DC"/>
    <w:rsid w:val="008B2457"/>
    <w:rsid w:val="008B57CE"/>
    <w:rsid w:val="008B6EC7"/>
    <w:rsid w:val="008C26DE"/>
    <w:rsid w:val="008C6418"/>
    <w:rsid w:val="008D2225"/>
    <w:rsid w:val="008D26DD"/>
    <w:rsid w:val="008D4752"/>
    <w:rsid w:val="008E271C"/>
    <w:rsid w:val="008E418E"/>
    <w:rsid w:val="008E43A9"/>
    <w:rsid w:val="008E5BC6"/>
    <w:rsid w:val="008E6A25"/>
    <w:rsid w:val="008F5193"/>
    <w:rsid w:val="008F64B5"/>
    <w:rsid w:val="009013A7"/>
    <w:rsid w:val="009017FB"/>
    <w:rsid w:val="009017FC"/>
    <w:rsid w:val="0090506B"/>
    <w:rsid w:val="009050C9"/>
    <w:rsid w:val="009066FC"/>
    <w:rsid w:val="00913075"/>
    <w:rsid w:val="00913A9A"/>
    <w:rsid w:val="009140A3"/>
    <w:rsid w:val="009144A2"/>
    <w:rsid w:val="0091510C"/>
    <w:rsid w:val="009151FA"/>
    <w:rsid w:val="00917527"/>
    <w:rsid w:val="00922CE1"/>
    <w:rsid w:val="009259AC"/>
    <w:rsid w:val="00926F38"/>
    <w:rsid w:val="00930D70"/>
    <w:rsid w:val="0093404F"/>
    <w:rsid w:val="00934301"/>
    <w:rsid w:val="009366CB"/>
    <w:rsid w:val="00936CD1"/>
    <w:rsid w:val="00941747"/>
    <w:rsid w:val="00941EFB"/>
    <w:rsid w:val="00947AFB"/>
    <w:rsid w:val="00951D7D"/>
    <w:rsid w:val="00960FF6"/>
    <w:rsid w:val="00962C16"/>
    <w:rsid w:val="009630C7"/>
    <w:rsid w:val="00963B6A"/>
    <w:rsid w:val="00965F4B"/>
    <w:rsid w:val="00972B55"/>
    <w:rsid w:val="00973DAA"/>
    <w:rsid w:val="009743B7"/>
    <w:rsid w:val="009811BD"/>
    <w:rsid w:val="0098228B"/>
    <w:rsid w:val="00982469"/>
    <w:rsid w:val="009828DA"/>
    <w:rsid w:val="00985BAB"/>
    <w:rsid w:val="00996DAA"/>
    <w:rsid w:val="009A147A"/>
    <w:rsid w:val="009B1B5F"/>
    <w:rsid w:val="009B1C9C"/>
    <w:rsid w:val="009B6673"/>
    <w:rsid w:val="009C11AE"/>
    <w:rsid w:val="009C191B"/>
    <w:rsid w:val="009C2BD6"/>
    <w:rsid w:val="009C3D41"/>
    <w:rsid w:val="009D5B48"/>
    <w:rsid w:val="009E00A8"/>
    <w:rsid w:val="009E0462"/>
    <w:rsid w:val="009E1F32"/>
    <w:rsid w:val="009E3431"/>
    <w:rsid w:val="009E776C"/>
    <w:rsid w:val="009F3855"/>
    <w:rsid w:val="009F7186"/>
    <w:rsid w:val="00A1726E"/>
    <w:rsid w:val="00A204CF"/>
    <w:rsid w:val="00A22A66"/>
    <w:rsid w:val="00A23D49"/>
    <w:rsid w:val="00A27004"/>
    <w:rsid w:val="00A30C29"/>
    <w:rsid w:val="00A34DD6"/>
    <w:rsid w:val="00A36819"/>
    <w:rsid w:val="00A36989"/>
    <w:rsid w:val="00A43628"/>
    <w:rsid w:val="00A46A1D"/>
    <w:rsid w:val="00A54192"/>
    <w:rsid w:val="00A6035E"/>
    <w:rsid w:val="00A6144C"/>
    <w:rsid w:val="00A66617"/>
    <w:rsid w:val="00A671F8"/>
    <w:rsid w:val="00A673A4"/>
    <w:rsid w:val="00A713D9"/>
    <w:rsid w:val="00A724AE"/>
    <w:rsid w:val="00A73329"/>
    <w:rsid w:val="00A737D1"/>
    <w:rsid w:val="00A81810"/>
    <w:rsid w:val="00A82359"/>
    <w:rsid w:val="00A865D2"/>
    <w:rsid w:val="00A94494"/>
    <w:rsid w:val="00A94C20"/>
    <w:rsid w:val="00AA227F"/>
    <w:rsid w:val="00AA3BC7"/>
    <w:rsid w:val="00AA754A"/>
    <w:rsid w:val="00AB099E"/>
    <w:rsid w:val="00AB4328"/>
    <w:rsid w:val="00AC0C66"/>
    <w:rsid w:val="00AE0A2E"/>
    <w:rsid w:val="00AE354C"/>
    <w:rsid w:val="00AF4B07"/>
    <w:rsid w:val="00AF6186"/>
    <w:rsid w:val="00AF7A3A"/>
    <w:rsid w:val="00B037AA"/>
    <w:rsid w:val="00B14139"/>
    <w:rsid w:val="00B149C8"/>
    <w:rsid w:val="00B160DB"/>
    <w:rsid w:val="00B20836"/>
    <w:rsid w:val="00B23364"/>
    <w:rsid w:val="00B235BB"/>
    <w:rsid w:val="00B26A79"/>
    <w:rsid w:val="00B27A44"/>
    <w:rsid w:val="00B30BBF"/>
    <w:rsid w:val="00B33C03"/>
    <w:rsid w:val="00B353AC"/>
    <w:rsid w:val="00B43417"/>
    <w:rsid w:val="00B44E56"/>
    <w:rsid w:val="00B46543"/>
    <w:rsid w:val="00B46B9B"/>
    <w:rsid w:val="00B47D33"/>
    <w:rsid w:val="00B52BE0"/>
    <w:rsid w:val="00B533F5"/>
    <w:rsid w:val="00B54133"/>
    <w:rsid w:val="00B54CD5"/>
    <w:rsid w:val="00B701ED"/>
    <w:rsid w:val="00B70200"/>
    <w:rsid w:val="00B704C4"/>
    <w:rsid w:val="00B72B49"/>
    <w:rsid w:val="00B8086C"/>
    <w:rsid w:val="00B861B4"/>
    <w:rsid w:val="00B86DFE"/>
    <w:rsid w:val="00B90990"/>
    <w:rsid w:val="00B922FF"/>
    <w:rsid w:val="00B9281E"/>
    <w:rsid w:val="00B93925"/>
    <w:rsid w:val="00B95187"/>
    <w:rsid w:val="00BA2D55"/>
    <w:rsid w:val="00BA310E"/>
    <w:rsid w:val="00BA71B1"/>
    <w:rsid w:val="00BB0637"/>
    <w:rsid w:val="00BB345F"/>
    <w:rsid w:val="00BB68EA"/>
    <w:rsid w:val="00BB6B08"/>
    <w:rsid w:val="00BB7214"/>
    <w:rsid w:val="00BC1C27"/>
    <w:rsid w:val="00BC6BBF"/>
    <w:rsid w:val="00BD1572"/>
    <w:rsid w:val="00BE14E3"/>
    <w:rsid w:val="00BE3774"/>
    <w:rsid w:val="00BE41E5"/>
    <w:rsid w:val="00BE4C3D"/>
    <w:rsid w:val="00BE62A2"/>
    <w:rsid w:val="00BF4109"/>
    <w:rsid w:val="00BF4CC3"/>
    <w:rsid w:val="00BF75EF"/>
    <w:rsid w:val="00C04DAD"/>
    <w:rsid w:val="00C054C7"/>
    <w:rsid w:val="00C0551A"/>
    <w:rsid w:val="00C057B5"/>
    <w:rsid w:val="00C22687"/>
    <w:rsid w:val="00C22FCE"/>
    <w:rsid w:val="00C26BAC"/>
    <w:rsid w:val="00C32E4D"/>
    <w:rsid w:val="00C333A0"/>
    <w:rsid w:val="00C36A81"/>
    <w:rsid w:val="00C409B8"/>
    <w:rsid w:val="00C41974"/>
    <w:rsid w:val="00C44985"/>
    <w:rsid w:val="00C51549"/>
    <w:rsid w:val="00C51FC7"/>
    <w:rsid w:val="00C53F4A"/>
    <w:rsid w:val="00C54125"/>
    <w:rsid w:val="00C55B54"/>
    <w:rsid w:val="00C6098E"/>
    <w:rsid w:val="00C6141A"/>
    <w:rsid w:val="00C6152C"/>
    <w:rsid w:val="00C64B7C"/>
    <w:rsid w:val="00C64B8F"/>
    <w:rsid w:val="00C74810"/>
    <w:rsid w:val="00C835D4"/>
    <w:rsid w:val="00C90D68"/>
    <w:rsid w:val="00C939FE"/>
    <w:rsid w:val="00C969D3"/>
    <w:rsid w:val="00C97A38"/>
    <w:rsid w:val="00CA1DB8"/>
    <w:rsid w:val="00CA4BDA"/>
    <w:rsid w:val="00CB08BB"/>
    <w:rsid w:val="00CB1F66"/>
    <w:rsid w:val="00CB2951"/>
    <w:rsid w:val="00CD282B"/>
    <w:rsid w:val="00CD3FB6"/>
    <w:rsid w:val="00CD4C35"/>
    <w:rsid w:val="00CD7369"/>
    <w:rsid w:val="00CE02F9"/>
    <w:rsid w:val="00CE0B0E"/>
    <w:rsid w:val="00CE3831"/>
    <w:rsid w:val="00D00ABB"/>
    <w:rsid w:val="00D02EEC"/>
    <w:rsid w:val="00D03551"/>
    <w:rsid w:val="00D06A63"/>
    <w:rsid w:val="00D07E0E"/>
    <w:rsid w:val="00D10BC6"/>
    <w:rsid w:val="00D11478"/>
    <w:rsid w:val="00D15ED0"/>
    <w:rsid w:val="00D21B3E"/>
    <w:rsid w:val="00D21FED"/>
    <w:rsid w:val="00D24251"/>
    <w:rsid w:val="00D26311"/>
    <w:rsid w:val="00D342E9"/>
    <w:rsid w:val="00D343E2"/>
    <w:rsid w:val="00D361A2"/>
    <w:rsid w:val="00D44C2E"/>
    <w:rsid w:val="00D45414"/>
    <w:rsid w:val="00D566BD"/>
    <w:rsid w:val="00D57A4D"/>
    <w:rsid w:val="00D60AA7"/>
    <w:rsid w:val="00D6435F"/>
    <w:rsid w:val="00D655E3"/>
    <w:rsid w:val="00D75E28"/>
    <w:rsid w:val="00D772C2"/>
    <w:rsid w:val="00D8008E"/>
    <w:rsid w:val="00D82C45"/>
    <w:rsid w:val="00D84D62"/>
    <w:rsid w:val="00D874A5"/>
    <w:rsid w:val="00D908A8"/>
    <w:rsid w:val="00D91D7E"/>
    <w:rsid w:val="00D977B6"/>
    <w:rsid w:val="00D978D9"/>
    <w:rsid w:val="00DA15F4"/>
    <w:rsid w:val="00DA4A31"/>
    <w:rsid w:val="00DA5C04"/>
    <w:rsid w:val="00DA7B04"/>
    <w:rsid w:val="00DB36C2"/>
    <w:rsid w:val="00DB6E58"/>
    <w:rsid w:val="00DB750F"/>
    <w:rsid w:val="00DC169B"/>
    <w:rsid w:val="00DC2AB9"/>
    <w:rsid w:val="00DC4033"/>
    <w:rsid w:val="00DC63F0"/>
    <w:rsid w:val="00DD0EF7"/>
    <w:rsid w:val="00DD12AB"/>
    <w:rsid w:val="00DD3276"/>
    <w:rsid w:val="00DD6EE5"/>
    <w:rsid w:val="00DE1D4C"/>
    <w:rsid w:val="00DE2D71"/>
    <w:rsid w:val="00DE386C"/>
    <w:rsid w:val="00DE4D35"/>
    <w:rsid w:val="00DE6FA3"/>
    <w:rsid w:val="00DF098B"/>
    <w:rsid w:val="00DF11C4"/>
    <w:rsid w:val="00DF210C"/>
    <w:rsid w:val="00DF4B6A"/>
    <w:rsid w:val="00E02C09"/>
    <w:rsid w:val="00E04614"/>
    <w:rsid w:val="00E04D59"/>
    <w:rsid w:val="00E07DA1"/>
    <w:rsid w:val="00E123CB"/>
    <w:rsid w:val="00E13871"/>
    <w:rsid w:val="00E20E13"/>
    <w:rsid w:val="00E21DBC"/>
    <w:rsid w:val="00E275D7"/>
    <w:rsid w:val="00E27DBE"/>
    <w:rsid w:val="00E31657"/>
    <w:rsid w:val="00E32AB1"/>
    <w:rsid w:val="00E36C71"/>
    <w:rsid w:val="00E37C5E"/>
    <w:rsid w:val="00E40404"/>
    <w:rsid w:val="00E459C6"/>
    <w:rsid w:val="00E47589"/>
    <w:rsid w:val="00E64915"/>
    <w:rsid w:val="00E661D4"/>
    <w:rsid w:val="00E70091"/>
    <w:rsid w:val="00E720F5"/>
    <w:rsid w:val="00E76D47"/>
    <w:rsid w:val="00E813CE"/>
    <w:rsid w:val="00E817AB"/>
    <w:rsid w:val="00E849F7"/>
    <w:rsid w:val="00E90302"/>
    <w:rsid w:val="00E9048C"/>
    <w:rsid w:val="00E94B40"/>
    <w:rsid w:val="00E95E52"/>
    <w:rsid w:val="00E97396"/>
    <w:rsid w:val="00E97D82"/>
    <w:rsid w:val="00EA185E"/>
    <w:rsid w:val="00EA234D"/>
    <w:rsid w:val="00EA592A"/>
    <w:rsid w:val="00EB01E6"/>
    <w:rsid w:val="00EB14E4"/>
    <w:rsid w:val="00EB32A5"/>
    <w:rsid w:val="00EB34ED"/>
    <w:rsid w:val="00EB447C"/>
    <w:rsid w:val="00EB7BE0"/>
    <w:rsid w:val="00EC315E"/>
    <w:rsid w:val="00ED077C"/>
    <w:rsid w:val="00ED1190"/>
    <w:rsid w:val="00ED6544"/>
    <w:rsid w:val="00ED67C1"/>
    <w:rsid w:val="00EE0277"/>
    <w:rsid w:val="00EE08FA"/>
    <w:rsid w:val="00EE3E00"/>
    <w:rsid w:val="00EE4995"/>
    <w:rsid w:val="00EE5DD2"/>
    <w:rsid w:val="00EE7E6E"/>
    <w:rsid w:val="00F00A79"/>
    <w:rsid w:val="00F00E86"/>
    <w:rsid w:val="00F02521"/>
    <w:rsid w:val="00F07C1E"/>
    <w:rsid w:val="00F105DB"/>
    <w:rsid w:val="00F132BC"/>
    <w:rsid w:val="00F13D80"/>
    <w:rsid w:val="00F155E8"/>
    <w:rsid w:val="00F16AAA"/>
    <w:rsid w:val="00F21161"/>
    <w:rsid w:val="00F218EF"/>
    <w:rsid w:val="00F21BC7"/>
    <w:rsid w:val="00F266A2"/>
    <w:rsid w:val="00F32269"/>
    <w:rsid w:val="00F36844"/>
    <w:rsid w:val="00F42E99"/>
    <w:rsid w:val="00F56625"/>
    <w:rsid w:val="00F56A6F"/>
    <w:rsid w:val="00F5709C"/>
    <w:rsid w:val="00F6348B"/>
    <w:rsid w:val="00F64EF1"/>
    <w:rsid w:val="00F75DFC"/>
    <w:rsid w:val="00F7663E"/>
    <w:rsid w:val="00F822E2"/>
    <w:rsid w:val="00F8644C"/>
    <w:rsid w:val="00F86B7D"/>
    <w:rsid w:val="00F8765F"/>
    <w:rsid w:val="00F90767"/>
    <w:rsid w:val="00FA685B"/>
    <w:rsid w:val="00FA6BFC"/>
    <w:rsid w:val="00FA746C"/>
    <w:rsid w:val="00FB0C01"/>
    <w:rsid w:val="00FB64FB"/>
    <w:rsid w:val="00FB7C95"/>
    <w:rsid w:val="00FC18F2"/>
    <w:rsid w:val="00FC39E5"/>
    <w:rsid w:val="00FC3A78"/>
    <w:rsid w:val="00FD1005"/>
    <w:rsid w:val="00FD10FC"/>
    <w:rsid w:val="00FD6C75"/>
    <w:rsid w:val="00FE2469"/>
    <w:rsid w:val="00FE6292"/>
    <w:rsid w:val="00FE71B3"/>
    <w:rsid w:val="00FF42C5"/>
    <w:rsid w:val="00FF62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ADB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22FCE"/>
    <w:rPr>
      <w:sz w:val="24"/>
      <w:szCs w:val="24"/>
      <w:lang w:val="en-GB"/>
    </w:rPr>
  </w:style>
  <w:style w:type="paragraph" w:styleId="Heading1">
    <w:name w:val="heading 1"/>
    <w:basedOn w:val="Normal"/>
    <w:next w:val="Normal"/>
    <w:link w:val="Heading1Char"/>
    <w:uiPriority w:val="98"/>
    <w:semiHidden/>
    <w:rsid w:val="00C22FC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C22FC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C22FC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C22FC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C22FC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C22FC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C22FC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C22FC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C22FC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C22FCE"/>
    <w:rPr>
      <w:rFonts w:ascii="Tahoma" w:hAnsi="Tahoma" w:cs="Tahoma"/>
      <w:sz w:val="16"/>
      <w:szCs w:val="16"/>
    </w:rPr>
  </w:style>
  <w:style w:type="character" w:customStyle="1" w:styleId="BalloonTextChar">
    <w:name w:val="Balloon Text Char"/>
    <w:basedOn w:val="DefaultParagraphFont"/>
    <w:link w:val="BalloonText"/>
    <w:uiPriority w:val="98"/>
    <w:semiHidden/>
    <w:rsid w:val="00C22FCE"/>
    <w:rPr>
      <w:rFonts w:ascii="Tahoma" w:hAnsi="Tahoma" w:cs="Tahoma"/>
      <w:sz w:val="16"/>
      <w:szCs w:val="16"/>
      <w:lang w:val="en-GB"/>
    </w:rPr>
  </w:style>
  <w:style w:type="character" w:styleId="BookTitle">
    <w:name w:val="Book Title"/>
    <w:uiPriority w:val="98"/>
    <w:semiHidden/>
    <w:qFormat/>
    <w:rsid w:val="00C22FCE"/>
    <w:rPr>
      <w:i/>
      <w:iCs/>
      <w:smallCaps/>
      <w:spacing w:val="5"/>
    </w:rPr>
  </w:style>
  <w:style w:type="paragraph" w:customStyle="1" w:styleId="JuHeader">
    <w:name w:val="Ju_Header"/>
    <w:aliases w:val="_Header"/>
    <w:basedOn w:val="Header"/>
    <w:uiPriority w:val="29"/>
    <w:qFormat/>
    <w:rsid w:val="00C22FCE"/>
    <w:pPr>
      <w:tabs>
        <w:tab w:val="clear" w:pos="4536"/>
        <w:tab w:val="clear" w:pos="9072"/>
      </w:tabs>
      <w:jc w:val="center"/>
    </w:pPr>
    <w:rPr>
      <w:sz w:val="18"/>
    </w:rPr>
  </w:style>
  <w:style w:type="paragraph" w:customStyle="1" w:styleId="NormalJustified">
    <w:name w:val="Normal_Justified"/>
    <w:basedOn w:val="Normal"/>
    <w:semiHidden/>
    <w:rsid w:val="00C22FCE"/>
    <w:pPr>
      <w:jc w:val="both"/>
    </w:pPr>
  </w:style>
  <w:style w:type="character" w:styleId="Strong">
    <w:name w:val="Strong"/>
    <w:uiPriority w:val="98"/>
    <w:semiHidden/>
    <w:qFormat/>
    <w:rsid w:val="00C22FCE"/>
    <w:rPr>
      <w:b/>
      <w:bCs/>
    </w:rPr>
  </w:style>
  <w:style w:type="paragraph" w:styleId="NoSpacing">
    <w:name w:val="No Spacing"/>
    <w:basedOn w:val="Normal"/>
    <w:link w:val="NoSpacingChar"/>
    <w:uiPriority w:val="98"/>
    <w:semiHidden/>
    <w:qFormat/>
    <w:rsid w:val="00C22FCE"/>
  </w:style>
  <w:style w:type="character" w:customStyle="1" w:styleId="NoSpacingChar">
    <w:name w:val="No Spacing Char"/>
    <w:basedOn w:val="DefaultParagraphFont"/>
    <w:link w:val="NoSpacing"/>
    <w:uiPriority w:val="98"/>
    <w:semiHidden/>
    <w:rsid w:val="00C22FCE"/>
    <w:rPr>
      <w:sz w:val="24"/>
      <w:szCs w:val="24"/>
      <w:lang w:val="en-GB"/>
    </w:rPr>
  </w:style>
  <w:style w:type="paragraph" w:customStyle="1" w:styleId="JuQuot">
    <w:name w:val="Ju_Quot"/>
    <w:aliases w:val="_Quote"/>
    <w:basedOn w:val="NormalJustified"/>
    <w:link w:val="JuQuotChar"/>
    <w:uiPriority w:val="20"/>
    <w:qFormat/>
    <w:rsid w:val="00C22FCE"/>
    <w:pPr>
      <w:spacing w:before="120" w:after="120"/>
      <w:ind w:left="425" w:firstLine="142"/>
    </w:pPr>
    <w:rPr>
      <w:sz w:val="20"/>
    </w:rPr>
  </w:style>
  <w:style w:type="paragraph" w:customStyle="1" w:styleId="DummyStyle">
    <w:name w:val="Dummy_Style"/>
    <w:aliases w:val="_Dummy"/>
    <w:basedOn w:val="Normal"/>
    <w:semiHidden/>
    <w:qFormat/>
    <w:rsid w:val="00C22FCE"/>
    <w:rPr>
      <w:color w:val="00B050"/>
      <w:sz w:val="22"/>
    </w:rPr>
  </w:style>
  <w:style w:type="paragraph" w:customStyle="1" w:styleId="ECHRCoverTitle4">
    <w:name w:val="ECHR_Cover_Title_4"/>
    <w:aliases w:val="_Title_4"/>
    <w:basedOn w:val="JuPara"/>
    <w:next w:val="JuPara"/>
    <w:uiPriority w:val="38"/>
    <w:qFormat/>
    <w:rsid w:val="00C22FCE"/>
    <w:pPr>
      <w:keepNext/>
      <w:keepLines/>
      <w:tabs>
        <w:tab w:val="right" w:pos="7938"/>
      </w:tabs>
      <w:ind w:firstLine="0"/>
      <w:jc w:val="center"/>
    </w:pPr>
    <w:rPr>
      <w:i/>
    </w:rPr>
  </w:style>
  <w:style w:type="numbering" w:customStyle="1" w:styleId="ECHRA1StyleBulletedSquare">
    <w:name w:val="ECHR_A1_Style_Bulleted_Square"/>
    <w:basedOn w:val="NoList"/>
    <w:rsid w:val="00C22FCE"/>
    <w:pPr>
      <w:numPr>
        <w:numId w:val="9"/>
      </w:numPr>
    </w:pPr>
  </w:style>
  <w:style w:type="numbering" w:customStyle="1" w:styleId="ECHRA1StyleList">
    <w:name w:val="ECHR_A1_Style_List"/>
    <w:basedOn w:val="NoList"/>
    <w:uiPriority w:val="99"/>
    <w:rsid w:val="00C22FCE"/>
    <w:pPr>
      <w:numPr>
        <w:numId w:val="10"/>
      </w:numPr>
    </w:pPr>
  </w:style>
  <w:style w:type="paragraph" w:customStyle="1" w:styleId="JuHArticle">
    <w:name w:val="Ju_H_Article"/>
    <w:aliases w:val="_Title_Quote"/>
    <w:basedOn w:val="Normal"/>
    <w:next w:val="JuQuot"/>
    <w:uiPriority w:val="19"/>
    <w:qFormat/>
    <w:rsid w:val="00C22FCE"/>
    <w:pPr>
      <w:keepNext/>
      <w:spacing w:before="100" w:beforeAutospacing="1" w:after="120"/>
      <w:contextualSpacing/>
      <w:jc w:val="center"/>
    </w:pPr>
    <w:rPr>
      <w:b/>
      <w:sz w:val="20"/>
    </w:rPr>
  </w:style>
  <w:style w:type="numbering" w:customStyle="1" w:styleId="ECHRA1StyleNumberedList">
    <w:name w:val="ECHR_A1_Style_Numbered_List"/>
    <w:basedOn w:val="NoList"/>
    <w:rsid w:val="00C22FCE"/>
    <w:pPr>
      <w:numPr>
        <w:numId w:val="11"/>
      </w:numPr>
    </w:pPr>
  </w:style>
  <w:style w:type="table" w:customStyle="1" w:styleId="ECHRTable2019">
    <w:name w:val="ECHR_Table_2019"/>
    <w:basedOn w:val="TableNormal"/>
    <w:uiPriority w:val="99"/>
    <w:rsid w:val="00C22FC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HHead">
    <w:name w:val="Ju_H_Head"/>
    <w:aliases w:val="_Head_1"/>
    <w:basedOn w:val="Heading1"/>
    <w:next w:val="JuPara"/>
    <w:uiPriority w:val="17"/>
    <w:qFormat/>
    <w:rsid w:val="00C22FCE"/>
    <w:pPr>
      <w:keepNext/>
      <w:keepLines/>
      <w:numPr>
        <w:numId w:val="5"/>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C22FCE"/>
    <w:pPr>
      <w:tabs>
        <w:tab w:val="center" w:pos="6407"/>
      </w:tabs>
      <w:spacing w:before="720"/>
      <w:jc w:val="right"/>
    </w:pPr>
  </w:style>
  <w:style w:type="paragraph" w:customStyle="1" w:styleId="JuSigned">
    <w:name w:val="Ju_Signed"/>
    <w:aliases w:val="_Signature"/>
    <w:basedOn w:val="Normal"/>
    <w:next w:val="JuPara"/>
    <w:uiPriority w:val="31"/>
    <w:qFormat/>
    <w:rsid w:val="00C22FCE"/>
    <w:pPr>
      <w:tabs>
        <w:tab w:val="center" w:pos="851"/>
        <w:tab w:val="center" w:pos="6407"/>
      </w:tabs>
      <w:spacing w:before="720"/>
    </w:pPr>
  </w:style>
  <w:style w:type="paragraph" w:styleId="Title">
    <w:name w:val="Title"/>
    <w:basedOn w:val="Normal"/>
    <w:next w:val="Normal"/>
    <w:link w:val="TitleChar"/>
    <w:uiPriority w:val="98"/>
    <w:semiHidden/>
    <w:qFormat/>
    <w:rsid w:val="00C22FC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C22FCE"/>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261BA9"/>
    <w:rPr>
      <w:sz w:val="8"/>
    </w:rPr>
  </w:style>
  <w:style w:type="character" w:customStyle="1" w:styleId="JUNAMES">
    <w:name w:val="JU_NAMES"/>
    <w:aliases w:val="_Ju_Names"/>
    <w:uiPriority w:val="33"/>
    <w:qFormat/>
    <w:rsid w:val="00C22FCE"/>
    <w:rPr>
      <w:caps w:val="0"/>
      <w:smallCaps/>
    </w:rPr>
  </w:style>
  <w:style w:type="character" w:customStyle="1" w:styleId="JuITMark">
    <w:name w:val="Ju_ITMark"/>
    <w:aliases w:val="_ITMark"/>
    <w:basedOn w:val="DefaultParagraphFont"/>
    <w:uiPriority w:val="54"/>
    <w:qFormat/>
    <w:rsid w:val="00C22FCE"/>
    <w:rPr>
      <w:vanish w:val="0"/>
      <w:color w:val="auto"/>
      <w:sz w:val="14"/>
      <w:bdr w:val="none" w:sz="0" w:space="0" w:color="auto"/>
      <w:shd w:val="clear" w:color="auto" w:fill="BEE5FF" w:themeFill="background1" w:themeFillTint="33"/>
    </w:rPr>
  </w:style>
  <w:style w:type="paragraph" w:customStyle="1" w:styleId="JuCourt">
    <w:name w:val="Ju_Court"/>
    <w:aliases w:val="_Court_Names"/>
    <w:basedOn w:val="Normal"/>
    <w:next w:val="Normal"/>
    <w:uiPriority w:val="32"/>
    <w:qFormat/>
    <w:rsid w:val="00C22FC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C22FCE"/>
    <w:pPr>
      <w:keepNext/>
      <w:keepLines/>
      <w:numPr>
        <w:ilvl w:val="1"/>
        <w:numId w:val="5"/>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link w:val="JuHAChar"/>
    <w:uiPriority w:val="17"/>
    <w:qFormat/>
    <w:rsid w:val="00C22FCE"/>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C22FCE"/>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C22FCE"/>
    <w:pPr>
      <w:tabs>
        <w:tab w:val="center" w:pos="4536"/>
        <w:tab w:val="right" w:pos="9072"/>
      </w:tabs>
    </w:pPr>
  </w:style>
  <w:style w:type="character" w:customStyle="1" w:styleId="HeaderChar">
    <w:name w:val="Header Char"/>
    <w:basedOn w:val="DefaultParagraphFont"/>
    <w:link w:val="Header"/>
    <w:uiPriority w:val="98"/>
    <w:semiHidden/>
    <w:rsid w:val="00C22FCE"/>
    <w:rPr>
      <w:sz w:val="24"/>
      <w:szCs w:val="24"/>
      <w:lang w:val="en-GB"/>
    </w:rPr>
  </w:style>
  <w:style w:type="character" w:customStyle="1" w:styleId="Heading1Char">
    <w:name w:val="Heading 1 Char"/>
    <w:basedOn w:val="DefaultParagraphFont"/>
    <w:link w:val="Heading1"/>
    <w:uiPriority w:val="98"/>
    <w:semiHidden/>
    <w:rsid w:val="00C22FCE"/>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C22FCE"/>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C22FCE"/>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C22FCE"/>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C22FCE"/>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C22FCE"/>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C22FCE"/>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C22FCE"/>
    <w:pPr>
      <w:keepNext/>
      <w:keepLines/>
      <w:spacing w:before="240" w:after="240"/>
      <w:ind w:firstLine="284"/>
    </w:pPr>
  </w:style>
  <w:style w:type="paragraph" w:customStyle="1" w:styleId="JuJudges">
    <w:name w:val="Ju_Judges"/>
    <w:aliases w:val="_Judges"/>
    <w:basedOn w:val="Normal"/>
    <w:uiPriority w:val="32"/>
    <w:qFormat/>
    <w:rsid w:val="00C22FCE"/>
    <w:pPr>
      <w:tabs>
        <w:tab w:val="left" w:pos="567"/>
        <w:tab w:val="left" w:pos="1134"/>
      </w:tabs>
    </w:pPr>
  </w:style>
  <w:style w:type="character" w:customStyle="1" w:styleId="Heading4Char">
    <w:name w:val="Heading 4 Char"/>
    <w:basedOn w:val="DefaultParagraphFont"/>
    <w:link w:val="Heading4"/>
    <w:uiPriority w:val="98"/>
    <w:semiHidden/>
    <w:rsid w:val="00C22FCE"/>
    <w:rPr>
      <w:rFonts w:asciiTheme="majorHAnsi" w:eastAsiaTheme="majorEastAsia" w:hAnsiTheme="majorHAnsi" w:cstheme="majorBidi"/>
      <w:b/>
      <w:bCs/>
      <w:i/>
      <w:iCs/>
      <w:color w:val="777777"/>
      <w:lang w:val="en-GB"/>
    </w:rPr>
  </w:style>
  <w:style w:type="paragraph" w:customStyle="1" w:styleId="JuList">
    <w:name w:val="Ju_List"/>
    <w:aliases w:val="_List_1"/>
    <w:basedOn w:val="NormalJustified"/>
    <w:uiPriority w:val="23"/>
    <w:qFormat/>
    <w:rsid w:val="00C22FCE"/>
    <w:pPr>
      <w:numPr>
        <w:numId w:val="10"/>
      </w:numPr>
      <w:spacing w:before="280" w:after="60"/>
    </w:pPr>
  </w:style>
  <w:style w:type="character" w:customStyle="1" w:styleId="Heading5Char">
    <w:name w:val="Heading 5 Char"/>
    <w:basedOn w:val="DefaultParagraphFont"/>
    <w:link w:val="Heading5"/>
    <w:uiPriority w:val="98"/>
    <w:semiHidden/>
    <w:rsid w:val="00C22FCE"/>
    <w:rPr>
      <w:rFonts w:asciiTheme="majorHAnsi" w:eastAsiaTheme="majorEastAsia" w:hAnsiTheme="majorHAnsi" w:cstheme="majorBidi"/>
      <w:b/>
      <w:bCs/>
      <w:color w:val="808080"/>
      <w:lang w:val="en-GB"/>
    </w:rPr>
  </w:style>
  <w:style w:type="paragraph" w:customStyle="1" w:styleId="JuLista">
    <w:name w:val="Ju_List_a"/>
    <w:aliases w:val="_List_2"/>
    <w:basedOn w:val="NormalJustified"/>
    <w:uiPriority w:val="23"/>
    <w:rsid w:val="00C22FCE"/>
    <w:pPr>
      <w:numPr>
        <w:ilvl w:val="1"/>
        <w:numId w:val="10"/>
      </w:numPr>
    </w:pPr>
  </w:style>
  <w:style w:type="paragraph" w:customStyle="1" w:styleId="JuListi">
    <w:name w:val="Ju_List_i"/>
    <w:aliases w:val="_List_3"/>
    <w:basedOn w:val="NormalJustified"/>
    <w:uiPriority w:val="23"/>
    <w:rsid w:val="00C22FCE"/>
    <w:pPr>
      <w:numPr>
        <w:ilvl w:val="2"/>
        <w:numId w:val="10"/>
      </w:numPr>
    </w:pPr>
  </w:style>
  <w:style w:type="character" w:styleId="SubtleEmphasis">
    <w:name w:val="Subtle Emphasis"/>
    <w:uiPriority w:val="98"/>
    <w:semiHidden/>
    <w:qFormat/>
    <w:rsid w:val="00C22FCE"/>
    <w:rPr>
      <w:i/>
      <w:iCs/>
    </w:rPr>
  </w:style>
  <w:style w:type="table" w:customStyle="1" w:styleId="ECHRTable">
    <w:name w:val="ECHR_Table"/>
    <w:basedOn w:val="TableNormal"/>
    <w:rsid w:val="00C22FC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C22FC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C22FCE"/>
    <w:rPr>
      <w:b/>
      <w:bCs/>
      <w:i/>
      <w:iCs/>
      <w:spacing w:val="10"/>
      <w:bdr w:val="none" w:sz="0" w:space="0" w:color="auto"/>
      <w:shd w:val="clear" w:color="auto" w:fill="auto"/>
    </w:rPr>
  </w:style>
  <w:style w:type="paragraph" w:styleId="Footer0">
    <w:name w:val="footer"/>
    <w:basedOn w:val="Normal"/>
    <w:link w:val="FooterChar"/>
    <w:uiPriority w:val="98"/>
    <w:semiHidden/>
    <w:rsid w:val="00C22FCE"/>
    <w:pPr>
      <w:tabs>
        <w:tab w:val="center" w:pos="3686"/>
        <w:tab w:val="right" w:pos="7371"/>
      </w:tabs>
    </w:pPr>
  </w:style>
  <w:style w:type="character" w:customStyle="1" w:styleId="FooterChar">
    <w:name w:val="Footer Char"/>
    <w:basedOn w:val="DefaultParagraphFont"/>
    <w:link w:val="Footer0"/>
    <w:uiPriority w:val="98"/>
    <w:semiHidden/>
    <w:rsid w:val="00C22FCE"/>
    <w:rPr>
      <w:sz w:val="24"/>
      <w:szCs w:val="24"/>
      <w:lang w:val="en-GB"/>
    </w:rPr>
  </w:style>
  <w:style w:type="character" w:styleId="FootnoteReference">
    <w:name w:val="footnote reference"/>
    <w:basedOn w:val="DefaultParagraphFont"/>
    <w:uiPriority w:val="98"/>
    <w:semiHidden/>
    <w:rsid w:val="00C22FCE"/>
    <w:rPr>
      <w:vertAlign w:val="superscript"/>
    </w:rPr>
  </w:style>
  <w:style w:type="paragraph" w:styleId="FootnoteText">
    <w:name w:val="footnote text"/>
    <w:basedOn w:val="Normal"/>
    <w:link w:val="FootnoteTextChar"/>
    <w:uiPriority w:val="98"/>
    <w:semiHidden/>
    <w:rsid w:val="00C22FCE"/>
    <w:rPr>
      <w:sz w:val="20"/>
      <w:szCs w:val="20"/>
    </w:rPr>
  </w:style>
  <w:style w:type="character" w:customStyle="1" w:styleId="FootnoteTextChar">
    <w:name w:val="Footnote Text Char"/>
    <w:basedOn w:val="DefaultParagraphFont"/>
    <w:link w:val="FootnoteText"/>
    <w:uiPriority w:val="98"/>
    <w:semiHidden/>
    <w:rsid w:val="00C22FCE"/>
    <w:rPr>
      <w:sz w:val="20"/>
      <w:szCs w:val="20"/>
      <w:lang w:val="en-GB"/>
    </w:rPr>
  </w:style>
  <w:style w:type="character" w:customStyle="1" w:styleId="Heading6Char">
    <w:name w:val="Heading 6 Char"/>
    <w:basedOn w:val="DefaultParagraphFont"/>
    <w:link w:val="Heading6"/>
    <w:uiPriority w:val="98"/>
    <w:semiHidden/>
    <w:rsid w:val="00C22FCE"/>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C22FCE"/>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C22FCE"/>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C22FCE"/>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C22FCE"/>
    <w:rPr>
      <w:color w:val="0072BC" w:themeColor="hyperlink"/>
      <w:u w:val="single"/>
    </w:rPr>
  </w:style>
  <w:style w:type="character" w:styleId="IntenseEmphasis">
    <w:name w:val="Intense Emphasis"/>
    <w:uiPriority w:val="98"/>
    <w:semiHidden/>
    <w:qFormat/>
    <w:rsid w:val="00C22FCE"/>
    <w:rPr>
      <w:b/>
      <w:bCs/>
    </w:rPr>
  </w:style>
  <w:style w:type="paragraph" w:styleId="IntenseQuote">
    <w:name w:val="Intense Quote"/>
    <w:basedOn w:val="Normal"/>
    <w:next w:val="Normal"/>
    <w:link w:val="IntenseQuoteChar"/>
    <w:uiPriority w:val="98"/>
    <w:semiHidden/>
    <w:qFormat/>
    <w:rsid w:val="00C22FC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C22FCE"/>
    <w:rPr>
      <w:b/>
      <w:bCs/>
      <w:i/>
      <w:iCs/>
      <w:sz w:val="24"/>
      <w:szCs w:val="24"/>
      <w:lang w:val="en-GB" w:bidi="en-US"/>
    </w:rPr>
  </w:style>
  <w:style w:type="character" w:styleId="IntenseReference">
    <w:name w:val="Intense Reference"/>
    <w:uiPriority w:val="98"/>
    <w:semiHidden/>
    <w:qFormat/>
    <w:rsid w:val="00C22FCE"/>
    <w:rPr>
      <w:smallCaps/>
      <w:spacing w:val="5"/>
      <w:u w:val="single"/>
    </w:rPr>
  </w:style>
  <w:style w:type="paragraph" w:styleId="ListParagraph">
    <w:name w:val="List Paragraph"/>
    <w:basedOn w:val="Normal"/>
    <w:uiPriority w:val="98"/>
    <w:semiHidden/>
    <w:qFormat/>
    <w:rsid w:val="00C22FCE"/>
    <w:pPr>
      <w:ind w:left="720"/>
      <w:contextualSpacing/>
    </w:pPr>
  </w:style>
  <w:style w:type="table" w:customStyle="1" w:styleId="LtrTableAddress">
    <w:name w:val="Ltr_Table_Address"/>
    <w:aliases w:val="ECHR_Ltr_Table_Address"/>
    <w:basedOn w:val="TableNormal"/>
    <w:uiPriority w:val="99"/>
    <w:rsid w:val="00C22FCE"/>
    <w:rPr>
      <w:sz w:val="24"/>
      <w:szCs w:val="24"/>
    </w:rPr>
    <w:tblPr>
      <w:tblInd w:w="5103" w:type="dxa"/>
    </w:tblPr>
  </w:style>
  <w:style w:type="paragraph" w:styleId="Quote">
    <w:name w:val="Quote"/>
    <w:basedOn w:val="Normal"/>
    <w:next w:val="Normal"/>
    <w:link w:val="QuoteChar"/>
    <w:uiPriority w:val="98"/>
    <w:semiHidden/>
    <w:qFormat/>
    <w:rsid w:val="00C22FCE"/>
    <w:pPr>
      <w:spacing w:before="200"/>
      <w:ind w:left="360" w:right="360"/>
    </w:pPr>
    <w:rPr>
      <w:i/>
      <w:iCs/>
      <w:lang w:bidi="en-US"/>
    </w:rPr>
  </w:style>
  <w:style w:type="character" w:customStyle="1" w:styleId="QuoteChar">
    <w:name w:val="Quote Char"/>
    <w:basedOn w:val="DefaultParagraphFont"/>
    <w:link w:val="Quote"/>
    <w:uiPriority w:val="98"/>
    <w:semiHidden/>
    <w:rsid w:val="00C22FCE"/>
    <w:rPr>
      <w:i/>
      <w:iCs/>
      <w:sz w:val="24"/>
      <w:szCs w:val="24"/>
      <w:lang w:val="en-GB" w:bidi="en-US"/>
    </w:rPr>
  </w:style>
  <w:style w:type="character" w:styleId="SubtleReference">
    <w:name w:val="Subtle Reference"/>
    <w:uiPriority w:val="98"/>
    <w:semiHidden/>
    <w:qFormat/>
    <w:rsid w:val="00C22FCE"/>
    <w:rPr>
      <w:smallCaps/>
    </w:rPr>
  </w:style>
  <w:style w:type="table" w:styleId="TableGrid">
    <w:name w:val="Table Grid"/>
    <w:basedOn w:val="TableNormal"/>
    <w:uiPriority w:val="59"/>
    <w:semiHidden/>
    <w:rsid w:val="00C22FC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C22FC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C22FC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C22FC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C22FC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C22FC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C22FC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C22FC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C22FC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C22FC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C22FC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C22FC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C22FC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C22FC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C22FC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C22FCE"/>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C22FCE"/>
    <w:pPr>
      <w:numPr>
        <w:numId w:val="6"/>
      </w:numPr>
    </w:pPr>
  </w:style>
  <w:style w:type="paragraph" w:customStyle="1" w:styleId="JuPara">
    <w:name w:val="Ju_Para"/>
    <w:aliases w:val="_Para"/>
    <w:basedOn w:val="NormalJustified"/>
    <w:link w:val="JuParaChar"/>
    <w:uiPriority w:val="4"/>
    <w:qFormat/>
    <w:rsid w:val="00C22FCE"/>
    <w:pPr>
      <w:ind w:firstLine="284"/>
    </w:pPr>
  </w:style>
  <w:style w:type="numbering" w:styleId="1ai">
    <w:name w:val="Outline List 1"/>
    <w:basedOn w:val="NoList"/>
    <w:uiPriority w:val="99"/>
    <w:semiHidden/>
    <w:unhideWhenUsed/>
    <w:rsid w:val="00C22FCE"/>
    <w:pPr>
      <w:numPr>
        <w:numId w:val="7"/>
      </w:numPr>
    </w:pPr>
  </w:style>
  <w:style w:type="table" w:customStyle="1" w:styleId="ECHRTableSimpleBox">
    <w:name w:val="ECHR_Table_Simple_Box"/>
    <w:basedOn w:val="TableNormal"/>
    <w:uiPriority w:val="99"/>
    <w:rsid w:val="00C22FC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C22FC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C22FCE"/>
    <w:pPr>
      <w:numPr>
        <w:numId w:val="8"/>
      </w:numPr>
    </w:pPr>
  </w:style>
  <w:style w:type="table" w:customStyle="1" w:styleId="ECHRTableForInternalUse">
    <w:name w:val="ECHR_Table_For_Internal_Use"/>
    <w:basedOn w:val="TableNormal"/>
    <w:uiPriority w:val="99"/>
    <w:rsid w:val="00C22FC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22FC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C22FCE"/>
  </w:style>
  <w:style w:type="paragraph" w:styleId="BlockText">
    <w:name w:val="Block Text"/>
    <w:basedOn w:val="Normal"/>
    <w:uiPriority w:val="98"/>
    <w:semiHidden/>
    <w:rsid w:val="00C22FC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C22FC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C22FCE"/>
    <w:pPr>
      <w:spacing w:after="120"/>
    </w:pPr>
  </w:style>
  <w:style w:type="character" w:customStyle="1" w:styleId="BodyTextChar">
    <w:name w:val="Body Text Char"/>
    <w:basedOn w:val="DefaultParagraphFont"/>
    <w:link w:val="BodyText"/>
    <w:uiPriority w:val="98"/>
    <w:semiHidden/>
    <w:rsid w:val="00C22FCE"/>
    <w:rPr>
      <w:sz w:val="24"/>
      <w:szCs w:val="24"/>
      <w:lang w:val="en-GB"/>
    </w:rPr>
  </w:style>
  <w:style w:type="table" w:customStyle="1" w:styleId="ECHRTableOddBanded">
    <w:name w:val="ECHR_Table_Odd_Banded"/>
    <w:basedOn w:val="TableNormal"/>
    <w:uiPriority w:val="99"/>
    <w:rsid w:val="00C22FC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C22FCE"/>
    <w:pPr>
      <w:spacing w:after="120" w:line="480" w:lineRule="auto"/>
    </w:pPr>
  </w:style>
  <w:style w:type="table" w:customStyle="1" w:styleId="ECHRHeaderTableReduced">
    <w:name w:val="ECHR_Header_Table_Reduced"/>
    <w:basedOn w:val="TableNormal"/>
    <w:uiPriority w:val="99"/>
    <w:rsid w:val="00C22FC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C22FCE"/>
    <w:pPr>
      <w:ind w:firstLine="284"/>
    </w:pPr>
    <w:rPr>
      <w:b/>
    </w:rPr>
  </w:style>
  <w:style w:type="character" w:styleId="PageNumber">
    <w:name w:val="page number"/>
    <w:uiPriority w:val="98"/>
    <w:semiHidden/>
    <w:rsid w:val="00C22FCE"/>
    <w:rPr>
      <w:sz w:val="18"/>
    </w:rPr>
  </w:style>
  <w:style w:type="paragraph" w:styleId="ListBullet">
    <w:name w:val="List Bullet"/>
    <w:basedOn w:val="Normal"/>
    <w:uiPriority w:val="98"/>
    <w:semiHidden/>
    <w:rsid w:val="00C22FCE"/>
    <w:pPr>
      <w:numPr>
        <w:numId w:val="12"/>
      </w:numPr>
    </w:pPr>
  </w:style>
  <w:style w:type="character" w:customStyle="1" w:styleId="BodyText2Char">
    <w:name w:val="Body Text 2 Char"/>
    <w:basedOn w:val="DefaultParagraphFont"/>
    <w:link w:val="BodyText2"/>
    <w:uiPriority w:val="98"/>
    <w:semiHidden/>
    <w:rsid w:val="00C22FCE"/>
    <w:rPr>
      <w:sz w:val="24"/>
      <w:szCs w:val="24"/>
      <w:lang w:val="en-GB"/>
    </w:rPr>
  </w:style>
  <w:style w:type="paragraph" w:styleId="BodyText3">
    <w:name w:val="Body Text 3"/>
    <w:basedOn w:val="Normal"/>
    <w:link w:val="BodyText3Char"/>
    <w:uiPriority w:val="98"/>
    <w:semiHidden/>
    <w:rsid w:val="00C22FCE"/>
    <w:pPr>
      <w:spacing w:after="120"/>
    </w:pPr>
    <w:rPr>
      <w:sz w:val="16"/>
      <w:szCs w:val="16"/>
    </w:rPr>
  </w:style>
  <w:style w:type="character" w:customStyle="1" w:styleId="BodyText3Char">
    <w:name w:val="Body Text 3 Char"/>
    <w:basedOn w:val="DefaultParagraphFont"/>
    <w:link w:val="BodyText3"/>
    <w:uiPriority w:val="98"/>
    <w:semiHidden/>
    <w:rsid w:val="00C22FCE"/>
    <w:rPr>
      <w:sz w:val="16"/>
      <w:szCs w:val="16"/>
      <w:lang w:val="en-GB"/>
    </w:rPr>
  </w:style>
  <w:style w:type="paragraph" w:styleId="BodyTextFirstIndent">
    <w:name w:val="Body Text First Indent"/>
    <w:basedOn w:val="BodyText"/>
    <w:link w:val="BodyTextFirstIndentChar"/>
    <w:uiPriority w:val="98"/>
    <w:semiHidden/>
    <w:rsid w:val="00C22FCE"/>
    <w:pPr>
      <w:spacing w:after="0"/>
      <w:ind w:firstLine="360"/>
    </w:pPr>
  </w:style>
  <w:style w:type="character" w:customStyle="1" w:styleId="BodyTextFirstIndentChar">
    <w:name w:val="Body Text First Indent Char"/>
    <w:basedOn w:val="BodyTextChar"/>
    <w:link w:val="BodyTextFirstIndent"/>
    <w:uiPriority w:val="98"/>
    <w:semiHidden/>
    <w:rsid w:val="00C22FCE"/>
    <w:rPr>
      <w:sz w:val="24"/>
      <w:szCs w:val="24"/>
      <w:lang w:val="en-GB"/>
    </w:rPr>
  </w:style>
  <w:style w:type="paragraph" w:styleId="BodyTextIndent">
    <w:name w:val="Body Text Indent"/>
    <w:basedOn w:val="Normal"/>
    <w:link w:val="BodyTextIndentChar"/>
    <w:uiPriority w:val="98"/>
    <w:semiHidden/>
    <w:rsid w:val="00C22FCE"/>
    <w:pPr>
      <w:spacing w:after="120"/>
      <w:ind w:left="283"/>
    </w:pPr>
  </w:style>
  <w:style w:type="character" w:customStyle="1" w:styleId="BodyTextIndentChar">
    <w:name w:val="Body Text Indent Char"/>
    <w:basedOn w:val="DefaultParagraphFont"/>
    <w:link w:val="BodyTextIndent"/>
    <w:uiPriority w:val="98"/>
    <w:semiHidden/>
    <w:rsid w:val="00C22FCE"/>
    <w:rPr>
      <w:sz w:val="24"/>
      <w:szCs w:val="24"/>
      <w:lang w:val="en-GB"/>
    </w:rPr>
  </w:style>
  <w:style w:type="paragraph" w:styleId="BodyTextFirstIndent2">
    <w:name w:val="Body Text First Indent 2"/>
    <w:basedOn w:val="BodyTextIndent"/>
    <w:link w:val="BodyTextFirstIndent2Char"/>
    <w:uiPriority w:val="98"/>
    <w:semiHidden/>
    <w:rsid w:val="00C22FCE"/>
    <w:pPr>
      <w:spacing w:after="0"/>
      <w:ind w:left="360" w:firstLine="360"/>
    </w:pPr>
  </w:style>
  <w:style w:type="character" w:customStyle="1" w:styleId="BodyTextFirstIndent2Char">
    <w:name w:val="Body Text First Indent 2 Char"/>
    <w:basedOn w:val="BodyTextIndentChar"/>
    <w:link w:val="BodyTextFirstIndent2"/>
    <w:uiPriority w:val="98"/>
    <w:semiHidden/>
    <w:rsid w:val="00C22FCE"/>
    <w:rPr>
      <w:sz w:val="24"/>
      <w:szCs w:val="24"/>
      <w:lang w:val="en-GB"/>
    </w:rPr>
  </w:style>
  <w:style w:type="paragraph" w:styleId="BodyTextIndent2">
    <w:name w:val="Body Text Indent 2"/>
    <w:basedOn w:val="Normal"/>
    <w:link w:val="BodyTextIndent2Char"/>
    <w:uiPriority w:val="98"/>
    <w:semiHidden/>
    <w:rsid w:val="00C22FCE"/>
    <w:pPr>
      <w:spacing w:after="120" w:line="480" w:lineRule="auto"/>
      <w:ind w:left="283"/>
    </w:pPr>
  </w:style>
  <w:style w:type="character" w:customStyle="1" w:styleId="BodyTextIndent2Char">
    <w:name w:val="Body Text Indent 2 Char"/>
    <w:basedOn w:val="DefaultParagraphFont"/>
    <w:link w:val="BodyTextIndent2"/>
    <w:uiPriority w:val="98"/>
    <w:semiHidden/>
    <w:rsid w:val="00C22FCE"/>
    <w:rPr>
      <w:sz w:val="24"/>
      <w:szCs w:val="24"/>
      <w:lang w:val="en-GB"/>
    </w:rPr>
  </w:style>
  <w:style w:type="paragraph" w:styleId="BodyTextIndent3">
    <w:name w:val="Body Text Indent 3"/>
    <w:basedOn w:val="Normal"/>
    <w:link w:val="BodyTextIndent3Char"/>
    <w:uiPriority w:val="98"/>
    <w:semiHidden/>
    <w:rsid w:val="00C22FC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C22FCE"/>
    <w:rPr>
      <w:sz w:val="16"/>
      <w:szCs w:val="16"/>
      <w:lang w:val="en-GB"/>
    </w:rPr>
  </w:style>
  <w:style w:type="paragraph" w:styleId="Caption">
    <w:name w:val="caption"/>
    <w:basedOn w:val="Normal"/>
    <w:next w:val="Normal"/>
    <w:uiPriority w:val="98"/>
    <w:semiHidden/>
    <w:qFormat/>
    <w:rsid w:val="00C22FCE"/>
    <w:pPr>
      <w:spacing w:after="200"/>
    </w:pPr>
    <w:rPr>
      <w:b/>
      <w:bCs/>
      <w:color w:val="0072BC" w:themeColor="accent1"/>
      <w:sz w:val="18"/>
      <w:szCs w:val="18"/>
    </w:rPr>
  </w:style>
  <w:style w:type="paragraph" w:styleId="Closing">
    <w:name w:val="Closing"/>
    <w:basedOn w:val="Normal"/>
    <w:link w:val="ClosingChar"/>
    <w:uiPriority w:val="98"/>
    <w:semiHidden/>
    <w:rsid w:val="00C22FCE"/>
    <w:pPr>
      <w:ind w:left="4252"/>
    </w:pPr>
  </w:style>
  <w:style w:type="character" w:customStyle="1" w:styleId="ClosingChar">
    <w:name w:val="Closing Char"/>
    <w:basedOn w:val="DefaultParagraphFont"/>
    <w:link w:val="Closing"/>
    <w:uiPriority w:val="98"/>
    <w:semiHidden/>
    <w:rsid w:val="00C22FCE"/>
    <w:rPr>
      <w:sz w:val="24"/>
      <w:szCs w:val="24"/>
      <w:lang w:val="en-GB"/>
    </w:rPr>
  </w:style>
  <w:style w:type="table" w:styleId="ColorfulGrid">
    <w:name w:val="Colorful Grid"/>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C22FC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C22FC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C22FC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C22FC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C22FC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C22FC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C22FC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C22FC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C22FC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C22FC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C22FC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C22FC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C22FC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C22FC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C22FC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C22FCE"/>
    <w:rPr>
      <w:sz w:val="16"/>
      <w:szCs w:val="16"/>
    </w:rPr>
  </w:style>
  <w:style w:type="paragraph" w:styleId="CommentText">
    <w:name w:val="annotation text"/>
    <w:basedOn w:val="Normal"/>
    <w:link w:val="CommentTextChar"/>
    <w:uiPriority w:val="98"/>
    <w:semiHidden/>
    <w:rsid w:val="00C22FCE"/>
    <w:rPr>
      <w:sz w:val="20"/>
      <w:szCs w:val="20"/>
    </w:rPr>
  </w:style>
  <w:style w:type="character" w:customStyle="1" w:styleId="CommentTextChar">
    <w:name w:val="Comment Text Char"/>
    <w:basedOn w:val="DefaultParagraphFont"/>
    <w:link w:val="CommentText"/>
    <w:uiPriority w:val="98"/>
    <w:semiHidden/>
    <w:rsid w:val="00C22FCE"/>
    <w:rPr>
      <w:sz w:val="20"/>
      <w:szCs w:val="20"/>
      <w:lang w:val="en-GB"/>
    </w:rPr>
  </w:style>
  <w:style w:type="paragraph" w:styleId="CommentSubject">
    <w:name w:val="annotation subject"/>
    <w:basedOn w:val="CommentText"/>
    <w:next w:val="CommentText"/>
    <w:link w:val="CommentSubjectChar"/>
    <w:uiPriority w:val="98"/>
    <w:semiHidden/>
    <w:rsid w:val="00C22FCE"/>
    <w:rPr>
      <w:b/>
      <w:bCs/>
    </w:rPr>
  </w:style>
  <w:style w:type="character" w:customStyle="1" w:styleId="CommentSubjectChar">
    <w:name w:val="Comment Subject Char"/>
    <w:basedOn w:val="CommentTextChar"/>
    <w:link w:val="CommentSubject"/>
    <w:uiPriority w:val="98"/>
    <w:semiHidden/>
    <w:rsid w:val="00C22FCE"/>
    <w:rPr>
      <w:b/>
      <w:bCs/>
      <w:sz w:val="20"/>
      <w:szCs w:val="20"/>
      <w:lang w:val="en-GB"/>
    </w:rPr>
  </w:style>
  <w:style w:type="table" w:styleId="DarkList">
    <w:name w:val="Dark List"/>
    <w:basedOn w:val="TableNormal"/>
    <w:uiPriority w:val="70"/>
    <w:semiHidden/>
    <w:rsid w:val="00C22FC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C22FC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C22FC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C22FC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C22FC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C22FC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C22FC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C22FCE"/>
  </w:style>
  <w:style w:type="character" w:customStyle="1" w:styleId="DateChar">
    <w:name w:val="Date Char"/>
    <w:basedOn w:val="DefaultParagraphFont"/>
    <w:link w:val="Date"/>
    <w:uiPriority w:val="98"/>
    <w:semiHidden/>
    <w:rsid w:val="00C22FCE"/>
    <w:rPr>
      <w:sz w:val="24"/>
      <w:szCs w:val="24"/>
      <w:lang w:val="en-GB"/>
    </w:rPr>
  </w:style>
  <w:style w:type="paragraph" w:styleId="DocumentMap">
    <w:name w:val="Document Map"/>
    <w:basedOn w:val="Normal"/>
    <w:link w:val="DocumentMapChar"/>
    <w:uiPriority w:val="98"/>
    <w:semiHidden/>
    <w:rsid w:val="00C22FCE"/>
    <w:rPr>
      <w:rFonts w:ascii="Tahoma" w:hAnsi="Tahoma" w:cs="Tahoma"/>
      <w:sz w:val="16"/>
      <w:szCs w:val="16"/>
    </w:rPr>
  </w:style>
  <w:style w:type="character" w:customStyle="1" w:styleId="DocumentMapChar">
    <w:name w:val="Document Map Char"/>
    <w:basedOn w:val="DefaultParagraphFont"/>
    <w:link w:val="DocumentMap"/>
    <w:uiPriority w:val="98"/>
    <w:semiHidden/>
    <w:rsid w:val="00C22FCE"/>
    <w:rPr>
      <w:rFonts w:ascii="Tahoma" w:hAnsi="Tahoma" w:cs="Tahoma"/>
      <w:sz w:val="16"/>
      <w:szCs w:val="16"/>
      <w:lang w:val="en-GB"/>
    </w:rPr>
  </w:style>
  <w:style w:type="paragraph" w:styleId="E-mailSignature">
    <w:name w:val="E-mail Signature"/>
    <w:basedOn w:val="Normal"/>
    <w:link w:val="E-mailSignatureChar"/>
    <w:uiPriority w:val="98"/>
    <w:semiHidden/>
    <w:rsid w:val="00C22FCE"/>
  </w:style>
  <w:style w:type="character" w:customStyle="1" w:styleId="E-mailSignatureChar">
    <w:name w:val="E-mail Signature Char"/>
    <w:basedOn w:val="DefaultParagraphFont"/>
    <w:link w:val="E-mailSignature"/>
    <w:uiPriority w:val="98"/>
    <w:semiHidden/>
    <w:rsid w:val="00C22FCE"/>
    <w:rPr>
      <w:sz w:val="24"/>
      <w:szCs w:val="24"/>
      <w:lang w:val="en-GB"/>
    </w:rPr>
  </w:style>
  <w:style w:type="character" w:styleId="EndnoteReference">
    <w:name w:val="endnote reference"/>
    <w:basedOn w:val="DefaultParagraphFont"/>
    <w:uiPriority w:val="98"/>
    <w:semiHidden/>
    <w:rsid w:val="00C22FCE"/>
    <w:rPr>
      <w:vertAlign w:val="superscript"/>
    </w:rPr>
  </w:style>
  <w:style w:type="paragraph" w:styleId="EndnoteText">
    <w:name w:val="endnote text"/>
    <w:basedOn w:val="Normal"/>
    <w:link w:val="EndnoteTextChar"/>
    <w:uiPriority w:val="98"/>
    <w:semiHidden/>
    <w:rsid w:val="00C22FCE"/>
    <w:rPr>
      <w:sz w:val="20"/>
      <w:szCs w:val="20"/>
    </w:rPr>
  </w:style>
  <w:style w:type="character" w:customStyle="1" w:styleId="EndnoteTextChar">
    <w:name w:val="Endnote Text Char"/>
    <w:basedOn w:val="DefaultParagraphFont"/>
    <w:link w:val="EndnoteText"/>
    <w:uiPriority w:val="98"/>
    <w:semiHidden/>
    <w:rsid w:val="00C22FCE"/>
    <w:rPr>
      <w:sz w:val="20"/>
      <w:szCs w:val="20"/>
      <w:lang w:val="en-GB"/>
    </w:rPr>
  </w:style>
  <w:style w:type="paragraph" w:styleId="EnvelopeAddress">
    <w:name w:val="envelope address"/>
    <w:basedOn w:val="Normal"/>
    <w:uiPriority w:val="98"/>
    <w:semiHidden/>
    <w:rsid w:val="00C22FC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C22FC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C22FCE"/>
    <w:rPr>
      <w:color w:val="7030A0" w:themeColor="followedHyperlink"/>
      <w:u w:val="single"/>
    </w:rPr>
  </w:style>
  <w:style w:type="character" w:styleId="HTMLAcronym">
    <w:name w:val="HTML Acronym"/>
    <w:basedOn w:val="DefaultParagraphFont"/>
    <w:uiPriority w:val="98"/>
    <w:semiHidden/>
    <w:rsid w:val="00C22FCE"/>
  </w:style>
  <w:style w:type="paragraph" w:styleId="HTMLAddress">
    <w:name w:val="HTML Address"/>
    <w:basedOn w:val="Normal"/>
    <w:link w:val="HTMLAddressChar"/>
    <w:uiPriority w:val="98"/>
    <w:semiHidden/>
    <w:rsid w:val="00C22FCE"/>
    <w:rPr>
      <w:i/>
      <w:iCs/>
    </w:rPr>
  </w:style>
  <w:style w:type="character" w:customStyle="1" w:styleId="HTMLAddressChar">
    <w:name w:val="HTML Address Char"/>
    <w:basedOn w:val="DefaultParagraphFont"/>
    <w:link w:val="HTMLAddress"/>
    <w:uiPriority w:val="98"/>
    <w:semiHidden/>
    <w:rsid w:val="00C22FCE"/>
    <w:rPr>
      <w:i/>
      <w:iCs/>
      <w:sz w:val="24"/>
      <w:szCs w:val="24"/>
      <w:lang w:val="en-GB"/>
    </w:rPr>
  </w:style>
  <w:style w:type="character" w:styleId="HTMLCite">
    <w:name w:val="HTML Cite"/>
    <w:basedOn w:val="DefaultParagraphFont"/>
    <w:uiPriority w:val="98"/>
    <w:semiHidden/>
    <w:rsid w:val="00C22FCE"/>
    <w:rPr>
      <w:i/>
      <w:iCs/>
    </w:rPr>
  </w:style>
  <w:style w:type="character" w:styleId="HTMLCode">
    <w:name w:val="HTML Code"/>
    <w:basedOn w:val="DefaultParagraphFont"/>
    <w:uiPriority w:val="98"/>
    <w:semiHidden/>
    <w:rsid w:val="00C22FCE"/>
    <w:rPr>
      <w:rFonts w:ascii="Consolas" w:hAnsi="Consolas" w:cs="Consolas"/>
      <w:sz w:val="20"/>
      <w:szCs w:val="20"/>
    </w:rPr>
  </w:style>
  <w:style w:type="character" w:styleId="HTMLDefinition">
    <w:name w:val="HTML Definition"/>
    <w:basedOn w:val="DefaultParagraphFont"/>
    <w:uiPriority w:val="98"/>
    <w:semiHidden/>
    <w:rsid w:val="00C22FCE"/>
    <w:rPr>
      <w:i/>
      <w:iCs/>
    </w:rPr>
  </w:style>
  <w:style w:type="character" w:styleId="HTMLKeyboard">
    <w:name w:val="HTML Keyboard"/>
    <w:basedOn w:val="DefaultParagraphFont"/>
    <w:uiPriority w:val="98"/>
    <w:semiHidden/>
    <w:rsid w:val="00C22FCE"/>
    <w:rPr>
      <w:rFonts w:ascii="Consolas" w:hAnsi="Consolas" w:cs="Consolas"/>
      <w:sz w:val="20"/>
      <w:szCs w:val="20"/>
    </w:rPr>
  </w:style>
  <w:style w:type="paragraph" w:styleId="HTMLPreformatted">
    <w:name w:val="HTML Preformatted"/>
    <w:basedOn w:val="Normal"/>
    <w:link w:val="HTMLPreformattedChar"/>
    <w:uiPriority w:val="98"/>
    <w:semiHidden/>
    <w:rsid w:val="00C22FC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C22FCE"/>
    <w:rPr>
      <w:rFonts w:ascii="Consolas" w:hAnsi="Consolas" w:cs="Consolas"/>
      <w:sz w:val="20"/>
      <w:szCs w:val="20"/>
      <w:lang w:val="en-GB"/>
    </w:rPr>
  </w:style>
  <w:style w:type="character" w:styleId="HTMLSample">
    <w:name w:val="HTML Sample"/>
    <w:basedOn w:val="DefaultParagraphFont"/>
    <w:uiPriority w:val="98"/>
    <w:semiHidden/>
    <w:rsid w:val="00C22FCE"/>
    <w:rPr>
      <w:rFonts w:ascii="Consolas" w:hAnsi="Consolas" w:cs="Consolas"/>
      <w:sz w:val="24"/>
      <w:szCs w:val="24"/>
    </w:rPr>
  </w:style>
  <w:style w:type="character" w:styleId="HTMLTypewriter">
    <w:name w:val="HTML Typewriter"/>
    <w:basedOn w:val="DefaultParagraphFont"/>
    <w:uiPriority w:val="98"/>
    <w:semiHidden/>
    <w:rsid w:val="00C22FCE"/>
    <w:rPr>
      <w:rFonts w:ascii="Consolas" w:hAnsi="Consolas" w:cs="Consolas"/>
      <w:sz w:val="20"/>
      <w:szCs w:val="20"/>
    </w:rPr>
  </w:style>
  <w:style w:type="character" w:styleId="HTMLVariable">
    <w:name w:val="HTML Variable"/>
    <w:basedOn w:val="DefaultParagraphFont"/>
    <w:uiPriority w:val="98"/>
    <w:semiHidden/>
    <w:rsid w:val="00C22FCE"/>
    <w:rPr>
      <w:i/>
      <w:iCs/>
    </w:rPr>
  </w:style>
  <w:style w:type="paragraph" w:styleId="Index1">
    <w:name w:val="index 1"/>
    <w:basedOn w:val="Normal"/>
    <w:next w:val="Normal"/>
    <w:autoRedefine/>
    <w:uiPriority w:val="98"/>
    <w:semiHidden/>
    <w:rsid w:val="00C22FCE"/>
    <w:pPr>
      <w:ind w:left="240" w:hanging="240"/>
    </w:pPr>
  </w:style>
  <w:style w:type="paragraph" w:styleId="Index2">
    <w:name w:val="index 2"/>
    <w:basedOn w:val="Normal"/>
    <w:next w:val="Normal"/>
    <w:autoRedefine/>
    <w:uiPriority w:val="98"/>
    <w:semiHidden/>
    <w:rsid w:val="00C22FCE"/>
    <w:pPr>
      <w:ind w:left="480" w:hanging="240"/>
    </w:pPr>
  </w:style>
  <w:style w:type="paragraph" w:styleId="Index3">
    <w:name w:val="index 3"/>
    <w:basedOn w:val="Normal"/>
    <w:next w:val="Normal"/>
    <w:autoRedefine/>
    <w:uiPriority w:val="98"/>
    <w:semiHidden/>
    <w:rsid w:val="00C22FCE"/>
    <w:pPr>
      <w:ind w:left="720" w:hanging="240"/>
    </w:pPr>
  </w:style>
  <w:style w:type="paragraph" w:styleId="Index4">
    <w:name w:val="index 4"/>
    <w:basedOn w:val="Normal"/>
    <w:next w:val="Normal"/>
    <w:autoRedefine/>
    <w:uiPriority w:val="98"/>
    <w:semiHidden/>
    <w:rsid w:val="00C22FCE"/>
    <w:pPr>
      <w:ind w:left="960" w:hanging="240"/>
    </w:pPr>
  </w:style>
  <w:style w:type="paragraph" w:styleId="Index5">
    <w:name w:val="index 5"/>
    <w:basedOn w:val="Normal"/>
    <w:next w:val="Normal"/>
    <w:autoRedefine/>
    <w:uiPriority w:val="98"/>
    <w:semiHidden/>
    <w:rsid w:val="00C22FCE"/>
    <w:pPr>
      <w:ind w:left="1200" w:hanging="240"/>
    </w:pPr>
  </w:style>
  <w:style w:type="paragraph" w:styleId="Index6">
    <w:name w:val="index 6"/>
    <w:basedOn w:val="Normal"/>
    <w:next w:val="Normal"/>
    <w:autoRedefine/>
    <w:uiPriority w:val="98"/>
    <w:semiHidden/>
    <w:rsid w:val="00C22FCE"/>
    <w:pPr>
      <w:ind w:left="1440" w:hanging="240"/>
    </w:pPr>
  </w:style>
  <w:style w:type="paragraph" w:styleId="Index7">
    <w:name w:val="index 7"/>
    <w:basedOn w:val="Normal"/>
    <w:next w:val="Normal"/>
    <w:autoRedefine/>
    <w:uiPriority w:val="98"/>
    <w:semiHidden/>
    <w:rsid w:val="00C22FCE"/>
    <w:pPr>
      <w:ind w:left="1680" w:hanging="240"/>
    </w:pPr>
  </w:style>
  <w:style w:type="paragraph" w:styleId="Index8">
    <w:name w:val="index 8"/>
    <w:basedOn w:val="Normal"/>
    <w:next w:val="Normal"/>
    <w:autoRedefine/>
    <w:uiPriority w:val="98"/>
    <w:semiHidden/>
    <w:rsid w:val="00C22FCE"/>
    <w:pPr>
      <w:ind w:left="1920" w:hanging="240"/>
    </w:pPr>
  </w:style>
  <w:style w:type="paragraph" w:styleId="Index9">
    <w:name w:val="index 9"/>
    <w:basedOn w:val="Normal"/>
    <w:next w:val="Normal"/>
    <w:autoRedefine/>
    <w:uiPriority w:val="98"/>
    <w:semiHidden/>
    <w:rsid w:val="00C22FCE"/>
    <w:pPr>
      <w:ind w:left="2160" w:hanging="240"/>
    </w:pPr>
  </w:style>
  <w:style w:type="paragraph" w:styleId="IndexHeading">
    <w:name w:val="index heading"/>
    <w:basedOn w:val="Normal"/>
    <w:next w:val="Index1"/>
    <w:uiPriority w:val="98"/>
    <w:semiHidden/>
    <w:rsid w:val="00C22FCE"/>
    <w:rPr>
      <w:rFonts w:asciiTheme="majorHAnsi" w:eastAsiaTheme="majorEastAsia" w:hAnsiTheme="majorHAnsi" w:cstheme="majorBidi"/>
      <w:b/>
      <w:bCs/>
    </w:rPr>
  </w:style>
  <w:style w:type="table" w:styleId="LightGrid">
    <w:name w:val="Light Grid"/>
    <w:basedOn w:val="TableNormal"/>
    <w:uiPriority w:val="62"/>
    <w:semiHidden/>
    <w:rsid w:val="00C22FC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C22FC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C22FC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C22FC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C22FC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C22FC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C22FC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C22FC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C22FC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C22FC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C22FC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C22FC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C22FC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C22FC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C22FC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C22FC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C22FC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C22FC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C22FC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C22FC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C22FC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C22FCE"/>
  </w:style>
  <w:style w:type="paragraph" w:styleId="List">
    <w:name w:val="List"/>
    <w:basedOn w:val="Normal"/>
    <w:uiPriority w:val="98"/>
    <w:semiHidden/>
    <w:rsid w:val="00C22FCE"/>
    <w:pPr>
      <w:ind w:left="283" w:hanging="283"/>
      <w:contextualSpacing/>
    </w:pPr>
  </w:style>
  <w:style w:type="paragraph" w:styleId="List2">
    <w:name w:val="List 2"/>
    <w:basedOn w:val="Normal"/>
    <w:uiPriority w:val="98"/>
    <w:semiHidden/>
    <w:rsid w:val="00C22FCE"/>
    <w:pPr>
      <w:ind w:left="566" w:hanging="283"/>
      <w:contextualSpacing/>
    </w:pPr>
  </w:style>
  <w:style w:type="paragraph" w:styleId="List3">
    <w:name w:val="List 3"/>
    <w:basedOn w:val="Normal"/>
    <w:uiPriority w:val="98"/>
    <w:semiHidden/>
    <w:rsid w:val="00C22FCE"/>
    <w:pPr>
      <w:ind w:left="849" w:hanging="283"/>
      <w:contextualSpacing/>
    </w:pPr>
  </w:style>
  <w:style w:type="paragraph" w:styleId="List4">
    <w:name w:val="List 4"/>
    <w:basedOn w:val="Normal"/>
    <w:uiPriority w:val="98"/>
    <w:semiHidden/>
    <w:rsid w:val="00C22FCE"/>
    <w:pPr>
      <w:ind w:left="1132" w:hanging="283"/>
      <w:contextualSpacing/>
    </w:pPr>
  </w:style>
  <w:style w:type="paragraph" w:styleId="List5">
    <w:name w:val="List 5"/>
    <w:basedOn w:val="Normal"/>
    <w:uiPriority w:val="98"/>
    <w:semiHidden/>
    <w:rsid w:val="00C22FCE"/>
    <w:pPr>
      <w:ind w:left="1415" w:hanging="283"/>
      <w:contextualSpacing/>
    </w:pPr>
  </w:style>
  <w:style w:type="paragraph" w:styleId="ListBullet2">
    <w:name w:val="List Bullet 2"/>
    <w:basedOn w:val="Normal"/>
    <w:uiPriority w:val="98"/>
    <w:semiHidden/>
    <w:rsid w:val="00C22FCE"/>
    <w:pPr>
      <w:numPr>
        <w:numId w:val="13"/>
      </w:numPr>
      <w:contextualSpacing/>
    </w:pPr>
  </w:style>
  <w:style w:type="paragraph" w:styleId="ListBullet3">
    <w:name w:val="List Bullet 3"/>
    <w:basedOn w:val="Normal"/>
    <w:uiPriority w:val="98"/>
    <w:semiHidden/>
    <w:rsid w:val="00C22FCE"/>
    <w:pPr>
      <w:numPr>
        <w:numId w:val="14"/>
      </w:numPr>
      <w:contextualSpacing/>
    </w:pPr>
  </w:style>
  <w:style w:type="paragraph" w:styleId="ListBullet4">
    <w:name w:val="List Bullet 4"/>
    <w:basedOn w:val="Normal"/>
    <w:uiPriority w:val="98"/>
    <w:semiHidden/>
    <w:rsid w:val="00C22FCE"/>
    <w:pPr>
      <w:numPr>
        <w:numId w:val="15"/>
      </w:numPr>
      <w:contextualSpacing/>
    </w:pPr>
  </w:style>
  <w:style w:type="paragraph" w:styleId="ListBullet5">
    <w:name w:val="List Bullet 5"/>
    <w:basedOn w:val="Normal"/>
    <w:uiPriority w:val="98"/>
    <w:semiHidden/>
    <w:rsid w:val="00C22FCE"/>
    <w:pPr>
      <w:numPr>
        <w:numId w:val="16"/>
      </w:numPr>
      <w:contextualSpacing/>
    </w:pPr>
  </w:style>
  <w:style w:type="paragraph" w:styleId="ListContinue">
    <w:name w:val="List Continue"/>
    <w:basedOn w:val="Normal"/>
    <w:uiPriority w:val="98"/>
    <w:semiHidden/>
    <w:rsid w:val="00C22FCE"/>
    <w:pPr>
      <w:spacing w:after="120"/>
      <w:ind w:left="283"/>
      <w:contextualSpacing/>
    </w:pPr>
  </w:style>
  <w:style w:type="paragraph" w:styleId="ListContinue2">
    <w:name w:val="List Continue 2"/>
    <w:basedOn w:val="Normal"/>
    <w:uiPriority w:val="98"/>
    <w:semiHidden/>
    <w:rsid w:val="00C22FCE"/>
    <w:pPr>
      <w:spacing w:after="120"/>
      <w:ind w:left="566"/>
      <w:contextualSpacing/>
    </w:pPr>
  </w:style>
  <w:style w:type="paragraph" w:styleId="ListContinue3">
    <w:name w:val="List Continue 3"/>
    <w:basedOn w:val="Normal"/>
    <w:uiPriority w:val="98"/>
    <w:semiHidden/>
    <w:rsid w:val="00C22FCE"/>
    <w:pPr>
      <w:spacing w:after="120"/>
      <w:ind w:left="849"/>
      <w:contextualSpacing/>
    </w:pPr>
  </w:style>
  <w:style w:type="paragraph" w:styleId="ListContinue4">
    <w:name w:val="List Continue 4"/>
    <w:basedOn w:val="Normal"/>
    <w:uiPriority w:val="98"/>
    <w:semiHidden/>
    <w:rsid w:val="00C22FCE"/>
    <w:pPr>
      <w:spacing w:after="120"/>
      <w:ind w:left="1132"/>
      <w:contextualSpacing/>
    </w:pPr>
  </w:style>
  <w:style w:type="paragraph" w:styleId="ListContinue5">
    <w:name w:val="List Continue 5"/>
    <w:basedOn w:val="Normal"/>
    <w:uiPriority w:val="98"/>
    <w:semiHidden/>
    <w:rsid w:val="00C22FCE"/>
    <w:pPr>
      <w:spacing w:after="120"/>
      <w:ind w:left="1415"/>
      <w:contextualSpacing/>
    </w:pPr>
  </w:style>
  <w:style w:type="paragraph" w:styleId="ListNumber">
    <w:name w:val="List Number"/>
    <w:basedOn w:val="Normal"/>
    <w:uiPriority w:val="98"/>
    <w:semiHidden/>
    <w:rsid w:val="00C22FCE"/>
    <w:pPr>
      <w:numPr>
        <w:numId w:val="17"/>
      </w:numPr>
      <w:contextualSpacing/>
    </w:pPr>
  </w:style>
  <w:style w:type="paragraph" w:styleId="ListNumber2">
    <w:name w:val="List Number 2"/>
    <w:basedOn w:val="Normal"/>
    <w:uiPriority w:val="98"/>
    <w:semiHidden/>
    <w:rsid w:val="00C22FCE"/>
    <w:pPr>
      <w:numPr>
        <w:numId w:val="18"/>
      </w:numPr>
      <w:contextualSpacing/>
    </w:pPr>
  </w:style>
  <w:style w:type="paragraph" w:styleId="ListNumber3">
    <w:name w:val="List Number 3"/>
    <w:basedOn w:val="Normal"/>
    <w:uiPriority w:val="98"/>
    <w:semiHidden/>
    <w:rsid w:val="00C22FCE"/>
    <w:pPr>
      <w:numPr>
        <w:numId w:val="19"/>
      </w:numPr>
      <w:contextualSpacing/>
    </w:pPr>
  </w:style>
  <w:style w:type="paragraph" w:styleId="ListNumber4">
    <w:name w:val="List Number 4"/>
    <w:basedOn w:val="Normal"/>
    <w:uiPriority w:val="98"/>
    <w:semiHidden/>
    <w:rsid w:val="00C22FCE"/>
    <w:pPr>
      <w:numPr>
        <w:numId w:val="20"/>
      </w:numPr>
      <w:contextualSpacing/>
    </w:pPr>
  </w:style>
  <w:style w:type="paragraph" w:styleId="ListNumber5">
    <w:name w:val="List Number 5"/>
    <w:basedOn w:val="Normal"/>
    <w:uiPriority w:val="98"/>
    <w:semiHidden/>
    <w:rsid w:val="00C22FCE"/>
    <w:pPr>
      <w:numPr>
        <w:numId w:val="21"/>
      </w:numPr>
      <w:contextualSpacing/>
    </w:pPr>
  </w:style>
  <w:style w:type="paragraph" w:styleId="MacroText">
    <w:name w:val="macro"/>
    <w:link w:val="MacroTextChar"/>
    <w:uiPriority w:val="98"/>
    <w:semiHidden/>
    <w:rsid w:val="00C22FC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C22FCE"/>
    <w:rPr>
      <w:rFonts w:ascii="Consolas" w:eastAsiaTheme="minorEastAsia" w:hAnsi="Consolas" w:cs="Consolas"/>
      <w:sz w:val="20"/>
      <w:szCs w:val="20"/>
    </w:rPr>
  </w:style>
  <w:style w:type="table" w:styleId="MediumGrid1">
    <w:name w:val="Medium Grid 1"/>
    <w:basedOn w:val="TableNormal"/>
    <w:uiPriority w:val="67"/>
    <w:semiHidden/>
    <w:rsid w:val="00C22FC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C22FC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C22FC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C22FC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C22FC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C22FC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C22FC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C22FC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C22FC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C22FC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C22FC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C22FC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C22FC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C22FC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C22FC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C22FC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C22FC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C22FC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C22FC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C22FC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C22FC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C22FC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C22FC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C22FC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C22F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C22FCE"/>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C22FCE"/>
    <w:rPr>
      <w:rFonts w:ascii="Times New Roman" w:hAnsi="Times New Roman" w:cs="Times New Roman"/>
    </w:rPr>
  </w:style>
  <w:style w:type="paragraph" w:styleId="NormalIndent">
    <w:name w:val="Normal Indent"/>
    <w:basedOn w:val="Normal"/>
    <w:uiPriority w:val="98"/>
    <w:semiHidden/>
    <w:rsid w:val="00C22FCE"/>
    <w:pPr>
      <w:ind w:left="720"/>
    </w:pPr>
  </w:style>
  <w:style w:type="paragraph" w:styleId="NoteHeading">
    <w:name w:val="Note Heading"/>
    <w:basedOn w:val="Normal"/>
    <w:next w:val="Normal"/>
    <w:link w:val="NoteHeadingChar"/>
    <w:uiPriority w:val="98"/>
    <w:semiHidden/>
    <w:rsid w:val="00C22FCE"/>
  </w:style>
  <w:style w:type="character" w:customStyle="1" w:styleId="NoteHeadingChar">
    <w:name w:val="Note Heading Char"/>
    <w:basedOn w:val="DefaultParagraphFont"/>
    <w:link w:val="NoteHeading"/>
    <w:uiPriority w:val="98"/>
    <w:semiHidden/>
    <w:rsid w:val="00C22FCE"/>
    <w:rPr>
      <w:sz w:val="24"/>
      <w:szCs w:val="24"/>
      <w:lang w:val="en-GB"/>
    </w:rPr>
  </w:style>
  <w:style w:type="character" w:styleId="PlaceholderText">
    <w:name w:val="Placeholder Text"/>
    <w:basedOn w:val="DefaultParagraphFont"/>
    <w:uiPriority w:val="98"/>
    <w:semiHidden/>
    <w:rsid w:val="00C22FC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C22FCE"/>
    <w:rPr>
      <w:rFonts w:ascii="Consolas" w:hAnsi="Consolas" w:cs="Consolas"/>
      <w:sz w:val="21"/>
      <w:szCs w:val="21"/>
    </w:rPr>
  </w:style>
  <w:style w:type="character" w:customStyle="1" w:styleId="PlainTextChar">
    <w:name w:val="Plain Text Char"/>
    <w:basedOn w:val="DefaultParagraphFont"/>
    <w:link w:val="PlainText"/>
    <w:uiPriority w:val="98"/>
    <w:semiHidden/>
    <w:rsid w:val="00C22FCE"/>
    <w:rPr>
      <w:rFonts w:ascii="Consolas" w:hAnsi="Consolas" w:cs="Consolas"/>
      <w:sz w:val="21"/>
      <w:szCs w:val="21"/>
      <w:lang w:val="en-GB"/>
    </w:rPr>
  </w:style>
  <w:style w:type="paragraph" w:styleId="Salutation">
    <w:name w:val="Salutation"/>
    <w:basedOn w:val="Normal"/>
    <w:next w:val="Normal"/>
    <w:link w:val="SalutationChar"/>
    <w:uiPriority w:val="98"/>
    <w:semiHidden/>
    <w:rsid w:val="00C22FCE"/>
  </w:style>
  <w:style w:type="character" w:customStyle="1" w:styleId="SalutationChar">
    <w:name w:val="Salutation Char"/>
    <w:basedOn w:val="DefaultParagraphFont"/>
    <w:link w:val="Salutation"/>
    <w:uiPriority w:val="98"/>
    <w:semiHidden/>
    <w:rsid w:val="00C22FCE"/>
    <w:rPr>
      <w:sz w:val="24"/>
      <w:szCs w:val="24"/>
      <w:lang w:val="en-GB"/>
    </w:rPr>
  </w:style>
  <w:style w:type="paragraph" w:styleId="Signature">
    <w:name w:val="Signature"/>
    <w:basedOn w:val="Normal"/>
    <w:link w:val="SignatureChar"/>
    <w:uiPriority w:val="98"/>
    <w:semiHidden/>
    <w:rsid w:val="00C22FCE"/>
    <w:pPr>
      <w:ind w:left="4252"/>
    </w:pPr>
  </w:style>
  <w:style w:type="character" w:customStyle="1" w:styleId="SignatureChar">
    <w:name w:val="Signature Char"/>
    <w:basedOn w:val="DefaultParagraphFont"/>
    <w:link w:val="Signature"/>
    <w:uiPriority w:val="98"/>
    <w:semiHidden/>
    <w:rsid w:val="00C22FCE"/>
    <w:rPr>
      <w:sz w:val="24"/>
      <w:szCs w:val="24"/>
      <w:lang w:val="en-GB"/>
    </w:rPr>
  </w:style>
  <w:style w:type="table" w:styleId="Table3Deffects1">
    <w:name w:val="Table 3D effects 1"/>
    <w:basedOn w:val="TableNormal"/>
    <w:uiPriority w:val="99"/>
    <w:semiHidden/>
    <w:unhideWhenUsed/>
    <w:rsid w:val="00C22FC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22FC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22FC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22FC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22FC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22FC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22FC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22FC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22FC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22FC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22FC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22FC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22FC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22FC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22FC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22FC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22FC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22FC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22FC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22FC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22FC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22FC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22FC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22FC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22FC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22FC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22FC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22FC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22FC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22FC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22FC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22FC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22FC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C22FCE"/>
    <w:pPr>
      <w:ind w:left="240" w:hanging="240"/>
    </w:pPr>
  </w:style>
  <w:style w:type="paragraph" w:styleId="TableofFigures">
    <w:name w:val="table of figures"/>
    <w:basedOn w:val="Normal"/>
    <w:next w:val="Normal"/>
    <w:uiPriority w:val="98"/>
    <w:semiHidden/>
    <w:rsid w:val="00C22FCE"/>
  </w:style>
  <w:style w:type="table" w:styleId="TableProfessional">
    <w:name w:val="Table Professional"/>
    <w:basedOn w:val="TableNormal"/>
    <w:uiPriority w:val="99"/>
    <w:semiHidden/>
    <w:unhideWhenUsed/>
    <w:rsid w:val="00C22FC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22FC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22FC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22FC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22FC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22FC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22FC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22FC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22FC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22FC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C22FC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C22FC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C22FCE"/>
    <w:pPr>
      <w:spacing w:after="100"/>
      <w:ind w:left="1680"/>
    </w:pPr>
  </w:style>
  <w:style w:type="paragraph" w:styleId="TOC9">
    <w:name w:val="toc 9"/>
    <w:basedOn w:val="Normal"/>
    <w:next w:val="Normal"/>
    <w:autoRedefine/>
    <w:uiPriority w:val="98"/>
    <w:semiHidden/>
    <w:rsid w:val="00C22FCE"/>
    <w:pPr>
      <w:spacing w:after="100"/>
      <w:ind w:left="1920"/>
    </w:pPr>
  </w:style>
  <w:style w:type="paragraph" w:customStyle="1" w:styleId="DecHTitle">
    <w:name w:val="Dec_H_Title"/>
    <w:aliases w:val="_Title_1"/>
    <w:basedOn w:val="JuPara"/>
    <w:next w:val="JuPara"/>
    <w:uiPriority w:val="38"/>
    <w:qFormat/>
    <w:rsid w:val="00C22FCE"/>
    <w:pPr>
      <w:keepNext/>
      <w:keepLines/>
      <w:spacing w:after="240"/>
      <w:ind w:firstLine="0"/>
      <w:jc w:val="center"/>
      <w:outlineLvl w:val="0"/>
    </w:pPr>
    <w:rPr>
      <w:rFonts w:asciiTheme="majorHAnsi" w:hAnsiTheme="majorHAnsi"/>
      <w:sz w:val="28"/>
    </w:rPr>
  </w:style>
  <w:style w:type="paragraph" w:customStyle="1" w:styleId="ECHRFooter">
    <w:name w:val="ECHR_Footer"/>
    <w:aliases w:val="Footer_ECHR"/>
    <w:basedOn w:val="Footer0"/>
    <w:uiPriority w:val="57"/>
    <w:semiHidden/>
    <w:rsid w:val="00973DAA"/>
    <w:rPr>
      <w:sz w:val="8"/>
    </w:rPr>
  </w:style>
  <w:style w:type="paragraph" w:customStyle="1" w:styleId="ECHRFooterLine">
    <w:name w:val="ECHR_Footer_Line"/>
    <w:aliases w:val="_Footer_Line"/>
    <w:basedOn w:val="Normal"/>
    <w:next w:val="Normal"/>
    <w:uiPriority w:val="30"/>
    <w:semiHidden/>
    <w:rsid w:val="00C22FC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C22FC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C22FC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C22FC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22FCE"/>
    <w:pPr>
      <w:numPr>
        <w:numId w:val="9"/>
      </w:numPr>
      <w:spacing w:before="60" w:after="60"/>
    </w:pPr>
  </w:style>
  <w:style w:type="paragraph" w:customStyle="1" w:styleId="ECHRBullet2">
    <w:name w:val="ECHR_Bullet_2"/>
    <w:aliases w:val="_Bul_2"/>
    <w:basedOn w:val="ECHRBullet1"/>
    <w:uiPriority w:val="23"/>
    <w:semiHidden/>
    <w:rsid w:val="00C22FCE"/>
    <w:pPr>
      <w:numPr>
        <w:ilvl w:val="1"/>
      </w:numPr>
    </w:pPr>
  </w:style>
  <w:style w:type="paragraph" w:customStyle="1" w:styleId="ECHRBullet3">
    <w:name w:val="ECHR_Bullet_3"/>
    <w:aliases w:val="_Bul_3"/>
    <w:basedOn w:val="ECHRBullet2"/>
    <w:uiPriority w:val="23"/>
    <w:semiHidden/>
    <w:rsid w:val="00C22FCE"/>
    <w:pPr>
      <w:numPr>
        <w:ilvl w:val="2"/>
      </w:numPr>
    </w:pPr>
  </w:style>
  <w:style w:type="paragraph" w:customStyle="1" w:styleId="ECHRBullet4">
    <w:name w:val="ECHR_Bullet_4"/>
    <w:aliases w:val="_Bul_4"/>
    <w:basedOn w:val="ECHRBullet3"/>
    <w:uiPriority w:val="23"/>
    <w:semiHidden/>
    <w:rsid w:val="00C22FCE"/>
    <w:pPr>
      <w:numPr>
        <w:ilvl w:val="3"/>
      </w:numPr>
    </w:pPr>
  </w:style>
  <w:style w:type="paragraph" w:customStyle="1" w:styleId="ECHRConfidential">
    <w:name w:val="ECHR_Confidential"/>
    <w:aliases w:val="_Confidential"/>
    <w:basedOn w:val="Normal"/>
    <w:next w:val="Normal"/>
    <w:uiPriority w:val="42"/>
    <w:semiHidden/>
    <w:qFormat/>
    <w:rsid w:val="00C22FCE"/>
    <w:pPr>
      <w:jc w:val="right"/>
    </w:pPr>
    <w:rPr>
      <w:color w:val="C00000"/>
      <w:sz w:val="20"/>
    </w:rPr>
  </w:style>
  <w:style w:type="paragraph" w:customStyle="1" w:styleId="ECHRDecisionBody">
    <w:name w:val="ECHR_Decision_Body"/>
    <w:aliases w:val="_Decision_Body"/>
    <w:basedOn w:val="NormalJustified"/>
    <w:uiPriority w:val="54"/>
    <w:semiHidden/>
    <w:rsid w:val="00C22FC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C22FC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C22FCE"/>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C22FC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C22FCE"/>
    <w:pPr>
      <w:jc w:val="right"/>
    </w:pPr>
    <w:rPr>
      <w:sz w:val="20"/>
    </w:rPr>
  </w:style>
  <w:style w:type="paragraph" w:customStyle="1" w:styleId="ECHRHeaderRefIt">
    <w:name w:val="ECHR_Header_Ref_It"/>
    <w:aliases w:val="_Ref_Ital"/>
    <w:basedOn w:val="Normal"/>
    <w:next w:val="ECHRHeaderDate"/>
    <w:uiPriority w:val="43"/>
    <w:qFormat/>
    <w:rsid w:val="00C22FCE"/>
    <w:pPr>
      <w:jc w:val="right"/>
    </w:pPr>
    <w:rPr>
      <w:i/>
      <w:sz w:val="20"/>
    </w:rPr>
  </w:style>
  <w:style w:type="paragraph" w:customStyle="1" w:styleId="ECHRHeading9">
    <w:name w:val="ECHR_Heading_9"/>
    <w:aliases w:val="_Head_9"/>
    <w:basedOn w:val="Heading9"/>
    <w:uiPriority w:val="17"/>
    <w:semiHidden/>
    <w:rsid w:val="00C22FCE"/>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C22FC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C22FCE"/>
    <w:pPr>
      <w:numPr>
        <w:numId w:val="11"/>
      </w:numPr>
      <w:spacing w:before="60" w:after="60"/>
    </w:pPr>
  </w:style>
  <w:style w:type="paragraph" w:customStyle="1" w:styleId="ECHRNumberedList2">
    <w:name w:val="ECHR_Numbered_List_2"/>
    <w:aliases w:val="_Num_2"/>
    <w:basedOn w:val="ECHRNumberedList1"/>
    <w:uiPriority w:val="23"/>
    <w:semiHidden/>
    <w:rsid w:val="00C22FCE"/>
    <w:pPr>
      <w:numPr>
        <w:ilvl w:val="1"/>
      </w:numPr>
    </w:pPr>
  </w:style>
  <w:style w:type="paragraph" w:customStyle="1" w:styleId="ECHRNumberedList3">
    <w:name w:val="ECHR_Numbered_List_3"/>
    <w:aliases w:val="_Num_3"/>
    <w:basedOn w:val="ECHRNumberedList2"/>
    <w:uiPriority w:val="23"/>
    <w:semiHidden/>
    <w:rsid w:val="00C22FCE"/>
    <w:pPr>
      <w:numPr>
        <w:ilvl w:val="2"/>
      </w:numPr>
    </w:pPr>
  </w:style>
  <w:style w:type="paragraph" w:customStyle="1" w:styleId="ECHRParaHanging">
    <w:name w:val="ECHR_Para_Hanging"/>
    <w:aliases w:val="_Hanging"/>
    <w:basedOn w:val="Normal"/>
    <w:uiPriority w:val="8"/>
    <w:semiHidden/>
    <w:qFormat/>
    <w:rsid w:val="00C22FCE"/>
    <w:pPr>
      <w:ind w:left="567" w:hanging="567"/>
      <w:jc w:val="both"/>
    </w:pPr>
  </w:style>
  <w:style w:type="paragraph" w:customStyle="1" w:styleId="ECHRParaIndent">
    <w:name w:val="ECHR_Para_Indent"/>
    <w:aliases w:val="_Indent"/>
    <w:basedOn w:val="Normal"/>
    <w:uiPriority w:val="7"/>
    <w:semiHidden/>
    <w:qFormat/>
    <w:rsid w:val="00C22FCE"/>
    <w:pPr>
      <w:spacing w:before="120" w:after="120"/>
      <w:ind w:left="284"/>
      <w:jc w:val="both"/>
    </w:pPr>
  </w:style>
  <w:style w:type="character" w:customStyle="1" w:styleId="ECHRRed">
    <w:name w:val="ECHR_Red"/>
    <w:aliases w:val="_Red"/>
    <w:basedOn w:val="DefaultParagraphFont"/>
    <w:uiPriority w:val="15"/>
    <w:semiHidden/>
    <w:qFormat/>
    <w:rsid w:val="00C22FCE"/>
    <w:rPr>
      <w:color w:val="C00000" w:themeColor="accent2"/>
    </w:rPr>
  </w:style>
  <w:style w:type="paragraph" w:customStyle="1" w:styleId="DecList">
    <w:name w:val="Dec_List"/>
    <w:aliases w:val="_List"/>
    <w:basedOn w:val="JuList"/>
    <w:uiPriority w:val="22"/>
    <w:rsid w:val="00C22FCE"/>
    <w:pPr>
      <w:numPr>
        <w:numId w:val="0"/>
      </w:numPr>
      <w:ind w:left="284"/>
    </w:pPr>
  </w:style>
  <w:style w:type="table" w:customStyle="1" w:styleId="ECHRTable2">
    <w:name w:val="ECHR_Table_2"/>
    <w:basedOn w:val="TableNormal"/>
    <w:uiPriority w:val="99"/>
    <w:rsid w:val="00C22FC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C22FC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C22FC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C22FC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C22FC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C22FC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C22FC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C22FC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C22FCE"/>
    <w:pPr>
      <w:outlineLvl w:val="0"/>
    </w:pPr>
  </w:style>
  <w:style w:type="paragraph" w:customStyle="1" w:styleId="ECHRTitleTOC1">
    <w:name w:val="ECHR_Title_TOC_1"/>
    <w:aliases w:val="_Title_L_TOC"/>
    <w:basedOn w:val="ECHRTitle1"/>
    <w:next w:val="Normal"/>
    <w:uiPriority w:val="27"/>
    <w:semiHidden/>
    <w:qFormat/>
    <w:rsid w:val="00C22FCE"/>
    <w:pPr>
      <w:outlineLvl w:val="0"/>
    </w:pPr>
  </w:style>
  <w:style w:type="paragraph" w:customStyle="1" w:styleId="ECHRPlaceholder">
    <w:name w:val="ECHR_Placeholder"/>
    <w:aliases w:val="_Placeholder"/>
    <w:basedOn w:val="JuSigned"/>
    <w:uiPriority w:val="31"/>
    <w:rsid w:val="00C22FCE"/>
    <w:rPr>
      <w:color w:val="FFFFFF"/>
    </w:rPr>
  </w:style>
  <w:style w:type="paragraph" w:customStyle="1" w:styleId="ECHRSpacer">
    <w:name w:val="ECHR_Spacer"/>
    <w:aliases w:val="_Spacer"/>
    <w:basedOn w:val="Normal"/>
    <w:uiPriority w:val="45"/>
    <w:semiHidden/>
    <w:rsid w:val="00C22FCE"/>
    <w:rPr>
      <w:sz w:val="4"/>
    </w:rPr>
  </w:style>
  <w:style w:type="table" w:customStyle="1" w:styleId="ECHRTableGrey">
    <w:name w:val="ECHR_Table_Grey"/>
    <w:basedOn w:val="TableNormal"/>
    <w:uiPriority w:val="99"/>
    <w:rsid w:val="00C22FC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D0549"/>
    <w:rPr>
      <w:sz w:val="24"/>
      <w:szCs w:val="24"/>
      <w:lang w:val="en-GB"/>
    </w:rPr>
  </w:style>
  <w:style w:type="character" w:customStyle="1" w:styleId="JuNames0">
    <w:name w:val="Ju_Names"/>
    <w:rsid w:val="004D0549"/>
    <w:rPr>
      <w:smallCaps/>
    </w:rPr>
  </w:style>
  <w:style w:type="character" w:customStyle="1" w:styleId="JuHAChar">
    <w:name w:val="Ju_H_A Char"/>
    <w:link w:val="JuHA"/>
    <w:uiPriority w:val="17"/>
    <w:rsid w:val="004D0549"/>
    <w:rPr>
      <w:rFonts w:asciiTheme="majorHAnsi" w:eastAsiaTheme="majorEastAsia" w:hAnsiTheme="majorHAnsi" w:cstheme="majorBidi"/>
      <w:b/>
      <w:bCs/>
      <w:sz w:val="24"/>
      <w:lang w:val="en-GB"/>
    </w:rPr>
  </w:style>
  <w:style w:type="paragraph" w:customStyle="1" w:styleId="JuParaSub">
    <w:name w:val="Ju_Para_Sub"/>
    <w:basedOn w:val="JuPara"/>
    <w:uiPriority w:val="13"/>
    <w:qFormat/>
    <w:rsid w:val="004D0549"/>
    <w:pPr>
      <w:ind w:left="284"/>
    </w:pPr>
    <w:rPr>
      <w:rFonts w:eastAsiaTheme="minorEastAsia"/>
      <w:szCs w:val="22"/>
    </w:rPr>
  </w:style>
  <w:style w:type="character" w:customStyle="1" w:styleId="JuH1Char">
    <w:name w:val="Ju_H_1. Char"/>
    <w:link w:val="JuH1"/>
    <w:uiPriority w:val="17"/>
    <w:rsid w:val="004D0549"/>
    <w:rPr>
      <w:rFonts w:asciiTheme="majorHAnsi" w:eastAsiaTheme="majorEastAsia" w:hAnsiTheme="majorHAnsi" w:cstheme="majorBidi"/>
      <w:bCs/>
      <w:i/>
      <w:iCs/>
      <w:sz w:val="24"/>
      <w:lang w:val="en-GB"/>
    </w:rPr>
  </w:style>
  <w:style w:type="character" w:customStyle="1" w:styleId="JuQuotChar">
    <w:name w:val="Ju_Quot Char"/>
    <w:basedOn w:val="DefaultParagraphFont"/>
    <w:link w:val="JuQuot"/>
    <w:uiPriority w:val="20"/>
    <w:rsid w:val="004D0549"/>
    <w:rPr>
      <w:sz w:val="20"/>
      <w:szCs w:val="24"/>
      <w:lang w:val="en-GB"/>
    </w:rPr>
  </w:style>
  <w:style w:type="table" w:styleId="GridTable1Light">
    <w:name w:val="Grid Table 1 Light"/>
    <w:basedOn w:val="TableNormal"/>
    <w:uiPriority w:val="46"/>
    <w:semiHidden/>
    <w:rsid w:val="00313DA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313DA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313DA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4D0549"/>
    <w:rPr>
      <w:rFonts w:eastAsiaTheme="minorEastAsia"/>
      <w:sz w:val="24"/>
      <w:lang w:val="en-GB"/>
    </w:rPr>
  </w:style>
  <w:style w:type="table" w:styleId="GridTable1Light-Accent3">
    <w:name w:val="Grid Table 1 Light Accent 3"/>
    <w:basedOn w:val="TableNormal"/>
    <w:uiPriority w:val="46"/>
    <w:semiHidden/>
    <w:rsid w:val="00313DA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313DA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character" w:customStyle="1" w:styleId="JuParaCar">
    <w:name w:val="Ju_Para Car"/>
    <w:basedOn w:val="DefaultParagraphFont"/>
    <w:uiPriority w:val="12"/>
    <w:rsid w:val="004D0549"/>
    <w:rPr>
      <w:rFonts w:eastAsiaTheme="minorEastAsia"/>
      <w:sz w:val="24"/>
    </w:rPr>
  </w:style>
  <w:style w:type="table" w:styleId="GridTable1Light-Accent5">
    <w:name w:val="Grid Table 1 Light Accent 5"/>
    <w:basedOn w:val="TableNormal"/>
    <w:uiPriority w:val="46"/>
    <w:semiHidden/>
    <w:rsid w:val="00313DA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313DA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313DA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313DA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313DA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313DA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313DA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313DA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313DA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313D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313D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313D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313D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313D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313D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313D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313D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313D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313D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313D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313D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313D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313D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313DA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313D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313D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313D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313D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313D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313D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313D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313DA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313DA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313DA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313DA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313DA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313DA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313DA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313DA4"/>
    <w:rPr>
      <w:color w:val="2B579A"/>
      <w:shd w:val="clear" w:color="auto" w:fill="E1DFDD"/>
    </w:rPr>
  </w:style>
  <w:style w:type="table" w:styleId="ListTable1Light">
    <w:name w:val="List Table 1 Light"/>
    <w:basedOn w:val="TableNormal"/>
    <w:uiPriority w:val="46"/>
    <w:semiHidden/>
    <w:rsid w:val="00313DA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313DA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313DA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313DA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313DA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313DA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313DA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313DA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313DA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313DA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313DA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313DA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313DA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313DA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313DA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313DA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313DA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313DA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313DA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313DA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313DA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313DA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313DA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313DA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313DA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313DA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313DA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313DA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313DA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313DA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313DA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313DA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313DA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313DA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313DA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313DA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313DA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313DA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313DA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313DA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313DA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313DA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313DA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313DA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313DA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313DA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313DA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313DA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313DA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313DA4"/>
    <w:rPr>
      <w:color w:val="2B579A"/>
      <w:shd w:val="clear" w:color="auto" w:fill="E1DFDD"/>
    </w:rPr>
  </w:style>
  <w:style w:type="table" w:styleId="PlainTable1">
    <w:name w:val="Plain Table 1"/>
    <w:basedOn w:val="TableNormal"/>
    <w:uiPriority w:val="41"/>
    <w:semiHidden/>
    <w:rsid w:val="00313DA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313DA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313DA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313DA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313DA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313DA4"/>
    <w:rPr>
      <w:u w:val="dotted"/>
    </w:rPr>
  </w:style>
  <w:style w:type="character" w:customStyle="1" w:styleId="SmartLink">
    <w:name w:val="Smart Link"/>
    <w:basedOn w:val="DefaultParagraphFont"/>
    <w:uiPriority w:val="99"/>
    <w:semiHidden/>
    <w:unhideWhenUsed/>
    <w:rsid w:val="00313DA4"/>
    <w:rPr>
      <w:color w:val="0000FF"/>
      <w:u w:val="single"/>
      <w:shd w:val="clear" w:color="auto" w:fill="F3F2F1"/>
    </w:rPr>
  </w:style>
  <w:style w:type="table" w:styleId="TableGridLight">
    <w:name w:val="Grid Table Light"/>
    <w:basedOn w:val="TableNormal"/>
    <w:uiPriority w:val="40"/>
    <w:semiHidden/>
    <w:rsid w:val="00313DA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313DA4"/>
    <w:rPr>
      <w:color w:val="605E5C"/>
      <w:shd w:val="clear" w:color="auto" w:fill="E1DFDD"/>
    </w:rPr>
  </w:style>
  <w:style w:type="paragraph" w:customStyle="1" w:styleId="Jupara0">
    <w:name w:val="Ju para"/>
    <w:basedOn w:val="Normal"/>
    <w:rsid w:val="008C6418"/>
    <w:pPr>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4215">
      <w:bodyDiv w:val="1"/>
      <w:marLeft w:val="0"/>
      <w:marRight w:val="0"/>
      <w:marTop w:val="0"/>
      <w:marBottom w:val="0"/>
      <w:divBdr>
        <w:top w:val="none" w:sz="0" w:space="0" w:color="auto"/>
        <w:left w:val="none" w:sz="0" w:space="0" w:color="auto"/>
        <w:bottom w:val="none" w:sz="0" w:space="0" w:color="auto"/>
        <w:right w:val="none" w:sz="0" w:space="0" w:color="auto"/>
      </w:divBdr>
    </w:div>
    <w:div w:id="1587424861">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loc.gov/law/help/foreign-intelligence-gathering/sweden.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B7E82779CE449AB0DDA5346A854315"/>
        <w:category>
          <w:name w:val="General"/>
          <w:gallery w:val="placeholder"/>
        </w:category>
        <w:types>
          <w:type w:val="bbPlcHdr"/>
        </w:types>
        <w:behaviors>
          <w:behavior w:val="content"/>
        </w:behaviors>
        <w:guid w:val="{0CBFC46D-95E9-412E-B87E-55DFE3851F91}"/>
      </w:docPartPr>
      <w:docPartBody>
        <w:p w:rsidR="00BA5BAF" w:rsidRDefault="00E43D0D" w:rsidP="00E43D0D">
          <w:pPr>
            <w:pStyle w:val="DAB7E82779CE449AB0DDA5346A854315"/>
          </w:pPr>
          <w:r w:rsidRPr="00ED3B27">
            <w:rPr>
              <w:rStyle w:val="PlaceholderText"/>
            </w:rPr>
            <w:t>Click here to enter text.</w:t>
          </w:r>
        </w:p>
      </w:docPartBody>
    </w:docPart>
    <w:docPart>
      <w:docPartPr>
        <w:name w:val="19AA54435D344B89BDE2F57AD38E2F56"/>
        <w:category>
          <w:name w:val="General"/>
          <w:gallery w:val="placeholder"/>
        </w:category>
        <w:types>
          <w:type w:val="bbPlcHdr"/>
        </w:types>
        <w:behaviors>
          <w:behavior w:val="content"/>
        </w:behaviors>
        <w:guid w:val="{E8AE7CC1-DAC5-42A8-8D1D-FC232AF3AE40}"/>
      </w:docPartPr>
      <w:docPartBody>
        <w:p w:rsidR="00BA5BAF" w:rsidRDefault="00E43D0D" w:rsidP="00E43D0D">
          <w:pPr>
            <w:pStyle w:val="19AA54435D344B89BDE2F57AD38E2F56"/>
          </w:pPr>
          <w:r w:rsidRPr="00ED3B27">
            <w:rPr>
              <w:rStyle w:val="PlaceholderText"/>
            </w:rPr>
            <w:t>Click here to enter LastName</w:t>
          </w:r>
        </w:p>
      </w:docPartBody>
    </w:docPart>
    <w:docPart>
      <w:docPartPr>
        <w:name w:val="63F45BCD4F5A491DBD216AD7106E0C1D"/>
        <w:category>
          <w:name w:val="General"/>
          <w:gallery w:val="placeholder"/>
        </w:category>
        <w:types>
          <w:type w:val="bbPlcHdr"/>
        </w:types>
        <w:behaviors>
          <w:behavior w:val="content"/>
        </w:behaviors>
        <w:guid w:val="{DAA105B3-0BB7-4D2C-AAF2-544B8B1E4EEF}"/>
      </w:docPartPr>
      <w:docPartBody>
        <w:p w:rsidR="00BA5BAF" w:rsidRDefault="00E43D0D" w:rsidP="00E43D0D">
          <w:pPr>
            <w:pStyle w:val="63F45BCD4F5A491DBD216AD7106E0C1D"/>
          </w:pPr>
          <w:r w:rsidRPr="00ED3B27">
            <w:rPr>
              <w:rStyle w:val="PlaceholderText"/>
            </w:rPr>
            <w:t>Click here to enter text.</w:t>
          </w:r>
        </w:p>
      </w:docPartBody>
    </w:docPart>
    <w:docPart>
      <w:docPartPr>
        <w:name w:val="341804F653C843308F74CFCCB6F41082"/>
        <w:category>
          <w:name w:val="General"/>
          <w:gallery w:val="placeholder"/>
        </w:category>
        <w:types>
          <w:type w:val="bbPlcHdr"/>
        </w:types>
        <w:behaviors>
          <w:behavior w:val="content"/>
        </w:behaviors>
        <w:guid w:val="{36D3B27A-C057-4C54-96FF-46469B959D08}"/>
      </w:docPartPr>
      <w:docPartBody>
        <w:p w:rsidR="00BA5BAF" w:rsidRDefault="00E43D0D" w:rsidP="00E43D0D">
          <w:pPr>
            <w:pStyle w:val="341804F653C843308F74CFCCB6F41082"/>
          </w:pPr>
          <w:r w:rsidRPr="00ED3B27">
            <w:rPr>
              <w:rStyle w:val="PlaceholderText"/>
            </w:rPr>
            <w:t>Click here to enter LastName</w:t>
          </w:r>
        </w:p>
      </w:docPartBody>
    </w:docPart>
    <w:docPart>
      <w:docPartPr>
        <w:name w:val="56C7E96D4F0C45338685D676D4E133A8"/>
        <w:category>
          <w:name w:val="General"/>
          <w:gallery w:val="placeholder"/>
        </w:category>
        <w:types>
          <w:type w:val="bbPlcHdr"/>
        </w:types>
        <w:behaviors>
          <w:behavior w:val="content"/>
        </w:behaviors>
        <w:guid w:val="{6751A6AC-C63E-427F-86EA-9A06F3034EDE}"/>
      </w:docPartPr>
      <w:docPartBody>
        <w:p w:rsidR="00BA5BAF" w:rsidRDefault="00E43D0D" w:rsidP="00E43D0D">
          <w:pPr>
            <w:pStyle w:val="56C7E96D4F0C45338685D676D4E133A8"/>
          </w:pPr>
          <w:r w:rsidRPr="00ED3B27">
            <w:rPr>
              <w:rStyle w:val="PlaceholderText"/>
            </w:rPr>
            <w:t>Initials Pres</w:t>
          </w:r>
        </w:p>
      </w:docPartBody>
    </w:docPart>
    <w:docPart>
      <w:docPartPr>
        <w:name w:val="207751B2535443EEB147B0358A52D28B"/>
        <w:category>
          <w:name w:val="General"/>
          <w:gallery w:val="placeholder"/>
        </w:category>
        <w:types>
          <w:type w:val="bbPlcHdr"/>
        </w:types>
        <w:behaviors>
          <w:behavior w:val="content"/>
        </w:behaviors>
        <w:guid w:val="{3B2A0906-E0ED-4B60-996F-2BE88BF808DA}"/>
      </w:docPartPr>
      <w:docPartBody>
        <w:p w:rsidR="00BA5BAF" w:rsidRDefault="00E43D0D" w:rsidP="00E43D0D">
          <w:pPr>
            <w:pStyle w:val="207751B2535443EEB147B0358A52D28B"/>
          </w:pPr>
          <w:r w:rsidRPr="00ED3B27">
            <w:rPr>
              <w:rStyle w:val="PlaceholderText"/>
            </w:rPr>
            <w:t>Initials Reg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0D"/>
    <w:rsid w:val="00072A71"/>
    <w:rsid w:val="001264DE"/>
    <w:rsid w:val="00392EBF"/>
    <w:rsid w:val="00583D4B"/>
    <w:rsid w:val="00632B30"/>
    <w:rsid w:val="00740B2A"/>
    <w:rsid w:val="00993E48"/>
    <w:rsid w:val="00B534AF"/>
    <w:rsid w:val="00BA5BAF"/>
    <w:rsid w:val="00C817B7"/>
    <w:rsid w:val="00D46E61"/>
    <w:rsid w:val="00E43D0D"/>
    <w:rsid w:val="00ED68D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43D0D"/>
    <w:rPr>
      <w:color w:val="auto"/>
      <w:bdr w:val="none" w:sz="0" w:space="0" w:color="auto"/>
      <w:shd w:val="clear" w:color="auto" w:fill="D0CECE" w:themeFill="background2" w:themeFillShade="E6"/>
    </w:rPr>
  </w:style>
  <w:style w:type="paragraph" w:customStyle="1" w:styleId="95E30424965549188A6D579A9714A4BB">
    <w:name w:val="95E30424965549188A6D579A9714A4BB"/>
    <w:rsid w:val="00E43D0D"/>
  </w:style>
  <w:style w:type="paragraph" w:customStyle="1" w:styleId="DAB7E82779CE449AB0DDA5346A854315">
    <w:name w:val="DAB7E82779CE449AB0DDA5346A854315"/>
    <w:rsid w:val="00E43D0D"/>
  </w:style>
  <w:style w:type="paragraph" w:customStyle="1" w:styleId="19AA54435D344B89BDE2F57AD38E2F56">
    <w:name w:val="19AA54435D344B89BDE2F57AD38E2F56"/>
    <w:rsid w:val="00E43D0D"/>
  </w:style>
  <w:style w:type="paragraph" w:customStyle="1" w:styleId="63F45BCD4F5A491DBD216AD7106E0C1D">
    <w:name w:val="63F45BCD4F5A491DBD216AD7106E0C1D"/>
    <w:rsid w:val="00E43D0D"/>
  </w:style>
  <w:style w:type="paragraph" w:customStyle="1" w:styleId="341804F653C843308F74CFCCB6F41082">
    <w:name w:val="341804F653C843308F74CFCCB6F41082"/>
    <w:rsid w:val="00E43D0D"/>
  </w:style>
  <w:style w:type="paragraph" w:customStyle="1" w:styleId="56C7E96D4F0C45338685D676D4E133A8">
    <w:name w:val="56C7E96D4F0C45338685D676D4E133A8"/>
    <w:rsid w:val="00E43D0D"/>
  </w:style>
  <w:style w:type="paragraph" w:customStyle="1" w:styleId="207751B2535443EEB147B0358A52D28B">
    <w:name w:val="207751B2535443EEB147B0358A52D28B"/>
    <w:rsid w:val="00E43D0D"/>
  </w:style>
  <w:style w:type="paragraph" w:customStyle="1" w:styleId="93D0312BF4074EF9A48D9FCC99CEA6C5">
    <w:name w:val="93D0312BF4074EF9A48D9FCC99CEA6C5"/>
    <w:rsid w:val="00E43D0D"/>
  </w:style>
  <w:style w:type="paragraph" w:customStyle="1" w:styleId="0C312ED27B7942238D254BD8C6C0F947">
    <w:name w:val="0C312ED27B7942238D254BD8C6C0F947"/>
    <w:rsid w:val="00E43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0CDFC-E57E-4EB2-9465-C5F6A87FE930}">
  <ds:schemaRefs>
    <ds:schemaRef ds:uri="http://schemas.openxmlformats.org/officeDocument/2006/bibliography"/>
  </ds:schemaRefs>
</ds:datastoreItem>
</file>

<file path=customXml/itemProps2.xml><?xml version="1.0" encoding="utf-8"?>
<ds:datastoreItem xmlns:ds="http://schemas.openxmlformats.org/officeDocument/2006/customXml" ds:itemID="{B1AB774A-8642-449C-B5C4-0504D8DFC41A}"/>
</file>

<file path=customXml/itemProps3.xml><?xml version="1.0" encoding="utf-8"?>
<ds:datastoreItem xmlns:ds="http://schemas.openxmlformats.org/officeDocument/2006/customXml" ds:itemID="{37079E49-00EC-404E-A3ED-EC9B3CC4CC98}"/>
</file>

<file path=customXml/itemProps4.xml><?xml version="1.0" encoding="utf-8"?>
<ds:datastoreItem xmlns:ds="http://schemas.openxmlformats.org/officeDocument/2006/customXml" ds:itemID="{C4D9CF32-68BE-4A9E-9C87-B1A9806249E1}"/>
</file>

<file path=docProps/app.xml><?xml version="1.0" encoding="utf-8"?>
<Properties xmlns="http://schemas.openxmlformats.org/officeDocument/2006/extended-properties" xmlns:vt="http://schemas.openxmlformats.org/officeDocument/2006/docPropsVTypes">
  <Template>Normal.dotm</Template>
  <TotalTime>0</TotalTime>
  <Pages>1</Pages>
  <Words>46630</Words>
  <Characters>265795</Characters>
  <Application>Microsoft Office Word</Application>
  <DocSecurity>0</DocSecurity>
  <Lines>2214</Lines>
  <Paragraphs>623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2021-05-25T10:50:00Z</dcterms:created>
  <dcterms:modified xsi:type="dcterms:W3CDTF">2021-05-25T10:50:00Z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QuickStyle">
    <vt:lpwstr>Jud_Styles_Eng_2019</vt:lpwstr>
  </property>
  <property fmtid="{D5CDD505-2E9C-101B-9397-08002B2CF9AE}" pid="4" name="RegisteredNo">
    <vt:lpwstr>35252/08</vt:lpwstr>
  </property>
  <property fmtid="{D5CDD505-2E9C-101B-9397-08002B2CF9AE}" pid="5" name="CASEID">
    <vt:lpwstr>519455</vt:lpwstr>
  </property>
  <property fmtid="{D5CDD505-2E9C-101B-9397-08002B2CF9AE}" pid="6" name="OrigTemp">
    <vt:lpwstr>English\Automation\Conversion Macros\NEW STYLES Judgment GC.dotx</vt:lpwstr>
  </property>
  <property fmtid="{D5CDD505-2E9C-101B-9397-08002B2CF9AE}" pid="7" name="LaunchFolder">
    <vt:lpwstr>M:\Development of templates\</vt:lpwstr>
  </property>
  <property fmtid="{D5CDD505-2E9C-101B-9397-08002B2CF9AE}" pid="8" name="ContentTypeId">
    <vt:lpwstr>0x010100558EB02BDB9E204AB350EDD385B68E10</vt:lpwstr>
  </property>
</Properties>
</file>