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custom.xml" ContentType="application/vnd.openxmlformats-officedocument.custom-properti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FF31D2" w:rsidR="0098410D" w:rsidP="00FF31D2" w:rsidRDefault="0098410D">
      <w:pPr>
        <w:jc w:val="center"/>
      </w:pPr>
      <w:bookmarkStart w:name="_GoBack" w:id="0"/>
      <w:bookmarkEnd w:id="0"/>
    </w:p>
    <w:p w:rsidRPr="00FF31D2" w:rsidR="0098410D" w:rsidP="00FF31D2" w:rsidRDefault="004C1EEF">
      <w:pPr>
        <w:pStyle w:val="DecHCase"/>
      </w:pPr>
      <w:r w:rsidRPr="00FF31D2">
        <w:t>FOURTH SECTION</w:t>
      </w:r>
    </w:p>
    <w:p w:rsidRPr="00FF31D2" w:rsidR="008E6217" w:rsidP="00FF31D2" w:rsidRDefault="008E6217">
      <w:pPr>
        <w:pStyle w:val="JuTitle"/>
      </w:pPr>
      <w:bookmarkStart w:name="To" w:id="1"/>
      <w:r w:rsidRPr="00FF31D2">
        <w:rPr>
          <w:color w:val="000000" w:themeColor="text1"/>
        </w:rPr>
        <w:t xml:space="preserve">CASE OF </w:t>
      </w:r>
      <w:bookmarkEnd w:id="1"/>
      <w:r w:rsidRPr="00FF31D2" w:rsidR="004C1EEF">
        <w:t>BIMAL D.D. v. BOSNIA AND HERZEGOVINA</w:t>
      </w:r>
    </w:p>
    <w:p w:rsidRPr="00FF31D2" w:rsidR="00D74888" w:rsidP="00FF31D2" w:rsidRDefault="008E6217">
      <w:pPr>
        <w:pStyle w:val="ECHRCoverTitle4"/>
      </w:pPr>
      <w:r w:rsidRPr="00FF31D2">
        <w:t>(</w:t>
      </w:r>
      <w:r w:rsidRPr="00FF31D2" w:rsidR="004C1EEF">
        <w:t>Application no.</w:t>
      </w:r>
      <w:r w:rsidRPr="00FF31D2">
        <w:t xml:space="preserve"> </w:t>
      </w:r>
      <w:r w:rsidRPr="00FF31D2" w:rsidR="004C1EEF">
        <w:t>27289/17</w:t>
      </w:r>
      <w:r w:rsidRPr="00FF31D2">
        <w:t>)</w:t>
      </w:r>
    </w:p>
    <w:p w:rsidRPr="00FF31D2" w:rsidR="0098410D" w:rsidP="00FF31D2" w:rsidRDefault="0098410D">
      <w:pPr>
        <w:pStyle w:val="DecHCase"/>
      </w:pPr>
    </w:p>
    <w:p w:rsidRPr="00FF31D2" w:rsidR="0098410D" w:rsidP="00FF31D2" w:rsidRDefault="0098410D">
      <w:pPr>
        <w:pStyle w:val="DecHCase"/>
      </w:pPr>
    </w:p>
    <w:p w:rsidRPr="00FF31D2" w:rsidR="00AC4CD4" w:rsidP="00FF31D2" w:rsidRDefault="00AC4CD4">
      <w:pPr>
        <w:pStyle w:val="DecHCase"/>
      </w:pPr>
    </w:p>
    <w:p w:rsidRPr="00FF31D2" w:rsidR="0098410D" w:rsidP="00FF31D2" w:rsidRDefault="0098410D">
      <w:pPr>
        <w:pStyle w:val="DecHCase"/>
      </w:pPr>
    </w:p>
    <w:p w:rsidRPr="00FF31D2" w:rsidR="00FF31D2" w:rsidP="00FF31D2" w:rsidRDefault="00FF31D2">
      <w:pPr>
        <w:pStyle w:val="DecHCase"/>
      </w:pPr>
    </w:p>
    <w:p w:rsidRPr="00FF31D2" w:rsidR="00FF31D2" w:rsidP="00FF31D2" w:rsidRDefault="00FF31D2">
      <w:pPr>
        <w:pStyle w:val="DecHCase"/>
      </w:pPr>
    </w:p>
    <w:p w:rsidRPr="00FF31D2" w:rsidR="0098410D" w:rsidP="00FF31D2" w:rsidRDefault="0098410D">
      <w:pPr>
        <w:pStyle w:val="DecHCase"/>
      </w:pPr>
      <w:r w:rsidRPr="00FF31D2">
        <w:t>JUDGMENT</w:t>
      </w:r>
      <w:r w:rsidRPr="00FF31D2" w:rsidR="00AC4CD4">
        <w:br/>
      </w:r>
    </w:p>
    <w:p w:rsidRPr="00FF31D2" w:rsidR="0098410D" w:rsidP="00FF31D2" w:rsidRDefault="0098410D">
      <w:pPr>
        <w:pStyle w:val="DecHCase"/>
      </w:pPr>
      <w:r w:rsidRPr="00FF31D2">
        <w:t>STRASBOURG</w:t>
      </w:r>
    </w:p>
    <w:p w:rsidRPr="00FF31D2" w:rsidR="00B25C0E" w:rsidP="00FF31D2" w:rsidRDefault="004C1EEF">
      <w:pPr>
        <w:pStyle w:val="DecHCase"/>
        <w:rPr>
          <w:rFonts w:ascii="Times New Roman" w:hAnsi="Times New Roman" w:cs="Times New Roman"/>
        </w:rPr>
      </w:pPr>
      <w:r w:rsidRPr="00FF31D2">
        <w:rPr>
          <w:rFonts w:ascii="Times New Roman" w:hAnsi="Times New Roman" w:cs="Times New Roman"/>
        </w:rPr>
        <w:t>31 August 2021</w:t>
      </w:r>
    </w:p>
    <w:p w:rsidRPr="00FF31D2" w:rsidR="00B25C0E" w:rsidP="00FF31D2" w:rsidRDefault="00B25C0E">
      <w:pPr>
        <w:pStyle w:val="JuPara"/>
      </w:pPr>
    </w:p>
    <w:p w:rsidRPr="00FF31D2" w:rsidR="002422B6" w:rsidP="00FF31D2" w:rsidRDefault="0098410D">
      <w:pPr>
        <w:rPr>
          <w:i/>
          <w:sz w:val="22"/>
        </w:rPr>
      </w:pPr>
      <w:r w:rsidRPr="00FF31D2">
        <w:rPr>
          <w:i/>
          <w:sz w:val="22"/>
        </w:rPr>
        <w:t xml:space="preserve">This judgment </w:t>
      </w:r>
      <w:r w:rsidRPr="00FF31D2" w:rsidR="004C1EEF">
        <w:rPr>
          <w:i/>
          <w:sz w:val="22"/>
        </w:rPr>
        <w:t>is final but it</w:t>
      </w:r>
      <w:r w:rsidRPr="00FF31D2">
        <w:rPr>
          <w:i/>
          <w:sz w:val="22"/>
        </w:rPr>
        <w:t xml:space="preserve"> may be subject to editorial revision.</w:t>
      </w:r>
    </w:p>
    <w:p w:rsidRPr="00FF31D2" w:rsidR="0098410D" w:rsidP="00FF31D2" w:rsidRDefault="0098410D">
      <w:pPr>
        <w:sectPr w:rsidRPr="00FF31D2" w:rsidR="0098410D" w:rsidSect="00D66471">
          <w:headerReference w:type="default" r:id="rId8"/>
          <w:footerReference w:type="default" r:id="rId9"/>
          <w:headerReference w:type="first" r:id="rId10"/>
          <w:footerReference w:type="first" r:id="rId11"/>
          <w:footnotePr>
            <w:numRestart w:val="eachSect"/>
          </w:footnotePr>
          <w:endnotePr>
            <w:numFmt w:val="decimal"/>
          </w:endnotePr>
          <w:pgSz w:w="11906" w:h="16838" w:code="9"/>
          <w:pgMar w:top="2274" w:right="2274" w:bottom="2274" w:left="2274" w:header="1701" w:footer="720" w:gutter="0"/>
          <w:pgNumType w:start="1"/>
          <w:cols w:space="720"/>
          <w:noEndnote/>
          <w:titlePg/>
        </w:sectPr>
      </w:pPr>
    </w:p>
    <w:p w:rsidRPr="00FF31D2" w:rsidR="0098410D" w:rsidP="00FF31D2" w:rsidRDefault="0098410D">
      <w:pPr>
        <w:pStyle w:val="JuCase"/>
      </w:pPr>
      <w:r w:rsidRPr="00FF31D2">
        <w:t xml:space="preserve">In the case of </w:t>
      </w:r>
      <w:r w:rsidRPr="00FF31D2" w:rsidR="004C1EEF">
        <w:t>BIMAL d.d. v. Bosnia and Herzegovina</w:t>
      </w:r>
      <w:r w:rsidRPr="00FF31D2">
        <w:t>,</w:t>
      </w:r>
    </w:p>
    <w:p w:rsidRPr="00FF31D2" w:rsidR="009F4C8F" w:rsidP="00FF31D2" w:rsidRDefault="009F4C8F">
      <w:pPr>
        <w:pStyle w:val="JuPara"/>
      </w:pPr>
      <w:r w:rsidRPr="00FF31D2">
        <w:t>The European Court of Human Rights (</w:t>
      </w:r>
      <w:r w:rsidRPr="00FF31D2" w:rsidR="004C1EEF">
        <w:t>Fourth Section</w:t>
      </w:r>
      <w:r w:rsidRPr="00FF31D2">
        <w:t xml:space="preserve">), sitting as a </w:t>
      </w:r>
      <w:r w:rsidRPr="00FF31D2" w:rsidR="004C1EEF">
        <w:t>Committee</w:t>
      </w:r>
      <w:r w:rsidRPr="00FF31D2">
        <w:t xml:space="preserve"> composed of:</w:t>
      </w:r>
    </w:p>
    <w:p w:rsidRPr="00FF31D2" w:rsidR="009F4C8F" w:rsidP="00FF31D2" w:rsidRDefault="0097610D">
      <w:pPr>
        <w:pStyle w:val="JuJudges"/>
      </w:pPr>
      <w:r w:rsidRPr="00FF31D2">
        <w:tab/>
        <w:t>Tim Eicke,</w:t>
      </w:r>
      <w:r w:rsidRPr="00FF31D2">
        <w:rPr>
          <w:i/>
        </w:rPr>
        <w:t xml:space="preserve"> President,</w:t>
      </w:r>
      <w:r w:rsidRPr="00FF31D2">
        <w:rPr>
          <w:i/>
        </w:rPr>
        <w:br/>
      </w:r>
      <w:r w:rsidRPr="00FF31D2">
        <w:tab/>
        <w:t>Faris Vehabović,</w:t>
      </w:r>
      <w:r w:rsidRPr="00FF31D2">
        <w:rPr>
          <w:i/>
        </w:rPr>
        <w:br/>
      </w:r>
      <w:r w:rsidRPr="00FF31D2">
        <w:tab/>
        <w:t>Pere Pastor Vilanova,</w:t>
      </w:r>
      <w:r w:rsidRPr="00FF31D2">
        <w:rPr>
          <w:i/>
        </w:rPr>
        <w:t xml:space="preserve"> judges,</w:t>
      </w:r>
      <w:r w:rsidRPr="00FF31D2" w:rsidR="009F4C8F">
        <w:br/>
        <w:t xml:space="preserve">and </w:t>
      </w:r>
      <w:r w:rsidRPr="00FF31D2" w:rsidR="004C1EEF">
        <w:t>Ilse Freiwirth</w:t>
      </w:r>
      <w:r w:rsidRPr="00FF31D2" w:rsidR="009F4C8F">
        <w:t xml:space="preserve">, </w:t>
      </w:r>
      <w:r w:rsidRPr="00FF31D2" w:rsidR="004C1EEF">
        <w:rPr>
          <w:i/>
        </w:rPr>
        <w:t xml:space="preserve">Deputy Section </w:t>
      </w:r>
      <w:r w:rsidRPr="00FF31D2" w:rsidR="004C1EEF">
        <w:rPr>
          <w:i/>
          <w:iCs/>
        </w:rPr>
        <w:t>Registrar</w:t>
      </w:r>
      <w:r w:rsidRPr="00FF31D2" w:rsidR="009F4C8F">
        <w:rPr>
          <w:i/>
        </w:rPr>
        <w:t>,</w:t>
      </w:r>
    </w:p>
    <w:p w:rsidRPr="00FF31D2" w:rsidR="004C1EEF" w:rsidP="00FF31D2" w:rsidRDefault="004C1EEF">
      <w:pPr>
        <w:pStyle w:val="JuPara"/>
      </w:pPr>
      <w:r w:rsidRPr="00FF31D2">
        <w:t>Having regard to:</w:t>
      </w:r>
    </w:p>
    <w:p w:rsidRPr="00FF31D2" w:rsidR="004C1EEF" w:rsidP="00FF31D2" w:rsidRDefault="004C1EEF">
      <w:pPr>
        <w:pStyle w:val="JuPara"/>
      </w:pPr>
      <w:r w:rsidRPr="00FF31D2">
        <w:t>the application (no. 27289/17) against Bosnia and Herzegovina lodged with the Court under Article 34 of the Convention for the Protection of Human Rights and Fundamental Freedoms (“the Convention”) by a company registered in Bosnia and Herzegovina, BIMAL d.d. (“the applicant”), on 28 March 2017;</w:t>
      </w:r>
    </w:p>
    <w:p w:rsidRPr="00FF31D2" w:rsidR="004C1EEF" w:rsidP="00FF31D2" w:rsidRDefault="004C1EEF">
      <w:pPr>
        <w:pStyle w:val="JuPara"/>
      </w:pPr>
      <w:r w:rsidRPr="00FF31D2">
        <w:t>the decision to give notice to the Government of Bosnia and Herzegovina (“the Government”) of the complaint concerning Article 6 § 1 and to declare inadmissible the remainder of the application;</w:t>
      </w:r>
    </w:p>
    <w:p w:rsidRPr="00FF31D2" w:rsidR="004C1EEF" w:rsidP="00FF31D2" w:rsidRDefault="004C1EEF">
      <w:pPr>
        <w:pStyle w:val="JuPara"/>
      </w:pPr>
      <w:r w:rsidRPr="00FF31D2">
        <w:t>the parties</w:t>
      </w:r>
      <w:r w:rsidRPr="00FF31D2" w:rsidR="00FF31D2">
        <w:t>’</w:t>
      </w:r>
      <w:r w:rsidRPr="00FF31D2">
        <w:t xml:space="preserve"> observations;</w:t>
      </w:r>
    </w:p>
    <w:p w:rsidRPr="00FF31D2" w:rsidR="004C1EEF" w:rsidP="00FF31D2" w:rsidRDefault="004C1EEF">
      <w:pPr>
        <w:pStyle w:val="JuPara"/>
      </w:pPr>
      <w:r w:rsidRPr="00FF31D2">
        <w:t>the decision to reject the Government</w:t>
      </w:r>
      <w:r w:rsidRPr="00FF31D2" w:rsidR="00FF31D2">
        <w:t>’</w:t>
      </w:r>
      <w:r w:rsidRPr="00FF31D2">
        <w:t>s objection to examination of the application by a Committee;</w:t>
      </w:r>
    </w:p>
    <w:p w:rsidRPr="00FF31D2" w:rsidR="009F4C8F" w:rsidP="00FF31D2" w:rsidRDefault="009F4C8F">
      <w:pPr>
        <w:pStyle w:val="JuPara"/>
      </w:pPr>
      <w:r w:rsidRPr="00FF31D2">
        <w:t xml:space="preserve">Having deliberated in private on </w:t>
      </w:r>
      <w:r w:rsidRPr="00FF31D2" w:rsidR="004C1EEF">
        <w:t>29 June 2021</w:t>
      </w:r>
      <w:r w:rsidRPr="00FF31D2">
        <w:t>,</w:t>
      </w:r>
    </w:p>
    <w:p w:rsidRPr="00FF31D2" w:rsidR="009F4C8F" w:rsidP="00FF31D2" w:rsidRDefault="009F4C8F">
      <w:pPr>
        <w:pStyle w:val="JuPara"/>
      </w:pPr>
      <w:r w:rsidRPr="00FF31D2">
        <w:t>Delivers the following judgment, which was adopted on that date:</w:t>
      </w:r>
    </w:p>
    <w:p w:rsidRPr="00FF31D2" w:rsidR="004C1EEF" w:rsidP="00FF31D2" w:rsidRDefault="004C1EEF">
      <w:pPr>
        <w:pStyle w:val="JuHHead"/>
        <w:numPr>
          <w:ilvl w:val="0"/>
          <w:numId w:val="0"/>
        </w:numPr>
      </w:pPr>
      <w:r w:rsidRPr="00FF31D2">
        <w:t>INTRODUCTION</w:t>
      </w:r>
    </w:p>
    <w:p w:rsidRPr="00FF31D2" w:rsidR="004C1EEF" w:rsidP="00FF31D2" w:rsidRDefault="004C1EEF">
      <w:pPr>
        <w:pStyle w:val="JuPara"/>
      </w:pPr>
      <w:r w:rsidRPr="00FF31D2">
        <w:fldChar w:fldCharType="begin"/>
      </w:r>
      <w:r w:rsidRPr="00FF31D2">
        <w:instrText xml:space="preserve"> SEQ level0 \*arabic </w:instrText>
      </w:r>
      <w:r w:rsidRPr="00FF31D2">
        <w:fldChar w:fldCharType="separate"/>
      </w:r>
      <w:r w:rsidRPr="00FF31D2" w:rsidR="00FF31D2">
        <w:rPr>
          <w:noProof/>
        </w:rPr>
        <w:t>1</w:t>
      </w:r>
      <w:r w:rsidRPr="00FF31D2">
        <w:fldChar w:fldCharType="end"/>
      </w:r>
      <w:r w:rsidRPr="00FF31D2">
        <w:t>.  The present case concerns the</w:t>
      </w:r>
      <w:r w:rsidRPr="00FF31D2">
        <w:rPr>
          <w:rFonts w:eastAsiaTheme="minorEastAsia"/>
          <w:szCs w:val="22"/>
        </w:rPr>
        <w:t xml:space="preserve"> failure of the domestic court to forward to </w:t>
      </w:r>
      <w:r w:rsidRPr="00FF31D2">
        <w:t xml:space="preserve">the applicant company </w:t>
      </w:r>
      <w:r w:rsidRPr="00FF31D2">
        <w:rPr>
          <w:rFonts w:eastAsiaTheme="minorEastAsia"/>
          <w:szCs w:val="22"/>
        </w:rPr>
        <w:t>the response of the other party during the judicial-review proceedings.</w:t>
      </w:r>
    </w:p>
    <w:p w:rsidRPr="00FF31D2" w:rsidR="004C1EEF" w:rsidP="00FF31D2" w:rsidRDefault="004C1EEF">
      <w:pPr>
        <w:pStyle w:val="JuHHead"/>
      </w:pPr>
      <w:r w:rsidRPr="00FF31D2">
        <w:t>THE FACTS</w:t>
      </w:r>
    </w:p>
    <w:p w:rsidRPr="00FF31D2" w:rsidR="004C1EEF" w:rsidP="00FF31D2" w:rsidRDefault="004C1EEF">
      <w:pPr>
        <w:pStyle w:val="JuPara"/>
      </w:pPr>
      <w:r w:rsidRPr="00FF31D2">
        <w:fldChar w:fldCharType="begin"/>
      </w:r>
      <w:r w:rsidRPr="00FF31D2">
        <w:instrText xml:space="preserve"> SEQ level0 \*arabic </w:instrText>
      </w:r>
      <w:r w:rsidRPr="00FF31D2">
        <w:fldChar w:fldCharType="separate"/>
      </w:r>
      <w:r w:rsidRPr="00FF31D2" w:rsidR="00FF31D2">
        <w:rPr>
          <w:noProof/>
        </w:rPr>
        <w:t>2</w:t>
      </w:r>
      <w:r w:rsidRPr="00FF31D2">
        <w:fldChar w:fldCharType="end"/>
      </w:r>
      <w:r w:rsidRPr="00FF31D2">
        <w:t>.  The applicant company is a private joint stock company whose registered office is in Brčko District.</w:t>
      </w:r>
      <w:r w:rsidRPr="00FF31D2">
        <w:rPr>
          <w:rStyle w:val="FootnoteReference"/>
        </w:rPr>
        <w:footnoteReference w:id="1"/>
      </w:r>
      <w:r w:rsidRPr="00FF31D2">
        <w:t xml:space="preserve"> It was represented by Mr D. Brković and Mr I. Studen, lawyers practising in Brčko District.</w:t>
      </w:r>
    </w:p>
    <w:p w:rsidRPr="00FF31D2" w:rsidR="004C1EEF" w:rsidP="00FF31D2" w:rsidRDefault="004C1EEF">
      <w:pPr>
        <w:pStyle w:val="JuPara"/>
      </w:pPr>
      <w:r w:rsidRPr="00FF31D2">
        <w:fldChar w:fldCharType="begin"/>
      </w:r>
      <w:r w:rsidRPr="00FF31D2">
        <w:instrText xml:space="preserve"> SEQ level0 \*arabic </w:instrText>
      </w:r>
      <w:r w:rsidRPr="00FF31D2">
        <w:fldChar w:fldCharType="separate"/>
      </w:r>
      <w:r w:rsidRPr="00FF31D2" w:rsidR="00FF31D2">
        <w:rPr>
          <w:noProof/>
        </w:rPr>
        <w:t>3</w:t>
      </w:r>
      <w:r w:rsidRPr="00FF31D2">
        <w:fldChar w:fldCharType="end"/>
      </w:r>
      <w:r w:rsidRPr="00FF31D2">
        <w:t>.  The Government were represented by their Acting Agent at the time, Ms M. Mijić.</w:t>
      </w:r>
    </w:p>
    <w:p w:rsidRPr="00FF31D2" w:rsidR="004C1EEF" w:rsidP="00FF31D2" w:rsidRDefault="004C1EEF">
      <w:pPr>
        <w:pStyle w:val="JuPara"/>
      </w:pPr>
      <w:r w:rsidRPr="00FF31D2">
        <w:fldChar w:fldCharType="begin"/>
      </w:r>
      <w:r w:rsidRPr="00FF31D2">
        <w:instrText xml:space="preserve"> SEQ level0 \*arabic </w:instrText>
      </w:r>
      <w:r w:rsidRPr="00FF31D2">
        <w:fldChar w:fldCharType="separate"/>
      </w:r>
      <w:r w:rsidRPr="00FF31D2" w:rsidR="00FF31D2">
        <w:rPr>
          <w:noProof/>
        </w:rPr>
        <w:t>4</w:t>
      </w:r>
      <w:r w:rsidRPr="00FF31D2">
        <w:fldChar w:fldCharType="end"/>
      </w:r>
      <w:r w:rsidRPr="00FF31D2">
        <w:t>.  The facts of the case, as submitted by the parties, may be summarised as follows.</w:t>
      </w:r>
    </w:p>
    <w:p w:rsidRPr="00FF31D2" w:rsidR="004C1EEF" w:rsidP="00FF31D2" w:rsidRDefault="004C1EEF">
      <w:pPr>
        <w:pStyle w:val="JuHIRoman"/>
      </w:pPr>
      <w:r w:rsidRPr="00FF31D2">
        <w:t>Proceedings before the Competition Council</w:t>
      </w:r>
    </w:p>
    <w:bookmarkStart w:name="para4" w:id="2"/>
    <w:bookmarkStart w:name="p5" w:id="3"/>
    <w:p w:rsidRPr="00FF31D2" w:rsidR="004C1EEF" w:rsidP="00FF31D2" w:rsidRDefault="004C1EEF">
      <w:pPr>
        <w:pStyle w:val="JuPara"/>
      </w:pPr>
      <w:r w:rsidRPr="00FF31D2">
        <w:fldChar w:fldCharType="begin"/>
      </w:r>
      <w:r w:rsidRPr="00FF31D2">
        <w:instrText xml:space="preserve"> SEQ level0 \*arabic </w:instrText>
      </w:r>
      <w:r w:rsidRPr="00FF31D2">
        <w:fldChar w:fldCharType="separate"/>
      </w:r>
      <w:r w:rsidRPr="00FF31D2" w:rsidR="00FF31D2">
        <w:rPr>
          <w:noProof/>
        </w:rPr>
        <w:t>5</w:t>
      </w:r>
      <w:r w:rsidRPr="00FF31D2">
        <w:fldChar w:fldCharType="end"/>
      </w:r>
      <w:bookmarkEnd w:id="2"/>
      <w:bookmarkEnd w:id="3"/>
      <w:r w:rsidRPr="00FF31D2">
        <w:t>.  On 13 April 2011 the applicant company signed a contract with two other companies – B. (with its registered office in the Republika Srpska) and C. (with its registered office in the Federation of Bosnia and Herzegovina) – for the creation of a legal entity, E. (in the form of a joint venture) for the treatment of packaging waste.</w:t>
      </w:r>
    </w:p>
    <w:p w:rsidRPr="00FF31D2" w:rsidR="004C1EEF" w:rsidP="00FF31D2" w:rsidRDefault="004C1EEF">
      <w:pPr>
        <w:pStyle w:val="JuPara"/>
        <w:rPr>
          <w:rFonts w:eastAsiaTheme="minorEastAsia"/>
          <w:szCs w:val="22"/>
        </w:rPr>
      </w:pPr>
      <w:r w:rsidRPr="00FF31D2">
        <w:fldChar w:fldCharType="begin"/>
      </w:r>
      <w:r w:rsidRPr="00FF31D2">
        <w:instrText xml:space="preserve"> SEQ level0 \*arabic </w:instrText>
      </w:r>
      <w:r w:rsidRPr="00FF31D2">
        <w:fldChar w:fldCharType="separate"/>
      </w:r>
      <w:r w:rsidRPr="00FF31D2" w:rsidR="00FF31D2">
        <w:rPr>
          <w:noProof/>
        </w:rPr>
        <w:t>6</w:t>
      </w:r>
      <w:r w:rsidRPr="00FF31D2">
        <w:fldChar w:fldCharType="end"/>
      </w:r>
      <w:r w:rsidRPr="00FF31D2">
        <w:t>.  </w:t>
      </w:r>
      <w:r w:rsidRPr="00FF31D2">
        <w:rPr>
          <w:rFonts w:eastAsiaTheme="minorEastAsia"/>
          <w:szCs w:val="22"/>
        </w:rPr>
        <w:t xml:space="preserve">On 24 May 2013 the applicant company, together with its two contractual parties, formally notified the Competition Council of the creation of the legal entity E., pursuant to section 16 of the Competition Act (see paragraph </w:t>
      </w:r>
      <w:r w:rsidRPr="00FF31D2">
        <w:rPr>
          <w:rFonts w:eastAsiaTheme="minorEastAsia"/>
          <w:szCs w:val="22"/>
        </w:rPr>
        <w:fldChar w:fldCharType="begin"/>
      </w:r>
      <w:r w:rsidRPr="00FF31D2">
        <w:rPr>
          <w:rFonts w:eastAsiaTheme="minorEastAsia"/>
          <w:szCs w:val="22"/>
        </w:rPr>
        <w:instrText xml:space="preserve"> REF p22 \h </w:instrText>
      </w:r>
      <w:r w:rsidRPr="00FF31D2">
        <w:rPr>
          <w:rFonts w:eastAsiaTheme="minorEastAsia"/>
          <w:szCs w:val="22"/>
        </w:rPr>
      </w:r>
      <w:r w:rsidRPr="00FF31D2">
        <w:rPr>
          <w:rFonts w:eastAsiaTheme="minorEastAsia"/>
          <w:szCs w:val="22"/>
        </w:rPr>
        <w:fldChar w:fldCharType="separate"/>
      </w:r>
      <w:r w:rsidRPr="00FF31D2" w:rsidR="00FF31D2">
        <w:rPr>
          <w:noProof/>
        </w:rPr>
        <w:t>22</w:t>
      </w:r>
      <w:r w:rsidRPr="00FF31D2">
        <w:rPr>
          <w:rFonts w:eastAsiaTheme="minorEastAsia"/>
          <w:szCs w:val="22"/>
        </w:rPr>
        <w:fldChar w:fldCharType="end"/>
      </w:r>
      <w:r w:rsidRPr="00FF31D2">
        <w:rPr>
          <w:rFonts w:eastAsiaTheme="minorEastAsia"/>
          <w:szCs w:val="22"/>
        </w:rPr>
        <w:t xml:space="preserve"> below).</w:t>
      </w:r>
    </w:p>
    <w:bookmarkStart w:name="p7" w:id="4"/>
    <w:p w:rsidRPr="00FF31D2" w:rsidR="004C1EEF" w:rsidP="00FF31D2" w:rsidRDefault="004C1EEF">
      <w:pPr>
        <w:pStyle w:val="JuPara"/>
      </w:pPr>
      <w:r w:rsidRPr="00FF31D2">
        <w:fldChar w:fldCharType="begin"/>
      </w:r>
      <w:r w:rsidRPr="00FF31D2">
        <w:instrText xml:space="preserve"> SEQ level0 \*arabic </w:instrText>
      </w:r>
      <w:r w:rsidRPr="00FF31D2">
        <w:fldChar w:fldCharType="separate"/>
      </w:r>
      <w:r w:rsidRPr="00FF31D2" w:rsidR="00FF31D2">
        <w:rPr>
          <w:noProof/>
        </w:rPr>
        <w:t>7</w:t>
      </w:r>
      <w:r w:rsidRPr="00FF31D2">
        <w:fldChar w:fldCharType="end"/>
      </w:r>
      <w:bookmarkEnd w:id="4"/>
      <w:r w:rsidRPr="00FF31D2">
        <w:t xml:space="preserve">.  On 1 August 2013 the Competition Council ruled that the concentration was in line with the Competition Act. It held that it had the form of a full-function joint venture and was as such subject to a notification requirement. For the purposes of assessing the competition effects of the concentration the Competition Council deemed the relevant geographical area to be Bosnia and Herzegovina as a whole, and stated, </w:t>
      </w:r>
      <w:r w:rsidRPr="00FF31D2">
        <w:rPr>
          <w:i/>
        </w:rPr>
        <w:t>inter alia</w:t>
      </w:r>
      <w:r w:rsidRPr="00FF31D2">
        <w:t>:</w:t>
      </w:r>
    </w:p>
    <w:p w:rsidRPr="00FF31D2" w:rsidR="004C1EEF" w:rsidP="00FF31D2" w:rsidRDefault="004C1EEF">
      <w:pPr>
        <w:pStyle w:val="JuQuot"/>
      </w:pPr>
      <w:r w:rsidRPr="00FF31D2">
        <w:t>“The applicants, on the basis of an assessment [determining that they] manage 277,270 tonnes of packaging waste in Bosnia and Herzegovina, have assessed that the economic entity E. has a 15.8% share of the relevant market in Bosnia and Herzegovina on the basis of its activities and [the fact that it has concluded] 200 contracts with business entities for which it undertakes to manage packaging waste.”</w:t>
      </w:r>
    </w:p>
    <w:bookmarkStart w:name="para7" w:id="5"/>
    <w:p w:rsidRPr="00FF31D2" w:rsidR="004C1EEF" w:rsidP="00FF31D2" w:rsidRDefault="004C1EEF">
      <w:pPr>
        <w:pStyle w:val="JuPara"/>
      </w:pPr>
      <w:r w:rsidRPr="00FF31D2">
        <w:fldChar w:fldCharType="begin"/>
      </w:r>
      <w:r w:rsidRPr="00FF31D2">
        <w:instrText xml:space="preserve"> SEQ level0 \*arabic </w:instrText>
      </w:r>
      <w:r w:rsidRPr="00FF31D2">
        <w:fldChar w:fldCharType="separate"/>
      </w:r>
      <w:r w:rsidRPr="00FF31D2" w:rsidR="00FF31D2">
        <w:rPr>
          <w:noProof/>
        </w:rPr>
        <w:t>8</w:t>
      </w:r>
      <w:r w:rsidRPr="00FF31D2">
        <w:fldChar w:fldCharType="end"/>
      </w:r>
      <w:bookmarkEnd w:id="5"/>
      <w:r w:rsidRPr="00FF31D2">
        <w:t>.  However, the Competition Council furthermore held that the parties had (i) not notified it of the concentration within the statutory fifteen-day time-limit, and (ii) implemented it before the Competition Council had declared it to be in line with the Competition Act. It imposed separate fines on all three companies – which, in the case of the applicant company, comprised a fine of 104,572 convertible marks (BAM)</w:t>
      </w:r>
      <w:r w:rsidRPr="00FF31D2">
        <w:rPr>
          <w:vertAlign w:val="superscript"/>
        </w:rPr>
        <w:footnoteReference w:id="2"/>
      </w:r>
      <w:r w:rsidRPr="00FF31D2">
        <w:t xml:space="preserve"> (amounting to 0.04% of its annual turnover in 2010) for its failure to notify the Competition Council within the statutory time-limit, and a fine of BAM</w:t>
      </w:r>
      <w:r w:rsidRPr="00FF31D2" w:rsidR="008930AE">
        <w:t> </w:t>
      </w:r>
      <w:r w:rsidRPr="00FF31D2">
        <w:t>329,403 (or 0.126% of its annual turnover in 2010) for the implementation of the concentration before the Competition Council had declared it to be in line with the Competition Act. The Competition Council emphasised that the fines were of both a punitive and a deterrent nature, and that it would collect the fines forcibly if they were not paid voluntarily and in a timely manner.</w:t>
      </w:r>
    </w:p>
    <w:bookmarkStart w:name="para8" w:id="6"/>
    <w:bookmarkStart w:name="p9" w:id="7"/>
    <w:p w:rsidRPr="00FF31D2" w:rsidR="004C1EEF" w:rsidP="00FF31D2" w:rsidRDefault="004C1EEF">
      <w:pPr>
        <w:pStyle w:val="JuPara"/>
        <w:rPr>
          <w:rFonts w:eastAsiaTheme="minorEastAsia"/>
          <w:szCs w:val="22"/>
        </w:rPr>
      </w:pPr>
      <w:r w:rsidRPr="00FF31D2">
        <w:fldChar w:fldCharType="begin"/>
      </w:r>
      <w:r w:rsidRPr="00FF31D2">
        <w:instrText xml:space="preserve"> SEQ level0 \*arabic </w:instrText>
      </w:r>
      <w:r w:rsidRPr="00FF31D2">
        <w:fldChar w:fldCharType="separate"/>
      </w:r>
      <w:r w:rsidRPr="00FF31D2" w:rsidR="00FF31D2">
        <w:rPr>
          <w:noProof/>
        </w:rPr>
        <w:t>9</w:t>
      </w:r>
      <w:r w:rsidRPr="00FF31D2">
        <w:fldChar w:fldCharType="end"/>
      </w:r>
      <w:bookmarkEnd w:id="6"/>
      <w:bookmarkEnd w:id="7"/>
      <w:r w:rsidRPr="00FF31D2">
        <w:t>.  </w:t>
      </w:r>
      <w:r w:rsidRPr="00FF31D2">
        <w:rPr>
          <w:rFonts w:eastAsiaTheme="minorEastAsia"/>
          <w:szCs w:val="22"/>
        </w:rPr>
        <w:t>On 5 August 2013 the applicant company lodged an application with the Competition Council for the proceedings to be reopened, arguing that its turnover had not been correctly reported to the Council.</w:t>
      </w:r>
    </w:p>
    <w:bookmarkStart w:name="para9" w:id="8"/>
    <w:bookmarkStart w:name="p10" w:id="9"/>
    <w:p w:rsidRPr="00FF31D2" w:rsidR="004C1EEF" w:rsidP="00FF31D2" w:rsidRDefault="004C1EEF">
      <w:pPr>
        <w:pStyle w:val="JuPara"/>
        <w:rPr>
          <w:rFonts w:eastAsiaTheme="minorEastAsia"/>
          <w:szCs w:val="22"/>
        </w:rPr>
      </w:pPr>
      <w:r w:rsidRPr="00FF31D2">
        <w:fldChar w:fldCharType="begin"/>
      </w:r>
      <w:r w:rsidRPr="00FF31D2">
        <w:instrText xml:space="preserve"> SEQ level0 \*arabic </w:instrText>
      </w:r>
      <w:r w:rsidRPr="00FF31D2">
        <w:fldChar w:fldCharType="separate"/>
      </w:r>
      <w:r w:rsidRPr="00FF31D2" w:rsidR="00FF31D2">
        <w:rPr>
          <w:noProof/>
        </w:rPr>
        <w:t>10</w:t>
      </w:r>
      <w:r w:rsidRPr="00FF31D2">
        <w:fldChar w:fldCharType="end"/>
      </w:r>
      <w:bookmarkEnd w:id="8"/>
      <w:bookmarkEnd w:id="9"/>
      <w:r w:rsidRPr="00FF31D2">
        <w:t>.  </w:t>
      </w:r>
      <w:r w:rsidRPr="00FF31D2">
        <w:rPr>
          <w:rFonts w:eastAsiaTheme="minorEastAsia"/>
          <w:szCs w:val="22"/>
        </w:rPr>
        <w:t xml:space="preserve">On 13 August 2013 the three companies jointly lodged an application with the Competition Council for the reopening of the proceedings, referring to the previous application of the applicant company (see paragraph </w:t>
      </w:r>
      <w:r w:rsidRPr="00FF31D2">
        <w:rPr>
          <w:rFonts w:eastAsiaTheme="minorEastAsia"/>
          <w:szCs w:val="22"/>
        </w:rPr>
        <w:fldChar w:fldCharType="begin"/>
      </w:r>
      <w:r w:rsidRPr="00FF31D2">
        <w:rPr>
          <w:rFonts w:eastAsiaTheme="minorEastAsia"/>
          <w:szCs w:val="22"/>
        </w:rPr>
        <w:instrText xml:space="preserve"> REF p9 \h </w:instrText>
      </w:r>
      <w:r w:rsidRPr="00FF31D2">
        <w:rPr>
          <w:rFonts w:eastAsiaTheme="minorEastAsia"/>
          <w:szCs w:val="22"/>
        </w:rPr>
      </w:r>
      <w:r w:rsidRPr="00FF31D2">
        <w:rPr>
          <w:rFonts w:eastAsiaTheme="minorEastAsia"/>
          <w:szCs w:val="22"/>
        </w:rPr>
        <w:fldChar w:fldCharType="separate"/>
      </w:r>
      <w:r w:rsidRPr="00FF31D2" w:rsidR="00FF31D2">
        <w:rPr>
          <w:noProof/>
        </w:rPr>
        <w:t>9</w:t>
      </w:r>
      <w:r w:rsidRPr="00FF31D2">
        <w:rPr>
          <w:rFonts w:eastAsiaTheme="minorEastAsia"/>
          <w:szCs w:val="22"/>
        </w:rPr>
        <w:fldChar w:fldCharType="end"/>
      </w:r>
      <w:r w:rsidRPr="00FF31D2">
        <w:rPr>
          <w:rFonts w:eastAsiaTheme="minorEastAsia"/>
          <w:szCs w:val="22"/>
        </w:rPr>
        <w:t> above), and also extending the scope of the initial application so that it encompassed the issue of the calculation of the fines and the definition of the relevant geographical market. That application was supplemented by the provision of additional information on 27 August 2013.</w:t>
      </w:r>
    </w:p>
    <w:bookmarkStart w:name="para10" w:id="10"/>
    <w:bookmarkStart w:name="p11" w:id="11"/>
    <w:p w:rsidRPr="00FF31D2" w:rsidR="004C1EEF" w:rsidP="00FF31D2" w:rsidRDefault="004C1EEF">
      <w:pPr>
        <w:pStyle w:val="JuPara"/>
        <w:rPr>
          <w:rFonts w:eastAsiaTheme="minorEastAsia"/>
          <w:szCs w:val="22"/>
        </w:rPr>
      </w:pPr>
      <w:r w:rsidRPr="00FF31D2">
        <w:fldChar w:fldCharType="begin"/>
      </w:r>
      <w:r w:rsidRPr="00FF31D2">
        <w:instrText xml:space="preserve"> SEQ level0 \*arabic </w:instrText>
      </w:r>
      <w:r w:rsidRPr="00FF31D2">
        <w:fldChar w:fldCharType="separate"/>
      </w:r>
      <w:r w:rsidRPr="00FF31D2" w:rsidR="00FF31D2">
        <w:rPr>
          <w:noProof/>
        </w:rPr>
        <w:t>11</w:t>
      </w:r>
      <w:r w:rsidRPr="00FF31D2">
        <w:fldChar w:fldCharType="end"/>
      </w:r>
      <w:bookmarkEnd w:id="10"/>
      <w:bookmarkEnd w:id="11"/>
      <w:r w:rsidRPr="00FF31D2">
        <w:t>.  </w:t>
      </w:r>
      <w:r w:rsidRPr="00FF31D2">
        <w:rPr>
          <w:rFonts w:eastAsiaTheme="minorEastAsia"/>
          <w:szCs w:val="22"/>
        </w:rPr>
        <w:t xml:space="preserve">On 11 September 2013 the three companies jointly informed the Competition Council that their previous applications for the reopening of the proceedings (see paragraphs </w:t>
      </w:r>
      <w:r w:rsidRPr="00FF31D2">
        <w:rPr>
          <w:rFonts w:eastAsiaTheme="minorEastAsia"/>
          <w:szCs w:val="22"/>
        </w:rPr>
        <w:fldChar w:fldCharType="begin"/>
      </w:r>
      <w:r w:rsidRPr="00FF31D2">
        <w:rPr>
          <w:rFonts w:eastAsiaTheme="minorEastAsia"/>
          <w:szCs w:val="22"/>
        </w:rPr>
        <w:instrText xml:space="preserve"> REF p10 \h </w:instrText>
      </w:r>
      <w:r w:rsidRPr="00FF31D2">
        <w:rPr>
          <w:rFonts w:eastAsiaTheme="minorEastAsia"/>
          <w:szCs w:val="22"/>
        </w:rPr>
      </w:r>
      <w:r w:rsidRPr="00FF31D2">
        <w:rPr>
          <w:rFonts w:eastAsiaTheme="minorEastAsia"/>
          <w:szCs w:val="22"/>
        </w:rPr>
        <w:fldChar w:fldCharType="separate"/>
      </w:r>
      <w:r w:rsidRPr="00FF31D2" w:rsidR="00FF31D2">
        <w:rPr>
          <w:noProof/>
        </w:rPr>
        <w:t>10</w:t>
      </w:r>
      <w:r w:rsidRPr="00FF31D2">
        <w:rPr>
          <w:rFonts w:eastAsiaTheme="minorEastAsia"/>
          <w:szCs w:val="22"/>
        </w:rPr>
        <w:fldChar w:fldCharType="end"/>
      </w:r>
      <w:r w:rsidRPr="00FF31D2">
        <w:rPr>
          <w:rFonts w:eastAsiaTheme="minorEastAsia"/>
          <w:szCs w:val="22"/>
        </w:rPr>
        <w:t xml:space="preserve"> above) should be considered as a request for it to reconsider its decision of 1 August 2013, as it had been based on incomplete information.</w:t>
      </w:r>
    </w:p>
    <w:bookmarkStart w:name="para11" w:id="12"/>
    <w:bookmarkStart w:name="p12" w:id="13"/>
    <w:p w:rsidRPr="00FF31D2" w:rsidR="004C1EEF" w:rsidP="00FF31D2" w:rsidRDefault="004C1EEF">
      <w:pPr>
        <w:pStyle w:val="JuPara"/>
      </w:pPr>
      <w:r w:rsidRPr="00FF31D2">
        <w:fldChar w:fldCharType="begin"/>
      </w:r>
      <w:r w:rsidRPr="00FF31D2">
        <w:instrText xml:space="preserve"> SEQ level0 \*arabic </w:instrText>
      </w:r>
      <w:r w:rsidRPr="00FF31D2">
        <w:fldChar w:fldCharType="separate"/>
      </w:r>
      <w:r w:rsidRPr="00FF31D2" w:rsidR="00FF31D2">
        <w:rPr>
          <w:noProof/>
        </w:rPr>
        <w:t>12</w:t>
      </w:r>
      <w:r w:rsidRPr="00FF31D2">
        <w:fldChar w:fldCharType="end"/>
      </w:r>
      <w:bookmarkEnd w:id="12"/>
      <w:bookmarkEnd w:id="13"/>
      <w:r w:rsidRPr="00FF31D2">
        <w:t>.  On 10 October 2013 the Competition Council issued a decision upholding that request as relating to the calculation of the imposed fines according to the correctly reported turnover. The applicant company</w:t>
      </w:r>
      <w:r w:rsidRPr="00FF31D2" w:rsidR="00FF31D2">
        <w:t>’</w:t>
      </w:r>
      <w:r w:rsidRPr="00FF31D2">
        <w:t>s fines were thus reset at BAM 57,998 (or 0.04% of its annual turnover in 2010) for its failure to notify the Competition Council within the statutory time-limit and BAM 182,694 (or 0.126% of its annual turnover in 2010) for the implementation of the concentration before the Competition Council had declared it to be in line with the Competition Act.</w:t>
      </w:r>
    </w:p>
    <w:p w:rsidRPr="00FF31D2" w:rsidR="004C1EEF" w:rsidP="00FF31D2" w:rsidRDefault="004C1EEF">
      <w:pPr>
        <w:pStyle w:val="JuHIRoman"/>
      </w:pPr>
      <w:r w:rsidRPr="00FF31D2">
        <w:t>Proceedings before the State Court</w:t>
      </w:r>
    </w:p>
    <w:bookmarkStart w:name="p13" w:id="14"/>
    <w:p w:rsidRPr="00FF31D2" w:rsidR="004C1EEF" w:rsidP="00FF31D2" w:rsidRDefault="004C1EEF">
      <w:pPr>
        <w:pStyle w:val="JuPara"/>
      </w:pPr>
      <w:r w:rsidRPr="00FF31D2">
        <w:fldChar w:fldCharType="begin"/>
      </w:r>
      <w:r w:rsidRPr="00FF31D2">
        <w:instrText xml:space="preserve"> SEQ level0 \*arabic </w:instrText>
      </w:r>
      <w:r w:rsidRPr="00FF31D2">
        <w:fldChar w:fldCharType="separate"/>
      </w:r>
      <w:r w:rsidRPr="00FF31D2" w:rsidR="00FF31D2">
        <w:rPr>
          <w:noProof/>
        </w:rPr>
        <w:t>13</w:t>
      </w:r>
      <w:r w:rsidRPr="00FF31D2">
        <w:fldChar w:fldCharType="end"/>
      </w:r>
      <w:bookmarkEnd w:id="14"/>
      <w:r w:rsidRPr="00FF31D2">
        <w:t>.  Meanwhile, on 29 August 2013 the three companies jointly brought an administrative action in the State Court (“</w:t>
      </w:r>
      <w:r w:rsidRPr="00FF31D2">
        <w:rPr>
          <w:i/>
        </w:rPr>
        <w:t>Sud Bosne i Hercegovine</w:t>
      </w:r>
      <w:r w:rsidRPr="00FF31D2">
        <w:t xml:space="preserve">”) against the decision of the Competition Council of 1 August 2013 (see paragraph </w:t>
      </w:r>
      <w:r w:rsidRPr="00FF31D2">
        <w:fldChar w:fldCharType="begin"/>
      </w:r>
      <w:r w:rsidRPr="00FF31D2">
        <w:instrText xml:space="preserve"> REF p7 \h </w:instrText>
      </w:r>
      <w:r w:rsidRPr="00FF31D2">
        <w:fldChar w:fldCharType="separate"/>
      </w:r>
      <w:r w:rsidRPr="00FF31D2" w:rsidR="00FF31D2">
        <w:rPr>
          <w:noProof/>
        </w:rPr>
        <w:t>7</w:t>
      </w:r>
      <w:r w:rsidRPr="00FF31D2">
        <w:fldChar w:fldCharType="end"/>
      </w:r>
      <w:r w:rsidRPr="00FF31D2">
        <w:t xml:space="preserve"> above).</w:t>
      </w:r>
      <w:r w:rsidRPr="00FF31D2" w:rsidDel="006044D6">
        <w:t xml:space="preserve"> </w:t>
      </w:r>
      <w:r w:rsidRPr="00FF31D2">
        <w:t xml:space="preserve">They argued that the legal entity that they had established (see paragraph </w:t>
      </w:r>
      <w:r w:rsidRPr="00FF31D2">
        <w:fldChar w:fldCharType="begin"/>
      </w:r>
      <w:r w:rsidRPr="00FF31D2">
        <w:instrText xml:space="preserve"> REF p5 \h </w:instrText>
      </w:r>
      <w:r w:rsidRPr="00FF31D2">
        <w:fldChar w:fldCharType="separate"/>
      </w:r>
      <w:r w:rsidRPr="00FF31D2" w:rsidR="00FF31D2">
        <w:rPr>
          <w:noProof/>
        </w:rPr>
        <w:t>5</w:t>
      </w:r>
      <w:r w:rsidRPr="00FF31D2">
        <w:fldChar w:fldCharType="end"/>
      </w:r>
      <w:r w:rsidRPr="00FF31D2">
        <w:t xml:space="preserve"> above) did not constitute a concentration within the meaning of the Competition Act, and that consequently (i) notifying the Competition Council of the establishment of that legal entity had not been obligatory, (ii) the Competition Council had not defined (pursuant to the Competition Act) the relevant geographic market, and (iii) the fines imposed had been “draconian” and unlawful. The State Court referred the administrative action to the Competition Council, inviting it to respond, and also ordered it to forward to it the complete file relating to the concentration.</w:t>
      </w:r>
    </w:p>
    <w:bookmarkStart w:name="para13" w:id="15"/>
    <w:bookmarkStart w:name="p14" w:id="16"/>
    <w:p w:rsidRPr="00FF31D2" w:rsidR="004C1EEF" w:rsidP="00FF31D2" w:rsidRDefault="004C1EEF">
      <w:pPr>
        <w:pStyle w:val="JuPara"/>
        <w:rPr>
          <w:rFonts w:eastAsiaTheme="minorEastAsia"/>
          <w:szCs w:val="22"/>
        </w:rPr>
      </w:pPr>
      <w:r w:rsidRPr="00FF31D2">
        <w:fldChar w:fldCharType="begin"/>
      </w:r>
      <w:r w:rsidRPr="00FF31D2">
        <w:instrText xml:space="preserve"> SEQ level0 \*arabic </w:instrText>
      </w:r>
      <w:r w:rsidRPr="00FF31D2">
        <w:fldChar w:fldCharType="separate"/>
      </w:r>
      <w:r w:rsidRPr="00FF31D2" w:rsidR="00FF31D2">
        <w:rPr>
          <w:noProof/>
        </w:rPr>
        <w:t>14</w:t>
      </w:r>
      <w:r w:rsidRPr="00FF31D2">
        <w:fldChar w:fldCharType="end"/>
      </w:r>
      <w:bookmarkEnd w:id="15"/>
      <w:bookmarkEnd w:id="16"/>
      <w:r w:rsidRPr="00FF31D2">
        <w:t>.  </w:t>
      </w:r>
      <w:r w:rsidRPr="00FF31D2">
        <w:rPr>
          <w:rFonts w:eastAsiaTheme="minorEastAsia"/>
          <w:szCs w:val="22"/>
        </w:rPr>
        <w:t xml:space="preserve">On 3 October 2013 the Competition Council submitted to the State Court its response to the administrative action brought against its decision; on 14 October 2013 it submitted a supplement to that reply informing the court of its decision of 10 October 2013 (see paragraph </w:t>
      </w:r>
      <w:r w:rsidRPr="00FF31D2">
        <w:rPr>
          <w:rFonts w:eastAsiaTheme="minorEastAsia"/>
          <w:szCs w:val="22"/>
        </w:rPr>
        <w:fldChar w:fldCharType="begin"/>
      </w:r>
      <w:r w:rsidRPr="00FF31D2">
        <w:rPr>
          <w:rFonts w:eastAsiaTheme="minorEastAsia"/>
          <w:szCs w:val="22"/>
        </w:rPr>
        <w:instrText xml:space="preserve"> REF p12 \h </w:instrText>
      </w:r>
      <w:r w:rsidRPr="00FF31D2">
        <w:rPr>
          <w:rFonts w:eastAsiaTheme="minorEastAsia"/>
          <w:szCs w:val="22"/>
        </w:rPr>
      </w:r>
      <w:r w:rsidRPr="00FF31D2">
        <w:rPr>
          <w:rFonts w:eastAsiaTheme="minorEastAsia"/>
          <w:szCs w:val="22"/>
        </w:rPr>
        <w:fldChar w:fldCharType="separate"/>
      </w:r>
      <w:r w:rsidRPr="00FF31D2" w:rsidR="00FF31D2">
        <w:rPr>
          <w:noProof/>
        </w:rPr>
        <w:t>12</w:t>
      </w:r>
      <w:r w:rsidRPr="00FF31D2">
        <w:rPr>
          <w:rFonts w:eastAsiaTheme="minorEastAsia"/>
          <w:szCs w:val="22"/>
        </w:rPr>
        <w:fldChar w:fldCharType="end"/>
      </w:r>
      <w:r w:rsidRPr="00FF31D2">
        <w:rPr>
          <w:rFonts w:eastAsiaTheme="minorEastAsia"/>
          <w:szCs w:val="22"/>
        </w:rPr>
        <w:t xml:space="preserve"> above). In its reply it stated, </w:t>
      </w:r>
      <w:r w:rsidRPr="00FF31D2">
        <w:rPr>
          <w:rFonts w:eastAsiaTheme="minorEastAsia"/>
          <w:i/>
          <w:szCs w:val="22"/>
        </w:rPr>
        <w:t>inter alia</w:t>
      </w:r>
      <w:r w:rsidRPr="00FF31D2">
        <w:rPr>
          <w:rFonts w:eastAsiaTheme="minorEastAsia"/>
          <w:szCs w:val="22"/>
        </w:rPr>
        <w:t>, the following:</w:t>
      </w:r>
    </w:p>
    <w:p w:rsidRPr="00FF31D2" w:rsidR="004C1EEF" w:rsidP="00FF31D2" w:rsidRDefault="004C1EEF">
      <w:pPr>
        <w:pStyle w:val="JuQuot"/>
      </w:pPr>
      <w:r w:rsidRPr="00FF31D2">
        <w:t>“Since the economic entity E. acquires (buys) – that is to say conducts the management of – packaging waste for economic entities outside [the territory of] of the Federation of Bosnia and Herzegovina (B. – the Republika Srpska, Bimal – Br</w:t>
      </w:r>
      <w:r w:rsidRPr="00FF31D2">
        <w:rPr>
          <w:rFonts w:ascii="Calibri" w:hAnsi="Calibri" w:cs="Calibri"/>
        </w:rPr>
        <w:t>č</w:t>
      </w:r>
      <w:r w:rsidRPr="00FF31D2">
        <w:t>ko District, plus 200 other concluded contracts) the Competition Council has determined the territory of Bosnia and Herzegovina to be the relevant geographic market.”</w:t>
      </w:r>
    </w:p>
    <w:bookmarkStart w:name="p15" w:id="17"/>
    <w:p w:rsidRPr="00FF31D2" w:rsidR="004C1EEF" w:rsidP="00FF31D2" w:rsidRDefault="004C1EEF">
      <w:pPr>
        <w:pStyle w:val="JuPara"/>
        <w:rPr>
          <w:rFonts w:eastAsiaTheme="minorEastAsia"/>
          <w:szCs w:val="22"/>
        </w:rPr>
      </w:pPr>
      <w:r w:rsidRPr="00FF31D2">
        <w:fldChar w:fldCharType="begin"/>
      </w:r>
      <w:r w:rsidRPr="00FF31D2">
        <w:instrText xml:space="preserve"> SEQ level0 \*arabic </w:instrText>
      </w:r>
      <w:r w:rsidRPr="00FF31D2">
        <w:fldChar w:fldCharType="separate"/>
      </w:r>
      <w:r w:rsidRPr="00FF31D2" w:rsidR="00FF31D2">
        <w:rPr>
          <w:noProof/>
        </w:rPr>
        <w:t>15</w:t>
      </w:r>
      <w:r w:rsidRPr="00FF31D2">
        <w:fldChar w:fldCharType="end"/>
      </w:r>
      <w:bookmarkEnd w:id="17"/>
      <w:r w:rsidRPr="00FF31D2">
        <w:t>.  </w:t>
      </w:r>
      <w:r w:rsidRPr="00FF31D2">
        <w:rPr>
          <w:rFonts w:eastAsiaTheme="minorEastAsia"/>
          <w:szCs w:val="22"/>
        </w:rPr>
        <w:t>On 28 September 2015 the Competition Council lodged a notification (“o</w:t>
      </w:r>
      <w:r w:rsidRPr="00FF31D2">
        <w:rPr>
          <w:rFonts w:eastAsiaTheme="minorEastAsia"/>
          <w:i/>
          <w:szCs w:val="22"/>
        </w:rPr>
        <w:t>bavještenje</w:t>
      </w:r>
      <w:r w:rsidRPr="00FF31D2">
        <w:rPr>
          <w:rFonts w:eastAsiaTheme="minorEastAsia"/>
          <w:szCs w:val="22"/>
        </w:rPr>
        <w:t xml:space="preserve">”) with the State Court, informing it of the application lodged for the reconsideration of its decision (see paragraph </w:t>
      </w:r>
      <w:r w:rsidRPr="00FF31D2">
        <w:rPr>
          <w:rFonts w:eastAsiaTheme="minorEastAsia"/>
          <w:szCs w:val="22"/>
        </w:rPr>
        <w:fldChar w:fldCharType="begin"/>
      </w:r>
      <w:r w:rsidRPr="00FF31D2">
        <w:rPr>
          <w:rFonts w:eastAsiaTheme="minorEastAsia"/>
          <w:szCs w:val="22"/>
        </w:rPr>
        <w:instrText xml:space="preserve"> REF p11 \h </w:instrText>
      </w:r>
      <w:r w:rsidRPr="00FF31D2">
        <w:rPr>
          <w:rFonts w:eastAsiaTheme="minorEastAsia"/>
          <w:szCs w:val="22"/>
        </w:rPr>
      </w:r>
      <w:r w:rsidRPr="00FF31D2">
        <w:rPr>
          <w:rFonts w:eastAsiaTheme="minorEastAsia"/>
          <w:szCs w:val="22"/>
        </w:rPr>
        <w:fldChar w:fldCharType="separate"/>
      </w:r>
      <w:r w:rsidRPr="00FF31D2" w:rsidR="00FF31D2">
        <w:rPr>
          <w:noProof/>
        </w:rPr>
        <w:t>11</w:t>
      </w:r>
      <w:r w:rsidRPr="00FF31D2">
        <w:rPr>
          <w:rFonts w:eastAsiaTheme="minorEastAsia"/>
          <w:szCs w:val="22"/>
        </w:rPr>
        <w:fldChar w:fldCharType="end"/>
      </w:r>
      <w:r w:rsidRPr="00FF31D2">
        <w:rPr>
          <w:rFonts w:eastAsiaTheme="minorEastAsia"/>
          <w:szCs w:val="22"/>
        </w:rPr>
        <w:t xml:space="preserve"> above), and it referred to the decision of 10 October 2013 that it had subsequently issued (see paragraph </w:t>
      </w:r>
      <w:r w:rsidRPr="00FF31D2">
        <w:rPr>
          <w:rFonts w:eastAsiaTheme="minorEastAsia"/>
          <w:szCs w:val="22"/>
        </w:rPr>
        <w:fldChar w:fldCharType="begin"/>
      </w:r>
      <w:r w:rsidRPr="00FF31D2">
        <w:rPr>
          <w:rFonts w:eastAsiaTheme="minorEastAsia"/>
          <w:szCs w:val="22"/>
        </w:rPr>
        <w:instrText xml:space="preserve"> REF p12 \h </w:instrText>
      </w:r>
      <w:r w:rsidRPr="00FF31D2">
        <w:rPr>
          <w:rFonts w:eastAsiaTheme="minorEastAsia"/>
          <w:szCs w:val="22"/>
        </w:rPr>
      </w:r>
      <w:r w:rsidRPr="00FF31D2">
        <w:rPr>
          <w:rFonts w:eastAsiaTheme="minorEastAsia"/>
          <w:szCs w:val="22"/>
        </w:rPr>
        <w:fldChar w:fldCharType="separate"/>
      </w:r>
      <w:r w:rsidRPr="00FF31D2" w:rsidR="00FF31D2">
        <w:rPr>
          <w:noProof/>
        </w:rPr>
        <w:t>12</w:t>
      </w:r>
      <w:r w:rsidRPr="00FF31D2">
        <w:rPr>
          <w:rFonts w:eastAsiaTheme="minorEastAsia"/>
          <w:szCs w:val="22"/>
        </w:rPr>
        <w:fldChar w:fldCharType="end"/>
      </w:r>
      <w:r w:rsidRPr="00FF31D2">
        <w:rPr>
          <w:rFonts w:eastAsiaTheme="minorEastAsia"/>
          <w:szCs w:val="22"/>
        </w:rPr>
        <w:t> above). It furthermore noted that the arguments relating to the relevant geographical market were irrelevant to the conclusions set out in its initial decision.</w:t>
      </w:r>
    </w:p>
    <w:bookmarkStart w:name="para15" w:id="18"/>
    <w:bookmarkStart w:name="p16" w:id="19"/>
    <w:p w:rsidRPr="00FF31D2" w:rsidR="004C1EEF" w:rsidP="00FF31D2" w:rsidRDefault="004C1EEF">
      <w:pPr>
        <w:pStyle w:val="JuPara"/>
      </w:pPr>
      <w:r w:rsidRPr="00FF31D2">
        <w:fldChar w:fldCharType="begin"/>
      </w:r>
      <w:r w:rsidRPr="00FF31D2">
        <w:instrText xml:space="preserve"> SEQ level0 \*arabic </w:instrText>
      </w:r>
      <w:r w:rsidRPr="00FF31D2">
        <w:fldChar w:fldCharType="separate"/>
      </w:r>
      <w:r w:rsidRPr="00FF31D2" w:rsidR="00FF31D2">
        <w:rPr>
          <w:noProof/>
        </w:rPr>
        <w:t>16</w:t>
      </w:r>
      <w:r w:rsidRPr="00FF31D2">
        <w:fldChar w:fldCharType="end"/>
      </w:r>
      <w:bookmarkEnd w:id="18"/>
      <w:bookmarkEnd w:id="19"/>
      <w:r w:rsidRPr="00FF31D2">
        <w:t xml:space="preserve">.  On 16 November 2015 the State Court delivered its judgment, which upheld the decisions of the Competition Council of 1 August 2013 and 10 October 2013. It also stated, </w:t>
      </w:r>
      <w:r w:rsidRPr="00FF31D2">
        <w:rPr>
          <w:i/>
        </w:rPr>
        <w:t>inter alia</w:t>
      </w:r>
      <w:r w:rsidRPr="00FF31D2">
        <w:t>, the following:</w:t>
      </w:r>
    </w:p>
    <w:p w:rsidRPr="00FF31D2" w:rsidR="004C1EEF" w:rsidP="00FF31D2" w:rsidRDefault="004C1EEF">
      <w:pPr>
        <w:pStyle w:val="JuQuot"/>
      </w:pPr>
      <w:r w:rsidRPr="00FF31D2">
        <w:t>“...</w:t>
      </w:r>
    </w:p>
    <w:p w:rsidRPr="00FF31D2" w:rsidR="004C1EEF" w:rsidP="00FF31D2" w:rsidRDefault="004C1EEF">
      <w:pPr>
        <w:pStyle w:val="JuQuot"/>
      </w:pPr>
      <w:r w:rsidRPr="00FF31D2">
        <w:t>In its response to the administrative action the defendant [that is to say the Competition Council] recommended that the administrative action be dismissed, while in [its] subsequent notification of 28 September 2015, it indicated that – acting upon the application for the reconsideration of its decision of 1 August 2013 regarding the fine imposed on the “Bimal” undertaking ...,which it provided as a supplement – it had issued a decision on 10 October 2013 allowing that application, and that the imposed fine had been reduced. In the cited notification it also indicated that the assertions of the complainant regarding the assessment of the geographical market and other information were irrelevant, as they could not influence the admissibility of the concentration ..., since [the Competition Council] had not assessed the concentration as incompatible [with the Competition Act] by its decision of 1 August 2013 [sic], but rather, had deemed it compatible.</w:t>
      </w:r>
    </w:p>
    <w:p w:rsidRPr="00FF31D2" w:rsidR="004C1EEF" w:rsidP="00FF31D2" w:rsidRDefault="004C1EEF">
      <w:pPr>
        <w:pStyle w:val="JuQuot"/>
      </w:pPr>
      <w:r w:rsidRPr="00FF31D2">
        <w:t>...</w:t>
      </w:r>
    </w:p>
    <w:p w:rsidRPr="00FF31D2" w:rsidR="004C1EEF" w:rsidP="00FF31D2" w:rsidRDefault="004C1EEF">
      <w:pPr>
        <w:pStyle w:val="JuQuot"/>
      </w:pPr>
      <w:r w:rsidRPr="00FF31D2">
        <w:t>... Since the economic entity E. acquires (buys) – namely conducts – the management of the packaging waste of economic entities [based] outside of Federation of Bosnia and Herzegovina (B. – Republika Srpska, Bimal – Br</w:t>
      </w:r>
      <w:r w:rsidRPr="00FF31D2">
        <w:rPr>
          <w:rFonts w:ascii="Calibri" w:hAnsi="Calibri" w:cs="Calibri"/>
        </w:rPr>
        <w:t>č</w:t>
      </w:r>
      <w:r w:rsidRPr="00FF31D2">
        <w:t>ko District, plus 200 other concluded contracts) the defendant party correctly determined the territory of Bosnia and Herzegovina as the relevant geographical market.</w:t>
      </w:r>
    </w:p>
    <w:p w:rsidRPr="00FF31D2" w:rsidR="004C1EEF" w:rsidP="00FF31D2" w:rsidRDefault="004C1EEF">
      <w:pPr>
        <w:pStyle w:val="JuQuot"/>
      </w:pPr>
      <w:r w:rsidRPr="00FF31D2">
        <w:t>...”</w:t>
      </w:r>
    </w:p>
    <w:p w:rsidRPr="00FF31D2" w:rsidR="004C1EEF" w:rsidP="00FF31D2" w:rsidRDefault="004C1EEF">
      <w:pPr>
        <w:pStyle w:val="JuPara"/>
      </w:pPr>
      <w:r w:rsidRPr="00FF31D2">
        <w:t xml:space="preserve">The above-cited response of the Competition Council to the administrative action, and the subsequent notification lodged with the Court by the Competition Council, were not forwarded to the applicant company (see paragraphs </w:t>
      </w:r>
      <w:r w:rsidRPr="00FF31D2">
        <w:fldChar w:fldCharType="begin"/>
      </w:r>
      <w:r w:rsidRPr="00FF31D2">
        <w:instrText xml:space="preserve"> REF p14 \h </w:instrText>
      </w:r>
      <w:r w:rsidRPr="00FF31D2">
        <w:fldChar w:fldCharType="separate"/>
      </w:r>
      <w:r w:rsidRPr="00FF31D2" w:rsidR="00FF31D2">
        <w:rPr>
          <w:noProof/>
        </w:rPr>
        <w:t>14</w:t>
      </w:r>
      <w:r w:rsidRPr="00FF31D2">
        <w:fldChar w:fldCharType="end"/>
      </w:r>
      <w:r w:rsidRPr="00FF31D2">
        <w:t xml:space="preserve"> and </w:t>
      </w:r>
      <w:r w:rsidRPr="00FF31D2">
        <w:fldChar w:fldCharType="begin"/>
      </w:r>
      <w:r w:rsidRPr="00FF31D2">
        <w:instrText xml:space="preserve"> REF p15 \h </w:instrText>
      </w:r>
      <w:r w:rsidRPr="00FF31D2">
        <w:fldChar w:fldCharType="separate"/>
      </w:r>
      <w:r w:rsidRPr="00FF31D2" w:rsidR="00FF31D2">
        <w:rPr>
          <w:noProof/>
        </w:rPr>
        <w:t>15</w:t>
      </w:r>
      <w:r w:rsidRPr="00FF31D2">
        <w:fldChar w:fldCharType="end"/>
      </w:r>
      <w:r w:rsidRPr="00FF31D2">
        <w:t xml:space="preserve"> above).</w:t>
      </w:r>
    </w:p>
    <w:bookmarkStart w:name="p17" w:id="20"/>
    <w:p w:rsidRPr="00FF31D2" w:rsidR="004C1EEF" w:rsidP="00FF31D2" w:rsidRDefault="004C1EEF">
      <w:pPr>
        <w:pStyle w:val="JuPara"/>
      </w:pPr>
      <w:r w:rsidRPr="00FF31D2">
        <w:fldChar w:fldCharType="begin"/>
      </w:r>
      <w:r w:rsidRPr="00FF31D2">
        <w:instrText xml:space="preserve"> SEQ level0 \*arabic </w:instrText>
      </w:r>
      <w:r w:rsidRPr="00FF31D2">
        <w:fldChar w:fldCharType="separate"/>
      </w:r>
      <w:r w:rsidRPr="00FF31D2" w:rsidR="00FF31D2">
        <w:rPr>
          <w:noProof/>
        </w:rPr>
        <w:t>17</w:t>
      </w:r>
      <w:r w:rsidRPr="00FF31D2">
        <w:fldChar w:fldCharType="end"/>
      </w:r>
      <w:bookmarkEnd w:id="20"/>
      <w:r w:rsidRPr="00FF31D2">
        <w:t>.  On 22 December 2015 the three companies jointly lodged an application for the reconsideration of the State Court</w:t>
      </w:r>
      <w:r w:rsidRPr="00FF31D2" w:rsidR="00FF31D2">
        <w:t>’</w:t>
      </w:r>
      <w:r w:rsidRPr="00FF31D2">
        <w:t>s judgment with the appellate panel of the same court.</w:t>
      </w:r>
    </w:p>
    <w:bookmarkStart w:name="para17" w:id="21"/>
    <w:bookmarkStart w:name="p18" w:id="22"/>
    <w:p w:rsidRPr="00FF31D2" w:rsidR="004C1EEF" w:rsidP="00FF31D2" w:rsidRDefault="004C1EEF">
      <w:pPr>
        <w:pStyle w:val="JuPara"/>
        <w:rPr>
          <w:rFonts w:eastAsiaTheme="minorEastAsia"/>
          <w:szCs w:val="22"/>
        </w:rPr>
      </w:pPr>
      <w:r w:rsidRPr="00FF31D2">
        <w:fldChar w:fldCharType="begin"/>
      </w:r>
      <w:r w:rsidRPr="00FF31D2">
        <w:instrText xml:space="preserve"> SEQ level0 \*arabic </w:instrText>
      </w:r>
      <w:r w:rsidRPr="00FF31D2">
        <w:fldChar w:fldCharType="separate"/>
      </w:r>
      <w:r w:rsidRPr="00FF31D2" w:rsidR="00FF31D2">
        <w:rPr>
          <w:noProof/>
        </w:rPr>
        <w:t>18</w:t>
      </w:r>
      <w:r w:rsidRPr="00FF31D2">
        <w:fldChar w:fldCharType="end"/>
      </w:r>
      <w:bookmarkEnd w:id="21"/>
      <w:bookmarkEnd w:id="22"/>
      <w:r w:rsidRPr="00FF31D2">
        <w:t>.  </w:t>
      </w:r>
      <w:r w:rsidRPr="00FF31D2">
        <w:rPr>
          <w:rFonts w:eastAsiaTheme="minorEastAsia"/>
          <w:szCs w:val="22"/>
        </w:rPr>
        <w:t>On 5 January 2016 the Competition Council submitted its reply to the appellate panel of the State Court, in which it reiterated its stance regarding the definition of the geographical market and regarding the alleged unlawfulness and the amount of the imposed fines.</w:t>
      </w:r>
    </w:p>
    <w:bookmarkStart w:name="para18" w:id="23"/>
    <w:bookmarkStart w:name="p19" w:id="24"/>
    <w:p w:rsidRPr="00FF31D2" w:rsidR="004C1EEF" w:rsidP="00FF31D2" w:rsidRDefault="004C1EEF">
      <w:pPr>
        <w:pStyle w:val="JuPara"/>
      </w:pPr>
      <w:r w:rsidRPr="00FF31D2">
        <w:fldChar w:fldCharType="begin"/>
      </w:r>
      <w:r w:rsidRPr="00FF31D2">
        <w:instrText xml:space="preserve"> SEQ level0 \*arabic </w:instrText>
      </w:r>
      <w:r w:rsidRPr="00FF31D2">
        <w:fldChar w:fldCharType="separate"/>
      </w:r>
      <w:r w:rsidRPr="00FF31D2" w:rsidR="00FF31D2">
        <w:rPr>
          <w:noProof/>
        </w:rPr>
        <w:t>19</w:t>
      </w:r>
      <w:r w:rsidRPr="00FF31D2">
        <w:fldChar w:fldCharType="end"/>
      </w:r>
      <w:bookmarkEnd w:id="23"/>
      <w:bookmarkEnd w:id="24"/>
      <w:r w:rsidRPr="00FF31D2">
        <w:t>.  On 11 April 2016 the State Court</w:t>
      </w:r>
      <w:r w:rsidRPr="00FF31D2" w:rsidR="00FF31D2">
        <w:t>’</w:t>
      </w:r>
      <w:r w:rsidRPr="00FF31D2">
        <w:t>s appellate panel dismissed the application for the reconsideration of the State Court</w:t>
      </w:r>
      <w:r w:rsidRPr="00FF31D2" w:rsidR="00FF31D2">
        <w:t>’</w:t>
      </w:r>
      <w:r w:rsidRPr="00FF31D2">
        <w:t xml:space="preserve">s judgment (see paragraph </w:t>
      </w:r>
      <w:r w:rsidRPr="00FF31D2">
        <w:fldChar w:fldCharType="begin"/>
      </w:r>
      <w:r w:rsidRPr="00FF31D2">
        <w:instrText xml:space="preserve"> REF p16 \h </w:instrText>
      </w:r>
      <w:r w:rsidRPr="00FF31D2">
        <w:fldChar w:fldCharType="separate"/>
      </w:r>
      <w:r w:rsidRPr="00FF31D2" w:rsidR="00FF31D2">
        <w:rPr>
          <w:noProof/>
        </w:rPr>
        <w:t>16</w:t>
      </w:r>
      <w:r w:rsidRPr="00FF31D2">
        <w:fldChar w:fldCharType="end"/>
      </w:r>
      <w:r w:rsidRPr="00FF31D2">
        <w:t xml:space="preserve"> above). It noted that it had received the reply of the Competition Council. It did not forward that reply to the applicant company.</w:t>
      </w:r>
    </w:p>
    <w:p w:rsidRPr="00FF31D2" w:rsidR="004C1EEF" w:rsidP="00FF31D2" w:rsidRDefault="004C1EEF">
      <w:pPr>
        <w:pStyle w:val="JuHIRoman"/>
      </w:pPr>
      <w:r w:rsidRPr="00FF31D2">
        <w:t>Proceedings before the Constitutional Court</w:t>
      </w:r>
    </w:p>
    <w:p w:rsidRPr="00FF31D2" w:rsidR="004C1EEF" w:rsidP="00FF31D2" w:rsidRDefault="004C1EEF">
      <w:pPr>
        <w:pStyle w:val="JuPara"/>
      </w:pPr>
      <w:r w:rsidRPr="00FF31D2">
        <w:fldChar w:fldCharType="begin"/>
      </w:r>
      <w:r w:rsidRPr="00FF31D2">
        <w:instrText xml:space="preserve"> SEQ level0 \*arabic </w:instrText>
      </w:r>
      <w:r w:rsidRPr="00FF31D2">
        <w:fldChar w:fldCharType="separate"/>
      </w:r>
      <w:r w:rsidRPr="00FF31D2" w:rsidR="00FF31D2">
        <w:rPr>
          <w:noProof/>
        </w:rPr>
        <w:t>20</w:t>
      </w:r>
      <w:r w:rsidRPr="00FF31D2">
        <w:fldChar w:fldCharType="end"/>
      </w:r>
      <w:r w:rsidRPr="00FF31D2">
        <w:t xml:space="preserve">.  On 17 June 2016 the applicant company lodged a constitutional appeal with the Constitutional Court against the judgments in the administrative judicial-review proceedings (see paragraphs </w:t>
      </w:r>
      <w:r w:rsidRPr="00FF31D2">
        <w:fldChar w:fldCharType="begin"/>
      </w:r>
      <w:r w:rsidRPr="00FF31D2">
        <w:instrText xml:space="preserve"> REF p16 \h </w:instrText>
      </w:r>
      <w:r w:rsidRPr="00FF31D2">
        <w:fldChar w:fldCharType="separate"/>
      </w:r>
      <w:r w:rsidRPr="00FF31D2" w:rsidR="00FF31D2">
        <w:rPr>
          <w:noProof/>
        </w:rPr>
        <w:t>16</w:t>
      </w:r>
      <w:r w:rsidRPr="00FF31D2">
        <w:fldChar w:fldCharType="end"/>
      </w:r>
      <w:r w:rsidRPr="00FF31D2">
        <w:t xml:space="preserve"> and </w:t>
      </w:r>
      <w:r w:rsidRPr="00FF31D2">
        <w:fldChar w:fldCharType="begin"/>
      </w:r>
      <w:r w:rsidRPr="00FF31D2">
        <w:instrText xml:space="preserve"> REF p19 \h </w:instrText>
      </w:r>
      <w:r w:rsidRPr="00FF31D2">
        <w:fldChar w:fldCharType="separate"/>
      </w:r>
      <w:r w:rsidRPr="00FF31D2" w:rsidR="00FF31D2">
        <w:rPr>
          <w:noProof/>
        </w:rPr>
        <w:t>19</w:t>
      </w:r>
      <w:r w:rsidRPr="00FF31D2">
        <w:fldChar w:fldCharType="end"/>
      </w:r>
      <w:r w:rsidRPr="00FF31D2">
        <w:t xml:space="preserve"> above). It complained, under Article 6 of the Convention, about, </w:t>
      </w:r>
      <w:r w:rsidRPr="00FF31D2">
        <w:rPr>
          <w:i/>
        </w:rPr>
        <w:t>inter alia</w:t>
      </w:r>
      <w:r w:rsidRPr="00FF31D2">
        <w:t xml:space="preserve">, the failure of the State Court to forward to it the responses submitted by the Competition Council (see paragraphs </w:t>
      </w:r>
      <w:r w:rsidRPr="00FF31D2">
        <w:fldChar w:fldCharType="begin"/>
      </w:r>
      <w:r w:rsidRPr="00FF31D2">
        <w:instrText xml:space="preserve"> REF p14 \h </w:instrText>
      </w:r>
      <w:r w:rsidRPr="00FF31D2">
        <w:fldChar w:fldCharType="separate"/>
      </w:r>
      <w:r w:rsidRPr="00FF31D2" w:rsidR="00FF31D2">
        <w:rPr>
          <w:noProof/>
        </w:rPr>
        <w:t>14</w:t>
      </w:r>
      <w:r w:rsidRPr="00FF31D2">
        <w:fldChar w:fldCharType="end"/>
      </w:r>
      <w:r w:rsidRPr="00FF31D2">
        <w:t xml:space="preserve">, </w:t>
      </w:r>
      <w:r w:rsidRPr="00FF31D2">
        <w:fldChar w:fldCharType="begin"/>
      </w:r>
      <w:r w:rsidRPr="00FF31D2">
        <w:instrText xml:space="preserve"> REF p15 \h </w:instrText>
      </w:r>
      <w:r w:rsidRPr="00FF31D2">
        <w:fldChar w:fldCharType="separate"/>
      </w:r>
      <w:r w:rsidRPr="00FF31D2" w:rsidR="00FF31D2">
        <w:rPr>
          <w:noProof/>
        </w:rPr>
        <w:t>15</w:t>
      </w:r>
      <w:r w:rsidRPr="00FF31D2">
        <w:fldChar w:fldCharType="end"/>
      </w:r>
      <w:r w:rsidRPr="00FF31D2">
        <w:t xml:space="preserve"> and </w:t>
      </w:r>
      <w:r w:rsidRPr="00FF31D2">
        <w:fldChar w:fldCharType="begin"/>
      </w:r>
      <w:r w:rsidRPr="00FF31D2">
        <w:instrText xml:space="preserve"> REF p18 \h </w:instrText>
      </w:r>
      <w:r w:rsidRPr="00FF31D2">
        <w:fldChar w:fldCharType="separate"/>
      </w:r>
      <w:r w:rsidRPr="00FF31D2" w:rsidR="00FF31D2">
        <w:rPr>
          <w:noProof/>
        </w:rPr>
        <w:t>18</w:t>
      </w:r>
      <w:r w:rsidRPr="00FF31D2">
        <w:fldChar w:fldCharType="end"/>
      </w:r>
      <w:r w:rsidRPr="00FF31D2">
        <w:t xml:space="preserve"> above) to its administrative action (see paragraph </w:t>
      </w:r>
      <w:r w:rsidRPr="00FF31D2">
        <w:fldChar w:fldCharType="begin"/>
      </w:r>
      <w:r w:rsidRPr="00FF31D2">
        <w:instrText xml:space="preserve"> REF p13 \h </w:instrText>
      </w:r>
      <w:r w:rsidRPr="00FF31D2">
        <w:fldChar w:fldCharType="separate"/>
      </w:r>
      <w:r w:rsidRPr="00FF31D2" w:rsidR="00FF31D2">
        <w:rPr>
          <w:noProof/>
        </w:rPr>
        <w:t>13</w:t>
      </w:r>
      <w:r w:rsidRPr="00FF31D2">
        <w:fldChar w:fldCharType="end"/>
      </w:r>
      <w:r w:rsidRPr="00FF31D2">
        <w:t xml:space="preserve"> above) and its application for the reconsideration of the State Court</w:t>
      </w:r>
      <w:r w:rsidRPr="00FF31D2" w:rsidR="00FF31D2">
        <w:t>’</w:t>
      </w:r>
      <w:r w:rsidRPr="00FF31D2">
        <w:t xml:space="preserve">s judgment of 16 November 2015 (see paragraph </w:t>
      </w:r>
      <w:r w:rsidRPr="00FF31D2">
        <w:fldChar w:fldCharType="begin"/>
      </w:r>
      <w:r w:rsidRPr="00FF31D2">
        <w:instrText xml:space="preserve"> REF p17 \h </w:instrText>
      </w:r>
      <w:r w:rsidRPr="00FF31D2">
        <w:fldChar w:fldCharType="separate"/>
      </w:r>
      <w:r w:rsidRPr="00FF31D2" w:rsidR="00FF31D2">
        <w:rPr>
          <w:noProof/>
        </w:rPr>
        <w:t>17</w:t>
      </w:r>
      <w:r w:rsidRPr="00FF31D2">
        <w:fldChar w:fldCharType="end"/>
      </w:r>
      <w:r w:rsidRPr="00FF31D2">
        <w:t xml:space="preserve"> above), thus violating the principles of adversarial proceedings and the equality of arms.</w:t>
      </w:r>
    </w:p>
    <w:p w:rsidRPr="00FF31D2" w:rsidR="004C1EEF" w:rsidP="00FF31D2" w:rsidRDefault="004C1EEF">
      <w:pPr>
        <w:pStyle w:val="JuPara"/>
      </w:pPr>
      <w:r w:rsidRPr="00FF31D2">
        <w:fldChar w:fldCharType="begin"/>
      </w:r>
      <w:r w:rsidRPr="00FF31D2">
        <w:instrText xml:space="preserve"> SEQ level0 \*arabic </w:instrText>
      </w:r>
      <w:r w:rsidRPr="00FF31D2">
        <w:fldChar w:fldCharType="separate"/>
      </w:r>
      <w:r w:rsidRPr="00FF31D2" w:rsidR="00FF31D2">
        <w:rPr>
          <w:noProof/>
        </w:rPr>
        <w:t>21</w:t>
      </w:r>
      <w:r w:rsidRPr="00FF31D2">
        <w:fldChar w:fldCharType="end"/>
      </w:r>
      <w:r w:rsidRPr="00FF31D2">
        <w:t>.  On 15 September 2016 the Constitutional Court dismissed the appeal as ill-founded.</w:t>
      </w:r>
    </w:p>
    <w:p w:rsidRPr="00FF31D2" w:rsidR="004C1EEF" w:rsidP="00FF31D2" w:rsidRDefault="004C1EEF">
      <w:pPr>
        <w:pStyle w:val="JuHHead"/>
      </w:pPr>
      <w:r w:rsidRPr="00FF31D2">
        <w:t>RELEVANT LEGAL FRAMEWORK</w:t>
      </w:r>
    </w:p>
    <w:bookmarkStart w:name="p22" w:id="25"/>
    <w:p w:rsidRPr="00FF31D2" w:rsidR="004C1EEF" w:rsidP="00FF31D2" w:rsidRDefault="004C1EEF">
      <w:pPr>
        <w:pStyle w:val="JuPara"/>
      </w:pPr>
      <w:r w:rsidRPr="00FF31D2">
        <w:fldChar w:fldCharType="begin"/>
      </w:r>
      <w:r w:rsidRPr="00FF31D2">
        <w:instrText xml:space="preserve"> SEQ level0 \*arabic </w:instrText>
      </w:r>
      <w:r w:rsidRPr="00FF31D2">
        <w:fldChar w:fldCharType="separate"/>
      </w:r>
      <w:r w:rsidRPr="00FF31D2" w:rsidR="00FF31D2">
        <w:rPr>
          <w:noProof/>
        </w:rPr>
        <w:t>22</w:t>
      </w:r>
      <w:r w:rsidRPr="00FF31D2">
        <w:fldChar w:fldCharType="end"/>
      </w:r>
      <w:bookmarkEnd w:id="25"/>
      <w:r w:rsidRPr="00FF31D2">
        <w:t>.  </w:t>
      </w:r>
      <w:r w:rsidRPr="00FF31D2">
        <w:rPr>
          <w:rFonts w:eastAsiaTheme="minorEastAsia"/>
          <w:szCs w:val="22"/>
        </w:rPr>
        <w:t>The relevant provisions of the 2005 Competition Act (</w:t>
      </w:r>
      <w:r w:rsidRPr="00FF31D2">
        <w:rPr>
          <w:rFonts w:eastAsiaTheme="minorEastAsia"/>
          <w:i/>
          <w:szCs w:val="22"/>
        </w:rPr>
        <w:t>Zakon o konkurenciji</w:t>
      </w:r>
      <w:r w:rsidRPr="00FF31D2">
        <w:rPr>
          <w:rFonts w:eastAsiaTheme="minorEastAsia"/>
          <w:szCs w:val="22"/>
        </w:rPr>
        <w:t>), published in the Official Gazette of Bosnia and Herzegovina (“OG BH”) nos. 48/05, 76/07 and 80/09, read as follows:</w:t>
      </w:r>
    </w:p>
    <w:p w:rsidRPr="00FF31D2" w:rsidR="004C1EEF" w:rsidP="00FF31D2" w:rsidRDefault="004C1EEF">
      <w:pPr>
        <w:pStyle w:val="JuHArticle"/>
      </w:pPr>
      <w:r w:rsidRPr="00FF31D2">
        <w:t>Section 12</w:t>
      </w:r>
    </w:p>
    <w:p w:rsidRPr="00FF31D2" w:rsidR="004C1EEF" w:rsidP="00FF31D2" w:rsidRDefault="004C1EEF">
      <w:pPr>
        <w:pStyle w:val="JuHArticle"/>
      </w:pPr>
      <w:r w:rsidRPr="00FF31D2">
        <w:t>(Concentration)</w:t>
      </w:r>
    </w:p>
    <w:p w:rsidRPr="00FF31D2" w:rsidR="004C1EEF" w:rsidP="00FF31D2" w:rsidRDefault="004C1EEF">
      <w:pPr>
        <w:pStyle w:val="JuQuot"/>
      </w:pPr>
      <w:r w:rsidRPr="00FF31D2">
        <w:t>“(1) A concentration, within the meaning of this Act, shall mean:</w:t>
      </w:r>
    </w:p>
    <w:p w:rsidRPr="00FF31D2" w:rsidR="004C1EEF" w:rsidP="00FF31D2" w:rsidRDefault="004C1EEF">
      <w:pPr>
        <w:pStyle w:val="JuQuot"/>
      </w:pPr>
      <w:r w:rsidRPr="00FF31D2">
        <w:t>...</w:t>
      </w:r>
    </w:p>
    <w:p w:rsidRPr="00FF31D2" w:rsidR="004C1EEF" w:rsidP="00FF31D2" w:rsidRDefault="004C1EEF">
      <w:pPr>
        <w:pStyle w:val="JuQuot"/>
      </w:pPr>
      <w:r w:rsidRPr="00FF31D2">
        <w:t>(c) a joint venture on a lasting basis between two or more independent economic entities that act as an independent economic entity.</w:t>
      </w:r>
    </w:p>
    <w:p w:rsidRPr="00FF31D2" w:rsidR="004C1EEF" w:rsidP="00FF31D2" w:rsidRDefault="004C1EEF">
      <w:pPr>
        <w:pStyle w:val="JuQuot"/>
      </w:pPr>
      <w:r w:rsidRPr="00FF31D2">
        <w:t>...</w:t>
      </w:r>
    </w:p>
    <w:p w:rsidRPr="00FF31D2" w:rsidR="004C1EEF" w:rsidP="00FF31D2" w:rsidRDefault="004C1EEF">
      <w:pPr>
        <w:pStyle w:val="JuQuot"/>
      </w:pPr>
      <w:r w:rsidRPr="00FF31D2">
        <w:t>(3) [The following] shall not be considered, within the meaning of paragraph (1), as a concentration:</w:t>
      </w:r>
    </w:p>
    <w:p w:rsidRPr="00FF31D2" w:rsidR="004C1EEF" w:rsidP="00FF31D2" w:rsidRDefault="004C1EEF">
      <w:pPr>
        <w:pStyle w:val="JuQuot"/>
      </w:pPr>
      <w:r w:rsidRPr="00FF31D2">
        <w:t>...</w:t>
      </w:r>
    </w:p>
    <w:p w:rsidRPr="00FF31D2" w:rsidR="004C1EEF" w:rsidP="00FF31D2" w:rsidRDefault="004C1EEF">
      <w:pPr>
        <w:pStyle w:val="JuQuot"/>
      </w:pPr>
      <w:r w:rsidRPr="00FF31D2">
        <w:t>(c) when the joint venture has as a goal the coordination of market activities between two or more economic entities that remain independent ... ”</w:t>
      </w:r>
    </w:p>
    <w:p w:rsidRPr="00FF31D2" w:rsidR="004C1EEF" w:rsidP="00FF31D2" w:rsidRDefault="004C1EEF">
      <w:pPr>
        <w:pStyle w:val="JuQuot"/>
      </w:pPr>
    </w:p>
    <w:p w:rsidRPr="00FF31D2" w:rsidR="004C1EEF" w:rsidP="00FF31D2" w:rsidRDefault="004C1EEF">
      <w:pPr>
        <w:pStyle w:val="JuHArticle"/>
      </w:pPr>
      <w:r w:rsidRPr="00FF31D2">
        <w:t>Section 13</w:t>
      </w:r>
    </w:p>
    <w:p w:rsidRPr="00FF31D2" w:rsidR="004C1EEF" w:rsidP="00FF31D2" w:rsidRDefault="004C1EEF">
      <w:pPr>
        <w:pStyle w:val="JuHArticle"/>
      </w:pPr>
      <w:r w:rsidRPr="00FF31D2">
        <w:t>(Prohibited concentrations)</w:t>
      </w:r>
    </w:p>
    <w:p w:rsidRPr="00FF31D2" w:rsidR="004C1EEF" w:rsidP="00FF31D2" w:rsidRDefault="004C1EEF">
      <w:pPr>
        <w:pStyle w:val="JuQuot"/>
      </w:pPr>
      <w:r w:rsidRPr="00FF31D2">
        <w:t>“Concentrations are prohibited between economic entities that would significantly impede effective market competition in the whole market of Bosnia and Herzegovina or in a substantial part of it, ... particularly those that would create a new or strengthen an existing dominant position.”</w:t>
      </w:r>
    </w:p>
    <w:p w:rsidRPr="00FF31D2" w:rsidR="004C1EEF" w:rsidP="00FF31D2" w:rsidRDefault="004C1EEF">
      <w:pPr>
        <w:pStyle w:val="JuHArticle"/>
      </w:pPr>
      <w:r w:rsidRPr="00FF31D2">
        <w:t>Section 16</w:t>
      </w:r>
    </w:p>
    <w:p w:rsidRPr="00FF31D2" w:rsidR="004C1EEF" w:rsidP="00FF31D2" w:rsidRDefault="004C1EEF">
      <w:pPr>
        <w:pStyle w:val="JuHArticle"/>
      </w:pPr>
      <w:r w:rsidRPr="00FF31D2">
        <w:t>(Notification of concentration)</w:t>
      </w:r>
    </w:p>
    <w:p w:rsidRPr="00FF31D2" w:rsidR="004C1EEF" w:rsidP="00FF31D2" w:rsidRDefault="004C1EEF">
      <w:pPr>
        <w:pStyle w:val="JuQuot"/>
      </w:pPr>
      <w:r w:rsidRPr="00FF31D2">
        <w:t>“(1) Economic subjects (participants in a concentration) are obliged to give notice of the concentration [in question], within the meaning of sections 12 and 14 [stating the total turnover for the purposes of assessing the concentration] of this Act, within fifteen days of the conclusion of the [relevant] agreement, the announcement of the public bid [in question], or the acquisition of a controlling interest, depending on which occurs first.</w:t>
      </w:r>
    </w:p>
    <w:p w:rsidRPr="00FF31D2" w:rsidR="004C1EEF" w:rsidP="00FF31D2" w:rsidRDefault="004C1EEF">
      <w:pPr>
        <w:pStyle w:val="JuQuot"/>
      </w:pPr>
      <w:r w:rsidRPr="00FF31D2">
        <w:t>...”</w:t>
      </w:r>
    </w:p>
    <w:p w:rsidRPr="00FF31D2" w:rsidR="004C1EEF" w:rsidP="00FF31D2" w:rsidRDefault="004C1EEF">
      <w:pPr>
        <w:pStyle w:val="JuHArticle"/>
      </w:pPr>
      <w:r w:rsidRPr="00FF31D2">
        <w:t>Section 18</w:t>
      </w:r>
    </w:p>
    <w:p w:rsidRPr="00FF31D2" w:rsidR="004C1EEF" w:rsidP="00FF31D2" w:rsidRDefault="004C1EEF">
      <w:pPr>
        <w:pStyle w:val="JuHArticle"/>
      </w:pPr>
      <w:r w:rsidRPr="00FF31D2">
        <w:t>(Decision on concentration)</w:t>
      </w:r>
    </w:p>
    <w:p w:rsidRPr="00FF31D2" w:rsidR="004C1EEF" w:rsidP="00FF31D2" w:rsidRDefault="004C1EEF">
      <w:pPr>
        <w:pStyle w:val="JuQuot"/>
      </w:pPr>
      <w:r w:rsidRPr="00FF31D2">
        <w:t>“...</w:t>
      </w:r>
    </w:p>
    <w:p w:rsidRPr="00FF31D2" w:rsidR="004C1EEF" w:rsidP="00FF31D2" w:rsidRDefault="004C1EEF">
      <w:pPr>
        <w:pStyle w:val="JuQuot"/>
      </w:pPr>
      <w:r w:rsidRPr="00FF31D2">
        <w:t>(9) A concentration will not be implemented before the issuance of a decision that declares that concentration to be in line [with the Competition Act] under sections 12 and 14 of this Act.</w:t>
      </w:r>
    </w:p>
    <w:p w:rsidRPr="00FF31D2" w:rsidR="004C1EEF" w:rsidP="00FF31D2" w:rsidRDefault="004C1EEF">
      <w:pPr>
        <w:pStyle w:val="JuQuot"/>
      </w:pPr>
      <w:r w:rsidRPr="00FF31D2">
        <w:t>...“</w:t>
      </w:r>
    </w:p>
    <w:p w:rsidRPr="00FF31D2" w:rsidR="004C1EEF" w:rsidP="00FF31D2" w:rsidRDefault="004C1EEF">
      <w:pPr>
        <w:pStyle w:val="JuQuot"/>
        <w:spacing w:before="0" w:after="0"/>
        <w:jc w:val="center"/>
        <w:rPr>
          <w:b/>
        </w:rPr>
      </w:pPr>
      <w:r w:rsidRPr="00FF31D2">
        <w:rPr>
          <w:b/>
        </w:rPr>
        <w:t>Section 26</w:t>
      </w:r>
    </w:p>
    <w:p w:rsidRPr="00FF31D2" w:rsidR="004C1EEF" w:rsidP="00FF31D2" w:rsidRDefault="004C1EEF">
      <w:pPr>
        <w:pStyle w:val="JuQuot"/>
        <w:spacing w:before="0" w:after="0"/>
        <w:jc w:val="center"/>
        <w:rPr>
          <w:b/>
        </w:rPr>
      </w:pPr>
      <w:r w:rsidRPr="00FF31D2">
        <w:rPr>
          <w:b/>
        </w:rPr>
        <w:t>(Rules of procedure)</w:t>
      </w:r>
    </w:p>
    <w:p w:rsidRPr="00FF31D2" w:rsidR="004C1EEF" w:rsidP="00FF31D2" w:rsidRDefault="004C1EEF">
      <w:pPr>
        <w:pStyle w:val="JuQuot"/>
      </w:pPr>
      <w:r w:rsidRPr="00FF31D2">
        <w:t>“The Competition Council applies the Administrative Proceedings Act ... in proceedings before it, unless otherwise provided by this Act.”</w:t>
      </w:r>
    </w:p>
    <w:p w:rsidRPr="00FF31D2" w:rsidR="004C1EEF" w:rsidP="00FF31D2" w:rsidRDefault="004C1EEF">
      <w:pPr>
        <w:pStyle w:val="JuHArticle"/>
      </w:pPr>
      <w:r w:rsidRPr="00FF31D2">
        <w:t>Section 43</w:t>
      </w:r>
    </w:p>
    <w:p w:rsidRPr="00FF31D2" w:rsidR="004C1EEF" w:rsidP="00FF31D2" w:rsidRDefault="004C1EEF">
      <w:pPr>
        <w:pStyle w:val="JuHArticle"/>
      </w:pPr>
      <w:r w:rsidRPr="00FF31D2">
        <w:t>(Final decision of the Competition Council)</w:t>
      </w:r>
    </w:p>
    <w:p w:rsidRPr="00FF31D2" w:rsidR="004C1EEF" w:rsidP="00FF31D2" w:rsidRDefault="004C1EEF">
      <w:pPr>
        <w:pStyle w:val="JuQuot"/>
      </w:pPr>
      <w:r w:rsidRPr="00FF31D2">
        <w:t>“...</w:t>
      </w:r>
    </w:p>
    <w:p w:rsidRPr="00FF31D2" w:rsidR="004C1EEF" w:rsidP="00FF31D2" w:rsidRDefault="004C1EEF">
      <w:pPr>
        <w:pStyle w:val="JuQuot"/>
      </w:pPr>
      <w:r w:rsidRPr="00FF31D2">
        <w:t>(6) The decision issued by the Competition Council shall not affect any possible criminal and/or civil responsibility determined by the relevant courts.</w:t>
      </w:r>
    </w:p>
    <w:p w:rsidRPr="00FF31D2" w:rsidR="004C1EEF" w:rsidP="00FF31D2" w:rsidRDefault="004C1EEF">
      <w:pPr>
        <w:pStyle w:val="JuQuot"/>
      </w:pPr>
      <w:r w:rsidRPr="00FF31D2">
        <w:t>...“</w:t>
      </w:r>
    </w:p>
    <w:p w:rsidRPr="00FF31D2" w:rsidR="004C1EEF" w:rsidP="00FF31D2" w:rsidRDefault="004C1EEF">
      <w:pPr>
        <w:pStyle w:val="JuHArticle"/>
      </w:pPr>
      <w:r w:rsidRPr="00FF31D2">
        <w:t>Section 46</w:t>
      </w:r>
    </w:p>
    <w:p w:rsidRPr="00FF31D2" w:rsidR="004C1EEF" w:rsidP="00FF31D2" w:rsidRDefault="004C1EEF">
      <w:pPr>
        <w:pStyle w:val="JuHArticle"/>
      </w:pPr>
      <w:r w:rsidRPr="00FF31D2">
        <w:t>(Judicial review)</w:t>
      </w:r>
    </w:p>
    <w:p w:rsidRPr="00FF31D2" w:rsidR="004C1EEF" w:rsidP="00FF31D2" w:rsidRDefault="004C1EEF">
      <w:pPr>
        <w:pStyle w:val="JuQuot"/>
      </w:pPr>
      <w:r w:rsidRPr="00FF31D2">
        <w:t>“(1) The decision of the Competition Council is final.</w:t>
      </w:r>
    </w:p>
    <w:p w:rsidRPr="00FF31D2" w:rsidR="004C1EEF" w:rsidP="00FF31D2" w:rsidRDefault="004C1EEF">
      <w:pPr>
        <w:pStyle w:val="JuQuot"/>
      </w:pPr>
      <w:r w:rsidRPr="00FF31D2">
        <w:t xml:space="preserve">(2) An aggrieved party may initiate </w:t>
      </w:r>
      <w:bookmarkStart w:name="_Hlk64548047" w:id="26"/>
      <w:r w:rsidRPr="00FF31D2">
        <w:t xml:space="preserve">administrative judicial-review proceedings </w:t>
      </w:r>
      <w:bookmarkEnd w:id="26"/>
      <w:r w:rsidRPr="00FF31D2">
        <w:t>before the State Court within thirty days of receiving the decision [in question] or of the day the publication thereof.”</w:t>
      </w:r>
    </w:p>
    <w:p w:rsidRPr="00FF31D2" w:rsidR="004C1EEF" w:rsidP="00FF31D2" w:rsidRDefault="004C1EEF">
      <w:pPr>
        <w:pStyle w:val="JuHArticle"/>
      </w:pPr>
      <w:r w:rsidRPr="00FF31D2">
        <w:t>Section 48</w:t>
      </w:r>
    </w:p>
    <w:p w:rsidRPr="00FF31D2" w:rsidR="004C1EEF" w:rsidP="00FF31D2" w:rsidRDefault="004C1EEF">
      <w:pPr>
        <w:pStyle w:val="JuHArticle"/>
      </w:pPr>
      <w:r w:rsidRPr="00FF31D2">
        <w:t>(Fines for serious violations of the Act)</w:t>
      </w:r>
    </w:p>
    <w:p w:rsidRPr="00FF31D2" w:rsidR="004C1EEF" w:rsidP="00FF31D2" w:rsidRDefault="004C1EEF">
      <w:pPr>
        <w:pStyle w:val="JuQuot"/>
      </w:pPr>
      <w:r w:rsidRPr="00FF31D2">
        <w:t>“(1) An economic entity or a physical person shall be punished with a fine not exceeding 10% of the aggregate turnover of the economic entity, from the calendar year preceding that in which the violation of the Act occurred, if:</w:t>
      </w:r>
    </w:p>
    <w:p w:rsidRPr="00FF31D2" w:rsidR="004C1EEF" w:rsidP="00FF31D2" w:rsidRDefault="004C1EEF">
      <w:pPr>
        <w:pStyle w:val="JuQuot"/>
      </w:pPr>
      <w:r w:rsidRPr="00FF31D2">
        <w:t>...</w:t>
      </w:r>
    </w:p>
    <w:p w:rsidRPr="00FF31D2" w:rsidR="004C1EEF" w:rsidP="00FF31D2" w:rsidRDefault="004C1EEF">
      <w:pPr>
        <w:pStyle w:val="JuQuot"/>
      </w:pPr>
      <w:r w:rsidRPr="00FF31D2">
        <w:t>e) it implements the concentration prior to the [issuance of] the decision on concentration, within the meaning of section 18(9) of this Act.</w:t>
      </w:r>
    </w:p>
    <w:p w:rsidRPr="00FF31D2" w:rsidR="004C1EEF" w:rsidP="00FF31D2" w:rsidRDefault="004C1EEF">
      <w:pPr>
        <w:pStyle w:val="JuQuot"/>
      </w:pPr>
      <w:r w:rsidRPr="00FF31D2">
        <w:t>...</w:t>
      </w:r>
    </w:p>
    <w:p w:rsidRPr="00FF31D2" w:rsidR="004C1EEF" w:rsidP="00FF31D2" w:rsidRDefault="004C1EEF">
      <w:pPr>
        <w:pStyle w:val="JuHArticle"/>
      </w:pPr>
      <w:r w:rsidRPr="00FF31D2">
        <w:t>Section 49</w:t>
      </w:r>
    </w:p>
    <w:p w:rsidRPr="00FF31D2" w:rsidR="004C1EEF" w:rsidP="00FF31D2" w:rsidRDefault="004C1EEF">
      <w:pPr>
        <w:pStyle w:val="JuHArticle"/>
      </w:pPr>
      <w:r w:rsidRPr="00FF31D2">
        <w:t>(Fines for other violations of the Act)</w:t>
      </w:r>
    </w:p>
    <w:p w:rsidRPr="00FF31D2" w:rsidR="004C1EEF" w:rsidP="00FF31D2" w:rsidRDefault="004C1EEF">
      <w:pPr>
        <w:pStyle w:val="JuQuot"/>
      </w:pPr>
      <w:r w:rsidRPr="00FF31D2">
        <w:t>(1) The Competition Council may impose a fine on an economic entity not exceeding 1% of the aggregate turnover in the previous business year, if:</w:t>
      </w:r>
    </w:p>
    <w:p w:rsidRPr="00FF31D2" w:rsidR="004C1EEF" w:rsidP="00FF31D2" w:rsidRDefault="004C1EEF">
      <w:pPr>
        <w:pStyle w:val="JuQuot"/>
      </w:pPr>
      <w:r w:rsidRPr="00FF31D2">
        <w:t>...</w:t>
      </w:r>
    </w:p>
    <w:p w:rsidRPr="00FF31D2" w:rsidR="004C1EEF" w:rsidP="00FF31D2" w:rsidRDefault="004C1EEF">
      <w:pPr>
        <w:pStyle w:val="JuQuot"/>
      </w:pPr>
      <w:r w:rsidRPr="00FF31D2">
        <w:t>(b) it does not give notice of the concentration, pursuant to section 16 of this Act.</w:t>
      </w:r>
    </w:p>
    <w:p w:rsidRPr="00FF31D2" w:rsidR="004C1EEF" w:rsidP="00FF31D2" w:rsidRDefault="004C1EEF">
      <w:pPr>
        <w:pStyle w:val="JuQuot"/>
      </w:pPr>
      <w:r w:rsidRPr="00FF31D2">
        <w:t>...“</w:t>
      </w:r>
    </w:p>
    <w:p w:rsidRPr="00FF31D2" w:rsidR="004C1EEF" w:rsidP="00FF31D2" w:rsidRDefault="004C1EEF">
      <w:pPr>
        <w:pStyle w:val="JuHArticle"/>
      </w:pPr>
      <w:r w:rsidRPr="00FF31D2">
        <w:t>Section 52</w:t>
      </w:r>
    </w:p>
    <w:p w:rsidRPr="00FF31D2" w:rsidR="004C1EEF" w:rsidP="00FF31D2" w:rsidRDefault="004C1EEF">
      <w:pPr>
        <w:pStyle w:val="JuHArticle"/>
      </w:pPr>
      <w:r w:rsidRPr="00FF31D2">
        <w:t>(Fixing the amount of fines)</w:t>
      </w:r>
    </w:p>
    <w:p w:rsidRPr="00FF31D2" w:rsidR="004C1EEF" w:rsidP="00FF31D2" w:rsidRDefault="004C1EEF">
      <w:pPr>
        <w:pStyle w:val="JuQuot"/>
      </w:pPr>
      <w:r w:rsidRPr="00FF31D2">
        <w:t>“The Competition Council, in fixing the amount of the fine, shall have regard to the intent and duration of the violation of the provisions of this Act.”</w:t>
      </w:r>
    </w:p>
    <w:bookmarkStart w:name="p23" w:id="27"/>
    <w:p w:rsidRPr="00FF31D2" w:rsidR="004C1EEF" w:rsidP="00FF31D2" w:rsidRDefault="004C1EEF">
      <w:pPr>
        <w:pStyle w:val="JuPara"/>
      </w:pPr>
      <w:r w:rsidRPr="00FF31D2">
        <w:fldChar w:fldCharType="begin"/>
      </w:r>
      <w:r w:rsidRPr="00FF31D2">
        <w:instrText xml:space="preserve"> SEQ level0 \*arabic </w:instrText>
      </w:r>
      <w:r w:rsidRPr="00FF31D2">
        <w:fldChar w:fldCharType="separate"/>
      </w:r>
      <w:r w:rsidRPr="00FF31D2" w:rsidR="00FF31D2">
        <w:rPr>
          <w:noProof/>
        </w:rPr>
        <w:t>23</w:t>
      </w:r>
      <w:r w:rsidRPr="00FF31D2">
        <w:fldChar w:fldCharType="end"/>
      </w:r>
      <w:bookmarkEnd w:id="27"/>
      <w:r w:rsidRPr="00FF31D2">
        <w:t>.  </w:t>
      </w:r>
      <w:r w:rsidRPr="00FF31D2">
        <w:rPr>
          <w:rFonts w:eastAsiaTheme="minorEastAsia"/>
          <w:szCs w:val="22"/>
        </w:rPr>
        <w:t>The relevant provision of the 2002 Administrative Disputes Act (</w:t>
      </w:r>
      <w:r w:rsidRPr="00FF31D2">
        <w:rPr>
          <w:rFonts w:eastAsiaTheme="minorEastAsia"/>
          <w:i/>
          <w:szCs w:val="22"/>
        </w:rPr>
        <w:t>Zakon o upravnim sporovima Bosne i Hercegovine</w:t>
      </w:r>
      <w:r w:rsidRPr="00FF31D2">
        <w:rPr>
          <w:rFonts w:eastAsiaTheme="minorEastAsia"/>
          <w:szCs w:val="22"/>
        </w:rPr>
        <w:t>), published in OG BH no. 19/02, 88/07, 83/08 and 74/10, read as follows:</w:t>
      </w:r>
    </w:p>
    <w:p w:rsidRPr="00FF31D2" w:rsidR="004C1EEF" w:rsidP="00FF31D2" w:rsidRDefault="004C1EEF">
      <w:pPr>
        <w:pStyle w:val="JuHArticle"/>
      </w:pPr>
      <w:r w:rsidRPr="00FF31D2">
        <w:t>Section 60 a)</w:t>
      </w:r>
    </w:p>
    <w:p w:rsidRPr="00FF31D2" w:rsidR="004C1EEF" w:rsidP="00FF31D2" w:rsidRDefault="004C1EEF">
      <w:pPr>
        <w:pStyle w:val="JuQuot"/>
      </w:pPr>
      <w:r w:rsidRPr="00FF31D2">
        <w:t>“In respect of procedural questions related to an administrative dispute that are not regulated by this Act, the relevant provisions of the law regulating the civil procedure shall be applicable.”</w:t>
      </w:r>
    </w:p>
    <w:bookmarkStart w:name="para23" w:id="28"/>
    <w:bookmarkStart w:name="p24" w:id="29"/>
    <w:p w:rsidRPr="00FF31D2" w:rsidR="004C1EEF" w:rsidP="00FF31D2" w:rsidRDefault="004C1EEF">
      <w:pPr>
        <w:pStyle w:val="JuPara"/>
      </w:pPr>
      <w:r w:rsidRPr="00FF31D2">
        <w:fldChar w:fldCharType="begin"/>
      </w:r>
      <w:r w:rsidRPr="00FF31D2">
        <w:instrText xml:space="preserve"> SEQ level0 \*arabic </w:instrText>
      </w:r>
      <w:r w:rsidRPr="00FF31D2">
        <w:fldChar w:fldCharType="separate"/>
      </w:r>
      <w:r w:rsidRPr="00FF31D2" w:rsidR="00FF31D2">
        <w:rPr>
          <w:noProof/>
        </w:rPr>
        <w:t>24</w:t>
      </w:r>
      <w:r w:rsidRPr="00FF31D2">
        <w:fldChar w:fldCharType="end"/>
      </w:r>
      <w:bookmarkEnd w:id="28"/>
      <w:bookmarkEnd w:id="29"/>
      <w:r w:rsidRPr="00FF31D2">
        <w:t>.  </w:t>
      </w:r>
      <w:r w:rsidRPr="00FF31D2">
        <w:rPr>
          <w:rFonts w:eastAsiaTheme="minorEastAsia"/>
          <w:szCs w:val="22"/>
        </w:rPr>
        <w:t>The relevant provisions of the 2004 Civil Procedure Act (</w:t>
      </w:r>
      <w:r w:rsidRPr="00FF31D2">
        <w:rPr>
          <w:rFonts w:eastAsiaTheme="minorEastAsia"/>
          <w:i/>
          <w:szCs w:val="22"/>
        </w:rPr>
        <w:t>Zakon o parničnom postupku pred Sudom Bosne i Hercegovine</w:t>
      </w:r>
      <w:r w:rsidRPr="00FF31D2">
        <w:rPr>
          <w:rFonts w:eastAsiaTheme="minorEastAsia"/>
          <w:szCs w:val="22"/>
        </w:rPr>
        <w:t>), published in OG BH no. 36/04, 84/07, 58/13 and 94/16, read as follows:</w:t>
      </w:r>
    </w:p>
    <w:p w:rsidRPr="00FF31D2" w:rsidR="004C1EEF" w:rsidP="00FF31D2" w:rsidRDefault="004C1EEF">
      <w:pPr>
        <w:pStyle w:val="JuHArticle"/>
      </w:pPr>
      <w:r w:rsidRPr="00FF31D2">
        <w:t>Section 10</w:t>
      </w:r>
    </w:p>
    <w:p w:rsidRPr="00FF31D2" w:rsidR="004C1EEF" w:rsidP="00FF31D2" w:rsidRDefault="004C1EEF">
      <w:pPr>
        <w:pStyle w:val="JuQuot"/>
      </w:pPr>
      <w:r w:rsidRPr="00FF31D2">
        <w:t>“Every party has a right to make known its views (“</w:t>
      </w:r>
      <w:r w:rsidRPr="00FF31D2">
        <w:rPr>
          <w:i/>
        </w:rPr>
        <w:t>očitovati se</w:t>
      </w:r>
      <w:r w:rsidRPr="00FF31D2">
        <w:t>”) regarding the proposals and requests (“</w:t>
      </w:r>
      <w:r w:rsidRPr="00FF31D2">
        <w:rPr>
          <w:i/>
        </w:rPr>
        <w:t>o prijedlozima i zahtjevima</w:t>
      </w:r>
      <w:r w:rsidRPr="00FF31D2">
        <w:t>”) made by the opposing party. The court is only empowered to decide on a request regarding which the opposite party was not given an opportunity to make its views known when so determined by this Act.”</w:t>
      </w:r>
    </w:p>
    <w:p w:rsidRPr="00FF31D2" w:rsidR="004C1EEF" w:rsidP="00FF31D2" w:rsidRDefault="004C1EEF">
      <w:pPr>
        <w:pStyle w:val="JuHArticle"/>
        <w:keepLines/>
      </w:pPr>
      <w:r w:rsidRPr="00FF31D2">
        <w:t>Section 274</w:t>
      </w:r>
    </w:p>
    <w:p w:rsidRPr="00FF31D2" w:rsidR="004C1EEF" w:rsidP="00FF31D2" w:rsidRDefault="004C1EEF">
      <w:pPr>
        <w:pStyle w:val="JuQuot"/>
        <w:keepNext/>
        <w:keepLines/>
      </w:pPr>
      <w:r w:rsidRPr="00FF31D2">
        <w:t>“...</w:t>
      </w:r>
    </w:p>
    <w:p w:rsidRPr="00FF31D2" w:rsidR="004C1EEF" w:rsidP="00FF31D2" w:rsidRDefault="004C1EEF">
      <w:pPr>
        <w:pStyle w:val="JuQuot"/>
        <w:keepNext/>
        <w:keepLines/>
      </w:pPr>
      <w:r w:rsidRPr="00FF31D2">
        <w:t>(1) The civil action, the reply to the civil action, the counterclaim and reply to the counterclaim, and legal remedies and other statements, proposals and notices provided outside the hearing, shall be submitted in writing (submissions) ...</w:t>
      </w:r>
    </w:p>
    <w:p w:rsidRPr="00FF31D2" w:rsidR="004C1EEF" w:rsidP="00FF31D2" w:rsidRDefault="004C1EEF">
      <w:pPr>
        <w:pStyle w:val="JuQuot"/>
      </w:pPr>
      <w:r w:rsidRPr="00FF31D2">
        <w:t>...</w:t>
      </w:r>
    </w:p>
    <w:p w:rsidRPr="00FF31D2" w:rsidR="004C1EEF" w:rsidP="00FF31D2" w:rsidRDefault="004C1EEF">
      <w:pPr>
        <w:pStyle w:val="JuQuot"/>
      </w:pPr>
      <w:r w:rsidRPr="00FF31D2">
        <w:t>(5) A sufficient number of copies of submissions (with supplements) delivered to the opposite party shall be submitted to the court for [needs of] the court and the opposite party.”</w:t>
      </w:r>
    </w:p>
    <w:p w:rsidRPr="00FF31D2" w:rsidR="004C1EEF" w:rsidP="00FF31D2" w:rsidRDefault="004C1EEF">
      <w:pPr>
        <w:pStyle w:val="JuHArticle"/>
      </w:pPr>
      <w:r w:rsidRPr="00FF31D2">
        <w:t>Section 276</w:t>
      </w:r>
    </w:p>
    <w:p w:rsidRPr="00FF31D2" w:rsidR="004C1EEF" w:rsidP="00FF31D2" w:rsidRDefault="004C1EEF">
      <w:pPr>
        <w:pStyle w:val="JuQuot"/>
      </w:pPr>
      <w:r w:rsidRPr="00FF31D2">
        <w:t>“...</w:t>
      </w:r>
    </w:p>
    <w:p w:rsidRPr="00FF31D2" w:rsidR="004C1EEF" w:rsidP="00FF31D2" w:rsidRDefault="004C1EEF">
      <w:pPr>
        <w:pStyle w:val="JuQuot"/>
      </w:pPr>
      <w:r w:rsidRPr="00FF31D2">
        <w:t>(4) If a sufficient number of copies of the submissions or supplements are not submitted, the court shall invite the applicant to submit them by a certain deadline. If the applicant fails to act upon such an order, the court shall reject such a submission.”</w:t>
      </w:r>
    </w:p>
    <w:p w:rsidRPr="00FF31D2" w:rsidR="004C1EEF" w:rsidP="00FF31D2" w:rsidRDefault="004C1EEF">
      <w:pPr>
        <w:pStyle w:val="JuHHead"/>
        <w:numPr>
          <w:ilvl w:val="0"/>
          <w:numId w:val="1"/>
        </w:numPr>
      </w:pPr>
      <w:r w:rsidRPr="00FF31D2">
        <w:t>THE LAW</w:t>
      </w:r>
    </w:p>
    <w:p w:rsidRPr="00FF31D2" w:rsidR="004C1EEF" w:rsidP="00FF31D2" w:rsidRDefault="004C1EEF">
      <w:pPr>
        <w:pStyle w:val="JuHIRoman"/>
      </w:pPr>
      <w:r w:rsidRPr="00FF31D2">
        <w:t>ALLEGED VIOLATION OF ARTICLE 6 § 1 OF THE CONVENTION</w:t>
      </w:r>
    </w:p>
    <w:p w:rsidRPr="00FF31D2" w:rsidR="004C1EEF" w:rsidP="00FF31D2" w:rsidRDefault="004C1EEF">
      <w:pPr>
        <w:pStyle w:val="JuPara"/>
      </w:pPr>
      <w:r w:rsidRPr="00FF31D2">
        <w:fldChar w:fldCharType="begin"/>
      </w:r>
      <w:r w:rsidRPr="00FF31D2">
        <w:instrText xml:space="preserve"> SEQ level0 \*arabic </w:instrText>
      </w:r>
      <w:r w:rsidRPr="00FF31D2">
        <w:fldChar w:fldCharType="separate"/>
      </w:r>
      <w:r w:rsidRPr="00FF31D2" w:rsidR="00FF31D2">
        <w:rPr>
          <w:noProof/>
        </w:rPr>
        <w:t>25</w:t>
      </w:r>
      <w:r w:rsidRPr="00FF31D2">
        <w:fldChar w:fldCharType="end"/>
      </w:r>
      <w:r w:rsidRPr="00FF31D2">
        <w:t>.  The applicant company complained that the judicial-review proceedings before the State Court had been unfair. In particular, it complained that the State Court had failed to forward to it the replies of the Competition Council submitted during the proceedings and had therefore deprived it of the possibility to comment on them. The applicant company relied on Article 6 § 1 of the Convention, the relevant part of which reads as follows:</w:t>
      </w:r>
    </w:p>
    <w:p w:rsidRPr="00FF31D2" w:rsidR="004C1EEF" w:rsidP="00FF31D2" w:rsidRDefault="004C1EEF">
      <w:pPr>
        <w:pStyle w:val="JuQuot"/>
      </w:pPr>
      <w:r w:rsidRPr="00FF31D2">
        <w:t>“In the determination of ... any criminal charge against him, everyone is entitled to a fair ... hearing ... by [a] ... tribunal ...”</w:t>
      </w:r>
    </w:p>
    <w:p w:rsidRPr="00FF31D2" w:rsidR="004C1EEF" w:rsidP="00FF31D2" w:rsidRDefault="004C1EEF">
      <w:pPr>
        <w:pStyle w:val="JuHA"/>
      </w:pPr>
      <w:r w:rsidRPr="00FF31D2">
        <w:t>Admissibility</w:t>
      </w:r>
    </w:p>
    <w:p w:rsidRPr="00FF31D2" w:rsidR="004C1EEF" w:rsidP="00FF31D2" w:rsidRDefault="004C1EEF">
      <w:pPr>
        <w:pStyle w:val="JuPara"/>
      </w:pPr>
      <w:r w:rsidRPr="00FF31D2">
        <w:fldChar w:fldCharType="begin"/>
      </w:r>
      <w:r w:rsidRPr="00FF31D2">
        <w:instrText xml:space="preserve"> SEQ level0 \*arabic </w:instrText>
      </w:r>
      <w:r w:rsidRPr="00FF31D2">
        <w:fldChar w:fldCharType="separate"/>
      </w:r>
      <w:r w:rsidRPr="00FF31D2" w:rsidR="00FF31D2">
        <w:rPr>
          <w:noProof/>
        </w:rPr>
        <w:t>26</w:t>
      </w:r>
      <w:r w:rsidRPr="00FF31D2">
        <w:fldChar w:fldCharType="end"/>
      </w:r>
      <w:r w:rsidRPr="00FF31D2">
        <w:t>.  The Government maintained that the application was manifestly ill-founded.</w:t>
      </w:r>
    </w:p>
    <w:p w:rsidRPr="00FF31D2" w:rsidR="004C1EEF" w:rsidP="00FF31D2" w:rsidRDefault="004C1EEF">
      <w:pPr>
        <w:pStyle w:val="JuPara"/>
      </w:pPr>
      <w:r w:rsidRPr="00FF31D2">
        <w:fldChar w:fldCharType="begin"/>
      </w:r>
      <w:r w:rsidRPr="00FF31D2">
        <w:instrText xml:space="preserve"> SEQ level0 \*arabic </w:instrText>
      </w:r>
      <w:r w:rsidRPr="00FF31D2">
        <w:fldChar w:fldCharType="separate"/>
      </w:r>
      <w:r w:rsidRPr="00FF31D2" w:rsidR="00FF31D2">
        <w:rPr>
          <w:noProof/>
        </w:rPr>
        <w:t>27</w:t>
      </w:r>
      <w:r w:rsidRPr="00FF31D2">
        <w:fldChar w:fldCharType="end"/>
      </w:r>
      <w:r w:rsidRPr="00FF31D2">
        <w:t>.  The applicant company disagreed.</w:t>
      </w:r>
    </w:p>
    <w:p w:rsidRPr="00FF31D2" w:rsidR="004C1EEF" w:rsidP="00FF31D2" w:rsidRDefault="004C1EEF">
      <w:pPr>
        <w:pStyle w:val="JuPara"/>
      </w:pPr>
      <w:r w:rsidRPr="00FF31D2">
        <w:fldChar w:fldCharType="begin"/>
      </w:r>
      <w:r w:rsidRPr="00FF31D2">
        <w:instrText xml:space="preserve"> SEQ level0 \*arabic </w:instrText>
      </w:r>
      <w:r w:rsidRPr="00FF31D2">
        <w:fldChar w:fldCharType="separate"/>
      </w:r>
      <w:r w:rsidRPr="00FF31D2" w:rsidR="00FF31D2">
        <w:rPr>
          <w:noProof/>
        </w:rPr>
        <w:t>28</w:t>
      </w:r>
      <w:r w:rsidRPr="00FF31D2">
        <w:fldChar w:fldCharType="end"/>
      </w:r>
      <w:r w:rsidRPr="00FF31D2">
        <w:t>.  The Court notes that the Government did not contest the applicability of Article 6 of the Convention to the facts of the present case. At the same time, it reiterates that the scope of the Court</w:t>
      </w:r>
      <w:r w:rsidRPr="00FF31D2" w:rsidR="00FF31D2">
        <w:t>’</w:t>
      </w:r>
      <w:r w:rsidRPr="00FF31D2">
        <w:t>s jurisdiction is determined by the Convention itself (in particular by Article 32), and not by the parties</w:t>
      </w:r>
      <w:r w:rsidRPr="00FF31D2" w:rsidR="00FF31D2">
        <w:t>’</w:t>
      </w:r>
      <w:r w:rsidRPr="00FF31D2">
        <w:t xml:space="preserve"> submissions in respect of a particular case. Consequently, the mere absence of a plea of incompatibility with the Convention cannot extend that jurisdiction. Accordingly, the Court has to satisfy itself that it has jurisdiction in respect of any case brought before it, and is therefore obliged to examine the question of its jurisdiction at every stage of the proceedings – even where no objection has been raised in this respect (see, </w:t>
      </w:r>
      <w:r w:rsidRPr="00FF31D2">
        <w:rPr>
          <w:i/>
        </w:rPr>
        <w:t>mutatis mutandis</w:t>
      </w:r>
      <w:r w:rsidRPr="00FF31D2">
        <w:t xml:space="preserve">, </w:t>
      </w:r>
      <w:r w:rsidRPr="00FF31D2">
        <w:rPr>
          <w:i/>
        </w:rPr>
        <w:t>Blečić v. Croatia</w:t>
      </w:r>
      <w:r w:rsidRPr="00FF31D2">
        <w:t xml:space="preserve"> [GC], no. 59532/00, § 67, ECHR</w:t>
      </w:r>
      <w:r w:rsidRPr="00FF31D2" w:rsidR="00FF31D2">
        <w:t> </w:t>
      </w:r>
      <w:r w:rsidRPr="00FF31D2">
        <w:t>2006</w:t>
      </w:r>
      <w:r w:rsidRPr="00FF31D2">
        <w:noBreakHyphen/>
        <w:t xml:space="preserve">III, and </w:t>
      </w:r>
      <w:r w:rsidRPr="00FF31D2">
        <w:rPr>
          <w:i/>
        </w:rPr>
        <w:t>Mocanu and Others v. Romania</w:t>
      </w:r>
      <w:r w:rsidRPr="00FF31D2">
        <w:t xml:space="preserve"> [GC], nos. 10865/09 and 2</w:t>
      </w:r>
      <w:r w:rsidRPr="00FF31D2" w:rsidR="0097610D">
        <w:t> </w:t>
      </w:r>
      <w:r w:rsidRPr="00FF31D2">
        <w:t>others, § 201, ECHR 2014 (extracts)).</w:t>
      </w:r>
    </w:p>
    <w:p w:rsidRPr="00FF31D2" w:rsidR="004C1EEF" w:rsidP="00FF31D2" w:rsidRDefault="004C1EEF">
      <w:pPr>
        <w:pStyle w:val="JuPara"/>
      </w:pPr>
      <w:r w:rsidRPr="00FF31D2">
        <w:fldChar w:fldCharType="begin"/>
      </w:r>
      <w:r w:rsidRPr="00FF31D2">
        <w:instrText xml:space="preserve"> SEQ level0 \*arabic </w:instrText>
      </w:r>
      <w:r w:rsidRPr="00FF31D2">
        <w:fldChar w:fldCharType="separate"/>
      </w:r>
      <w:r w:rsidRPr="00FF31D2" w:rsidR="00FF31D2">
        <w:rPr>
          <w:noProof/>
        </w:rPr>
        <w:t>29</w:t>
      </w:r>
      <w:r w:rsidRPr="00FF31D2">
        <w:fldChar w:fldCharType="end"/>
      </w:r>
      <w:r w:rsidRPr="00FF31D2">
        <w:t xml:space="preserve">.  The concept of a “criminal charge” in Article 6 § 1 is an autonomous one (see </w:t>
      </w:r>
      <w:r w:rsidRPr="00FF31D2">
        <w:rPr>
          <w:i/>
          <w:iCs/>
        </w:rPr>
        <w:t>Ramos Nunes de Carvalho e Sá v. Portugal</w:t>
      </w:r>
      <w:r w:rsidRPr="00FF31D2">
        <w:t xml:space="preserve"> [GC], nos. 55391/13 and 2 others, § 122, 6 November 2018). The Court</w:t>
      </w:r>
      <w:r w:rsidRPr="00FF31D2" w:rsidR="00FF31D2">
        <w:t>’</w:t>
      </w:r>
      <w:r w:rsidRPr="00FF31D2">
        <w:t xml:space="preserve">s established case-law sets out three criteria, commonly known as the “Engel criteria”, that are to be considered in determining whether or not there was a “criminal charge” (see </w:t>
      </w:r>
      <w:r w:rsidRPr="00FF31D2">
        <w:rPr>
          <w:i/>
        </w:rPr>
        <w:t>Engel and Others v. the Netherlands</w:t>
      </w:r>
      <w:r w:rsidRPr="00FF31D2">
        <w:t xml:space="preserve">, 8 June 1976, § 82, Series A no. 22, and </w:t>
      </w:r>
      <w:r w:rsidRPr="00FF31D2">
        <w:rPr>
          <w:i/>
          <w:iCs/>
        </w:rPr>
        <w:t>Gestur Jónsson and Ragnar Halldór Hall v. Iceland</w:t>
      </w:r>
      <w:r w:rsidRPr="00FF31D2">
        <w:t xml:space="preserve"> [GC], nos.</w:t>
      </w:r>
      <w:r w:rsidRPr="00FF31D2" w:rsidR="00112D68">
        <w:t> </w:t>
      </w:r>
      <w:r w:rsidRPr="00FF31D2">
        <w:t xml:space="preserve">68273/14 and 68271/14, § 75, 22 December 2020). The first criterion is the legal classification of the offence under national law, the second is the very nature of the offence, and the third is the degree of severity of the penalty that the person concerned risks incurring. The second and third criteria are alternative, and not necessarily cumulative. This, however, does not exclude a cumulative approach where separate analysis of each criterion does not make it possible to reach a clear conclusion as to the existence of a criminal charge (see, among other authorities, </w:t>
      </w:r>
      <w:r w:rsidRPr="00FF31D2">
        <w:rPr>
          <w:i/>
        </w:rPr>
        <w:t>Jussila v. Finland</w:t>
      </w:r>
      <w:r w:rsidRPr="00FF31D2">
        <w:t xml:space="preserve"> [GC], no. 73053/01, §§ 30</w:t>
      </w:r>
      <w:r w:rsidRPr="00FF31D2">
        <w:noBreakHyphen/>
        <w:t>31, ECHR 2006</w:t>
      </w:r>
      <w:r w:rsidRPr="00FF31D2">
        <w:noBreakHyphen/>
        <w:t xml:space="preserve">XIV; </w:t>
      </w:r>
      <w:r w:rsidRPr="00FF31D2">
        <w:rPr>
          <w:i/>
        </w:rPr>
        <w:t>Ezeh and Connors v. the United Kingdom</w:t>
      </w:r>
      <w:r w:rsidRPr="00FF31D2">
        <w:t xml:space="preserve"> [GC], nos. 39665/98 and 40086/98, § 82, ECHR 2003</w:t>
      </w:r>
      <w:r w:rsidRPr="00FF31D2">
        <w:noBreakHyphen/>
        <w:t xml:space="preserve">X; and </w:t>
      </w:r>
      <w:r w:rsidRPr="00FF31D2">
        <w:rPr>
          <w:i/>
          <w:iCs/>
        </w:rPr>
        <w:t>Gestur Jónsson and Ragnar Halldór Hall</w:t>
      </w:r>
      <w:r w:rsidRPr="00FF31D2">
        <w:t xml:space="preserve">, cited above, §§ 77-78). The fact that an offence is not punishable by imprisonment is not by itself decisive for the purposes of the applicability of the criminal limb of Article 6 of the Convention since, as the Court has stressed on numerous occasions, the relative lack of seriousness of the penalty at stake cannot deprive an offence of its inherently criminal character (see the above-cited cases of </w:t>
      </w:r>
      <w:r w:rsidRPr="00FF31D2">
        <w:rPr>
          <w:i/>
        </w:rPr>
        <w:t>Ramos</w:t>
      </w:r>
      <w:r w:rsidRPr="00FF31D2" w:rsidR="00FF31D2">
        <w:rPr>
          <w:i/>
        </w:rPr>
        <w:t> </w:t>
      </w:r>
      <w:r w:rsidRPr="00FF31D2">
        <w:rPr>
          <w:i/>
        </w:rPr>
        <w:t>Nunes de Carvalho e Sá</w:t>
      </w:r>
      <w:r w:rsidRPr="00FF31D2">
        <w:t xml:space="preserve">, § 122, and </w:t>
      </w:r>
      <w:r w:rsidRPr="00FF31D2">
        <w:rPr>
          <w:i/>
          <w:iCs/>
        </w:rPr>
        <w:t>Gestur Jónsson and Ragnar Halldór Hall</w:t>
      </w:r>
      <w:r w:rsidRPr="00FF31D2">
        <w:t>, § 78).</w:t>
      </w:r>
    </w:p>
    <w:p w:rsidRPr="00FF31D2" w:rsidR="004C1EEF" w:rsidP="00FF31D2" w:rsidRDefault="004C1EEF">
      <w:pPr>
        <w:pStyle w:val="JuPara"/>
      </w:pPr>
      <w:r w:rsidRPr="00FF31D2">
        <w:fldChar w:fldCharType="begin"/>
      </w:r>
      <w:r w:rsidRPr="00FF31D2">
        <w:instrText xml:space="preserve"> SEQ level0 \*arabic </w:instrText>
      </w:r>
      <w:r w:rsidRPr="00FF31D2">
        <w:fldChar w:fldCharType="separate"/>
      </w:r>
      <w:r w:rsidRPr="00FF31D2" w:rsidR="00FF31D2">
        <w:rPr>
          <w:noProof/>
        </w:rPr>
        <w:t>30</w:t>
      </w:r>
      <w:r w:rsidRPr="00FF31D2">
        <w:fldChar w:fldCharType="end"/>
      </w:r>
      <w:r w:rsidRPr="00FF31D2">
        <w:t xml:space="preserve">.  The Court notes at the outset that the Bosnian legal system outlines a single set of proceedings regarding the assessment of violations of competition law, so that the Competition Council both conducts the proceedings concerning the finding of a violation of competition rules and imposes fines in those same proceedings under the provisions of the Competition Act (sections 48 and 49 of the Competition Act – see paragraph </w:t>
      </w:r>
      <w:r w:rsidRPr="00FF31D2">
        <w:fldChar w:fldCharType="begin"/>
      </w:r>
      <w:r w:rsidRPr="00FF31D2">
        <w:instrText xml:space="preserve"> REF p22 \h </w:instrText>
      </w:r>
      <w:r w:rsidRPr="00FF31D2">
        <w:fldChar w:fldCharType="separate"/>
      </w:r>
      <w:r w:rsidRPr="00FF31D2" w:rsidR="00FF31D2">
        <w:rPr>
          <w:noProof/>
        </w:rPr>
        <w:t>22</w:t>
      </w:r>
      <w:r w:rsidRPr="00FF31D2">
        <w:fldChar w:fldCharType="end"/>
      </w:r>
      <w:r w:rsidRPr="00FF31D2">
        <w:t xml:space="preserve"> above). As regards the domestic classification of the finding of a violation of competition rules, the Court notes than the relevant legislation does not expressly classify the measure in question as one belonging to criminal law (section 43(6) of the Competition Act). In this connection, the Court observes that the Competition Council, when conducting proceedings, applies the rules of administrative procedure (section 26 of the Competition Act). Similarly, the legality of the decision-making of the Competition Council in this type of proceedings is subject to appeal before the State Court, which decides in judicial-review proceedings, applying provisions of the Administrative Disputes Act (see paragraph </w:t>
      </w:r>
      <w:r w:rsidRPr="00FF31D2">
        <w:fldChar w:fldCharType="begin"/>
      </w:r>
      <w:r w:rsidRPr="00FF31D2">
        <w:instrText xml:space="preserve"> REF p22 \h </w:instrText>
      </w:r>
      <w:r w:rsidRPr="00FF31D2">
        <w:fldChar w:fldCharType="separate"/>
      </w:r>
      <w:r w:rsidRPr="00FF31D2" w:rsidR="00FF31D2">
        <w:rPr>
          <w:noProof/>
        </w:rPr>
        <w:t>22</w:t>
      </w:r>
      <w:r w:rsidRPr="00FF31D2">
        <w:fldChar w:fldCharType="end"/>
      </w:r>
      <w:r w:rsidRPr="00FF31D2">
        <w:t xml:space="preserve"> above). However, that consideration is not decisive, as indications furnished by domestic law have only a relative value (see </w:t>
      </w:r>
      <w:r w:rsidRPr="00FF31D2">
        <w:rPr>
          <w:i/>
        </w:rPr>
        <w:t>A. Menarini Diagnostics S.R.L. v. Italy</w:t>
      </w:r>
      <w:r w:rsidRPr="00FF31D2">
        <w:t>, no.</w:t>
      </w:r>
      <w:r w:rsidRPr="00FF31D2" w:rsidR="0097610D">
        <w:t> </w:t>
      </w:r>
      <w:r w:rsidRPr="00FF31D2">
        <w:t>43509/08, § 39, 27 September 2011).</w:t>
      </w:r>
    </w:p>
    <w:p w:rsidRPr="00FF31D2" w:rsidR="004C1EEF" w:rsidP="00FF31D2" w:rsidRDefault="004C1EEF">
      <w:pPr>
        <w:pStyle w:val="JuPara"/>
      </w:pPr>
      <w:r w:rsidRPr="00FF31D2">
        <w:fldChar w:fldCharType="begin"/>
      </w:r>
      <w:r w:rsidRPr="00FF31D2">
        <w:instrText xml:space="preserve"> SEQ level0 \*arabic </w:instrText>
      </w:r>
      <w:r w:rsidRPr="00FF31D2">
        <w:fldChar w:fldCharType="separate"/>
      </w:r>
      <w:r w:rsidRPr="00FF31D2" w:rsidR="00FF31D2">
        <w:rPr>
          <w:noProof/>
        </w:rPr>
        <w:t>31</w:t>
      </w:r>
      <w:r w:rsidRPr="00FF31D2">
        <w:fldChar w:fldCharType="end"/>
      </w:r>
      <w:r w:rsidRPr="00FF31D2">
        <w:t xml:space="preserve">.  The Court must now look at the nature of the offence and the nature and degree of severity of the sanction that the applicant company risked incurring. It notes that the provisions found to have been infringed by the applicant company (sections 16 and 18 of the Competition Act – see paragraph </w:t>
      </w:r>
      <w:r w:rsidRPr="00FF31D2">
        <w:fldChar w:fldCharType="begin"/>
      </w:r>
      <w:r w:rsidRPr="00FF31D2">
        <w:instrText xml:space="preserve"> REF p22 \h </w:instrText>
      </w:r>
      <w:r w:rsidRPr="00FF31D2">
        <w:fldChar w:fldCharType="separate"/>
      </w:r>
      <w:r w:rsidRPr="00FF31D2" w:rsidR="00FF31D2">
        <w:rPr>
          <w:noProof/>
        </w:rPr>
        <w:t>22</w:t>
      </w:r>
      <w:r w:rsidRPr="00FF31D2">
        <w:fldChar w:fldCharType="end"/>
      </w:r>
      <w:r w:rsidRPr="00FF31D2">
        <w:t xml:space="preserve"> above) were intended to preserve free competition in the relevant market. The Competition Council, as a public regulatory authority, monitored concentrations of economic entities on the market for the purpose of verifying whether they would significantly impede effective market competition – particularly through the creation or strengthening of a dominant position. These constitute general interests of society and are usually protected by criminal law (see </w:t>
      </w:r>
      <w:r w:rsidRPr="00FF31D2">
        <w:rPr>
          <w:i/>
        </w:rPr>
        <w:t>A. Menarini Diagnostics S.R.L.</w:t>
      </w:r>
      <w:r w:rsidRPr="00FF31D2">
        <w:t xml:space="preserve">, cited above, § 40). Furthermore, the determination of the violation of the competition rules was immediately followed by punishment through the imposition of fines, which, as stated in the impugned decision (see paragraph </w:t>
      </w:r>
      <w:r w:rsidRPr="00FF31D2">
        <w:fldChar w:fldCharType="begin"/>
      </w:r>
      <w:r w:rsidRPr="00FF31D2">
        <w:instrText xml:space="preserve"> REF para7 \h  \* MERGEFORMAT </w:instrText>
      </w:r>
      <w:r w:rsidRPr="00FF31D2">
        <w:fldChar w:fldCharType="separate"/>
      </w:r>
      <w:r w:rsidRPr="00FF31D2" w:rsidR="00FF31D2">
        <w:t>8</w:t>
      </w:r>
      <w:r w:rsidRPr="00FF31D2">
        <w:fldChar w:fldCharType="end"/>
      </w:r>
      <w:r w:rsidRPr="00FF31D2">
        <w:t xml:space="preserve"> above), had a punitive and deterrent character (see, </w:t>
      </w:r>
      <w:r w:rsidRPr="00FF31D2">
        <w:rPr>
          <w:i/>
        </w:rPr>
        <w:t>mutatis mutandis, Jussila</w:t>
      </w:r>
      <w:r w:rsidRPr="00FF31D2">
        <w:t xml:space="preserve">, cited above, § 38). Moreover, the Court observes that the fines at issue concerned a substantial amount (see, </w:t>
      </w:r>
      <w:r w:rsidRPr="00FF31D2">
        <w:rPr>
          <w:i/>
        </w:rPr>
        <w:t>mutatis mutandis</w:t>
      </w:r>
      <w:r w:rsidRPr="00FF31D2">
        <w:t xml:space="preserve">, </w:t>
      </w:r>
      <w:r w:rsidRPr="00FF31D2">
        <w:rPr>
          <w:i/>
          <w:iCs/>
        </w:rPr>
        <w:t>Produkcija Plus Storitveno podjetje d.o.o. v. Slovenia</w:t>
      </w:r>
      <w:r w:rsidRPr="00FF31D2">
        <w:t>, no. 47072/15, §§ 10 and 45, 23 October 2018), and that the maximum fine the applicant company had risked incurring was significantly higher, as it was linked to its aggregate turnover.</w:t>
      </w:r>
    </w:p>
    <w:p w:rsidRPr="00FF31D2" w:rsidR="004C1EEF" w:rsidP="00FF31D2" w:rsidRDefault="004C1EEF">
      <w:pPr>
        <w:pStyle w:val="JuPara"/>
      </w:pPr>
      <w:r w:rsidRPr="00FF31D2">
        <w:fldChar w:fldCharType="begin"/>
      </w:r>
      <w:r w:rsidRPr="00FF31D2">
        <w:instrText xml:space="preserve"> SEQ level0 \*arabic </w:instrText>
      </w:r>
      <w:r w:rsidRPr="00FF31D2">
        <w:fldChar w:fldCharType="separate"/>
      </w:r>
      <w:r w:rsidRPr="00FF31D2" w:rsidR="00FF31D2">
        <w:rPr>
          <w:noProof/>
        </w:rPr>
        <w:t>32</w:t>
      </w:r>
      <w:r w:rsidRPr="00FF31D2">
        <w:fldChar w:fldCharType="end"/>
      </w:r>
      <w:r w:rsidRPr="00FF31D2">
        <w:t>.  In the light of the above, the Court finds that Article 6 is applicable under its criminal head to the proceedings at issue.</w:t>
      </w:r>
    </w:p>
    <w:p w:rsidRPr="00FF31D2" w:rsidR="004C1EEF" w:rsidP="00FF31D2" w:rsidRDefault="004C1EEF">
      <w:pPr>
        <w:pStyle w:val="JuPara"/>
      </w:pPr>
      <w:r w:rsidRPr="00FF31D2">
        <w:fldChar w:fldCharType="begin"/>
      </w:r>
      <w:r w:rsidRPr="00FF31D2">
        <w:instrText xml:space="preserve"> SEQ level0 \*arabic </w:instrText>
      </w:r>
      <w:r w:rsidRPr="00FF31D2">
        <w:fldChar w:fldCharType="separate"/>
      </w:r>
      <w:r w:rsidRPr="00FF31D2" w:rsidR="00FF31D2">
        <w:rPr>
          <w:noProof/>
        </w:rPr>
        <w:t>33</w:t>
      </w:r>
      <w:r w:rsidRPr="00FF31D2">
        <w:fldChar w:fldCharType="end"/>
      </w:r>
      <w:r w:rsidRPr="00FF31D2">
        <w:t>.  The Court further notes that the application is neither manifestly ill-founded nor inadmissible on any other grounds listed in Article 35 of the Convention. It must therefore be declared admissible.</w:t>
      </w:r>
    </w:p>
    <w:p w:rsidRPr="00FF31D2" w:rsidR="004C1EEF" w:rsidP="00FF31D2" w:rsidRDefault="004C1EEF">
      <w:pPr>
        <w:pStyle w:val="JuHA"/>
      </w:pPr>
      <w:r w:rsidRPr="00FF31D2">
        <w:t>Merits</w:t>
      </w:r>
    </w:p>
    <w:bookmarkStart w:name="p34" w:id="30"/>
    <w:p w:rsidRPr="00FF31D2" w:rsidR="004C1EEF" w:rsidP="00FF31D2" w:rsidRDefault="004C1EEF">
      <w:pPr>
        <w:pStyle w:val="JuPara"/>
      </w:pPr>
      <w:r w:rsidRPr="00FF31D2">
        <w:fldChar w:fldCharType="begin"/>
      </w:r>
      <w:r w:rsidRPr="00FF31D2">
        <w:instrText xml:space="preserve"> SEQ level0 \*arabic </w:instrText>
      </w:r>
      <w:r w:rsidRPr="00FF31D2">
        <w:fldChar w:fldCharType="separate"/>
      </w:r>
      <w:r w:rsidRPr="00FF31D2" w:rsidR="00FF31D2">
        <w:rPr>
          <w:noProof/>
        </w:rPr>
        <w:t>34</w:t>
      </w:r>
      <w:r w:rsidRPr="00FF31D2">
        <w:fldChar w:fldCharType="end"/>
      </w:r>
      <w:bookmarkEnd w:id="30"/>
      <w:r w:rsidRPr="00FF31D2">
        <w:t xml:space="preserve">.  The applicant company argued that the failure to forward to it the replies that the Competition Council had submitted during the judicial-review proceedings had resulted in those proceedings being unfair. Such an omission on the part of the State Court was also contrary to the domestic law – namely sections 10, 274 and 276 of the 2004 Civil Procedure Act (see paragraph </w:t>
      </w:r>
      <w:r w:rsidRPr="00FF31D2">
        <w:fldChar w:fldCharType="begin"/>
      </w:r>
      <w:r w:rsidRPr="00FF31D2">
        <w:instrText xml:space="preserve"> REF p24 \h </w:instrText>
      </w:r>
      <w:r w:rsidRPr="00FF31D2">
        <w:fldChar w:fldCharType="separate"/>
      </w:r>
      <w:r w:rsidRPr="00FF31D2" w:rsidR="00FF31D2">
        <w:rPr>
          <w:noProof/>
        </w:rPr>
        <w:t>24</w:t>
      </w:r>
      <w:r w:rsidRPr="00FF31D2">
        <w:fldChar w:fldCharType="end"/>
      </w:r>
      <w:r w:rsidRPr="00FF31D2">
        <w:t xml:space="preserve"> above), which were applicable under section 60(a) of the 2002 Administrative Disputes Act (see paragraph </w:t>
      </w:r>
      <w:r w:rsidRPr="00FF31D2">
        <w:fldChar w:fldCharType="begin"/>
      </w:r>
      <w:r w:rsidRPr="00FF31D2">
        <w:instrText xml:space="preserve"> REF p23 \h </w:instrText>
      </w:r>
      <w:r w:rsidRPr="00FF31D2">
        <w:fldChar w:fldCharType="separate"/>
      </w:r>
      <w:r w:rsidRPr="00FF31D2" w:rsidR="00FF31D2">
        <w:rPr>
          <w:noProof/>
        </w:rPr>
        <w:t>23</w:t>
      </w:r>
      <w:r w:rsidRPr="00FF31D2">
        <w:fldChar w:fldCharType="end"/>
      </w:r>
      <w:r w:rsidRPr="00FF31D2">
        <w:t> above). The applicant company furthermore argued that large parts of both judgments of the State Court had simply been transcribed word-for-word from whole sections of the replies submitted by the Competition Council. Some of those parts had contained new allegations – particularly with regard to the relevant geographical market. The judgments of the State Court had “supplemented, clarified, specified and made concrete” the otherwise deficient reasoning of the Competition Council in respect of the definition of the relevant market.</w:t>
      </w:r>
    </w:p>
    <w:p w:rsidRPr="00FF31D2" w:rsidR="004C1EEF" w:rsidP="00FF31D2" w:rsidRDefault="004C1EEF">
      <w:pPr>
        <w:pStyle w:val="JuPara"/>
      </w:pPr>
      <w:r w:rsidRPr="00FF31D2">
        <w:fldChar w:fldCharType="begin"/>
      </w:r>
      <w:r w:rsidRPr="00FF31D2">
        <w:instrText xml:space="preserve"> SEQ level0 \*arabic </w:instrText>
      </w:r>
      <w:r w:rsidRPr="00FF31D2">
        <w:fldChar w:fldCharType="separate"/>
      </w:r>
      <w:r w:rsidRPr="00FF31D2" w:rsidR="00FF31D2">
        <w:rPr>
          <w:noProof/>
        </w:rPr>
        <w:t>35</w:t>
      </w:r>
      <w:r w:rsidRPr="00FF31D2">
        <w:fldChar w:fldCharType="end"/>
      </w:r>
      <w:r w:rsidRPr="00FF31D2">
        <w:t>.  The Government contested the assertion of the applicant company that the failure to forward to it the replies submitted by the Competition Council had been contrary to domestic law, arguing that that administrative judicial-review proceedings and civil procedures were distinct, and that even though parties</w:t>
      </w:r>
      <w:r w:rsidRPr="00FF31D2" w:rsidR="00FF31D2">
        <w:t>’</w:t>
      </w:r>
      <w:r w:rsidRPr="00FF31D2">
        <w:t xml:space="preserve"> rights under Article 6 of the Convention were protected under both kinds of proceedings, those proceedings were not conducted under identical rules and in the same manner. Moreover, the Government argued that the replies had not contained any new factual or legal arguments, and that the alleged “transcriptions” noted by the applicant company (see paragraph </w:t>
      </w:r>
      <w:r w:rsidRPr="00FF31D2">
        <w:fldChar w:fldCharType="begin"/>
      </w:r>
      <w:r w:rsidRPr="00FF31D2">
        <w:instrText xml:space="preserve"> REF p34 \h </w:instrText>
      </w:r>
      <w:r w:rsidRPr="00FF31D2">
        <w:fldChar w:fldCharType="separate"/>
      </w:r>
      <w:r w:rsidRPr="00FF31D2" w:rsidR="00FF31D2">
        <w:rPr>
          <w:noProof/>
        </w:rPr>
        <w:t>34</w:t>
      </w:r>
      <w:r w:rsidRPr="00FF31D2">
        <w:fldChar w:fldCharType="end"/>
      </w:r>
      <w:r w:rsidRPr="00FF31D2">
        <w:t> above) could not constitute such arguments. Lastly, they submitted that if the applicant company had wished and had considered it necessary it could have at any time requested access to the case file and taken a copy of the opposite party</w:t>
      </w:r>
      <w:r w:rsidRPr="00FF31D2" w:rsidR="00FF31D2">
        <w:t>’</w:t>
      </w:r>
      <w:r w:rsidRPr="00FF31D2">
        <w:t>s submissions and submitted comments on them.</w:t>
      </w:r>
    </w:p>
    <w:p w:rsidRPr="00FF31D2" w:rsidR="004C1EEF" w:rsidP="00FF31D2" w:rsidRDefault="004C1EEF">
      <w:pPr>
        <w:pStyle w:val="JuPara"/>
      </w:pPr>
      <w:r w:rsidRPr="00FF31D2">
        <w:fldChar w:fldCharType="begin"/>
      </w:r>
      <w:r w:rsidRPr="00FF31D2">
        <w:instrText xml:space="preserve"> SEQ level0 \*arabic </w:instrText>
      </w:r>
      <w:r w:rsidRPr="00FF31D2">
        <w:fldChar w:fldCharType="separate"/>
      </w:r>
      <w:r w:rsidRPr="00FF31D2" w:rsidR="00FF31D2">
        <w:rPr>
          <w:noProof/>
        </w:rPr>
        <w:t>36</w:t>
      </w:r>
      <w:r w:rsidRPr="00FF31D2">
        <w:fldChar w:fldCharType="end"/>
      </w:r>
      <w:r w:rsidRPr="00FF31D2">
        <w:t xml:space="preserve">.  In accordance with the principle of equality of arms, as one of the features of the wider concept of a fair trial, each party must be afforded a reasonable opportunity to present his case under conditions that do not place him at a disadvantage </w:t>
      </w:r>
      <w:r w:rsidRPr="00FF31D2">
        <w:rPr>
          <w:i/>
        </w:rPr>
        <w:t>vis-à-vis</w:t>
      </w:r>
      <w:r w:rsidRPr="00FF31D2">
        <w:t xml:space="preserve"> his opponent. In this context, importance is attached to appearances as well as to the increased sensitivity to the fair administration of justice (see, among other authorities,</w:t>
      </w:r>
      <w:r w:rsidRPr="00FF31D2">
        <w:rPr>
          <w:i/>
        </w:rPr>
        <w:t xml:space="preserve"> Öcalan v. Turkey</w:t>
      </w:r>
      <w:r w:rsidRPr="00FF31D2">
        <w:t xml:space="preserve"> [GC], no. 46221/99, § 140, ECHR 2005</w:t>
      </w:r>
      <w:r w:rsidRPr="00FF31D2">
        <w:rPr>
          <w:rFonts w:hint="eastAsia"/>
        </w:rPr>
        <w:t>‑</w:t>
      </w:r>
      <w:r w:rsidRPr="00FF31D2">
        <w:t xml:space="preserve">IV; see also </w:t>
      </w:r>
      <w:r w:rsidRPr="00FF31D2">
        <w:rPr>
          <w:i/>
        </w:rPr>
        <w:t>Bulut v. Austria</w:t>
      </w:r>
      <w:r w:rsidRPr="00FF31D2">
        <w:t>, 22</w:t>
      </w:r>
      <w:r w:rsidRPr="00FF31D2" w:rsidR="0097610D">
        <w:t> </w:t>
      </w:r>
      <w:r w:rsidRPr="00FF31D2">
        <w:t xml:space="preserve">February 1996, </w:t>
      </w:r>
      <w:r w:rsidRPr="00FF31D2">
        <w:rPr>
          <w:i/>
        </w:rPr>
        <w:t>Reports of Judgments and Decisions</w:t>
      </w:r>
      <w:r w:rsidRPr="00FF31D2">
        <w:t xml:space="preserve"> 1996-II, p. 359, § 47, and </w:t>
      </w:r>
      <w:r w:rsidRPr="00FF31D2">
        <w:rPr>
          <w:i/>
        </w:rPr>
        <w:t>Moiseyev v. Russia</w:t>
      </w:r>
      <w:r w:rsidRPr="00FF31D2">
        <w:t>, no. 62936/00, § 203, 9 October 2008).</w:t>
      </w:r>
    </w:p>
    <w:p w:rsidRPr="00FF31D2" w:rsidR="004C1EEF" w:rsidP="00FF31D2" w:rsidRDefault="004C1EEF">
      <w:pPr>
        <w:pStyle w:val="JuPara"/>
      </w:pPr>
      <w:r w:rsidRPr="00FF31D2">
        <w:fldChar w:fldCharType="begin"/>
      </w:r>
      <w:r w:rsidRPr="00FF31D2">
        <w:instrText xml:space="preserve"> SEQ level0 \*arabic </w:instrText>
      </w:r>
      <w:r w:rsidRPr="00FF31D2">
        <w:fldChar w:fldCharType="separate"/>
      </w:r>
      <w:r w:rsidRPr="00FF31D2" w:rsidR="00FF31D2">
        <w:rPr>
          <w:noProof/>
        </w:rPr>
        <w:t>37</w:t>
      </w:r>
      <w:r w:rsidRPr="00FF31D2">
        <w:fldChar w:fldCharType="end"/>
      </w:r>
      <w:r w:rsidRPr="00FF31D2">
        <w:t xml:space="preserve">.  The right to an adversarial trial means, in a criminal case, that both prosecution and defence must be given the opportunity to have knowledge of and comment on the observations filed and the evidence adduced by the other party. Various ways are conceivable in which national law may meet this requirement. However, whatever method is chosen, it should ensure that the other party will be aware that observations have been filed and will have a real opportunity to comment on them (see </w:t>
      </w:r>
      <w:r w:rsidRPr="00FF31D2">
        <w:rPr>
          <w:i/>
          <w:iCs/>
        </w:rPr>
        <w:t xml:space="preserve">Murtazaliyeva v. Russia </w:t>
      </w:r>
      <w:r w:rsidRPr="00FF31D2">
        <w:t xml:space="preserve">[GC], no. 36658/05, § 91, 18 December 2018; see also, </w:t>
      </w:r>
      <w:r w:rsidRPr="00FF31D2">
        <w:rPr>
          <w:i/>
        </w:rPr>
        <w:t>Zahirović v. Croatia</w:t>
      </w:r>
      <w:r w:rsidRPr="00FF31D2">
        <w:t>, no.</w:t>
      </w:r>
      <w:r w:rsidRPr="00FF31D2" w:rsidR="0097610D">
        <w:t> </w:t>
      </w:r>
      <w:r w:rsidRPr="00FF31D2">
        <w:t>58590/11, § 42, 25 April 2013).</w:t>
      </w:r>
    </w:p>
    <w:p w:rsidRPr="00FF31D2" w:rsidR="004C1EEF" w:rsidP="00FF31D2" w:rsidRDefault="004C1EEF">
      <w:pPr>
        <w:pStyle w:val="JuPara"/>
      </w:pPr>
      <w:r w:rsidRPr="00FF31D2">
        <w:fldChar w:fldCharType="begin"/>
      </w:r>
      <w:r w:rsidRPr="00FF31D2">
        <w:instrText xml:space="preserve"> SEQ level0 \*arabic </w:instrText>
      </w:r>
      <w:r w:rsidRPr="00FF31D2">
        <w:fldChar w:fldCharType="separate"/>
      </w:r>
      <w:r w:rsidRPr="00FF31D2" w:rsidR="00FF31D2">
        <w:rPr>
          <w:noProof/>
        </w:rPr>
        <w:t>38</w:t>
      </w:r>
      <w:r w:rsidRPr="00FF31D2">
        <w:fldChar w:fldCharType="end"/>
      </w:r>
      <w:r w:rsidRPr="00FF31D2">
        <w:t>.  </w:t>
      </w:r>
      <w:r w:rsidRPr="00FF31D2">
        <w:rPr>
          <w:rFonts w:eastAsia="Times New Roman"/>
        </w:rPr>
        <w:t>Turning to the present case, the Court firstly notes that on 3 October 2013 and on 5 January 2016 the Competition Council, being the defendant in the administrative judicial-review proceedings at issue, submitted replies to the applicant company</w:t>
      </w:r>
      <w:r w:rsidRPr="00FF31D2" w:rsidR="00FF31D2">
        <w:rPr>
          <w:rFonts w:eastAsia="Times New Roman"/>
        </w:rPr>
        <w:t>’</w:t>
      </w:r>
      <w:r w:rsidRPr="00FF31D2">
        <w:rPr>
          <w:rFonts w:eastAsia="Times New Roman"/>
        </w:rPr>
        <w:t>s administrative action and its application for the reconsideration of the State Court</w:t>
      </w:r>
      <w:r w:rsidRPr="00FF31D2" w:rsidR="00FF31D2">
        <w:rPr>
          <w:rFonts w:eastAsia="Times New Roman"/>
        </w:rPr>
        <w:t>’</w:t>
      </w:r>
      <w:r w:rsidRPr="00FF31D2">
        <w:rPr>
          <w:rFonts w:eastAsia="Times New Roman"/>
        </w:rPr>
        <w:t xml:space="preserve">s judgment of 16 November 2015. Those replies requested that the action be dismissed and the application for reconsideration be rejected. They also contained submissions on the substantive issues raised by the case (see paragraphs </w:t>
      </w:r>
      <w:r w:rsidRPr="00FF31D2">
        <w:rPr>
          <w:rFonts w:eastAsia="Times New Roman"/>
        </w:rPr>
        <w:fldChar w:fldCharType="begin"/>
      </w:r>
      <w:r w:rsidRPr="00FF31D2">
        <w:rPr>
          <w:rFonts w:eastAsia="Times New Roman"/>
        </w:rPr>
        <w:instrText xml:space="preserve"> REF para13 \h  \* MERGEFORMAT </w:instrText>
      </w:r>
      <w:r w:rsidRPr="00FF31D2">
        <w:rPr>
          <w:rFonts w:eastAsia="Times New Roman"/>
        </w:rPr>
      </w:r>
      <w:r w:rsidRPr="00FF31D2">
        <w:rPr>
          <w:rFonts w:eastAsia="Times New Roman"/>
        </w:rPr>
        <w:fldChar w:fldCharType="separate"/>
      </w:r>
      <w:r w:rsidRPr="00FF31D2" w:rsidR="00FF31D2">
        <w:rPr>
          <w:rFonts w:eastAsia="Times New Roman"/>
        </w:rPr>
        <w:t>14</w:t>
      </w:r>
      <w:r w:rsidRPr="00FF31D2">
        <w:rPr>
          <w:rFonts w:eastAsia="Times New Roman"/>
        </w:rPr>
        <w:fldChar w:fldCharType="end"/>
      </w:r>
      <w:r w:rsidRPr="00FF31D2">
        <w:rPr>
          <w:rFonts w:eastAsia="Times New Roman"/>
        </w:rPr>
        <w:t xml:space="preserve"> and </w:t>
      </w:r>
      <w:r w:rsidRPr="00FF31D2">
        <w:rPr>
          <w:rFonts w:eastAsia="Times New Roman"/>
        </w:rPr>
        <w:fldChar w:fldCharType="begin"/>
      </w:r>
      <w:r w:rsidRPr="00FF31D2">
        <w:rPr>
          <w:rFonts w:eastAsia="Times New Roman"/>
        </w:rPr>
        <w:instrText xml:space="preserve"> REF para17 \h  \* MERGEFORMAT </w:instrText>
      </w:r>
      <w:r w:rsidRPr="00FF31D2">
        <w:rPr>
          <w:rFonts w:eastAsia="Times New Roman"/>
        </w:rPr>
      </w:r>
      <w:r w:rsidRPr="00FF31D2">
        <w:rPr>
          <w:rFonts w:eastAsia="Times New Roman"/>
        </w:rPr>
        <w:fldChar w:fldCharType="separate"/>
      </w:r>
      <w:r w:rsidRPr="00FF31D2" w:rsidR="00FF31D2">
        <w:rPr>
          <w:rFonts w:eastAsia="Times New Roman"/>
        </w:rPr>
        <w:t>18</w:t>
      </w:r>
      <w:r w:rsidRPr="00FF31D2">
        <w:rPr>
          <w:rFonts w:eastAsia="Times New Roman"/>
        </w:rPr>
        <w:fldChar w:fldCharType="end"/>
      </w:r>
      <w:r w:rsidRPr="00FF31D2">
        <w:rPr>
          <w:rFonts w:eastAsia="Times New Roman"/>
        </w:rPr>
        <w:t xml:space="preserve"> above). It is not contested that those replies were not forwarded to the applicant company and that it therefore had no opportunity to comment on them.</w:t>
      </w:r>
    </w:p>
    <w:p w:rsidRPr="00FF31D2" w:rsidR="004C1EEF" w:rsidP="00FF31D2" w:rsidRDefault="004C1EEF">
      <w:pPr>
        <w:pStyle w:val="JuPara"/>
        <w:rPr>
          <w:rFonts w:eastAsia="Times New Roman"/>
        </w:rPr>
      </w:pPr>
      <w:r w:rsidRPr="00FF31D2">
        <w:rPr>
          <w:rFonts w:eastAsia="Times New Roman"/>
        </w:rPr>
        <w:fldChar w:fldCharType="begin"/>
      </w:r>
      <w:r w:rsidRPr="00FF31D2">
        <w:rPr>
          <w:rFonts w:eastAsia="Times New Roman"/>
        </w:rPr>
        <w:instrText xml:space="preserve"> SEQ level0 \*arabic </w:instrText>
      </w:r>
      <w:r w:rsidRPr="00FF31D2">
        <w:rPr>
          <w:rFonts w:eastAsia="Times New Roman"/>
        </w:rPr>
        <w:fldChar w:fldCharType="separate"/>
      </w:r>
      <w:r w:rsidRPr="00FF31D2" w:rsidR="00FF31D2">
        <w:rPr>
          <w:rFonts w:eastAsia="Times New Roman"/>
          <w:noProof/>
        </w:rPr>
        <w:t>39</w:t>
      </w:r>
      <w:r w:rsidRPr="00FF31D2">
        <w:rPr>
          <w:rFonts w:eastAsia="Times New Roman"/>
        </w:rPr>
        <w:fldChar w:fldCharType="end"/>
      </w:r>
      <w:r w:rsidRPr="00FF31D2">
        <w:rPr>
          <w:rFonts w:eastAsia="Times New Roman"/>
        </w:rPr>
        <w:t xml:space="preserve">.  The Court furthermore notes that there is a dispute between the parties as to whether that omission on the part of the State Court was in accordance with the domestic law. In this regard the Court reiterates that its task is not normally to review the relevant law and practice </w:t>
      </w:r>
      <w:r w:rsidRPr="00FF31D2">
        <w:rPr>
          <w:rFonts w:eastAsia="Times New Roman"/>
          <w:i/>
        </w:rPr>
        <w:t>in abstracto</w:t>
      </w:r>
      <w:r w:rsidRPr="00FF31D2">
        <w:rPr>
          <w:rFonts w:eastAsia="Times New Roman"/>
        </w:rPr>
        <w:t xml:space="preserve">, but to determine whether the manner in which they were applied to, or affected, the applicant gave rise to a violation of the Convention (see, among other authorities, </w:t>
      </w:r>
      <w:r w:rsidRPr="00FF31D2">
        <w:rPr>
          <w:rFonts w:eastAsia="Times New Roman"/>
          <w:i/>
        </w:rPr>
        <w:t>Roman Zakharov</w:t>
      </w:r>
      <w:r w:rsidRPr="00FF31D2">
        <w:rPr>
          <w:rFonts w:eastAsia="Times New Roman"/>
        </w:rPr>
        <w:t xml:space="preserve"> </w:t>
      </w:r>
      <w:r w:rsidRPr="00FF31D2">
        <w:rPr>
          <w:rFonts w:eastAsia="Times New Roman"/>
          <w:i/>
        </w:rPr>
        <w:t>v. Russia</w:t>
      </w:r>
      <w:r w:rsidRPr="00FF31D2">
        <w:rPr>
          <w:rFonts w:eastAsia="Times New Roman"/>
        </w:rPr>
        <w:t xml:space="preserve"> [GC], no. 47143/06, § 164, ECHR 2015, and </w:t>
      </w:r>
      <w:r w:rsidRPr="00FF31D2">
        <w:rPr>
          <w:rFonts w:eastAsia="Times New Roman"/>
          <w:i/>
        </w:rPr>
        <w:t>N.C. v. Italy</w:t>
      </w:r>
      <w:r w:rsidRPr="00FF31D2">
        <w:rPr>
          <w:rFonts w:eastAsia="Times New Roman"/>
        </w:rPr>
        <w:t xml:space="preserve"> [GC], no. 24952/94, § 56, ECHR 2002</w:t>
      </w:r>
      <w:r w:rsidRPr="00FF31D2">
        <w:rPr>
          <w:rFonts w:eastAsia="Times New Roman"/>
        </w:rPr>
        <w:noBreakHyphen/>
        <w:t>X). In other words, it will seek to ascertain whether, in the light of the relevant case-law under Article 6 of the Convention, the State Court ought to have given an opportunity to the applicant company to acquaint itself with and to comment on the replies submitted by the Competition Council.</w:t>
      </w:r>
    </w:p>
    <w:p w:rsidRPr="00FF31D2" w:rsidR="004C1EEF" w:rsidP="00FF31D2" w:rsidRDefault="004C1EEF">
      <w:pPr>
        <w:pStyle w:val="JuPara"/>
      </w:pPr>
      <w:r w:rsidRPr="00FF31D2">
        <w:rPr>
          <w:rFonts w:eastAsia="Times New Roman"/>
        </w:rPr>
        <w:fldChar w:fldCharType="begin"/>
      </w:r>
      <w:r w:rsidRPr="00FF31D2">
        <w:rPr>
          <w:rFonts w:eastAsia="Times New Roman"/>
        </w:rPr>
        <w:instrText xml:space="preserve"> SEQ level0 \*arabic </w:instrText>
      </w:r>
      <w:r w:rsidRPr="00FF31D2">
        <w:rPr>
          <w:rFonts w:eastAsia="Times New Roman"/>
        </w:rPr>
        <w:fldChar w:fldCharType="separate"/>
      </w:r>
      <w:r w:rsidRPr="00FF31D2" w:rsidR="00FF31D2">
        <w:rPr>
          <w:rFonts w:eastAsia="Times New Roman"/>
          <w:noProof/>
        </w:rPr>
        <w:t>40</w:t>
      </w:r>
      <w:r w:rsidRPr="00FF31D2">
        <w:rPr>
          <w:rFonts w:eastAsia="Times New Roman"/>
        </w:rPr>
        <w:fldChar w:fldCharType="end"/>
      </w:r>
      <w:r w:rsidRPr="00FF31D2">
        <w:rPr>
          <w:rFonts w:eastAsia="Times New Roman"/>
        </w:rPr>
        <w:t xml:space="preserve">.  The Court has repeatedly held that in such a situation the effect that the observations actually had on the judgment is of little consequence (see </w:t>
      </w:r>
      <w:r w:rsidRPr="00FF31D2">
        <w:rPr>
          <w:rFonts w:eastAsia="Times New Roman"/>
          <w:i/>
          <w:iCs/>
        </w:rPr>
        <w:t>Steck-Risch and Others v. Liechtenstein</w:t>
      </w:r>
      <w:r w:rsidRPr="00FF31D2">
        <w:rPr>
          <w:rFonts w:eastAsia="Times New Roman"/>
        </w:rPr>
        <w:t xml:space="preserve">, no. 63151/00, § 57, 19 May 2005) because it is for the parties to a dispute to state whether or not a document calls for their comments (see </w:t>
      </w:r>
      <w:r w:rsidRPr="00FF31D2">
        <w:rPr>
          <w:rFonts w:eastAsia="Times New Roman"/>
          <w:i/>
          <w:iCs/>
        </w:rPr>
        <w:t>Ziegler v. Switzerland</w:t>
      </w:r>
      <w:r w:rsidRPr="00FF31D2">
        <w:rPr>
          <w:rFonts w:eastAsia="Times New Roman"/>
        </w:rPr>
        <w:t>, no. 33499/96, § 38, 21</w:t>
      </w:r>
      <w:r w:rsidRPr="00FF31D2" w:rsidR="0097610D">
        <w:rPr>
          <w:rFonts w:eastAsia="Times New Roman"/>
        </w:rPr>
        <w:t> </w:t>
      </w:r>
      <w:r w:rsidRPr="00FF31D2">
        <w:rPr>
          <w:rFonts w:eastAsia="Times New Roman"/>
        </w:rPr>
        <w:t xml:space="preserve">February 2002; </w:t>
      </w:r>
      <w:r w:rsidRPr="00FF31D2">
        <w:rPr>
          <w:i/>
        </w:rPr>
        <w:t>Zahirović</w:t>
      </w:r>
      <w:r w:rsidRPr="00FF31D2">
        <w:rPr>
          <w:iCs/>
        </w:rPr>
        <w:t>, cited above, § 43</w:t>
      </w:r>
      <w:r w:rsidRPr="00FF31D2">
        <w:rPr>
          <w:rFonts w:eastAsia="Times New Roman"/>
        </w:rPr>
        <w:t>). What is particularly at stake here is the litigants</w:t>
      </w:r>
      <w:r w:rsidRPr="00FF31D2" w:rsidR="00FF31D2">
        <w:rPr>
          <w:rFonts w:eastAsia="Times New Roman"/>
        </w:rPr>
        <w:t>’</w:t>
      </w:r>
      <w:r w:rsidRPr="00FF31D2">
        <w:rPr>
          <w:rFonts w:eastAsia="Times New Roman"/>
        </w:rPr>
        <w:t xml:space="preserve"> confidence in the workings of justice, which is based on, </w:t>
      </w:r>
      <w:r w:rsidRPr="00FF31D2">
        <w:rPr>
          <w:rFonts w:eastAsia="Times New Roman"/>
          <w:i/>
          <w:iCs/>
        </w:rPr>
        <w:t>inter alia</w:t>
      </w:r>
      <w:r w:rsidRPr="00FF31D2">
        <w:rPr>
          <w:rFonts w:eastAsia="Times New Roman"/>
        </w:rPr>
        <w:t xml:space="preserve">, the knowledge that they have had the opportunity to express their views on every document in the file (see, for example, </w:t>
      </w:r>
      <w:r w:rsidRPr="00FF31D2">
        <w:rPr>
          <w:rFonts w:eastAsia="Times New Roman"/>
          <w:i/>
          <w:iCs/>
        </w:rPr>
        <w:t>Ziegler</w:t>
      </w:r>
      <w:r w:rsidRPr="00FF31D2">
        <w:rPr>
          <w:rFonts w:eastAsia="Times New Roman"/>
        </w:rPr>
        <w:t>, cited above). Regarding the Government</w:t>
      </w:r>
      <w:r w:rsidRPr="00FF31D2" w:rsidR="00FF31D2">
        <w:rPr>
          <w:rFonts w:eastAsia="Times New Roman"/>
        </w:rPr>
        <w:t>’</w:t>
      </w:r>
      <w:r w:rsidRPr="00FF31D2">
        <w:rPr>
          <w:rFonts w:eastAsia="Times New Roman"/>
        </w:rPr>
        <w:t>s argument that the applicant company could have requested access to the case file and thus have taken note of the opposite party</w:t>
      </w:r>
      <w:r w:rsidRPr="00FF31D2" w:rsidR="00FF31D2">
        <w:rPr>
          <w:rFonts w:eastAsia="Times New Roman"/>
        </w:rPr>
        <w:t>’</w:t>
      </w:r>
      <w:r w:rsidRPr="00FF31D2">
        <w:rPr>
          <w:rFonts w:eastAsia="Times New Roman"/>
        </w:rPr>
        <w:t xml:space="preserve">s argument, the Court observes that the </w:t>
      </w:r>
      <w:r w:rsidRPr="00FF31D2">
        <w:t>onus was on the State Court to afford the applicant company an opportunity to comment on the Competition Council</w:t>
      </w:r>
      <w:r w:rsidRPr="00FF31D2" w:rsidR="00FF31D2">
        <w:t>’</w:t>
      </w:r>
      <w:r w:rsidRPr="00FF31D2">
        <w:t>s submissions (</w:t>
      </w:r>
      <w:r w:rsidRPr="00FF31D2">
        <w:rPr>
          <w:i/>
        </w:rPr>
        <w:t>Zahirović</w:t>
      </w:r>
      <w:r w:rsidRPr="00FF31D2">
        <w:rPr>
          <w:iCs/>
        </w:rPr>
        <w:t>, cited above, § 48, with further references).</w:t>
      </w:r>
    </w:p>
    <w:p w:rsidRPr="00FF31D2" w:rsidR="004C1EEF" w:rsidP="00FF31D2" w:rsidRDefault="004C1EEF">
      <w:pPr>
        <w:pStyle w:val="JuPara"/>
        <w:rPr>
          <w:rFonts w:eastAsia="Times New Roman"/>
        </w:rPr>
      </w:pPr>
      <w:r w:rsidRPr="00FF31D2">
        <w:rPr>
          <w:rFonts w:eastAsia="Times New Roman"/>
        </w:rPr>
        <w:fldChar w:fldCharType="begin"/>
      </w:r>
      <w:r w:rsidRPr="00FF31D2">
        <w:rPr>
          <w:rFonts w:eastAsia="Times New Roman"/>
        </w:rPr>
        <w:instrText xml:space="preserve"> SEQ level0 \*arabic </w:instrText>
      </w:r>
      <w:r w:rsidRPr="00FF31D2">
        <w:rPr>
          <w:rFonts w:eastAsia="Times New Roman"/>
        </w:rPr>
        <w:fldChar w:fldCharType="separate"/>
      </w:r>
      <w:r w:rsidRPr="00FF31D2" w:rsidR="00FF31D2">
        <w:rPr>
          <w:rFonts w:eastAsia="Times New Roman"/>
          <w:noProof/>
        </w:rPr>
        <w:t>41</w:t>
      </w:r>
      <w:r w:rsidRPr="00FF31D2">
        <w:rPr>
          <w:rFonts w:eastAsia="Times New Roman"/>
        </w:rPr>
        <w:fldChar w:fldCharType="end"/>
      </w:r>
      <w:r w:rsidRPr="00FF31D2">
        <w:rPr>
          <w:rFonts w:eastAsia="Times New Roman"/>
        </w:rPr>
        <w:t>.  It follows that in the present case, respect for the right to a fair hearing, guaranteed by Article 6 § 1 of the Convention, required that the applicant company be given an opportunity to have knowledge of and to comment on the reply submitted by the opposing party (see </w:t>
      </w:r>
      <w:r w:rsidRPr="00FF31D2">
        <w:rPr>
          <w:rFonts w:eastAsia="Times New Roman"/>
          <w:i/>
          <w:iCs/>
        </w:rPr>
        <w:t>Steck-Risch and</w:t>
      </w:r>
      <w:r w:rsidRPr="00FF31D2" w:rsidR="00FF31D2">
        <w:rPr>
          <w:rFonts w:eastAsia="Times New Roman"/>
          <w:i/>
          <w:iCs/>
        </w:rPr>
        <w:t> </w:t>
      </w:r>
      <w:r w:rsidRPr="00FF31D2">
        <w:rPr>
          <w:rFonts w:eastAsia="Times New Roman"/>
          <w:i/>
          <w:iCs/>
        </w:rPr>
        <w:t>Others</w:t>
      </w:r>
      <w:r w:rsidRPr="00FF31D2">
        <w:rPr>
          <w:rFonts w:eastAsia="Times New Roman"/>
        </w:rPr>
        <w:t xml:space="preserve">, cited above, § 58; </w:t>
      </w:r>
      <w:r w:rsidRPr="00FF31D2">
        <w:rPr>
          <w:i/>
        </w:rPr>
        <w:t>Zahirović</w:t>
      </w:r>
      <w:r w:rsidRPr="00FF31D2">
        <w:rPr>
          <w:iCs/>
        </w:rPr>
        <w:t>, cited above, § 49</w:t>
      </w:r>
      <w:r w:rsidRPr="00FF31D2">
        <w:rPr>
          <w:rFonts w:eastAsia="Times New Roman"/>
        </w:rPr>
        <w:t>). However, the applicant company was not afforded this opportunity.</w:t>
      </w:r>
    </w:p>
    <w:p w:rsidRPr="00FF31D2" w:rsidR="004C1EEF" w:rsidP="00FF31D2" w:rsidRDefault="004C1EEF">
      <w:pPr>
        <w:pStyle w:val="JuPara"/>
        <w:rPr>
          <w:rFonts w:eastAsia="Times New Roman"/>
        </w:rPr>
      </w:pPr>
      <w:r w:rsidRPr="00FF31D2">
        <w:rPr>
          <w:rFonts w:eastAsia="Times New Roman"/>
        </w:rPr>
        <w:fldChar w:fldCharType="begin"/>
      </w:r>
      <w:r w:rsidRPr="00FF31D2">
        <w:rPr>
          <w:rFonts w:eastAsia="Times New Roman"/>
        </w:rPr>
        <w:instrText xml:space="preserve"> SEQ level0 \*arabic </w:instrText>
      </w:r>
      <w:r w:rsidRPr="00FF31D2">
        <w:rPr>
          <w:rFonts w:eastAsia="Times New Roman"/>
        </w:rPr>
        <w:fldChar w:fldCharType="separate"/>
      </w:r>
      <w:r w:rsidRPr="00FF31D2" w:rsidR="00FF31D2">
        <w:rPr>
          <w:rFonts w:eastAsia="Times New Roman"/>
          <w:noProof/>
        </w:rPr>
        <w:t>42</w:t>
      </w:r>
      <w:r w:rsidRPr="00FF31D2">
        <w:rPr>
          <w:rFonts w:eastAsia="Times New Roman"/>
        </w:rPr>
        <w:fldChar w:fldCharType="end"/>
      </w:r>
      <w:r w:rsidRPr="00FF31D2">
        <w:rPr>
          <w:rFonts w:eastAsia="Times New Roman"/>
        </w:rPr>
        <w:t>.  The Court has frequently found violations of Article 6 § 1 of the Convention in cases raising issues similar to the one in the present case (see, for example,</w:t>
      </w:r>
      <w:r w:rsidRPr="00FF31D2">
        <w:rPr>
          <w:rFonts w:eastAsia="Times New Roman"/>
          <w:i/>
          <w:iCs/>
        </w:rPr>
        <w:t xml:space="preserve"> Bartenbach v. Austria</w:t>
      </w:r>
      <w:r w:rsidRPr="00FF31D2">
        <w:rPr>
          <w:rFonts w:eastAsia="Times New Roman"/>
        </w:rPr>
        <w:t xml:space="preserve">, no. 39120/03, §§ 32-34, 20 March 2008, and </w:t>
      </w:r>
      <w:r w:rsidRPr="00FF31D2">
        <w:rPr>
          <w:i/>
        </w:rPr>
        <w:t>Zahirović</w:t>
      </w:r>
      <w:r w:rsidRPr="00FF31D2">
        <w:rPr>
          <w:iCs/>
        </w:rPr>
        <w:t>, cited above, §§ 44-50</w:t>
      </w:r>
      <w:r w:rsidRPr="00FF31D2">
        <w:rPr>
          <w:rFonts w:eastAsia="Times New Roman"/>
        </w:rPr>
        <w:t>).</w:t>
      </w:r>
      <w:r w:rsidRPr="00FF31D2">
        <w:rPr>
          <w:rFonts w:eastAsia="Times New Roman"/>
          <w:i/>
          <w:iCs/>
        </w:rPr>
        <w:t> </w:t>
      </w:r>
      <w:r w:rsidRPr="00FF31D2">
        <w:rPr>
          <w:rFonts w:eastAsia="Times New Roman"/>
        </w:rPr>
        <w:t>Having examined all the material submitted to it, the Court considers that the Government have not put forward any fact or argument capable of persuading it to reach a different conclusion in the present case.</w:t>
      </w:r>
    </w:p>
    <w:p w:rsidRPr="00FF31D2" w:rsidR="004C1EEF" w:rsidP="00FF31D2" w:rsidRDefault="004C1EEF">
      <w:pPr>
        <w:pStyle w:val="JuPara"/>
        <w:rPr>
          <w:rFonts w:eastAsia="Times New Roman"/>
        </w:rPr>
      </w:pPr>
      <w:r w:rsidRPr="00FF31D2">
        <w:rPr>
          <w:rFonts w:eastAsia="Times New Roman"/>
        </w:rPr>
        <w:fldChar w:fldCharType="begin"/>
      </w:r>
      <w:r w:rsidRPr="00FF31D2">
        <w:rPr>
          <w:rFonts w:eastAsia="Times New Roman"/>
        </w:rPr>
        <w:instrText xml:space="preserve"> SEQ level0 \*arabic </w:instrText>
      </w:r>
      <w:r w:rsidRPr="00FF31D2">
        <w:rPr>
          <w:rFonts w:eastAsia="Times New Roman"/>
        </w:rPr>
        <w:fldChar w:fldCharType="separate"/>
      </w:r>
      <w:r w:rsidRPr="00FF31D2" w:rsidR="00FF31D2">
        <w:rPr>
          <w:rFonts w:eastAsia="Times New Roman"/>
          <w:noProof/>
        </w:rPr>
        <w:t>43</w:t>
      </w:r>
      <w:r w:rsidRPr="00FF31D2">
        <w:rPr>
          <w:rFonts w:eastAsia="Times New Roman"/>
        </w:rPr>
        <w:fldChar w:fldCharType="end"/>
      </w:r>
      <w:r w:rsidRPr="00FF31D2">
        <w:rPr>
          <w:rFonts w:eastAsia="Times New Roman"/>
        </w:rPr>
        <w:t>.  There has accordingly been a violation of Article 6 § 1 of the Convention in the instant case on account of the breach of the principle of equality of arms.</w:t>
      </w:r>
    </w:p>
    <w:p w:rsidRPr="00FF31D2" w:rsidR="004C1EEF" w:rsidP="00FF31D2" w:rsidRDefault="004C1EEF">
      <w:pPr>
        <w:pStyle w:val="JuHIRoman"/>
      </w:pPr>
      <w:r w:rsidRPr="00FF31D2">
        <w:t>APPLICATION OF ARTICLE 41 OF THE CONVENTION</w:t>
      </w:r>
    </w:p>
    <w:p w:rsidRPr="00FF31D2" w:rsidR="004C1EEF" w:rsidP="00FF31D2" w:rsidRDefault="004C1EEF">
      <w:pPr>
        <w:pStyle w:val="JuPara"/>
        <w:keepNext/>
        <w:keepLines/>
      </w:pPr>
      <w:r w:rsidRPr="00FF31D2">
        <w:fldChar w:fldCharType="begin"/>
      </w:r>
      <w:r w:rsidRPr="00FF31D2">
        <w:instrText xml:space="preserve"> SEQ level0 \*arabic </w:instrText>
      </w:r>
      <w:r w:rsidRPr="00FF31D2">
        <w:fldChar w:fldCharType="separate"/>
      </w:r>
      <w:r w:rsidRPr="00FF31D2" w:rsidR="00FF31D2">
        <w:rPr>
          <w:noProof/>
        </w:rPr>
        <w:t>44</w:t>
      </w:r>
      <w:r w:rsidRPr="00FF31D2">
        <w:fldChar w:fldCharType="end"/>
      </w:r>
      <w:r w:rsidRPr="00FF31D2">
        <w:t>.  Article 41 of the Convention provides:</w:t>
      </w:r>
    </w:p>
    <w:p w:rsidRPr="00FF31D2" w:rsidR="004C1EEF" w:rsidP="00FF31D2" w:rsidRDefault="004C1EEF">
      <w:pPr>
        <w:pStyle w:val="JuQuot"/>
      </w:pPr>
      <w:r w:rsidRPr="00FF31D2">
        <w:t>“If the Court finds that there has been a violation of the Convention or the Protocols thereto, and if the internal law of the High Contracting Party concerned allows only partial reparation to be made, the Court shall, if necessary, afford just satisfaction to the injured party.”</w:t>
      </w:r>
    </w:p>
    <w:p w:rsidRPr="00FF31D2" w:rsidR="004C1EEF" w:rsidP="00FF31D2" w:rsidRDefault="004C1EEF">
      <w:pPr>
        <w:pStyle w:val="JuHA"/>
      </w:pPr>
      <w:bookmarkStart w:name="_Hlk75792460" w:id="31"/>
      <w:r w:rsidRPr="00FF31D2">
        <w:t>Damage</w:t>
      </w:r>
    </w:p>
    <w:p w:rsidRPr="00FF31D2" w:rsidR="004C1EEF" w:rsidP="00FF31D2" w:rsidRDefault="004C1EEF">
      <w:pPr>
        <w:pStyle w:val="JuPara"/>
        <w:keepNext/>
        <w:keepLines/>
        <w:rPr>
          <w:rFonts w:ascii="Times New Roman" w:hAnsi="Times New Roman" w:eastAsia="PMingLiU" w:cs="Times New Roman"/>
          <w:szCs w:val="22"/>
        </w:rPr>
      </w:pPr>
      <w:r w:rsidRPr="00FF31D2">
        <w:fldChar w:fldCharType="begin"/>
      </w:r>
      <w:r w:rsidRPr="00FF31D2">
        <w:instrText xml:space="preserve"> SEQ level0 \*arabic </w:instrText>
      </w:r>
      <w:r w:rsidRPr="00FF31D2">
        <w:fldChar w:fldCharType="separate"/>
      </w:r>
      <w:r w:rsidRPr="00FF31D2" w:rsidR="00FF31D2">
        <w:rPr>
          <w:noProof/>
        </w:rPr>
        <w:t>45</w:t>
      </w:r>
      <w:r w:rsidRPr="00FF31D2">
        <w:fldChar w:fldCharType="end"/>
      </w:r>
      <w:r w:rsidRPr="00FF31D2">
        <w:t xml:space="preserve">.  The </w:t>
      </w:r>
      <w:r w:rsidRPr="00FF31D2">
        <w:rPr>
          <w:rFonts w:ascii="Times New Roman" w:hAnsi="Times New Roman" w:eastAsia="PMingLiU" w:cs="Times New Roman"/>
          <w:szCs w:val="22"/>
        </w:rPr>
        <w:t>applicant company claimed 15,000 euros (EUR) in respect of non-pecuniary damage. In that respect the applicant company submitted, in particular, that members of its management team were under anxiety and stress due to domestic courts</w:t>
      </w:r>
      <w:r w:rsidRPr="00FF31D2" w:rsidR="00FF31D2">
        <w:rPr>
          <w:rFonts w:ascii="Times New Roman" w:hAnsi="Times New Roman" w:eastAsia="PMingLiU" w:cs="Times New Roman"/>
          <w:szCs w:val="22"/>
        </w:rPr>
        <w:t>’</w:t>
      </w:r>
      <w:r w:rsidRPr="00FF31D2">
        <w:rPr>
          <w:rFonts w:ascii="Times New Roman" w:hAnsi="Times New Roman" w:eastAsia="PMingLiU" w:cs="Times New Roman"/>
          <w:szCs w:val="22"/>
        </w:rPr>
        <w:t xml:space="preserve"> omission to present them with the impugned documents which were essential for the outcome of the case and that, as a result, the awarded fine was directly caused </w:t>
      </w:r>
      <w:r w:rsidRPr="00FF31D2" w:rsidR="00EA2FE7">
        <w:rPr>
          <w:rFonts w:ascii="Times New Roman" w:hAnsi="Times New Roman" w:eastAsia="PMingLiU" w:cs="Times New Roman"/>
          <w:szCs w:val="22"/>
        </w:rPr>
        <w:t xml:space="preserve">by </w:t>
      </w:r>
      <w:r w:rsidRPr="00FF31D2">
        <w:rPr>
          <w:rFonts w:ascii="Times New Roman" w:hAnsi="Times New Roman" w:eastAsia="PMingLiU" w:cs="Times New Roman"/>
          <w:szCs w:val="22"/>
        </w:rPr>
        <w:t>the domestic courts</w:t>
      </w:r>
      <w:r w:rsidRPr="00FF31D2" w:rsidR="00FF31D2">
        <w:rPr>
          <w:rFonts w:ascii="Times New Roman" w:hAnsi="Times New Roman" w:eastAsia="PMingLiU" w:cs="Times New Roman"/>
          <w:szCs w:val="22"/>
        </w:rPr>
        <w:t>’</w:t>
      </w:r>
      <w:r w:rsidRPr="00FF31D2">
        <w:rPr>
          <w:rFonts w:ascii="Times New Roman" w:hAnsi="Times New Roman" w:eastAsia="PMingLiU" w:cs="Times New Roman"/>
          <w:szCs w:val="22"/>
        </w:rPr>
        <w:t xml:space="preserve"> error.</w:t>
      </w:r>
    </w:p>
    <w:p w:rsidRPr="00FF31D2" w:rsidR="004C1EEF" w:rsidP="00FF31D2" w:rsidRDefault="004C1EEF">
      <w:pPr>
        <w:pStyle w:val="JuPara"/>
        <w:keepNext/>
        <w:keepLines/>
        <w:rPr>
          <w:rFonts w:ascii="Times New Roman" w:hAnsi="Times New Roman" w:eastAsia="PMingLiU" w:cs="Times New Roman"/>
          <w:szCs w:val="22"/>
        </w:rPr>
      </w:pPr>
      <w:r w:rsidRPr="00FF31D2">
        <w:rPr>
          <w:rFonts w:ascii="Times New Roman" w:hAnsi="Times New Roman" w:eastAsia="PMingLiU" w:cs="Times New Roman"/>
          <w:szCs w:val="22"/>
        </w:rPr>
        <w:fldChar w:fldCharType="begin"/>
      </w:r>
      <w:r w:rsidRPr="00FF31D2">
        <w:rPr>
          <w:rFonts w:ascii="Times New Roman" w:hAnsi="Times New Roman" w:eastAsia="PMingLiU" w:cs="Times New Roman"/>
          <w:szCs w:val="22"/>
        </w:rPr>
        <w:instrText xml:space="preserve"> SEQ level0 \*arabic </w:instrText>
      </w:r>
      <w:r w:rsidRPr="00FF31D2">
        <w:rPr>
          <w:rFonts w:ascii="Times New Roman" w:hAnsi="Times New Roman" w:eastAsia="PMingLiU" w:cs="Times New Roman"/>
          <w:szCs w:val="22"/>
        </w:rPr>
        <w:fldChar w:fldCharType="separate"/>
      </w:r>
      <w:r w:rsidRPr="00FF31D2" w:rsidR="00FF31D2">
        <w:rPr>
          <w:rFonts w:ascii="Times New Roman" w:hAnsi="Times New Roman" w:eastAsia="PMingLiU" w:cs="Times New Roman"/>
          <w:noProof/>
          <w:szCs w:val="22"/>
        </w:rPr>
        <w:t>46</w:t>
      </w:r>
      <w:r w:rsidRPr="00FF31D2">
        <w:rPr>
          <w:rFonts w:ascii="Times New Roman" w:hAnsi="Times New Roman" w:eastAsia="PMingLiU" w:cs="Times New Roman"/>
          <w:szCs w:val="22"/>
        </w:rPr>
        <w:fldChar w:fldCharType="end"/>
      </w:r>
      <w:r w:rsidRPr="00FF31D2">
        <w:rPr>
          <w:rFonts w:ascii="Times New Roman" w:hAnsi="Times New Roman" w:eastAsia="PMingLiU" w:cs="Times New Roman"/>
          <w:szCs w:val="22"/>
        </w:rPr>
        <w:t>.  The Government considered the amount claimed by the applicant company excessive and unsubstantiated, also submitting that the finding of a violation constituted sufficient just satisfaction.</w:t>
      </w:r>
    </w:p>
    <w:p w:rsidRPr="00FF31D2" w:rsidR="004C1EEF" w:rsidP="00FF31D2" w:rsidRDefault="004C1EEF">
      <w:pPr>
        <w:pStyle w:val="JuPara"/>
        <w:keepNext/>
        <w:keepLines/>
        <w:rPr>
          <w:rFonts w:ascii="Times New Roman" w:hAnsi="Times New Roman" w:eastAsia="PMingLiU" w:cs="Times New Roman"/>
          <w:szCs w:val="22"/>
        </w:rPr>
      </w:pPr>
      <w:r w:rsidRPr="00FF31D2">
        <w:rPr>
          <w:rFonts w:ascii="Times New Roman" w:hAnsi="Times New Roman" w:eastAsia="PMingLiU" w:cs="Times New Roman"/>
          <w:szCs w:val="22"/>
        </w:rPr>
        <w:fldChar w:fldCharType="begin"/>
      </w:r>
      <w:r w:rsidRPr="00FF31D2">
        <w:rPr>
          <w:rFonts w:ascii="Times New Roman" w:hAnsi="Times New Roman" w:eastAsia="PMingLiU" w:cs="Times New Roman"/>
          <w:szCs w:val="22"/>
        </w:rPr>
        <w:instrText xml:space="preserve"> SEQ level0 \*arabic </w:instrText>
      </w:r>
      <w:r w:rsidRPr="00FF31D2">
        <w:rPr>
          <w:rFonts w:ascii="Times New Roman" w:hAnsi="Times New Roman" w:eastAsia="PMingLiU" w:cs="Times New Roman"/>
          <w:szCs w:val="22"/>
        </w:rPr>
        <w:fldChar w:fldCharType="separate"/>
      </w:r>
      <w:r w:rsidRPr="00FF31D2" w:rsidR="00FF31D2">
        <w:rPr>
          <w:rFonts w:ascii="Times New Roman" w:hAnsi="Times New Roman" w:eastAsia="PMingLiU" w:cs="Times New Roman"/>
          <w:noProof/>
          <w:szCs w:val="22"/>
        </w:rPr>
        <w:t>47</w:t>
      </w:r>
      <w:r w:rsidRPr="00FF31D2">
        <w:rPr>
          <w:rFonts w:ascii="Times New Roman" w:hAnsi="Times New Roman" w:eastAsia="PMingLiU" w:cs="Times New Roman"/>
          <w:szCs w:val="22"/>
        </w:rPr>
        <w:fldChar w:fldCharType="end"/>
      </w:r>
      <w:r w:rsidRPr="00FF31D2">
        <w:rPr>
          <w:rFonts w:ascii="Times New Roman" w:hAnsi="Times New Roman" w:eastAsia="PMingLiU" w:cs="Times New Roman"/>
          <w:szCs w:val="22"/>
        </w:rPr>
        <w:t>.  The Court considers that the applicant company has suffered some non-pecuniary damage as a result of the violation found which cannot be made good by the Court</w:t>
      </w:r>
      <w:r w:rsidRPr="00FF31D2" w:rsidR="00FF31D2">
        <w:rPr>
          <w:rFonts w:ascii="Times New Roman" w:hAnsi="Times New Roman" w:eastAsia="PMingLiU" w:cs="Times New Roman"/>
          <w:szCs w:val="22"/>
        </w:rPr>
        <w:t>’</w:t>
      </w:r>
      <w:r w:rsidRPr="00FF31D2">
        <w:rPr>
          <w:rFonts w:ascii="Times New Roman" w:hAnsi="Times New Roman" w:eastAsia="PMingLiU" w:cs="Times New Roman"/>
          <w:szCs w:val="22"/>
        </w:rPr>
        <w:t>s mere finding of a violation. Making its assessment on an equitable basis, as required by Article 41 of the Convention, the Court awards the applicant company EUR 900 in respect of non-pecuniary damage, plus any tax that may be chargeable.</w:t>
      </w:r>
    </w:p>
    <w:p w:rsidRPr="00FF31D2" w:rsidR="004C1EEF" w:rsidP="00FF31D2" w:rsidRDefault="004C1EEF">
      <w:pPr>
        <w:pStyle w:val="JuHA"/>
        <w:rPr>
          <w:rFonts w:eastAsia="PMingLiU"/>
        </w:rPr>
      </w:pPr>
      <w:bookmarkStart w:name="_Hlk80624977" w:id="32"/>
      <w:bookmarkEnd w:id="31"/>
      <w:r w:rsidRPr="00FF31D2">
        <w:rPr>
          <w:rFonts w:eastAsia="PMingLiU"/>
        </w:rPr>
        <w:t>Costs and expenses</w:t>
      </w:r>
    </w:p>
    <w:bookmarkEnd w:id="32"/>
    <w:p w:rsidRPr="00FF31D2" w:rsidR="004C1EEF" w:rsidP="00FF31D2" w:rsidRDefault="004C1EEF">
      <w:pPr>
        <w:pStyle w:val="JuPara"/>
      </w:pPr>
      <w:r w:rsidRPr="00FF31D2">
        <w:fldChar w:fldCharType="begin"/>
      </w:r>
      <w:r w:rsidRPr="00FF31D2">
        <w:instrText xml:space="preserve"> SEQ level0 \*arabic </w:instrText>
      </w:r>
      <w:r w:rsidRPr="00FF31D2">
        <w:fldChar w:fldCharType="separate"/>
      </w:r>
      <w:r w:rsidRPr="00FF31D2" w:rsidR="00FF31D2">
        <w:rPr>
          <w:noProof/>
        </w:rPr>
        <w:t>48</w:t>
      </w:r>
      <w:r w:rsidRPr="00FF31D2">
        <w:fldChar w:fldCharType="end"/>
      </w:r>
      <w:r w:rsidRPr="00FF31D2">
        <w:t>.  The applicant company claimed a total of EUR 8,828.29 in respect of costs and expenses incurred before the Constitutional Court and before the Court and an additional EUR 125.62 for costs and expenses in respect of translation services.</w:t>
      </w:r>
    </w:p>
    <w:p w:rsidRPr="00FF31D2" w:rsidR="004C1EEF" w:rsidP="00FF31D2" w:rsidRDefault="004C1EEF">
      <w:pPr>
        <w:pStyle w:val="JuPara"/>
      </w:pPr>
      <w:r w:rsidRPr="00FF31D2">
        <w:fldChar w:fldCharType="begin"/>
      </w:r>
      <w:r w:rsidRPr="00FF31D2">
        <w:instrText xml:space="preserve"> SEQ level0 \*arabic </w:instrText>
      </w:r>
      <w:r w:rsidRPr="00FF31D2">
        <w:fldChar w:fldCharType="separate"/>
      </w:r>
      <w:r w:rsidRPr="00FF31D2" w:rsidR="00FF31D2">
        <w:rPr>
          <w:noProof/>
        </w:rPr>
        <w:t>49</w:t>
      </w:r>
      <w:r w:rsidRPr="00FF31D2">
        <w:fldChar w:fldCharType="end"/>
      </w:r>
      <w:r w:rsidRPr="00FF31D2">
        <w:t>.  The Government contested this claim, stating that it was excessive and unjustified.</w:t>
      </w:r>
    </w:p>
    <w:p w:rsidRPr="00FF31D2" w:rsidR="004C1EEF" w:rsidP="00FF31D2" w:rsidRDefault="004C1EEF">
      <w:pPr>
        <w:pStyle w:val="JuPara"/>
      </w:pPr>
      <w:r w:rsidRPr="00FF31D2">
        <w:fldChar w:fldCharType="begin"/>
      </w:r>
      <w:r w:rsidRPr="00FF31D2">
        <w:instrText xml:space="preserve"> SEQ level0 \*arabic </w:instrText>
      </w:r>
      <w:r w:rsidRPr="00FF31D2">
        <w:fldChar w:fldCharType="separate"/>
      </w:r>
      <w:r w:rsidRPr="00FF31D2" w:rsidR="00FF31D2">
        <w:rPr>
          <w:noProof/>
        </w:rPr>
        <w:t>50</w:t>
      </w:r>
      <w:r w:rsidRPr="00FF31D2">
        <w:fldChar w:fldCharType="end"/>
      </w:r>
      <w:r w:rsidRPr="00FF31D2">
        <w:t>.  According to the Court</w:t>
      </w:r>
      <w:r w:rsidRPr="00FF31D2" w:rsidR="00FF31D2">
        <w:t>’</w:t>
      </w:r>
      <w:r w:rsidRPr="00FF31D2">
        <w:t xml:space="preserve">s case-law, an applicant is entitled to the reimbursement of costs and expenses only in so far as it has been shown that these have been actually and necessarily incurred and are reasonable as to quantum (see, for example, </w:t>
      </w:r>
      <w:r w:rsidRPr="00FF31D2">
        <w:rPr>
          <w:i/>
        </w:rPr>
        <w:t>Iatridis v. Greece</w:t>
      </w:r>
      <w:r w:rsidRPr="00FF31D2">
        <w:t xml:space="preserve"> (just satisfaction) [GC], no. 31107/96, § 54, ECHR 2000</w:t>
      </w:r>
      <w:r w:rsidRPr="00FF31D2">
        <w:noBreakHyphen/>
        <w:t>XI). In the present case, regard being had to the documents in its possession and the above criteria, the Court considers it reasonable to award the sum of EUR 1,500 covering costs and expenses under all heads, plus any tax that may be chargeable to the applicant company.</w:t>
      </w:r>
    </w:p>
    <w:p w:rsidRPr="00FF31D2" w:rsidR="00112D68" w:rsidP="00FF31D2" w:rsidRDefault="00112D68">
      <w:pPr>
        <w:pStyle w:val="JuHA"/>
        <w:rPr>
          <w:rFonts w:eastAsia="PMingLiU"/>
        </w:rPr>
      </w:pPr>
      <w:r w:rsidRPr="00FF31D2">
        <w:rPr>
          <w:rFonts w:eastAsia="PMingLiU"/>
        </w:rPr>
        <w:t>Default interest</w:t>
      </w:r>
    </w:p>
    <w:p w:rsidRPr="00FF31D2" w:rsidR="004C1EEF" w:rsidP="00FF31D2" w:rsidRDefault="004C1EEF">
      <w:pPr>
        <w:pStyle w:val="JuPara"/>
      </w:pPr>
      <w:r w:rsidRPr="00FF31D2">
        <w:fldChar w:fldCharType="begin"/>
      </w:r>
      <w:r w:rsidRPr="00FF31D2">
        <w:instrText xml:space="preserve"> SEQ level0 \*arabic </w:instrText>
      </w:r>
      <w:r w:rsidRPr="00FF31D2">
        <w:fldChar w:fldCharType="separate"/>
      </w:r>
      <w:r w:rsidRPr="00FF31D2" w:rsidR="00FF31D2">
        <w:rPr>
          <w:noProof/>
        </w:rPr>
        <w:t>51</w:t>
      </w:r>
      <w:r w:rsidRPr="00FF31D2">
        <w:fldChar w:fldCharType="end"/>
      </w:r>
      <w:r w:rsidRPr="00FF31D2">
        <w:t>.  The Court considers it appropriate that the default interest rate should be based on the marginal lending rate of the European Central Bank, to which should be added three percentage points.</w:t>
      </w:r>
    </w:p>
    <w:p w:rsidRPr="00FF31D2" w:rsidR="004C1EEF" w:rsidP="00FF31D2" w:rsidRDefault="004C1EEF">
      <w:pPr>
        <w:pStyle w:val="JuHHead"/>
        <w:numPr>
          <w:ilvl w:val="0"/>
          <w:numId w:val="2"/>
        </w:numPr>
      </w:pPr>
      <w:r w:rsidRPr="00FF31D2">
        <w:t>FOR THESE REASONS, THE COURT, UNANIMOUSLY,</w:t>
      </w:r>
    </w:p>
    <w:p w:rsidRPr="00FF31D2" w:rsidR="004C1EEF" w:rsidP="00FF31D2" w:rsidRDefault="004C1EEF">
      <w:pPr>
        <w:pStyle w:val="JuList"/>
      </w:pPr>
      <w:r w:rsidRPr="00FF31D2">
        <w:rPr>
          <w:i/>
        </w:rPr>
        <w:t>Declares</w:t>
      </w:r>
      <w:r w:rsidRPr="00FF31D2">
        <w:t xml:space="preserve"> the application admissible;</w:t>
      </w:r>
    </w:p>
    <w:p w:rsidRPr="00FF31D2" w:rsidR="004C1EEF" w:rsidP="00FF31D2" w:rsidRDefault="004C1EEF">
      <w:pPr>
        <w:pStyle w:val="JuList"/>
      </w:pPr>
      <w:r w:rsidRPr="00FF31D2">
        <w:rPr>
          <w:i/>
        </w:rPr>
        <w:t>Holds</w:t>
      </w:r>
      <w:r w:rsidRPr="00FF31D2">
        <w:t xml:space="preserve"> that there has been a violation of Article 6 § 1 of the Convention;</w:t>
      </w:r>
    </w:p>
    <w:p w:rsidRPr="00FF31D2" w:rsidR="004C1EEF" w:rsidP="00FF31D2" w:rsidRDefault="004C1EEF">
      <w:pPr>
        <w:pStyle w:val="JuList"/>
      </w:pPr>
      <w:r w:rsidRPr="00FF31D2">
        <w:rPr>
          <w:i/>
        </w:rPr>
        <w:t>Holds</w:t>
      </w:r>
    </w:p>
    <w:p w:rsidRPr="00FF31D2" w:rsidR="004C1EEF" w:rsidP="00FF31D2" w:rsidRDefault="004C1EEF">
      <w:pPr>
        <w:pStyle w:val="JuLista"/>
      </w:pPr>
      <w:r w:rsidRPr="00FF31D2">
        <w:t xml:space="preserve">that the respondent State is to pay the applicant company, within three months, the following amounts, </w:t>
      </w:r>
      <w:r w:rsidRPr="00FF31D2">
        <w:rPr>
          <w:bCs/>
        </w:rPr>
        <w:t xml:space="preserve">to be converted into </w:t>
      </w:r>
      <w:r w:rsidRPr="00FF31D2">
        <w:rPr>
          <w:bCs/>
          <w:color w:val="000000"/>
        </w:rPr>
        <w:t>the currency of the respondent State</w:t>
      </w:r>
      <w:r w:rsidRPr="00FF31D2">
        <w:rPr>
          <w:b/>
          <w:color w:val="000000"/>
        </w:rPr>
        <w:t xml:space="preserve"> </w:t>
      </w:r>
      <w:r w:rsidRPr="00FF31D2">
        <w:t>at the rate applicable at the date of settlement:</w:t>
      </w:r>
    </w:p>
    <w:p w:rsidRPr="00FF31D2" w:rsidR="004C1EEF" w:rsidP="00FF31D2" w:rsidRDefault="004C1EEF">
      <w:pPr>
        <w:pStyle w:val="JuListi"/>
      </w:pPr>
      <w:r w:rsidRPr="00FF31D2">
        <w:t>EUR 900 (nine hundred euros), plus any tax that may be chargeable, in respect of non-pecuniary damage;</w:t>
      </w:r>
    </w:p>
    <w:p w:rsidRPr="00FF31D2" w:rsidR="004C1EEF" w:rsidP="00FF31D2" w:rsidRDefault="004C1EEF">
      <w:pPr>
        <w:pStyle w:val="JuListi"/>
      </w:pPr>
      <w:r w:rsidRPr="00FF31D2">
        <w:t>EUR 1,500</w:t>
      </w:r>
      <w:r w:rsidRPr="00FF31D2" w:rsidR="00112D68">
        <w:t xml:space="preserve"> (one thousand five hundred euros)</w:t>
      </w:r>
      <w:r w:rsidRPr="00FF31D2">
        <w:rPr>
          <w:bCs/>
        </w:rPr>
        <w:t xml:space="preserve">, </w:t>
      </w:r>
      <w:r w:rsidRPr="00FF31D2">
        <w:t>plus any tax that may be chargeable to the applicant company, in respect of costs and expenses;</w:t>
      </w:r>
    </w:p>
    <w:p w:rsidRPr="00FF31D2" w:rsidR="004C1EEF" w:rsidP="00FF31D2" w:rsidRDefault="004C1EEF">
      <w:pPr>
        <w:pStyle w:val="JuLista"/>
      </w:pPr>
      <w:r w:rsidRPr="00FF31D2">
        <w:t>that from the expiry of the above-mentioned three months until settlement simple interest shall be payable on the above amounts at a rate equal to the marginal lending rate of the European Central Bank during the default period plus three percentage points;</w:t>
      </w:r>
    </w:p>
    <w:p w:rsidRPr="00FF31D2" w:rsidR="004D0EC7" w:rsidP="00FF31D2" w:rsidRDefault="004C1EEF">
      <w:pPr>
        <w:pStyle w:val="JuList"/>
      </w:pPr>
      <w:r w:rsidRPr="00FF31D2">
        <w:rPr>
          <w:i/>
        </w:rPr>
        <w:t>Dismisses</w:t>
      </w:r>
      <w:r w:rsidRPr="00FF31D2">
        <w:t xml:space="preserve"> the remainder of the applicant company</w:t>
      </w:r>
      <w:r w:rsidRPr="00FF31D2" w:rsidR="00FF31D2">
        <w:t>’</w:t>
      </w:r>
      <w:r w:rsidRPr="00FF31D2">
        <w:t>s claim for just satisfaction.</w:t>
      </w:r>
    </w:p>
    <w:p w:rsidRPr="00FF31D2" w:rsidR="008E3A08" w:rsidP="00FF31D2" w:rsidRDefault="007E2C8C">
      <w:pPr>
        <w:pStyle w:val="JuParaLast"/>
      </w:pPr>
      <w:r w:rsidRPr="00FF31D2">
        <w:t xml:space="preserve">Done in English, and notified in writing on </w:t>
      </w:r>
      <w:r w:rsidRPr="00FF31D2" w:rsidR="004C1EEF">
        <w:rPr>
          <w:rFonts w:ascii="Times New Roman" w:hAnsi="Times New Roman" w:cs="Times New Roman"/>
        </w:rPr>
        <w:t>31 August 2021</w:t>
      </w:r>
      <w:r w:rsidRPr="00FF31D2">
        <w:t>, pursuant to Rule 77 §§ 2 and 3 of the Rules of Court.</w:t>
      </w:r>
    </w:p>
    <w:p w:rsidRPr="00FF31D2" w:rsidR="001C055B" w:rsidP="00FF31D2" w:rsidRDefault="0097610D">
      <w:pPr>
        <w:pStyle w:val="JuSigned"/>
      </w:pPr>
      <w:r w:rsidRPr="00FF31D2">
        <w:tab/>
      </w:r>
      <w:r w:rsidRPr="00FF31D2" w:rsidR="004C1EEF">
        <w:t>Ilse Freiwirth</w:t>
      </w:r>
      <w:r w:rsidRPr="00FF31D2" w:rsidR="009F4C8F">
        <w:tab/>
      </w:r>
      <w:r w:rsidRPr="00FF31D2" w:rsidR="004C1EEF">
        <w:t>Tim Eicke</w:t>
      </w:r>
      <w:r w:rsidRPr="00FF31D2" w:rsidR="009F4C8F">
        <w:br/>
      </w:r>
      <w:r w:rsidRPr="00FF31D2" w:rsidR="004C1EEF">
        <w:t xml:space="preserve">Deputy </w:t>
      </w:r>
      <w:r w:rsidRPr="00FF31D2" w:rsidR="004C1EEF">
        <w:rPr>
          <w:iCs/>
        </w:rPr>
        <w:t>Registrar</w:t>
      </w:r>
      <w:r w:rsidRPr="00FF31D2" w:rsidR="009F4C8F">
        <w:tab/>
        <w:t>President</w:t>
      </w:r>
    </w:p>
    <w:sectPr w:rsidRPr="00FF31D2" w:rsidR="001C055B" w:rsidSect="007D3701">
      <w:headerReference w:type="even" r:id="rId12"/>
      <w:headerReference w:type="default" r:id="rId13"/>
      <w:footerReference w:type="even" r:id="rId14"/>
      <w:footerReference w:type="default" r:id="rId15"/>
      <w:footnotePr>
        <w:numRestart w:val="eachSect"/>
      </w:footnotePr>
      <w:pgSz w:w="11906" w:h="16838" w:code="9"/>
      <w:pgMar w:top="2274" w:right="2274" w:bottom="2274" w:left="2274" w:header="1701"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610D" w:rsidRPr="004C1EEF" w:rsidRDefault="0097610D" w:rsidP="0098410D">
      <w:r w:rsidRPr="004C1EEF">
        <w:separator/>
      </w:r>
    </w:p>
  </w:endnote>
  <w:endnote w:type="continuationSeparator" w:id="0">
    <w:p w:rsidR="0097610D" w:rsidRPr="004C1EEF" w:rsidRDefault="0097610D" w:rsidP="0098410D">
      <w:r w:rsidRPr="004C1EEF">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610D" w:rsidRPr="00150BFA" w:rsidRDefault="0097610D" w:rsidP="0097610D">
    <w:pPr>
      <w:jc w:val="center"/>
    </w:pPr>
    <w:r>
      <w:rPr>
        <w:noProof/>
        <w:lang w:val="en-US" w:eastAsia="ja-JP"/>
      </w:rPr>
      <w:drawing>
        <wp:inline distT="0" distB="0" distL="0" distR="0" wp14:anchorId="1886F865" wp14:editId="0CF3E687">
          <wp:extent cx="771525" cy="619125"/>
          <wp:effectExtent l="0" t="0" r="9525" b="9525"/>
          <wp:docPr id="65" name="Picture 65"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rsidR="0097610D" w:rsidRPr="004C1EEF" w:rsidRDefault="0097610D" w:rsidP="0097610D">
    <w:pPr>
      <w:pStyle w:val="Footer0"/>
      <w:jc w:val="center"/>
      <w:rPr>
        <w:sz w:val="4"/>
        <w:szCs w:val="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610D" w:rsidRPr="00150BFA" w:rsidRDefault="0097610D" w:rsidP="0097610D">
    <w:pPr>
      <w:jc w:val="center"/>
    </w:pPr>
    <w:r>
      <w:rPr>
        <w:noProof/>
        <w:lang w:val="en-US" w:eastAsia="ja-JP"/>
      </w:rPr>
      <w:drawing>
        <wp:inline distT="0" distB="0" distL="0" distR="0" wp14:anchorId="1886F865" wp14:editId="0CF3E687">
          <wp:extent cx="771525" cy="619125"/>
          <wp:effectExtent l="0" t="0" r="9525" b="9525"/>
          <wp:docPr id="63" name="Picture 63"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rsidR="0097610D" w:rsidRPr="004C1EEF" w:rsidRDefault="0097610D" w:rsidP="009E7A6F">
    <w:pPr>
      <w:pStyle w:val="Footer0"/>
      <w:jc w:val="center"/>
      <w:rPr>
        <w:sz w:val="4"/>
        <w:szCs w:val="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610D" w:rsidRDefault="0097610D" w:rsidP="009A115C">
    <w:pPr>
      <w:pStyle w:val="JuHeade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610D" w:rsidRPr="000B7195" w:rsidRDefault="0097610D" w:rsidP="007D3701">
    <w:pPr>
      <w:pStyle w:val="JuHeader"/>
    </w:pPr>
    <w:r>
      <w:fldChar w:fldCharType="begin"/>
    </w:r>
    <w:r>
      <w:instrText xml:space="preserve"> PAGE </w:instrText>
    </w:r>
    <w:r>
      <w:fldChar w:fldCharType="separate"/>
    </w:r>
    <w:r>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610D" w:rsidRPr="004C1EEF" w:rsidRDefault="0097610D" w:rsidP="0098410D">
      <w:r w:rsidRPr="004C1EEF">
        <w:separator/>
      </w:r>
    </w:p>
  </w:footnote>
  <w:footnote w:type="continuationSeparator" w:id="0">
    <w:p w:rsidR="0097610D" w:rsidRPr="004C1EEF" w:rsidRDefault="0097610D" w:rsidP="0098410D">
      <w:r w:rsidRPr="004C1EEF">
        <w:continuationSeparator/>
      </w:r>
    </w:p>
  </w:footnote>
  <w:footnote w:id="1">
    <w:p w:rsidR="0097610D" w:rsidRPr="004C1EEF" w:rsidRDefault="0097610D" w:rsidP="004C1EEF">
      <w:pPr>
        <w:pStyle w:val="FootnoteText"/>
        <w:jc w:val="both"/>
      </w:pPr>
      <w:r w:rsidRPr="004C1EEF">
        <w:rPr>
          <w:rStyle w:val="FootnoteReference"/>
        </w:rPr>
        <w:footnoteRef/>
      </w:r>
      <w:r w:rsidRPr="004C1EEF">
        <w:rPr>
          <w:rStyle w:val="FootnoteReference"/>
        </w:rPr>
        <w:t xml:space="preserve"> </w:t>
      </w:r>
      <w:r w:rsidRPr="004C1EEF">
        <w:t>Bosnia and Herzegovina consist of two Entities, the Federation of Bosnia and Herzegovina and the Republika Srpska, and Brčko District.</w:t>
      </w:r>
    </w:p>
  </w:footnote>
  <w:footnote w:id="2">
    <w:p w:rsidR="0097610D" w:rsidRPr="004C1EEF" w:rsidRDefault="0097610D" w:rsidP="004C1EEF">
      <w:pPr>
        <w:pStyle w:val="FootnoteText"/>
      </w:pPr>
      <w:r w:rsidRPr="004C1EEF">
        <w:rPr>
          <w:rStyle w:val="FootnoteReference"/>
        </w:rPr>
        <w:footnoteRef/>
      </w:r>
      <w:r w:rsidRPr="004C1EEF">
        <w:rPr>
          <w:rStyle w:val="FootnoteReference"/>
        </w:rPr>
        <w:t xml:space="preserve"> </w:t>
      </w:r>
      <w:r w:rsidRPr="004C1EEF">
        <w:t>The convertible mark uses the same fixed exchange rate to the euro as the German mark: EUR 1 = BAM 1.95583.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610D" w:rsidRPr="00A45145" w:rsidRDefault="0097610D" w:rsidP="0097610D">
    <w:pPr>
      <w:jc w:val="center"/>
    </w:pPr>
    <w:r>
      <w:rPr>
        <w:noProof/>
        <w:lang w:val="en-US" w:eastAsia="ja-JP"/>
      </w:rPr>
      <w:drawing>
        <wp:inline distT="0" distB="0" distL="0" distR="0" wp14:anchorId="37609D74" wp14:editId="10854475">
          <wp:extent cx="2962275" cy="1219200"/>
          <wp:effectExtent l="0" t="0" r="9525" b="0"/>
          <wp:docPr id="1" name="Picture 1"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rsidR="0097610D" w:rsidRPr="004C1EEF" w:rsidRDefault="0097610D" w:rsidP="0097610D">
    <w:pPr>
      <w:jc w:val="center"/>
      <w:rPr>
        <w:sz w:val="4"/>
        <w:szCs w:val="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610D" w:rsidRPr="00A45145" w:rsidRDefault="0097610D" w:rsidP="0097610D">
    <w:pPr>
      <w:jc w:val="center"/>
    </w:pPr>
    <w:r>
      <w:rPr>
        <w:noProof/>
        <w:lang w:val="en-US" w:eastAsia="ja-JP"/>
      </w:rPr>
      <w:drawing>
        <wp:inline distT="0" distB="0" distL="0" distR="0" wp14:anchorId="37609D74" wp14:editId="10854475">
          <wp:extent cx="2962275" cy="1219200"/>
          <wp:effectExtent l="0" t="0" r="9525" b="0"/>
          <wp:docPr id="53" name="Picture 53"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rsidR="0097610D" w:rsidRPr="004C1EEF" w:rsidRDefault="0097610D"/>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610D" w:rsidRPr="004D0EC7" w:rsidRDefault="0097610D" w:rsidP="004D0EC7">
    <w:pPr>
      <w:pStyle w:val="JuHeader"/>
    </w:pPr>
    <w:r>
      <w:t>BIMAL D.D. v. BOSNIA AND HERZEGOVINA</w:t>
    </w:r>
    <w:r w:rsidRPr="004D0EC7">
      <w:t xml:space="preserve"> </w:t>
    </w:r>
    <w:r>
      <w:t>JUDGMENT</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610D" w:rsidRPr="00882CD5" w:rsidRDefault="0097610D" w:rsidP="007D3701">
    <w:pPr>
      <w:pStyle w:val="JuHeader"/>
    </w:pPr>
    <w:r>
      <w:t>BIMAL D.D. v. BOSNIA AND HERZEGOVINA</w:t>
    </w:r>
    <w:r w:rsidRPr="00882CD5">
      <w:t xml:space="preserve"> JUDGMENT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67019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23283F3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F369A7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3346880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552A83E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85AC83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486FE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A528BA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66C20B0"/>
    <w:lvl w:ilvl="0">
      <w:start w:val="1"/>
      <w:numFmt w:val="decimal"/>
      <w:pStyle w:val="ListNumber"/>
      <w:lvlText w:val="%1."/>
      <w:lvlJc w:val="left"/>
      <w:pPr>
        <w:tabs>
          <w:tab w:val="num" w:pos="360"/>
        </w:tabs>
        <w:ind w:left="360" w:hanging="360"/>
      </w:pPr>
    </w:lvl>
  </w:abstractNum>
  <w:abstractNum w:abstractNumId="9" w15:restartNumberingAfterBreak="0">
    <w:nsid w:val="0C0F5BFC"/>
    <w:multiLevelType w:val="multilevel"/>
    <w:tmpl w:val="79FEA660"/>
    <w:lvl w:ilvl="0">
      <w:start w:val="1"/>
      <w:numFmt w:val="none"/>
      <w:pStyle w:val="JuHHead"/>
      <w:suff w:val="nothing"/>
      <w:lvlText w:val="%1"/>
      <w:lvlJc w:val="left"/>
      <w:pPr>
        <w:ind w:left="0" w:firstLine="0"/>
      </w:pPr>
      <w:rPr>
        <w:rFonts w:hint="default"/>
      </w:rPr>
    </w:lvl>
    <w:lvl w:ilvl="1">
      <w:start w:val="1"/>
      <w:numFmt w:val="upperRoman"/>
      <w:pStyle w:val="JuHIRoman"/>
      <w:lvlText w:val="%2."/>
      <w:lvlJc w:val="left"/>
      <w:pPr>
        <w:ind w:left="397" w:hanging="397"/>
      </w:pPr>
      <w:rPr>
        <w:rFonts w:hint="default"/>
      </w:rPr>
    </w:lvl>
    <w:lvl w:ilvl="2">
      <w:start w:val="1"/>
      <w:numFmt w:val="upperLetter"/>
      <w:pStyle w:val="JuHA"/>
      <w:lvlText w:val="%3."/>
      <w:lvlJc w:val="left"/>
      <w:pPr>
        <w:ind w:left="510" w:hanging="340"/>
      </w:pPr>
      <w:rPr>
        <w:rFonts w:hint="default"/>
      </w:rPr>
    </w:lvl>
    <w:lvl w:ilvl="3">
      <w:start w:val="1"/>
      <w:numFmt w:val="decimal"/>
      <w:pStyle w:val="JuH1"/>
      <w:lvlText w:val="%4."/>
      <w:lvlJc w:val="left"/>
      <w:pPr>
        <w:ind w:left="680" w:hanging="340"/>
      </w:pPr>
      <w:rPr>
        <w:rFonts w:hint="default"/>
      </w:rPr>
    </w:lvl>
    <w:lvl w:ilvl="4">
      <w:start w:val="1"/>
      <w:numFmt w:val="lowerLetter"/>
      <w:pStyle w:val="JuHa0"/>
      <w:lvlText w:val="(%5)"/>
      <w:lvlJc w:val="left"/>
      <w:pPr>
        <w:ind w:left="851" w:hanging="341"/>
      </w:pPr>
      <w:rPr>
        <w:rFonts w:hint="default"/>
      </w:rPr>
    </w:lvl>
    <w:lvl w:ilvl="5">
      <w:start w:val="1"/>
      <w:numFmt w:val="lowerRoman"/>
      <w:pStyle w:val="JuHi"/>
      <w:lvlText w:val="(%6)"/>
      <w:lvlJc w:val="left"/>
      <w:pPr>
        <w:ind w:left="1021" w:hanging="341"/>
      </w:pPr>
      <w:rPr>
        <w:rFonts w:hint="default"/>
      </w:rPr>
    </w:lvl>
    <w:lvl w:ilvl="6">
      <w:start w:val="1"/>
      <mc:AlternateContent>
        <mc:Choice Requires="w14">
          <w:numFmt w:val="custom" w:format="α, β, γ, ..."/>
        </mc:Choice>
        <mc:Fallback>
          <w:numFmt w:val="decimal"/>
        </mc:Fallback>
      </mc:AlternateContent>
      <w:pStyle w:val="JuHalpha"/>
      <w:lvlText w:val="(%7)"/>
      <w:lvlJc w:val="left"/>
      <w:pPr>
        <w:ind w:left="1247" w:hanging="396"/>
      </w:pPr>
      <w:rPr>
        <w:rFonts w:asciiTheme="minorHAnsi" w:hAnsiTheme="minorHAnsi" w:hint="default"/>
        <w:b w:val="0"/>
        <w:i w:val="0"/>
      </w:rPr>
    </w:lvl>
    <w:lvl w:ilvl="7">
      <w:start w:val="1"/>
      <w:numFmt w:val="bullet"/>
      <w:pStyle w:val="JuH"/>
      <w:lvlText w:val="‒"/>
      <w:lvlJc w:val="left"/>
      <w:pPr>
        <w:ind w:left="1247" w:hanging="226"/>
      </w:pPr>
      <w:rPr>
        <w:rFonts w:ascii="Times New Roman" w:hAnsi="Times New Roman" w:cs="Times New Roman" w:hint="default"/>
        <w:color w:val="auto"/>
      </w:rPr>
    </w:lvl>
    <w:lvl w:ilvl="8">
      <w:start w:val="1"/>
      <w:numFmt w:val="bullet"/>
      <w:pStyle w:val="ECHRHeading9"/>
      <w:lvlText w:val="▪"/>
      <w:lvlJc w:val="left"/>
      <w:pPr>
        <w:ind w:left="1361" w:hanging="170"/>
      </w:pPr>
      <w:rPr>
        <w:rFonts w:ascii="Times New Roman" w:hAnsi="Times New Roman" w:cs="Times New Roman" w:hint="default"/>
        <w:color w:val="auto"/>
      </w:rPr>
    </w:lvl>
  </w:abstractNum>
  <w:abstractNum w:abstractNumId="10" w15:restartNumberingAfterBreak="0">
    <w:nsid w:val="1AA96CEA"/>
    <w:multiLevelType w:val="multilevel"/>
    <w:tmpl w:val="040C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1D27094A"/>
    <w:multiLevelType w:val="multilevel"/>
    <w:tmpl w:val="040C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7D5546B"/>
    <w:multiLevelType w:val="multilevel"/>
    <w:tmpl w:val="C8FE6436"/>
    <w:styleLink w:val="ECHRA1StyleList"/>
    <w:lvl w:ilvl="0">
      <w:start w:val="1"/>
      <w:numFmt w:val="decimal"/>
      <w:pStyle w:val="JuList"/>
      <w:lvlText w:val="%1."/>
      <w:lvlJc w:val="left"/>
      <w:pPr>
        <w:tabs>
          <w:tab w:val="num" w:pos="340"/>
        </w:tabs>
        <w:ind w:left="340" w:hanging="340"/>
      </w:pPr>
      <w:rPr>
        <w:rFonts w:hint="default"/>
      </w:rPr>
    </w:lvl>
    <w:lvl w:ilvl="1">
      <w:start w:val="1"/>
      <w:numFmt w:val="lowerLetter"/>
      <w:pStyle w:val="JuLista"/>
      <w:lvlText w:val="(%2)"/>
      <w:lvlJc w:val="left"/>
      <w:pPr>
        <w:tabs>
          <w:tab w:val="num" w:pos="680"/>
        </w:tabs>
        <w:ind w:left="680" w:hanging="340"/>
      </w:pPr>
      <w:rPr>
        <w:rFonts w:hint="default"/>
      </w:rPr>
    </w:lvl>
    <w:lvl w:ilvl="2">
      <w:start w:val="1"/>
      <w:numFmt w:val="lowerRoman"/>
      <w:pStyle w:val="JuListi"/>
      <w:suff w:val="space"/>
      <w:lvlText w:val="(%3)"/>
      <w:lvlJc w:val="left"/>
      <w:pPr>
        <w:ind w:left="1021" w:hanging="34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40B939E1"/>
    <w:multiLevelType w:val="multilevel"/>
    <w:tmpl w:val="040C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989571C"/>
    <w:multiLevelType w:val="multilevel"/>
    <w:tmpl w:val="EFC26858"/>
    <w:styleLink w:val="ECHRA1StyleBulletedSquare"/>
    <w:lvl w:ilvl="0">
      <w:start w:val="1"/>
      <w:numFmt w:val="bullet"/>
      <w:pStyle w:val="ECHRBullet1"/>
      <w:lvlText w:val=""/>
      <w:lvlJc w:val="left"/>
      <w:pPr>
        <w:tabs>
          <w:tab w:val="num" w:pos="851"/>
        </w:tabs>
        <w:ind w:left="851" w:hanging="284"/>
      </w:pPr>
      <w:rPr>
        <w:rFonts w:ascii="Wingdings" w:hAnsi="Wingdings" w:hint="default"/>
        <w:color w:val="0072BC" w:themeColor="background1"/>
      </w:rPr>
    </w:lvl>
    <w:lvl w:ilvl="1">
      <w:start w:val="1"/>
      <w:numFmt w:val="bullet"/>
      <w:pStyle w:val="ECHRBullet2"/>
      <w:lvlText w:val=""/>
      <w:lvlJc w:val="left"/>
      <w:pPr>
        <w:tabs>
          <w:tab w:val="num" w:pos="1134"/>
        </w:tabs>
        <w:ind w:left="1135" w:hanging="284"/>
      </w:pPr>
      <w:rPr>
        <w:rFonts w:ascii="Wingdings" w:hAnsi="Wingdings" w:hint="default"/>
        <w:color w:val="0072BC" w:themeColor="background1"/>
      </w:rPr>
    </w:lvl>
    <w:lvl w:ilvl="2">
      <w:start w:val="1"/>
      <w:numFmt w:val="bullet"/>
      <w:pStyle w:val="ECHRBullet3"/>
      <w:lvlText w:val=""/>
      <w:lvlJc w:val="left"/>
      <w:pPr>
        <w:tabs>
          <w:tab w:val="num" w:pos="1418"/>
        </w:tabs>
        <w:ind w:left="1419" w:hanging="284"/>
      </w:pPr>
      <w:rPr>
        <w:rFonts w:ascii="Wingdings" w:hAnsi="Wingdings" w:hint="default"/>
        <w:color w:val="7F7F7F" w:themeColor="text1" w:themeTint="80"/>
      </w:rPr>
    </w:lvl>
    <w:lvl w:ilvl="3">
      <w:start w:val="1"/>
      <w:numFmt w:val="bullet"/>
      <w:pStyle w:val="ECHRBullet4"/>
      <w:lvlText w:val=""/>
      <w:lvlJc w:val="left"/>
      <w:pPr>
        <w:tabs>
          <w:tab w:val="num" w:pos="1701"/>
        </w:tabs>
        <w:ind w:left="1703" w:hanging="284"/>
      </w:pPr>
      <w:rPr>
        <w:rFonts w:ascii="Wingdings" w:hAnsi="Wingdings" w:hint="default"/>
        <w:color w:val="7F7F7F" w:themeColor="text1" w:themeTint="80"/>
      </w:rPr>
    </w:lvl>
    <w:lvl w:ilvl="4">
      <w:start w:val="1"/>
      <w:numFmt w:val="bullet"/>
      <w:lvlText w:val=""/>
      <w:lvlJc w:val="left"/>
      <w:pPr>
        <w:tabs>
          <w:tab w:val="num" w:pos="1760"/>
        </w:tabs>
        <w:ind w:left="1987" w:hanging="284"/>
      </w:pPr>
      <w:rPr>
        <w:rFonts w:ascii="Wingdings" w:hAnsi="Wingdings" w:hint="default"/>
        <w:color w:val="0072BC" w:themeColor="background1"/>
      </w:rPr>
    </w:lvl>
    <w:lvl w:ilvl="5">
      <w:start w:val="1"/>
      <w:numFmt w:val="bullet"/>
      <w:lvlText w:val=""/>
      <w:lvlJc w:val="left"/>
      <w:pPr>
        <w:tabs>
          <w:tab w:val="num" w:pos="2044"/>
        </w:tabs>
        <w:ind w:left="2271" w:hanging="284"/>
      </w:pPr>
      <w:rPr>
        <w:rFonts w:ascii="Wingdings" w:hAnsi="Wingdings" w:hint="default"/>
        <w:color w:val="5F5F5F" w:themeColor="accent5"/>
      </w:rPr>
    </w:lvl>
    <w:lvl w:ilvl="6">
      <w:start w:val="1"/>
      <w:numFmt w:val="bullet"/>
      <w:lvlText w:val=""/>
      <w:lvlJc w:val="left"/>
      <w:pPr>
        <w:tabs>
          <w:tab w:val="num" w:pos="2328"/>
        </w:tabs>
        <w:ind w:left="2555" w:hanging="284"/>
      </w:pPr>
      <w:rPr>
        <w:rFonts w:ascii="Symbol" w:hAnsi="Symbol" w:hint="default"/>
      </w:rPr>
    </w:lvl>
    <w:lvl w:ilvl="7">
      <w:start w:val="1"/>
      <w:numFmt w:val="bullet"/>
      <w:lvlText w:val="o"/>
      <w:lvlJc w:val="left"/>
      <w:pPr>
        <w:tabs>
          <w:tab w:val="num" w:pos="2612"/>
        </w:tabs>
        <w:ind w:left="2839" w:hanging="284"/>
      </w:pPr>
      <w:rPr>
        <w:rFonts w:ascii="Courier New" w:hAnsi="Courier New" w:hint="default"/>
      </w:rPr>
    </w:lvl>
    <w:lvl w:ilvl="8">
      <w:start w:val="1"/>
      <w:numFmt w:val="bullet"/>
      <w:lvlText w:val=""/>
      <w:lvlJc w:val="left"/>
      <w:pPr>
        <w:tabs>
          <w:tab w:val="num" w:pos="2896"/>
        </w:tabs>
        <w:ind w:left="3123" w:hanging="284"/>
      </w:pPr>
      <w:rPr>
        <w:rFonts w:ascii="Wingdings" w:hAnsi="Wingdings" w:hint="default"/>
      </w:rPr>
    </w:lvl>
  </w:abstractNum>
  <w:abstractNum w:abstractNumId="15" w15:restartNumberingAfterBreak="0">
    <w:nsid w:val="5032512D"/>
    <w:multiLevelType w:val="multilevel"/>
    <w:tmpl w:val="9B34AC6C"/>
    <w:styleLink w:val="ECHRA1StyleNumberedList"/>
    <w:lvl w:ilvl="0">
      <w:start w:val="1"/>
      <w:numFmt w:val="decimal"/>
      <w:pStyle w:val="ECHRNumberedList1"/>
      <w:lvlText w:val="%1."/>
      <w:lvlJc w:val="left"/>
      <w:pPr>
        <w:tabs>
          <w:tab w:val="num" w:pos="964"/>
        </w:tabs>
        <w:ind w:left="964" w:hanging="397"/>
      </w:pPr>
      <w:rPr>
        <w:rFonts w:hint="default"/>
      </w:rPr>
    </w:lvl>
    <w:lvl w:ilvl="1">
      <w:start w:val="1"/>
      <w:numFmt w:val="lowerLetter"/>
      <w:pStyle w:val="ECHRNumberedList2"/>
      <w:lvlText w:val="%2."/>
      <w:lvlJc w:val="left"/>
      <w:pPr>
        <w:tabs>
          <w:tab w:val="num" w:pos="1361"/>
        </w:tabs>
        <w:ind w:left="1361" w:hanging="397"/>
      </w:pPr>
      <w:rPr>
        <w:rFonts w:hint="default"/>
      </w:rPr>
    </w:lvl>
    <w:lvl w:ilvl="2">
      <w:start w:val="1"/>
      <w:numFmt w:val="lowerRoman"/>
      <w:pStyle w:val="ECHRNumberedList3"/>
      <w:lvlText w:val="%3."/>
      <w:lvlJc w:val="left"/>
      <w:pPr>
        <w:tabs>
          <w:tab w:val="num" w:pos="1758"/>
        </w:tabs>
        <w:ind w:left="1758" w:hanging="397"/>
      </w:pPr>
      <w:rPr>
        <w:rFonts w:hint="default"/>
      </w:rPr>
    </w:lvl>
    <w:lvl w:ilvl="3">
      <w:start w:val="1"/>
      <w:numFmt w:val="decimal"/>
      <w:lvlText w:val="(%4)"/>
      <w:lvlJc w:val="left"/>
      <w:pPr>
        <w:tabs>
          <w:tab w:val="num" w:pos="1703"/>
        </w:tabs>
        <w:ind w:left="1703" w:hanging="284"/>
      </w:pPr>
      <w:rPr>
        <w:rFonts w:hint="default"/>
      </w:rPr>
    </w:lvl>
    <w:lvl w:ilvl="4">
      <w:start w:val="1"/>
      <w:numFmt w:val="lowerLetter"/>
      <w:lvlText w:val="(%5)"/>
      <w:lvlJc w:val="left"/>
      <w:pPr>
        <w:tabs>
          <w:tab w:val="num" w:pos="1987"/>
        </w:tabs>
        <w:ind w:left="1987" w:hanging="284"/>
      </w:pPr>
      <w:rPr>
        <w:rFonts w:hint="default"/>
      </w:rPr>
    </w:lvl>
    <w:lvl w:ilvl="5">
      <w:start w:val="1"/>
      <w:numFmt w:val="lowerRoman"/>
      <w:lvlText w:val="(%6)"/>
      <w:lvlJc w:val="left"/>
      <w:pPr>
        <w:tabs>
          <w:tab w:val="num" w:pos="2271"/>
        </w:tabs>
        <w:ind w:left="2271" w:hanging="284"/>
      </w:pPr>
      <w:rPr>
        <w:rFonts w:hint="default"/>
      </w:rPr>
    </w:lvl>
    <w:lvl w:ilvl="6">
      <w:start w:val="1"/>
      <w:numFmt w:val="decimal"/>
      <w:lvlText w:val="%7."/>
      <w:lvlJc w:val="left"/>
      <w:pPr>
        <w:tabs>
          <w:tab w:val="num" w:pos="2555"/>
        </w:tabs>
        <w:ind w:left="2555" w:hanging="284"/>
      </w:pPr>
      <w:rPr>
        <w:rFonts w:hint="default"/>
      </w:rPr>
    </w:lvl>
    <w:lvl w:ilvl="7">
      <w:start w:val="1"/>
      <w:numFmt w:val="lowerLetter"/>
      <w:lvlText w:val="%8."/>
      <w:lvlJc w:val="left"/>
      <w:pPr>
        <w:tabs>
          <w:tab w:val="num" w:pos="2839"/>
        </w:tabs>
        <w:ind w:left="2839" w:hanging="284"/>
      </w:pPr>
      <w:rPr>
        <w:rFonts w:hint="default"/>
      </w:rPr>
    </w:lvl>
    <w:lvl w:ilvl="8">
      <w:start w:val="1"/>
      <w:numFmt w:val="lowerRoman"/>
      <w:lvlText w:val="%9."/>
      <w:lvlJc w:val="left"/>
      <w:pPr>
        <w:tabs>
          <w:tab w:val="num" w:pos="3123"/>
        </w:tabs>
        <w:ind w:left="3123" w:hanging="284"/>
      </w:pPr>
      <w:rPr>
        <w:rFonts w:hint="default"/>
      </w:rPr>
    </w:lvl>
  </w:abstractNum>
  <w:abstractNum w:abstractNumId="16" w15:restartNumberingAfterBreak="0">
    <w:nsid w:val="56B9429C"/>
    <w:multiLevelType w:val="multilevel"/>
    <w:tmpl w:val="EAA66700"/>
    <w:lvl w:ilvl="0">
      <w:start w:val="1"/>
      <w:numFmt w:val="none"/>
      <w:suff w:val="nothing"/>
      <w:lvlText w:val=""/>
      <w:lvlJc w:val="left"/>
      <w:pPr>
        <w:ind w:left="0" w:firstLine="0"/>
      </w:pPr>
      <w:rPr>
        <w:rFonts w:hint="default"/>
      </w:rPr>
    </w:lvl>
    <w:lvl w:ilvl="1">
      <w:start w:val="1"/>
      <w:numFmt w:val="upperRoman"/>
      <w:suff w:val="space"/>
      <w:lvlText w:val="%2."/>
      <w:lvlJc w:val="left"/>
      <w:pPr>
        <w:ind w:left="357" w:hanging="357"/>
      </w:pPr>
      <w:rPr>
        <w:rFonts w:hint="default"/>
        <w:sz w:val="24"/>
      </w:rPr>
    </w:lvl>
    <w:lvl w:ilvl="2">
      <w:start w:val="1"/>
      <w:numFmt w:val="upperLetter"/>
      <w:lvlText w:val="%3."/>
      <w:lvlJc w:val="left"/>
      <w:pPr>
        <w:ind w:left="584" w:hanging="352"/>
      </w:pPr>
      <w:rPr>
        <w:rFonts w:hint="default"/>
      </w:rPr>
    </w:lvl>
    <w:lvl w:ilvl="3">
      <w:start w:val="1"/>
      <w:numFmt w:val="decimal"/>
      <w:lvlText w:val="%4."/>
      <w:lvlJc w:val="left"/>
      <w:pPr>
        <w:ind w:left="731" w:hanging="300"/>
      </w:pPr>
      <w:rPr>
        <w:rFonts w:hint="default"/>
      </w:rPr>
    </w:lvl>
    <w:lvl w:ilvl="4">
      <w:start w:val="1"/>
      <w:numFmt w:val="lowerLetter"/>
      <w:lvlText w:val="(%5)"/>
      <w:lvlJc w:val="left"/>
      <w:pPr>
        <w:ind w:left="975" w:hanging="340"/>
      </w:pPr>
      <w:rPr>
        <w:rFonts w:hint="default"/>
      </w:rPr>
    </w:lvl>
    <w:lvl w:ilvl="5">
      <w:start w:val="1"/>
      <w:numFmt w:val="lowerRoman"/>
      <w:suff w:val="space"/>
      <w:lvlText w:val="(%6)"/>
      <w:lvlJc w:val="left"/>
      <w:pPr>
        <w:ind w:left="1191" w:hanging="358"/>
      </w:pPr>
      <w:rPr>
        <w:rFonts w:hint="default"/>
      </w:rPr>
    </w:lvl>
    <w:lvl w:ilvl="6">
      <w:start w:val="1"/>
      <w:numFmt w:val="lowerLetter"/>
      <w:lvlText w:val="(%7)"/>
      <w:lvlJc w:val="left"/>
      <w:pPr>
        <w:ind w:left="1372" w:hanging="334"/>
      </w:pPr>
      <w:rPr>
        <w:rFonts w:ascii="Symbol" w:hAnsi="Symbol" w:hint="default"/>
        <w:sz w:val="20"/>
      </w:rPr>
    </w:lvl>
    <w:lvl w:ilvl="7">
      <w:start w:val="1"/>
      <w:numFmt w:val="bullet"/>
      <w:lvlText w:val="‒"/>
      <w:lvlJc w:val="left"/>
      <w:pPr>
        <w:ind w:left="1304" w:hanging="68"/>
      </w:pPr>
      <w:rPr>
        <w:rFonts w:ascii="Calibri" w:hAnsi="Calibri" w:hint="default"/>
        <w:color w:val="auto"/>
      </w:rPr>
    </w:lvl>
    <w:lvl w:ilvl="8">
      <w:start w:val="1"/>
      <w:numFmt w:val="none"/>
      <w:lvlText w:val="%9"/>
      <w:lvlJc w:val="right"/>
      <w:pPr>
        <w:ind w:left="7313" w:hanging="180"/>
      </w:pPr>
      <w:rPr>
        <w:rFonts w:hint="default"/>
      </w:rPr>
    </w:lvl>
  </w:abstractNum>
  <w:abstractNum w:abstractNumId="17" w15:restartNumberingAfterBreak="0">
    <w:nsid w:val="67FD1241"/>
    <w:multiLevelType w:val="hybridMultilevel"/>
    <w:tmpl w:val="F6D86CC2"/>
    <w:lvl w:ilvl="0" w:tplc="E4205412">
      <w:start w:val="1"/>
      <w:numFmt w:val="bullet"/>
      <w:pStyle w:val="ListBullet"/>
      <w:lvlText w:val=""/>
      <w:lvlJc w:val="left"/>
      <w:pPr>
        <w:tabs>
          <w:tab w:val="num" w:pos="851"/>
        </w:tabs>
        <w:ind w:left="568" w:firstLine="0"/>
      </w:pPr>
      <w:rPr>
        <w:rFonts w:ascii="Wingdings" w:hAnsi="Wingdings" w:hint="default"/>
        <w:color w:val="808080"/>
        <w:sz w:val="16"/>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18" w15:restartNumberingAfterBreak="0">
    <w:nsid w:val="7D35409C"/>
    <w:multiLevelType w:val="multilevel"/>
    <w:tmpl w:val="EAA66700"/>
    <w:lvl w:ilvl="0">
      <w:start w:val="1"/>
      <w:numFmt w:val="none"/>
      <w:suff w:val="nothing"/>
      <w:lvlText w:val=""/>
      <w:lvlJc w:val="left"/>
      <w:pPr>
        <w:ind w:left="0" w:firstLine="0"/>
      </w:pPr>
      <w:rPr>
        <w:rFonts w:hint="default"/>
      </w:rPr>
    </w:lvl>
    <w:lvl w:ilvl="1">
      <w:start w:val="1"/>
      <w:numFmt w:val="upperRoman"/>
      <w:suff w:val="space"/>
      <w:lvlText w:val="%2."/>
      <w:lvlJc w:val="left"/>
      <w:pPr>
        <w:ind w:left="357" w:hanging="357"/>
      </w:pPr>
      <w:rPr>
        <w:rFonts w:hint="default"/>
        <w:sz w:val="24"/>
      </w:rPr>
    </w:lvl>
    <w:lvl w:ilvl="2">
      <w:start w:val="1"/>
      <w:numFmt w:val="upperLetter"/>
      <w:lvlText w:val="%3."/>
      <w:lvlJc w:val="left"/>
      <w:pPr>
        <w:ind w:left="584" w:hanging="352"/>
      </w:pPr>
      <w:rPr>
        <w:rFonts w:hint="default"/>
      </w:rPr>
    </w:lvl>
    <w:lvl w:ilvl="3">
      <w:start w:val="1"/>
      <w:numFmt w:val="decimal"/>
      <w:lvlText w:val="%4."/>
      <w:lvlJc w:val="left"/>
      <w:pPr>
        <w:ind w:left="731" w:hanging="300"/>
      </w:pPr>
      <w:rPr>
        <w:rFonts w:hint="default"/>
      </w:rPr>
    </w:lvl>
    <w:lvl w:ilvl="4">
      <w:start w:val="1"/>
      <w:numFmt w:val="lowerLetter"/>
      <w:lvlText w:val="(%5)"/>
      <w:lvlJc w:val="left"/>
      <w:pPr>
        <w:ind w:left="975" w:hanging="340"/>
      </w:pPr>
      <w:rPr>
        <w:rFonts w:hint="default"/>
      </w:rPr>
    </w:lvl>
    <w:lvl w:ilvl="5">
      <w:start w:val="1"/>
      <w:numFmt w:val="lowerRoman"/>
      <w:suff w:val="space"/>
      <w:lvlText w:val="(%6)"/>
      <w:lvlJc w:val="left"/>
      <w:pPr>
        <w:ind w:left="1191" w:hanging="358"/>
      </w:pPr>
      <w:rPr>
        <w:rFonts w:hint="default"/>
      </w:rPr>
    </w:lvl>
    <w:lvl w:ilvl="6">
      <w:start w:val="1"/>
      <w:numFmt w:val="lowerLetter"/>
      <w:lvlText w:val="(%7)"/>
      <w:lvlJc w:val="left"/>
      <w:pPr>
        <w:ind w:left="1372" w:hanging="334"/>
      </w:pPr>
      <w:rPr>
        <w:rFonts w:ascii="Symbol" w:hAnsi="Symbol" w:hint="default"/>
        <w:sz w:val="20"/>
      </w:rPr>
    </w:lvl>
    <w:lvl w:ilvl="7">
      <w:start w:val="1"/>
      <w:numFmt w:val="bullet"/>
      <w:lvlText w:val="‒"/>
      <w:lvlJc w:val="left"/>
      <w:pPr>
        <w:ind w:left="1304" w:hanging="68"/>
      </w:pPr>
      <w:rPr>
        <w:rFonts w:ascii="Calibri" w:hAnsi="Calibri" w:hint="default"/>
        <w:color w:val="auto"/>
      </w:rPr>
    </w:lvl>
    <w:lvl w:ilvl="8">
      <w:start w:val="1"/>
      <w:numFmt w:val="none"/>
      <w:lvlText w:val="%9"/>
      <w:lvlJc w:val="right"/>
      <w:pPr>
        <w:ind w:left="7313" w:hanging="180"/>
      </w:pPr>
      <w:rPr>
        <w:rFonts w:hint="default"/>
      </w:rPr>
    </w:lvl>
  </w:abstractNum>
  <w:num w:numId="1">
    <w:abstractNumId w:val="16"/>
  </w:num>
  <w:num w:numId="2">
    <w:abstractNumId w:val="18"/>
  </w:num>
  <w:num w:numId="3">
    <w:abstractNumId w:val="9"/>
  </w:num>
  <w:num w:numId="4">
    <w:abstractNumId w:val="13"/>
  </w:num>
  <w:num w:numId="5">
    <w:abstractNumId w:val="11"/>
  </w:num>
  <w:num w:numId="6">
    <w:abstractNumId w:val="10"/>
  </w:num>
  <w:num w:numId="7">
    <w:abstractNumId w:val="14"/>
  </w:num>
  <w:num w:numId="8">
    <w:abstractNumId w:val="12"/>
  </w:num>
  <w:num w:numId="9">
    <w:abstractNumId w:val="15"/>
  </w:num>
  <w:num w:numId="10">
    <w:abstractNumId w:val="17"/>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removePersonalInformatio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hyphenationZone w:val="425"/>
  <w:evenAndOddHeaders/>
  <w:drawingGridHorizontalSpacing w:val="110"/>
  <w:displayHorizontalDrawingGridEvery w:val="2"/>
  <w:displayVerticalDrawingGridEvery w:val="2"/>
  <w:characterSpacingControl w:val="doNotCompress"/>
  <w:hdrShapeDefaults>
    <o:shapedefaults v:ext="edit" spidmax="16385"/>
  </w:hdrShapeDefaults>
  <w:footnotePr>
    <w:numRestart w:val="eachSect"/>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pplicationsApp" w:val="1"/>
    <w:docVar w:name="EMM" w:val="0"/>
    <w:docVar w:name="NBEMMDOC" w:val="0"/>
  </w:docVars>
  <w:rsids>
    <w:rsidRoot w:val="004C1EEF"/>
    <w:rsid w:val="000041F8"/>
    <w:rsid w:val="000042A8"/>
    <w:rsid w:val="00004308"/>
    <w:rsid w:val="00005BF0"/>
    <w:rsid w:val="0000617D"/>
    <w:rsid w:val="00007154"/>
    <w:rsid w:val="000103AE"/>
    <w:rsid w:val="00011D69"/>
    <w:rsid w:val="00012AD3"/>
    <w:rsid w:val="00015C2D"/>
    <w:rsid w:val="00015F00"/>
    <w:rsid w:val="00022C1D"/>
    <w:rsid w:val="00031428"/>
    <w:rsid w:val="00034987"/>
    <w:rsid w:val="00041560"/>
    <w:rsid w:val="000602DF"/>
    <w:rsid w:val="00061B05"/>
    <w:rsid w:val="000632D5"/>
    <w:rsid w:val="000644EE"/>
    <w:rsid w:val="0007780A"/>
    <w:rsid w:val="00085457"/>
    <w:rsid w:val="000925AD"/>
    <w:rsid w:val="00096FE1"/>
    <w:rsid w:val="00097A62"/>
    <w:rsid w:val="000A24EB"/>
    <w:rsid w:val="000B686A"/>
    <w:rsid w:val="000B6923"/>
    <w:rsid w:val="000B7195"/>
    <w:rsid w:val="000C5F3C"/>
    <w:rsid w:val="000C6DCC"/>
    <w:rsid w:val="000D47AA"/>
    <w:rsid w:val="000D721F"/>
    <w:rsid w:val="000E069B"/>
    <w:rsid w:val="000E0E82"/>
    <w:rsid w:val="000E1DC5"/>
    <w:rsid w:val="000E223F"/>
    <w:rsid w:val="000E46B8"/>
    <w:rsid w:val="000E7D45"/>
    <w:rsid w:val="000F7851"/>
    <w:rsid w:val="00101505"/>
    <w:rsid w:val="00104E23"/>
    <w:rsid w:val="00110DA8"/>
    <w:rsid w:val="00111B0C"/>
    <w:rsid w:val="00112D68"/>
    <w:rsid w:val="00120D6C"/>
    <w:rsid w:val="001257EC"/>
    <w:rsid w:val="00133D33"/>
    <w:rsid w:val="00134B6A"/>
    <w:rsid w:val="00134D64"/>
    <w:rsid w:val="00135A30"/>
    <w:rsid w:val="0013612C"/>
    <w:rsid w:val="00137FF6"/>
    <w:rsid w:val="00141650"/>
    <w:rsid w:val="001561B6"/>
    <w:rsid w:val="00162A12"/>
    <w:rsid w:val="00166530"/>
    <w:rsid w:val="00170027"/>
    <w:rsid w:val="00182EBA"/>
    <w:rsid w:val="001832BD"/>
    <w:rsid w:val="001943B5"/>
    <w:rsid w:val="00195134"/>
    <w:rsid w:val="001A020C"/>
    <w:rsid w:val="001A145B"/>
    <w:rsid w:val="001A3E09"/>
    <w:rsid w:val="001A674C"/>
    <w:rsid w:val="001B035E"/>
    <w:rsid w:val="001B3B24"/>
    <w:rsid w:val="001C055B"/>
    <w:rsid w:val="001C0F98"/>
    <w:rsid w:val="001C2A42"/>
    <w:rsid w:val="001D63ED"/>
    <w:rsid w:val="001D7348"/>
    <w:rsid w:val="001E035B"/>
    <w:rsid w:val="001E0961"/>
    <w:rsid w:val="001E3EAE"/>
    <w:rsid w:val="001E6857"/>
    <w:rsid w:val="001E6F32"/>
    <w:rsid w:val="001F2145"/>
    <w:rsid w:val="001F6262"/>
    <w:rsid w:val="001F67B0"/>
    <w:rsid w:val="001F7B3D"/>
    <w:rsid w:val="00202752"/>
    <w:rsid w:val="0020335A"/>
    <w:rsid w:val="002052BC"/>
    <w:rsid w:val="00205F9F"/>
    <w:rsid w:val="00210338"/>
    <w:rsid w:val="002115FC"/>
    <w:rsid w:val="0021423C"/>
    <w:rsid w:val="00230D00"/>
    <w:rsid w:val="00231DF7"/>
    <w:rsid w:val="00231FD1"/>
    <w:rsid w:val="002339E0"/>
    <w:rsid w:val="00233CF8"/>
    <w:rsid w:val="0023575D"/>
    <w:rsid w:val="00237148"/>
    <w:rsid w:val="0024222D"/>
    <w:rsid w:val="002422B6"/>
    <w:rsid w:val="00244B0E"/>
    <w:rsid w:val="00244F6C"/>
    <w:rsid w:val="00246B89"/>
    <w:rsid w:val="00252C4E"/>
    <w:rsid w:val="002532C5"/>
    <w:rsid w:val="00254DF2"/>
    <w:rsid w:val="00260C03"/>
    <w:rsid w:val="0026540E"/>
    <w:rsid w:val="00275123"/>
    <w:rsid w:val="00282240"/>
    <w:rsid w:val="00282BD8"/>
    <w:rsid w:val="00287AD5"/>
    <w:rsid w:val="002934D0"/>
    <w:rsid w:val="00293676"/>
    <w:rsid w:val="00293BD9"/>
    <w:rsid w:val="002948AD"/>
    <w:rsid w:val="002A01CC"/>
    <w:rsid w:val="002A613A"/>
    <w:rsid w:val="002A61B1"/>
    <w:rsid w:val="002A663C"/>
    <w:rsid w:val="002B444B"/>
    <w:rsid w:val="002B5887"/>
    <w:rsid w:val="002C0E27"/>
    <w:rsid w:val="002C3040"/>
    <w:rsid w:val="002C4433"/>
    <w:rsid w:val="002C7826"/>
    <w:rsid w:val="002D022D"/>
    <w:rsid w:val="002D24BB"/>
    <w:rsid w:val="002D2FA7"/>
    <w:rsid w:val="002D47BA"/>
    <w:rsid w:val="002D77B9"/>
    <w:rsid w:val="002E46DA"/>
    <w:rsid w:val="002F2AF7"/>
    <w:rsid w:val="002F69C4"/>
    <w:rsid w:val="002F7D9E"/>
    <w:rsid w:val="002F7E1C"/>
    <w:rsid w:val="00301A75"/>
    <w:rsid w:val="00302F70"/>
    <w:rsid w:val="0030336F"/>
    <w:rsid w:val="0030375E"/>
    <w:rsid w:val="00312A30"/>
    <w:rsid w:val="003201D8"/>
    <w:rsid w:val="00320F72"/>
    <w:rsid w:val="0032463E"/>
    <w:rsid w:val="00326224"/>
    <w:rsid w:val="00337EE4"/>
    <w:rsid w:val="00340FFD"/>
    <w:rsid w:val="00345C41"/>
    <w:rsid w:val="003506B1"/>
    <w:rsid w:val="00355877"/>
    <w:rsid w:val="00356AC7"/>
    <w:rsid w:val="003609FA"/>
    <w:rsid w:val="003710C8"/>
    <w:rsid w:val="003750BE"/>
    <w:rsid w:val="00385A36"/>
    <w:rsid w:val="00385F3D"/>
    <w:rsid w:val="00387B9D"/>
    <w:rsid w:val="00387C70"/>
    <w:rsid w:val="00390294"/>
    <w:rsid w:val="0039364F"/>
    <w:rsid w:val="00396686"/>
    <w:rsid w:val="0039778E"/>
    <w:rsid w:val="003B4941"/>
    <w:rsid w:val="003C5714"/>
    <w:rsid w:val="003C6B9F"/>
    <w:rsid w:val="003C6E2A"/>
    <w:rsid w:val="003D0299"/>
    <w:rsid w:val="003E6D80"/>
    <w:rsid w:val="003F05FA"/>
    <w:rsid w:val="003F244A"/>
    <w:rsid w:val="003F2517"/>
    <w:rsid w:val="003F30B8"/>
    <w:rsid w:val="003F4C45"/>
    <w:rsid w:val="003F5F7B"/>
    <w:rsid w:val="003F7D64"/>
    <w:rsid w:val="0040433A"/>
    <w:rsid w:val="00414300"/>
    <w:rsid w:val="00414F27"/>
    <w:rsid w:val="00420703"/>
    <w:rsid w:val="00425C67"/>
    <w:rsid w:val="00427E7A"/>
    <w:rsid w:val="004355AC"/>
    <w:rsid w:val="00436C49"/>
    <w:rsid w:val="00443D98"/>
    <w:rsid w:val="00445366"/>
    <w:rsid w:val="00447F5B"/>
    <w:rsid w:val="00461DB0"/>
    <w:rsid w:val="00463926"/>
    <w:rsid w:val="00464AB7"/>
    <w:rsid w:val="00464C9A"/>
    <w:rsid w:val="00474B14"/>
    <w:rsid w:val="00474F3D"/>
    <w:rsid w:val="00477E3A"/>
    <w:rsid w:val="00483E5F"/>
    <w:rsid w:val="00485FF9"/>
    <w:rsid w:val="0049049B"/>
    <w:rsid w:val="004907F0"/>
    <w:rsid w:val="0049140B"/>
    <w:rsid w:val="004923A5"/>
    <w:rsid w:val="0049310E"/>
    <w:rsid w:val="004950E2"/>
    <w:rsid w:val="00496BFB"/>
    <w:rsid w:val="004A15C7"/>
    <w:rsid w:val="004A3201"/>
    <w:rsid w:val="004A7044"/>
    <w:rsid w:val="004B013B"/>
    <w:rsid w:val="004B112B"/>
    <w:rsid w:val="004B444E"/>
    <w:rsid w:val="004C01E4"/>
    <w:rsid w:val="004C086C"/>
    <w:rsid w:val="004C1EEF"/>
    <w:rsid w:val="004C1F56"/>
    <w:rsid w:val="004C27BC"/>
    <w:rsid w:val="004C6621"/>
    <w:rsid w:val="004D0EC7"/>
    <w:rsid w:val="004D15F3"/>
    <w:rsid w:val="004D3B3D"/>
    <w:rsid w:val="004D4EF1"/>
    <w:rsid w:val="004D5311"/>
    <w:rsid w:val="004D5DCC"/>
    <w:rsid w:val="004D7E45"/>
    <w:rsid w:val="004F10AF"/>
    <w:rsid w:val="004F11A4"/>
    <w:rsid w:val="004F2389"/>
    <w:rsid w:val="004F304D"/>
    <w:rsid w:val="004F4290"/>
    <w:rsid w:val="004F61BE"/>
    <w:rsid w:val="004F66B1"/>
    <w:rsid w:val="00511C07"/>
    <w:rsid w:val="005125CB"/>
    <w:rsid w:val="00512EC4"/>
    <w:rsid w:val="0051725A"/>
    <w:rsid w:val="005173A6"/>
    <w:rsid w:val="00520354"/>
    <w:rsid w:val="00520BAA"/>
    <w:rsid w:val="005217D8"/>
    <w:rsid w:val="00525208"/>
    <w:rsid w:val="005257A5"/>
    <w:rsid w:val="005264C0"/>
    <w:rsid w:val="00526A8A"/>
    <w:rsid w:val="00527FB1"/>
    <w:rsid w:val="00530FE6"/>
    <w:rsid w:val="00531DF2"/>
    <w:rsid w:val="0053315C"/>
    <w:rsid w:val="00537476"/>
    <w:rsid w:val="005442EE"/>
    <w:rsid w:val="00545DA6"/>
    <w:rsid w:val="00547353"/>
    <w:rsid w:val="005474E7"/>
    <w:rsid w:val="005512A3"/>
    <w:rsid w:val="005578CE"/>
    <w:rsid w:val="00562781"/>
    <w:rsid w:val="00562B6C"/>
    <w:rsid w:val="0057271C"/>
    <w:rsid w:val="00572845"/>
    <w:rsid w:val="005879A2"/>
    <w:rsid w:val="00592772"/>
    <w:rsid w:val="0059574A"/>
    <w:rsid w:val="005A1B9B"/>
    <w:rsid w:val="005A2E79"/>
    <w:rsid w:val="005A6751"/>
    <w:rsid w:val="005B092E"/>
    <w:rsid w:val="005B152C"/>
    <w:rsid w:val="005B1EE0"/>
    <w:rsid w:val="005B2B24"/>
    <w:rsid w:val="005B4425"/>
    <w:rsid w:val="005B4B94"/>
    <w:rsid w:val="005C3EE8"/>
    <w:rsid w:val="005D2F2A"/>
    <w:rsid w:val="005D34F9"/>
    <w:rsid w:val="005D4190"/>
    <w:rsid w:val="005D67A3"/>
    <w:rsid w:val="005E2988"/>
    <w:rsid w:val="005E3085"/>
    <w:rsid w:val="005F0EB3"/>
    <w:rsid w:val="005F51E1"/>
    <w:rsid w:val="00611C80"/>
    <w:rsid w:val="00620692"/>
    <w:rsid w:val="006242CA"/>
    <w:rsid w:val="00627507"/>
    <w:rsid w:val="00633717"/>
    <w:rsid w:val="006344E1"/>
    <w:rsid w:val="00643524"/>
    <w:rsid w:val="0064393B"/>
    <w:rsid w:val="00645CF2"/>
    <w:rsid w:val="006545C4"/>
    <w:rsid w:val="00661971"/>
    <w:rsid w:val="00661CE8"/>
    <w:rsid w:val="006623D9"/>
    <w:rsid w:val="006642A5"/>
    <w:rsid w:val="0066550C"/>
    <w:rsid w:val="00665BD2"/>
    <w:rsid w:val="006716F2"/>
    <w:rsid w:val="00675AF2"/>
    <w:rsid w:val="00682BF2"/>
    <w:rsid w:val="0068573E"/>
    <w:rsid w:val="006859CE"/>
    <w:rsid w:val="00691270"/>
    <w:rsid w:val="00694BA8"/>
    <w:rsid w:val="006A037C"/>
    <w:rsid w:val="006A36F4"/>
    <w:rsid w:val="006A406F"/>
    <w:rsid w:val="006A5D3A"/>
    <w:rsid w:val="006B1942"/>
    <w:rsid w:val="006C23D4"/>
    <w:rsid w:val="006C7BB0"/>
    <w:rsid w:val="006D3237"/>
    <w:rsid w:val="006E2E37"/>
    <w:rsid w:val="006E3CF1"/>
    <w:rsid w:val="006E68A3"/>
    <w:rsid w:val="006E7E80"/>
    <w:rsid w:val="006F1C2D"/>
    <w:rsid w:val="006F48CA"/>
    <w:rsid w:val="006F64DD"/>
    <w:rsid w:val="006F712D"/>
    <w:rsid w:val="00715127"/>
    <w:rsid w:val="00715E8E"/>
    <w:rsid w:val="00723580"/>
    <w:rsid w:val="00723755"/>
    <w:rsid w:val="0073136C"/>
    <w:rsid w:val="00731F0F"/>
    <w:rsid w:val="00733250"/>
    <w:rsid w:val="00741404"/>
    <w:rsid w:val="007449E5"/>
    <w:rsid w:val="0074750E"/>
    <w:rsid w:val="00747FF0"/>
    <w:rsid w:val="0075566E"/>
    <w:rsid w:val="00763602"/>
    <w:rsid w:val="00764D4E"/>
    <w:rsid w:val="00765A1F"/>
    <w:rsid w:val="00775B6D"/>
    <w:rsid w:val="00776D68"/>
    <w:rsid w:val="0078323E"/>
    <w:rsid w:val="007850EE"/>
    <w:rsid w:val="00785B95"/>
    <w:rsid w:val="00790E96"/>
    <w:rsid w:val="007926FD"/>
    <w:rsid w:val="00793366"/>
    <w:rsid w:val="0079666C"/>
    <w:rsid w:val="007A716F"/>
    <w:rsid w:val="007B270A"/>
    <w:rsid w:val="007B4182"/>
    <w:rsid w:val="007C0695"/>
    <w:rsid w:val="007C419A"/>
    <w:rsid w:val="007C4CC8"/>
    <w:rsid w:val="007C5426"/>
    <w:rsid w:val="007C5798"/>
    <w:rsid w:val="007D1ECD"/>
    <w:rsid w:val="007D3701"/>
    <w:rsid w:val="007D4832"/>
    <w:rsid w:val="007E21B2"/>
    <w:rsid w:val="007E2C4E"/>
    <w:rsid w:val="007E2C8C"/>
    <w:rsid w:val="007E51BA"/>
    <w:rsid w:val="007E73D7"/>
    <w:rsid w:val="007F1905"/>
    <w:rsid w:val="007F27E4"/>
    <w:rsid w:val="007F3437"/>
    <w:rsid w:val="00802C64"/>
    <w:rsid w:val="00805E52"/>
    <w:rsid w:val="008061D0"/>
    <w:rsid w:val="00810B38"/>
    <w:rsid w:val="008204C7"/>
    <w:rsid w:val="00820992"/>
    <w:rsid w:val="00823602"/>
    <w:rsid w:val="008253E7"/>
    <w:rsid w:val="008255F5"/>
    <w:rsid w:val="0083014E"/>
    <w:rsid w:val="0083214A"/>
    <w:rsid w:val="00834220"/>
    <w:rsid w:val="00845723"/>
    <w:rsid w:val="008519E7"/>
    <w:rsid w:val="00851EF9"/>
    <w:rsid w:val="008577FD"/>
    <w:rsid w:val="00860B03"/>
    <w:rsid w:val="0086497A"/>
    <w:rsid w:val="00867066"/>
    <w:rsid w:val="008713A1"/>
    <w:rsid w:val="00872584"/>
    <w:rsid w:val="008754AB"/>
    <w:rsid w:val="0088060C"/>
    <w:rsid w:val="00882CD5"/>
    <w:rsid w:val="00883151"/>
    <w:rsid w:val="008930AE"/>
    <w:rsid w:val="00893576"/>
    <w:rsid w:val="00893E73"/>
    <w:rsid w:val="008B02DC"/>
    <w:rsid w:val="008B092C"/>
    <w:rsid w:val="008B57CE"/>
    <w:rsid w:val="008C26DE"/>
    <w:rsid w:val="008D2225"/>
    <w:rsid w:val="008D4752"/>
    <w:rsid w:val="008D5A13"/>
    <w:rsid w:val="008E271C"/>
    <w:rsid w:val="008E3A08"/>
    <w:rsid w:val="008E418E"/>
    <w:rsid w:val="008E5BC6"/>
    <w:rsid w:val="008E6217"/>
    <w:rsid w:val="008E6A25"/>
    <w:rsid w:val="008F2554"/>
    <w:rsid w:val="008F3AEC"/>
    <w:rsid w:val="008F4D80"/>
    <w:rsid w:val="008F5193"/>
    <w:rsid w:val="008F6B36"/>
    <w:rsid w:val="009013A7"/>
    <w:rsid w:val="009017FB"/>
    <w:rsid w:val="009017FC"/>
    <w:rsid w:val="0090506B"/>
    <w:rsid w:val="009050C9"/>
    <w:rsid w:val="009066FC"/>
    <w:rsid w:val="009140A3"/>
    <w:rsid w:val="009144A2"/>
    <w:rsid w:val="0091510C"/>
    <w:rsid w:val="009259AC"/>
    <w:rsid w:val="00926F38"/>
    <w:rsid w:val="00927BEB"/>
    <w:rsid w:val="009333DC"/>
    <w:rsid w:val="00934301"/>
    <w:rsid w:val="00936CD1"/>
    <w:rsid w:val="00941747"/>
    <w:rsid w:val="00941EFB"/>
    <w:rsid w:val="00947AFB"/>
    <w:rsid w:val="00951AA3"/>
    <w:rsid w:val="00951D7D"/>
    <w:rsid w:val="00956D0C"/>
    <w:rsid w:val="009630C7"/>
    <w:rsid w:val="00972B55"/>
    <w:rsid w:val="009743B7"/>
    <w:rsid w:val="0097610D"/>
    <w:rsid w:val="0098228B"/>
    <w:rsid w:val="009828DA"/>
    <w:rsid w:val="0098410D"/>
    <w:rsid w:val="00985BAB"/>
    <w:rsid w:val="00986B3C"/>
    <w:rsid w:val="009A115C"/>
    <w:rsid w:val="009B1606"/>
    <w:rsid w:val="009B1B5F"/>
    <w:rsid w:val="009B6673"/>
    <w:rsid w:val="009C191B"/>
    <w:rsid w:val="009C2BD6"/>
    <w:rsid w:val="009E1F32"/>
    <w:rsid w:val="009E2CC2"/>
    <w:rsid w:val="009E47A2"/>
    <w:rsid w:val="009E776C"/>
    <w:rsid w:val="009E7A6F"/>
    <w:rsid w:val="009F4C8F"/>
    <w:rsid w:val="00A02972"/>
    <w:rsid w:val="00A05588"/>
    <w:rsid w:val="00A15601"/>
    <w:rsid w:val="00A1726E"/>
    <w:rsid w:val="00A204CF"/>
    <w:rsid w:val="00A21D2B"/>
    <w:rsid w:val="00A22745"/>
    <w:rsid w:val="00A23D49"/>
    <w:rsid w:val="00A27004"/>
    <w:rsid w:val="00A308CE"/>
    <w:rsid w:val="00A30C29"/>
    <w:rsid w:val="00A34DD6"/>
    <w:rsid w:val="00A35683"/>
    <w:rsid w:val="00A36819"/>
    <w:rsid w:val="00A36989"/>
    <w:rsid w:val="00A41D86"/>
    <w:rsid w:val="00A43628"/>
    <w:rsid w:val="00A51D0F"/>
    <w:rsid w:val="00A54192"/>
    <w:rsid w:val="00A57147"/>
    <w:rsid w:val="00A6035E"/>
    <w:rsid w:val="00A6144C"/>
    <w:rsid w:val="00A66617"/>
    <w:rsid w:val="00A671F8"/>
    <w:rsid w:val="00A673A4"/>
    <w:rsid w:val="00A724AE"/>
    <w:rsid w:val="00A73329"/>
    <w:rsid w:val="00A82359"/>
    <w:rsid w:val="00A865D2"/>
    <w:rsid w:val="00A90BCD"/>
    <w:rsid w:val="00A94C20"/>
    <w:rsid w:val="00AA1B09"/>
    <w:rsid w:val="00AA227F"/>
    <w:rsid w:val="00AA3BC7"/>
    <w:rsid w:val="00AA754A"/>
    <w:rsid w:val="00AB099E"/>
    <w:rsid w:val="00AB4328"/>
    <w:rsid w:val="00AC4CD4"/>
    <w:rsid w:val="00AE0A2E"/>
    <w:rsid w:val="00AE354C"/>
    <w:rsid w:val="00AF4B07"/>
    <w:rsid w:val="00AF6186"/>
    <w:rsid w:val="00AF7A3A"/>
    <w:rsid w:val="00B02587"/>
    <w:rsid w:val="00B160DB"/>
    <w:rsid w:val="00B20836"/>
    <w:rsid w:val="00B235BB"/>
    <w:rsid w:val="00B25C0E"/>
    <w:rsid w:val="00B27A44"/>
    <w:rsid w:val="00B30BBF"/>
    <w:rsid w:val="00B33C03"/>
    <w:rsid w:val="00B4421F"/>
    <w:rsid w:val="00B44E56"/>
    <w:rsid w:val="00B45917"/>
    <w:rsid w:val="00B46543"/>
    <w:rsid w:val="00B47D33"/>
    <w:rsid w:val="00B52BE0"/>
    <w:rsid w:val="00B54133"/>
    <w:rsid w:val="00B701ED"/>
    <w:rsid w:val="00B748F7"/>
    <w:rsid w:val="00B8086C"/>
    <w:rsid w:val="00B81C58"/>
    <w:rsid w:val="00B861B4"/>
    <w:rsid w:val="00B86DFE"/>
    <w:rsid w:val="00B90990"/>
    <w:rsid w:val="00B922FF"/>
    <w:rsid w:val="00B9281E"/>
    <w:rsid w:val="00B93925"/>
    <w:rsid w:val="00B95187"/>
    <w:rsid w:val="00BA2D55"/>
    <w:rsid w:val="00BA71B1"/>
    <w:rsid w:val="00BB0637"/>
    <w:rsid w:val="00BB345F"/>
    <w:rsid w:val="00BB68EA"/>
    <w:rsid w:val="00BC0B99"/>
    <w:rsid w:val="00BC1C27"/>
    <w:rsid w:val="00BC6BBF"/>
    <w:rsid w:val="00BD1572"/>
    <w:rsid w:val="00BE14E3"/>
    <w:rsid w:val="00BE3774"/>
    <w:rsid w:val="00BE41E5"/>
    <w:rsid w:val="00BF118F"/>
    <w:rsid w:val="00BF4109"/>
    <w:rsid w:val="00BF4CC3"/>
    <w:rsid w:val="00C054C7"/>
    <w:rsid w:val="00C057B5"/>
    <w:rsid w:val="00C07D0E"/>
    <w:rsid w:val="00C115C3"/>
    <w:rsid w:val="00C15547"/>
    <w:rsid w:val="00C1672D"/>
    <w:rsid w:val="00C22687"/>
    <w:rsid w:val="00C26A92"/>
    <w:rsid w:val="00C26B1C"/>
    <w:rsid w:val="00C32E4D"/>
    <w:rsid w:val="00C333A0"/>
    <w:rsid w:val="00C36A81"/>
    <w:rsid w:val="00C41974"/>
    <w:rsid w:val="00C44A2C"/>
    <w:rsid w:val="00C44F09"/>
    <w:rsid w:val="00C477F7"/>
    <w:rsid w:val="00C509A6"/>
    <w:rsid w:val="00C53F4A"/>
    <w:rsid w:val="00C54125"/>
    <w:rsid w:val="00C55B54"/>
    <w:rsid w:val="00C6098E"/>
    <w:rsid w:val="00C6152C"/>
    <w:rsid w:val="00C61910"/>
    <w:rsid w:val="00C74810"/>
    <w:rsid w:val="00C90D68"/>
    <w:rsid w:val="00C939FE"/>
    <w:rsid w:val="00CA4BDA"/>
    <w:rsid w:val="00CB13E3"/>
    <w:rsid w:val="00CB1F66"/>
    <w:rsid w:val="00CB232C"/>
    <w:rsid w:val="00CB2951"/>
    <w:rsid w:val="00CB4277"/>
    <w:rsid w:val="00CC5067"/>
    <w:rsid w:val="00CD11D3"/>
    <w:rsid w:val="00CD282B"/>
    <w:rsid w:val="00CD447B"/>
    <w:rsid w:val="00CD4C35"/>
    <w:rsid w:val="00CD7369"/>
    <w:rsid w:val="00CE0B0E"/>
    <w:rsid w:val="00CE3831"/>
    <w:rsid w:val="00CF2397"/>
    <w:rsid w:val="00D00ABB"/>
    <w:rsid w:val="00D02EEC"/>
    <w:rsid w:val="00D03551"/>
    <w:rsid w:val="00D06A63"/>
    <w:rsid w:val="00D07E0E"/>
    <w:rsid w:val="00D10CD6"/>
    <w:rsid w:val="00D11478"/>
    <w:rsid w:val="00D15ED0"/>
    <w:rsid w:val="00D164BF"/>
    <w:rsid w:val="00D21B3E"/>
    <w:rsid w:val="00D21FED"/>
    <w:rsid w:val="00D23048"/>
    <w:rsid w:val="00D24251"/>
    <w:rsid w:val="00D26E72"/>
    <w:rsid w:val="00D343E2"/>
    <w:rsid w:val="00D361A2"/>
    <w:rsid w:val="00D37272"/>
    <w:rsid w:val="00D44C2E"/>
    <w:rsid w:val="00D45414"/>
    <w:rsid w:val="00D50A0A"/>
    <w:rsid w:val="00D53548"/>
    <w:rsid w:val="00D566BD"/>
    <w:rsid w:val="00D57A4D"/>
    <w:rsid w:val="00D60AA7"/>
    <w:rsid w:val="00D6435F"/>
    <w:rsid w:val="00D66471"/>
    <w:rsid w:val="00D70641"/>
    <w:rsid w:val="00D74888"/>
    <w:rsid w:val="00D75E28"/>
    <w:rsid w:val="00D772C2"/>
    <w:rsid w:val="00D8008E"/>
    <w:rsid w:val="00D82C45"/>
    <w:rsid w:val="00D908A8"/>
    <w:rsid w:val="00D977B6"/>
    <w:rsid w:val="00DA1223"/>
    <w:rsid w:val="00DA4A31"/>
    <w:rsid w:val="00DA7B04"/>
    <w:rsid w:val="00DB36C2"/>
    <w:rsid w:val="00DC169B"/>
    <w:rsid w:val="00DC2AB9"/>
    <w:rsid w:val="00DC63F0"/>
    <w:rsid w:val="00DD37EA"/>
    <w:rsid w:val="00DD6EE5"/>
    <w:rsid w:val="00DE386C"/>
    <w:rsid w:val="00DE4D35"/>
    <w:rsid w:val="00DF098B"/>
    <w:rsid w:val="00DF11C4"/>
    <w:rsid w:val="00DF210C"/>
    <w:rsid w:val="00DF4B6A"/>
    <w:rsid w:val="00E004C0"/>
    <w:rsid w:val="00E02C09"/>
    <w:rsid w:val="00E04D59"/>
    <w:rsid w:val="00E07DA1"/>
    <w:rsid w:val="00E123CB"/>
    <w:rsid w:val="00E13B09"/>
    <w:rsid w:val="00E20E13"/>
    <w:rsid w:val="00E21DBC"/>
    <w:rsid w:val="00E275D7"/>
    <w:rsid w:val="00E27DBE"/>
    <w:rsid w:val="00E32AB1"/>
    <w:rsid w:val="00E36C71"/>
    <w:rsid w:val="00E40404"/>
    <w:rsid w:val="00E4126A"/>
    <w:rsid w:val="00E42A06"/>
    <w:rsid w:val="00E459C6"/>
    <w:rsid w:val="00E47589"/>
    <w:rsid w:val="00E63EC7"/>
    <w:rsid w:val="00E64915"/>
    <w:rsid w:val="00E64D3A"/>
    <w:rsid w:val="00E661D4"/>
    <w:rsid w:val="00E67565"/>
    <w:rsid w:val="00E70091"/>
    <w:rsid w:val="00E70D2E"/>
    <w:rsid w:val="00E720F5"/>
    <w:rsid w:val="00E76D47"/>
    <w:rsid w:val="00E827BC"/>
    <w:rsid w:val="00E849F7"/>
    <w:rsid w:val="00E90302"/>
    <w:rsid w:val="00E91D05"/>
    <w:rsid w:val="00E95C1E"/>
    <w:rsid w:val="00E97396"/>
    <w:rsid w:val="00EA185E"/>
    <w:rsid w:val="00EA2FE7"/>
    <w:rsid w:val="00EA592A"/>
    <w:rsid w:val="00EB14E4"/>
    <w:rsid w:val="00EB32A5"/>
    <w:rsid w:val="00EB34ED"/>
    <w:rsid w:val="00EB447C"/>
    <w:rsid w:val="00EB7BE0"/>
    <w:rsid w:val="00EC315E"/>
    <w:rsid w:val="00ED077C"/>
    <w:rsid w:val="00ED10A9"/>
    <w:rsid w:val="00ED1190"/>
    <w:rsid w:val="00ED34AC"/>
    <w:rsid w:val="00ED6544"/>
    <w:rsid w:val="00EE0277"/>
    <w:rsid w:val="00EE2899"/>
    <w:rsid w:val="00EE3E00"/>
    <w:rsid w:val="00EE5DD2"/>
    <w:rsid w:val="00EF36C5"/>
    <w:rsid w:val="00EF3DB4"/>
    <w:rsid w:val="00F00A79"/>
    <w:rsid w:val="00F00D13"/>
    <w:rsid w:val="00F00E86"/>
    <w:rsid w:val="00F07C1E"/>
    <w:rsid w:val="00F105DB"/>
    <w:rsid w:val="00F132BC"/>
    <w:rsid w:val="00F13D80"/>
    <w:rsid w:val="00F15B4D"/>
    <w:rsid w:val="00F16A7C"/>
    <w:rsid w:val="00F16AAA"/>
    <w:rsid w:val="00F1709C"/>
    <w:rsid w:val="00F21161"/>
    <w:rsid w:val="00F218EF"/>
    <w:rsid w:val="00F21BC7"/>
    <w:rsid w:val="00F266A2"/>
    <w:rsid w:val="00F32269"/>
    <w:rsid w:val="00F35B7A"/>
    <w:rsid w:val="00F56A6F"/>
    <w:rsid w:val="00F5709C"/>
    <w:rsid w:val="00F60B85"/>
    <w:rsid w:val="00F64EF1"/>
    <w:rsid w:val="00F72B14"/>
    <w:rsid w:val="00F7349B"/>
    <w:rsid w:val="00F8765F"/>
    <w:rsid w:val="00F90767"/>
    <w:rsid w:val="00F9263C"/>
    <w:rsid w:val="00FA1637"/>
    <w:rsid w:val="00FA685B"/>
    <w:rsid w:val="00FB0C01"/>
    <w:rsid w:val="00FB5934"/>
    <w:rsid w:val="00FC18F2"/>
    <w:rsid w:val="00FC2A17"/>
    <w:rsid w:val="00FC38CF"/>
    <w:rsid w:val="00FC39E5"/>
    <w:rsid w:val="00FC3A78"/>
    <w:rsid w:val="00FD1005"/>
    <w:rsid w:val="00FD1F7F"/>
    <w:rsid w:val="00FD6C75"/>
    <w:rsid w:val="00FD7972"/>
    <w:rsid w:val="00FE0401"/>
    <w:rsid w:val="00FE71B3"/>
    <w:rsid w:val="00FF31D2"/>
    <w:rsid w:val="00FF42C5"/>
    <w:rsid w:val="00FF7FF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8" w:defSemiHidden="0" w:defUnhideWhenUsed="0" w:defQFormat="0" w:count="371">
    <w:lsdException w:name="Normal" w:uiPriority="0"/>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59"/>
    <w:lsdException w:name="Table Theme" w:semiHidden="1" w:uiPriority="99"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rsid w:val="00FF31D2"/>
    <w:rPr>
      <w:sz w:val="24"/>
      <w:szCs w:val="24"/>
      <w:lang w:val="en-GB"/>
    </w:rPr>
  </w:style>
  <w:style w:type="paragraph" w:styleId="Heading1">
    <w:name w:val="heading 1"/>
    <w:basedOn w:val="Normal"/>
    <w:next w:val="Normal"/>
    <w:link w:val="Heading1Char"/>
    <w:uiPriority w:val="98"/>
    <w:semiHidden/>
    <w:rsid w:val="00FF31D2"/>
    <w:pPr>
      <w:spacing w:before="480"/>
      <w:contextualSpacing/>
      <w:outlineLvl w:val="0"/>
    </w:pPr>
    <w:rPr>
      <w:rFonts w:asciiTheme="majorHAnsi" w:eastAsiaTheme="majorEastAsia" w:hAnsiTheme="majorHAnsi" w:cstheme="majorBidi"/>
      <w:b/>
      <w:bCs/>
      <w:color w:val="333333"/>
      <w:sz w:val="28"/>
      <w:szCs w:val="28"/>
    </w:rPr>
  </w:style>
  <w:style w:type="paragraph" w:styleId="Heading2">
    <w:name w:val="heading 2"/>
    <w:basedOn w:val="Normal"/>
    <w:next w:val="Normal"/>
    <w:link w:val="Heading2Char"/>
    <w:uiPriority w:val="98"/>
    <w:semiHidden/>
    <w:rsid w:val="00FF31D2"/>
    <w:pPr>
      <w:spacing w:before="200"/>
      <w:outlineLvl w:val="1"/>
    </w:pPr>
    <w:rPr>
      <w:rFonts w:asciiTheme="majorHAnsi" w:eastAsiaTheme="majorEastAsia" w:hAnsiTheme="majorHAnsi" w:cstheme="majorBidi"/>
      <w:b/>
      <w:bCs/>
      <w:color w:val="4D4D4D"/>
      <w:sz w:val="26"/>
      <w:szCs w:val="26"/>
    </w:rPr>
  </w:style>
  <w:style w:type="paragraph" w:styleId="Heading3">
    <w:name w:val="heading 3"/>
    <w:basedOn w:val="Normal"/>
    <w:next w:val="Normal"/>
    <w:link w:val="Heading3Char"/>
    <w:uiPriority w:val="98"/>
    <w:semiHidden/>
    <w:rsid w:val="00FF31D2"/>
    <w:pPr>
      <w:spacing w:before="200" w:line="271" w:lineRule="auto"/>
      <w:outlineLvl w:val="2"/>
    </w:pPr>
    <w:rPr>
      <w:rFonts w:asciiTheme="majorHAnsi" w:eastAsiaTheme="majorEastAsia" w:hAnsiTheme="majorHAnsi" w:cstheme="majorBidi"/>
      <w:b/>
      <w:bCs/>
      <w:color w:val="5F5F5F"/>
      <w:sz w:val="22"/>
      <w:szCs w:val="22"/>
    </w:rPr>
  </w:style>
  <w:style w:type="paragraph" w:styleId="Heading4">
    <w:name w:val="heading 4"/>
    <w:basedOn w:val="Normal"/>
    <w:next w:val="Normal"/>
    <w:link w:val="Heading4Char"/>
    <w:uiPriority w:val="98"/>
    <w:semiHidden/>
    <w:rsid w:val="00FF31D2"/>
    <w:pPr>
      <w:spacing w:before="200"/>
      <w:outlineLvl w:val="3"/>
    </w:pPr>
    <w:rPr>
      <w:rFonts w:asciiTheme="majorHAnsi" w:eastAsiaTheme="majorEastAsia" w:hAnsiTheme="majorHAnsi" w:cstheme="majorBidi"/>
      <w:b/>
      <w:bCs/>
      <w:i/>
      <w:iCs/>
      <w:color w:val="777777"/>
      <w:sz w:val="22"/>
      <w:szCs w:val="22"/>
    </w:rPr>
  </w:style>
  <w:style w:type="paragraph" w:styleId="Heading5">
    <w:name w:val="heading 5"/>
    <w:basedOn w:val="Normal"/>
    <w:next w:val="Normal"/>
    <w:link w:val="Heading5Char"/>
    <w:uiPriority w:val="98"/>
    <w:semiHidden/>
    <w:qFormat/>
    <w:rsid w:val="00FF31D2"/>
    <w:pPr>
      <w:spacing w:before="200"/>
      <w:outlineLvl w:val="4"/>
    </w:pPr>
    <w:rPr>
      <w:rFonts w:asciiTheme="majorHAnsi" w:eastAsiaTheme="majorEastAsia" w:hAnsiTheme="majorHAnsi" w:cstheme="majorBidi"/>
      <w:b/>
      <w:bCs/>
      <w:color w:val="808080"/>
      <w:sz w:val="22"/>
      <w:szCs w:val="22"/>
    </w:rPr>
  </w:style>
  <w:style w:type="paragraph" w:styleId="Heading6">
    <w:name w:val="heading 6"/>
    <w:basedOn w:val="Normal"/>
    <w:next w:val="Normal"/>
    <w:link w:val="Heading6Char"/>
    <w:uiPriority w:val="98"/>
    <w:semiHidden/>
    <w:rsid w:val="00FF31D2"/>
    <w:pPr>
      <w:spacing w:line="271" w:lineRule="auto"/>
      <w:outlineLvl w:val="5"/>
    </w:pPr>
    <w:rPr>
      <w:rFonts w:asciiTheme="majorHAnsi" w:eastAsiaTheme="majorEastAsia" w:hAnsiTheme="majorHAnsi" w:cstheme="majorBidi"/>
      <w:b/>
      <w:bCs/>
      <w:i/>
      <w:iCs/>
      <w:color w:val="7F7F7F" w:themeColor="text1" w:themeTint="80"/>
      <w:sz w:val="22"/>
      <w:szCs w:val="22"/>
      <w:lang w:bidi="en-US"/>
    </w:rPr>
  </w:style>
  <w:style w:type="paragraph" w:styleId="Heading7">
    <w:name w:val="heading 7"/>
    <w:basedOn w:val="Normal"/>
    <w:next w:val="Normal"/>
    <w:link w:val="Heading7Char"/>
    <w:uiPriority w:val="98"/>
    <w:semiHidden/>
    <w:qFormat/>
    <w:rsid w:val="00FF31D2"/>
    <w:pPr>
      <w:outlineLvl w:val="6"/>
    </w:pPr>
    <w:rPr>
      <w:rFonts w:asciiTheme="majorHAnsi" w:eastAsiaTheme="majorEastAsia" w:hAnsiTheme="majorHAnsi" w:cstheme="majorBidi"/>
      <w:i/>
      <w:iCs/>
      <w:sz w:val="22"/>
      <w:szCs w:val="22"/>
      <w:lang w:bidi="en-US"/>
    </w:rPr>
  </w:style>
  <w:style w:type="paragraph" w:styleId="Heading8">
    <w:name w:val="heading 8"/>
    <w:basedOn w:val="Normal"/>
    <w:next w:val="Normal"/>
    <w:link w:val="Heading8Char"/>
    <w:uiPriority w:val="98"/>
    <w:semiHidden/>
    <w:qFormat/>
    <w:rsid w:val="00FF31D2"/>
    <w:pPr>
      <w:outlineLvl w:val="7"/>
    </w:pPr>
    <w:rPr>
      <w:rFonts w:asciiTheme="majorHAnsi" w:eastAsiaTheme="majorEastAsia" w:hAnsiTheme="majorHAnsi" w:cstheme="majorBidi"/>
      <w:sz w:val="20"/>
      <w:szCs w:val="20"/>
      <w:lang w:bidi="en-US"/>
    </w:rPr>
  </w:style>
  <w:style w:type="paragraph" w:styleId="Heading9">
    <w:name w:val="heading 9"/>
    <w:basedOn w:val="Normal"/>
    <w:next w:val="Normal"/>
    <w:link w:val="Heading9Char"/>
    <w:uiPriority w:val="98"/>
    <w:semiHidden/>
    <w:qFormat/>
    <w:rsid w:val="00FF31D2"/>
    <w:pPr>
      <w:outlineLvl w:val="8"/>
    </w:pPr>
    <w:rPr>
      <w:rFonts w:asciiTheme="majorHAnsi" w:eastAsiaTheme="majorEastAsia" w:hAnsiTheme="majorHAnsi" w:cstheme="majorBidi"/>
      <w:i/>
      <w:iCs/>
      <w:spacing w:val="5"/>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8"/>
    <w:semiHidden/>
    <w:rsid w:val="00FF31D2"/>
    <w:rPr>
      <w:rFonts w:ascii="Tahoma" w:hAnsi="Tahoma" w:cs="Tahoma"/>
      <w:sz w:val="16"/>
      <w:szCs w:val="16"/>
    </w:rPr>
  </w:style>
  <w:style w:type="character" w:customStyle="1" w:styleId="BalloonTextChar">
    <w:name w:val="Balloon Text Char"/>
    <w:basedOn w:val="DefaultParagraphFont"/>
    <w:link w:val="BalloonText"/>
    <w:uiPriority w:val="98"/>
    <w:semiHidden/>
    <w:rsid w:val="00FF31D2"/>
    <w:rPr>
      <w:rFonts w:ascii="Tahoma" w:hAnsi="Tahoma" w:cs="Tahoma"/>
      <w:sz w:val="16"/>
      <w:szCs w:val="16"/>
      <w:lang w:val="en-GB"/>
    </w:rPr>
  </w:style>
  <w:style w:type="character" w:styleId="BookTitle">
    <w:name w:val="Book Title"/>
    <w:uiPriority w:val="98"/>
    <w:semiHidden/>
    <w:qFormat/>
    <w:rsid w:val="00FF31D2"/>
    <w:rPr>
      <w:i/>
      <w:iCs/>
      <w:smallCaps/>
      <w:spacing w:val="5"/>
    </w:rPr>
  </w:style>
  <w:style w:type="paragraph" w:customStyle="1" w:styleId="JuHeader">
    <w:name w:val="Ju_Header"/>
    <w:aliases w:val="_Header"/>
    <w:basedOn w:val="Header"/>
    <w:uiPriority w:val="29"/>
    <w:qFormat/>
    <w:rsid w:val="00FF31D2"/>
    <w:pPr>
      <w:tabs>
        <w:tab w:val="clear" w:pos="4536"/>
        <w:tab w:val="clear" w:pos="9072"/>
      </w:tabs>
      <w:jc w:val="center"/>
    </w:pPr>
    <w:rPr>
      <w:sz w:val="18"/>
    </w:rPr>
  </w:style>
  <w:style w:type="paragraph" w:customStyle="1" w:styleId="NormalJustified">
    <w:name w:val="Normal_Justified"/>
    <w:basedOn w:val="Normal"/>
    <w:semiHidden/>
    <w:rsid w:val="00FF31D2"/>
    <w:pPr>
      <w:jc w:val="both"/>
    </w:pPr>
  </w:style>
  <w:style w:type="character" w:styleId="Strong">
    <w:name w:val="Strong"/>
    <w:uiPriority w:val="98"/>
    <w:semiHidden/>
    <w:qFormat/>
    <w:rsid w:val="00FF31D2"/>
    <w:rPr>
      <w:b/>
      <w:bCs/>
    </w:rPr>
  </w:style>
  <w:style w:type="paragraph" w:styleId="NoSpacing">
    <w:name w:val="No Spacing"/>
    <w:basedOn w:val="Normal"/>
    <w:link w:val="NoSpacingChar"/>
    <w:uiPriority w:val="98"/>
    <w:semiHidden/>
    <w:qFormat/>
    <w:rsid w:val="00FF31D2"/>
  </w:style>
  <w:style w:type="character" w:customStyle="1" w:styleId="NoSpacingChar">
    <w:name w:val="No Spacing Char"/>
    <w:basedOn w:val="DefaultParagraphFont"/>
    <w:link w:val="NoSpacing"/>
    <w:uiPriority w:val="98"/>
    <w:semiHidden/>
    <w:rsid w:val="00FF31D2"/>
    <w:rPr>
      <w:sz w:val="24"/>
      <w:szCs w:val="24"/>
      <w:lang w:val="en-GB"/>
    </w:rPr>
  </w:style>
  <w:style w:type="paragraph" w:customStyle="1" w:styleId="JuQuot">
    <w:name w:val="Ju_Quot"/>
    <w:aliases w:val="_Quote"/>
    <w:basedOn w:val="NormalJustified"/>
    <w:uiPriority w:val="20"/>
    <w:qFormat/>
    <w:rsid w:val="00FF31D2"/>
    <w:pPr>
      <w:spacing w:before="120" w:after="120"/>
      <w:ind w:left="425" w:firstLine="142"/>
    </w:pPr>
    <w:rPr>
      <w:sz w:val="20"/>
    </w:rPr>
  </w:style>
  <w:style w:type="paragraph" w:customStyle="1" w:styleId="DummyStyle">
    <w:name w:val="Dummy_Style"/>
    <w:aliases w:val="_Dummy"/>
    <w:basedOn w:val="Normal"/>
    <w:semiHidden/>
    <w:qFormat/>
    <w:rsid w:val="00FF31D2"/>
    <w:rPr>
      <w:color w:val="00B050"/>
      <w:sz w:val="22"/>
    </w:rPr>
  </w:style>
  <w:style w:type="paragraph" w:customStyle="1" w:styleId="JuList">
    <w:name w:val="Ju_List"/>
    <w:aliases w:val="_List_1"/>
    <w:basedOn w:val="NormalJustified"/>
    <w:uiPriority w:val="23"/>
    <w:qFormat/>
    <w:rsid w:val="00FF31D2"/>
    <w:pPr>
      <w:numPr>
        <w:numId w:val="8"/>
      </w:numPr>
      <w:spacing w:before="280" w:after="60"/>
    </w:pPr>
  </w:style>
  <w:style w:type="paragraph" w:customStyle="1" w:styleId="JuLista">
    <w:name w:val="Ju_List_a"/>
    <w:aliases w:val="_List_2"/>
    <w:basedOn w:val="NormalJustified"/>
    <w:uiPriority w:val="23"/>
    <w:rsid w:val="00FF31D2"/>
    <w:pPr>
      <w:numPr>
        <w:ilvl w:val="1"/>
        <w:numId w:val="8"/>
      </w:numPr>
    </w:pPr>
  </w:style>
  <w:style w:type="paragraph" w:customStyle="1" w:styleId="JuListi">
    <w:name w:val="Ju_List_i"/>
    <w:aliases w:val="_List_3"/>
    <w:basedOn w:val="NormalJustified"/>
    <w:uiPriority w:val="23"/>
    <w:rsid w:val="00FF31D2"/>
    <w:pPr>
      <w:numPr>
        <w:ilvl w:val="2"/>
        <w:numId w:val="8"/>
      </w:numPr>
    </w:pPr>
  </w:style>
  <w:style w:type="paragraph" w:customStyle="1" w:styleId="JuHArticle">
    <w:name w:val="Ju_H_Article"/>
    <w:aliases w:val="_Title_Quote"/>
    <w:basedOn w:val="Normal"/>
    <w:next w:val="JuQuot"/>
    <w:uiPriority w:val="19"/>
    <w:qFormat/>
    <w:rsid w:val="00FF31D2"/>
    <w:pPr>
      <w:keepNext/>
      <w:spacing w:before="100" w:beforeAutospacing="1" w:after="120"/>
      <w:contextualSpacing/>
      <w:jc w:val="center"/>
    </w:pPr>
    <w:rPr>
      <w:b/>
      <w:sz w:val="20"/>
    </w:rPr>
  </w:style>
  <w:style w:type="paragraph" w:customStyle="1" w:styleId="DecHTitle">
    <w:name w:val="Dec_H_Title"/>
    <w:aliases w:val="_Title_1"/>
    <w:basedOn w:val="JuPara"/>
    <w:next w:val="JuPara"/>
    <w:uiPriority w:val="38"/>
    <w:qFormat/>
    <w:rsid w:val="00FF31D2"/>
    <w:pPr>
      <w:keepNext/>
      <w:keepLines/>
      <w:spacing w:after="240"/>
      <w:ind w:firstLine="0"/>
      <w:jc w:val="center"/>
      <w:outlineLvl w:val="0"/>
    </w:pPr>
    <w:rPr>
      <w:rFonts w:asciiTheme="majorHAnsi" w:hAnsiTheme="majorHAnsi"/>
      <w:sz w:val="28"/>
    </w:rPr>
  </w:style>
  <w:style w:type="paragraph" w:customStyle="1" w:styleId="ECHRCoverTitle4">
    <w:name w:val="ECHR_Cover_Title_4"/>
    <w:aliases w:val="_Title_4"/>
    <w:basedOn w:val="JuPara"/>
    <w:next w:val="JuPara"/>
    <w:uiPriority w:val="38"/>
    <w:qFormat/>
    <w:rsid w:val="00FF31D2"/>
    <w:pPr>
      <w:keepNext/>
      <w:keepLines/>
      <w:tabs>
        <w:tab w:val="right" w:pos="7938"/>
      </w:tabs>
      <w:ind w:firstLine="0"/>
      <w:jc w:val="center"/>
    </w:pPr>
    <w:rPr>
      <w:i/>
    </w:rPr>
  </w:style>
  <w:style w:type="paragraph" w:customStyle="1" w:styleId="JuHHead">
    <w:name w:val="Ju_H_Head"/>
    <w:aliases w:val="_Head_1"/>
    <w:basedOn w:val="Heading1"/>
    <w:next w:val="JuPara"/>
    <w:uiPriority w:val="17"/>
    <w:qFormat/>
    <w:rsid w:val="00FF31D2"/>
    <w:pPr>
      <w:keepNext/>
      <w:keepLines/>
      <w:numPr>
        <w:numId w:val="3"/>
      </w:numPr>
      <w:spacing w:before="100" w:beforeAutospacing="1" w:after="240"/>
      <w:contextualSpacing w:val="0"/>
      <w:jc w:val="both"/>
    </w:pPr>
    <w:rPr>
      <w:b w:val="0"/>
      <w:caps/>
      <w:color w:val="auto"/>
    </w:rPr>
  </w:style>
  <w:style w:type="numbering" w:customStyle="1" w:styleId="ECHRA1StyleBulletedSquare">
    <w:name w:val="ECHR_A1_Style_Bulleted_Square"/>
    <w:basedOn w:val="NoList"/>
    <w:rsid w:val="00FF31D2"/>
    <w:pPr>
      <w:numPr>
        <w:numId w:val="7"/>
      </w:numPr>
    </w:pPr>
  </w:style>
  <w:style w:type="paragraph" w:customStyle="1" w:styleId="JuSigned">
    <w:name w:val="Ju_Signed"/>
    <w:aliases w:val="_Signature"/>
    <w:basedOn w:val="Normal"/>
    <w:next w:val="JuPara"/>
    <w:uiPriority w:val="31"/>
    <w:qFormat/>
    <w:rsid w:val="00FF31D2"/>
    <w:pPr>
      <w:tabs>
        <w:tab w:val="center" w:pos="851"/>
        <w:tab w:val="center" w:pos="6407"/>
      </w:tabs>
      <w:spacing w:before="720"/>
    </w:pPr>
  </w:style>
  <w:style w:type="paragraph" w:styleId="Title">
    <w:name w:val="Title"/>
    <w:basedOn w:val="Normal"/>
    <w:next w:val="Normal"/>
    <w:link w:val="TitleChar"/>
    <w:uiPriority w:val="98"/>
    <w:semiHidden/>
    <w:qFormat/>
    <w:rsid w:val="00FF31D2"/>
    <w:pPr>
      <w:pBdr>
        <w:bottom w:val="single" w:sz="4" w:space="1" w:color="auto"/>
      </w:pBdr>
      <w:contextualSpacing/>
    </w:pPr>
    <w:rPr>
      <w:rFonts w:asciiTheme="majorHAnsi" w:eastAsiaTheme="majorEastAsia" w:hAnsiTheme="majorHAnsi" w:cstheme="majorBidi"/>
      <w:spacing w:val="5"/>
      <w:sz w:val="52"/>
      <w:szCs w:val="52"/>
      <w:lang w:bidi="en-US"/>
    </w:rPr>
  </w:style>
  <w:style w:type="character" w:customStyle="1" w:styleId="TitleChar">
    <w:name w:val="Title Char"/>
    <w:basedOn w:val="DefaultParagraphFont"/>
    <w:link w:val="Title"/>
    <w:uiPriority w:val="98"/>
    <w:semiHidden/>
    <w:rsid w:val="00FF31D2"/>
    <w:rPr>
      <w:rFonts w:asciiTheme="majorHAnsi" w:eastAsiaTheme="majorEastAsia" w:hAnsiTheme="majorHAnsi" w:cstheme="majorBidi"/>
      <w:spacing w:val="5"/>
      <w:sz w:val="52"/>
      <w:szCs w:val="52"/>
      <w:lang w:val="en-GB" w:bidi="en-US"/>
    </w:rPr>
  </w:style>
  <w:style w:type="numbering" w:customStyle="1" w:styleId="ECHRA1StyleList">
    <w:name w:val="ECHR_A1_Style_List"/>
    <w:basedOn w:val="NoList"/>
    <w:uiPriority w:val="99"/>
    <w:rsid w:val="00FF31D2"/>
    <w:pPr>
      <w:numPr>
        <w:numId w:val="8"/>
      </w:numPr>
    </w:pPr>
  </w:style>
  <w:style w:type="numbering" w:customStyle="1" w:styleId="ECHRA1StyleNumberedList">
    <w:name w:val="ECHR_A1_Style_Numbered_List"/>
    <w:basedOn w:val="NoList"/>
    <w:rsid w:val="00FF31D2"/>
    <w:pPr>
      <w:numPr>
        <w:numId w:val="9"/>
      </w:numPr>
    </w:pPr>
  </w:style>
  <w:style w:type="table" w:customStyle="1" w:styleId="ECHRTable2019">
    <w:name w:val="ECHR_Table_2019"/>
    <w:basedOn w:val="TableNormal"/>
    <w:uiPriority w:val="99"/>
    <w:rsid w:val="00FF31D2"/>
    <w:rPr>
      <w:sz w:val="24"/>
      <w:szCs w:val="24"/>
    </w:rPr>
    <w:tblPr>
      <w:tblStyleRowBandSize w:val="1"/>
      <w:tblStyleColBandSize w:val="1"/>
      <w:jc w:val="center"/>
      <w:tbl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blBorders>
    </w:tblPr>
    <w:trPr>
      <w:jc w:val="center"/>
    </w:trPr>
    <w:tblStylePr w:type="firstRow">
      <w:rPr>
        <w:rFonts w:asciiTheme="majorHAnsi" w:hAnsiTheme="majorHAnsi"/>
        <w:b/>
        <w:i w:val="0"/>
        <w:color w:val="auto"/>
        <w:sz w:val="22"/>
      </w:rPr>
      <w:tblPr/>
      <w:tcPr>
        <w:shd w:val="clear" w:color="auto" w:fill="DFDFDF" w:themeFill="accent3" w:themeFillTint="3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F3F3F3" w:themeFill="text2" w:themeFillTint="33"/>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F3F3F3" w:themeFill="text2" w:themeFillTint="33"/>
      </w:tcPr>
    </w:tblStylePr>
    <w:tblStylePr w:type="band2Horz">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l2br w:val="nil"/>
          <w:tr2bl w:val="nil"/>
        </w:tcBorders>
        <w:shd w:val="clear" w:color="auto" w:fill="F3F3F3" w:themeFill="text2" w:themeFillTint="33"/>
      </w:tcPr>
    </w:tblStylePr>
  </w:style>
  <w:style w:type="paragraph" w:customStyle="1" w:styleId="Footer">
    <w:name w:val="_Footer"/>
    <w:aliases w:val="Footer_"/>
    <w:basedOn w:val="Footer0"/>
    <w:uiPriority w:val="57"/>
    <w:semiHidden/>
    <w:rsid w:val="007D3701"/>
    <w:rPr>
      <w:sz w:val="8"/>
    </w:rPr>
  </w:style>
  <w:style w:type="paragraph" w:customStyle="1" w:styleId="JuCourt">
    <w:name w:val="Ju_Court"/>
    <w:aliases w:val="_Court_Names"/>
    <w:basedOn w:val="Normal"/>
    <w:next w:val="Normal"/>
    <w:uiPriority w:val="32"/>
    <w:qFormat/>
    <w:rsid w:val="00FF31D2"/>
    <w:pPr>
      <w:tabs>
        <w:tab w:val="left" w:pos="907"/>
        <w:tab w:val="left" w:pos="1701"/>
        <w:tab w:val="right" w:pos="7371"/>
      </w:tabs>
      <w:spacing w:before="240"/>
      <w:ind w:left="397" w:hanging="397"/>
    </w:pPr>
    <w:rPr>
      <w:lang w:bidi="en-US"/>
    </w:rPr>
  </w:style>
  <w:style w:type="paragraph" w:customStyle="1" w:styleId="JuHIRoman">
    <w:name w:val="Ju_H_I_Roman"/>
    <w:aliases w:val="_Head_2"/>
    <w:basedOn w:val="Heading2"/>
    <w:next w:val="JuPara"/>
    <w:uiPriority w:val="17"/>
    <w:qFormat/>
    <w:rsid w:val="00FF31D2"/>
    <w:pPr>
      <w:keepNext/>
      <w:keepLines/>
      <w:numPr>
        <w:ilvl w:val="1"/>
        <w:numId w:val="3"/>
      </w:numPr>
      <w:tabs>
        <w:tab w:val="left" w:pos="454"/>
        <w:tab w:val="left" w:pos="567"/>
        <w:tab w:val="left" w:pos="680"/>
      </w:tabs>
      <w:spacing w:before="100" w:beforeAutospacing="1" w:after="240"/>
      <w:jc w:val="both"/>
    </w:pPr>
    <w:rPr>
      <w:b w:val="0"/>
      <w:caps/>
      <w:color w:val="auto"/>
      <w:sz w:val="24"/>
    </w:rPr>
  </w:style>
  <w:style w:type="paragraph" w:customStyle="1" w:styleId="JuHA">
    <w:name w:val="Ju_H_A"/>
    <w:aliases w:val="_Head_3"/>
    <w:basedOn w:val="Heading3"/>
    <w:next w:val="JuPara"/>
    <w:uiPriority w:val="17"/>
    <w:qFormat/>
    <w:rsid w:val="00FF31D2"/>
    <w:pPr>
      <w:keepNext/>
      <w:keepLines/>
      <w:numPr>
        <w:ilvl w:val="2"/>
        <w:numId w:val="3"/>
      </w:numPr>
      <w:spacing w:before="100" w:beforeAutospacing="1" w:after="240" w:line="240" w:lineRule="auto"/>
      <w:jc w:val="both"/>
    </w:pPr>
    <w:rPr>
      <w:color w:val="auto"/>
      <w:sz w:val="24"/>
    </w:rPr>
  </w:style>
  <w:style w:type="paragraph" w:customStyle="1" w:styleId="JuH1">
    <w:name w:val="Ju_H_1."/>
    <w:aliases w:val="_Head_4"/>
    <w:basedOn w:val="Heading4"/>
    <w:next w:val="JuPara"/>
    <w:uiPriority w:val="17"/>
    <w:rsid w:val="00FF31D2"/>
    <w:pPr>
      <w:keepNext/>
      <w:keepLines/>
      <w:numPr>
        <w:ilvl w:val="3"/>
        <w:numId w:val="3"/>
      </w:numPr>
      <w:spacing w:before="100" w:beforeAutospacing="1" w:after="120"/>
      <w:jc w:val="both"/>
    </w:pPr>
    <w:rPr>
      <w:b w:val="0"/>
      <w:color w:val="auto"/>
      <w:sz w:val="24"/>
    </w:rPr>
  </w:style>
  <w:style w:type="paragraph" w:styleId="Header">
    <w:name w:val="header"/>
    <w:basedOn w:val="Normal"/>
    <w:link w:val="HeaderChar"/>
    <w:uiPriority w:val="98"/>
    <w:semiHidden/>
    <w:rsid w:val="00FF31D2"/>
    <w:pPr>
      <w:tabs>
        <w:tab w:val="center" w:pos="4536"/>
        <w:tab w:val="right" w:pos="9072"/>
      </w:tabs>
    </w:pPr>
  </w:style>
  <w:style w:type="character" w:customStyle="1" w:styleId="HeaderChar">
    <w:name w:val="Header Char"/>
    <w:basedOn w:val="DefaultParagraphFont"/>
    <w:link w:val="Header"/>
    <w:uiPriority w:val="98"/>
    <w:semiHidden/>
    <w:rsid w:val="00FF31D2"/>
    <w:rPr>
      <w:sz w:val="24"/>
      <w:szCs w:val="24"/>
      <w:lang w:val="en-GB"/>
    </w:rPr>
  </w:style>
  <w:style w:type="character" w:customStyle="1" w:styleId="Heading1Char">
    <w:name w:val="Heading 1 Char"/>
    <w:basedOn w:val="DefaultParagraphFont"/>
    <w:link w:val="Heading1"/>
    <w:uiPriority w:val="98"/>
    <w:semiHidden/>
    <w:rsid w:val="00FF31D2"/>
    <w:rPr>
      <w:rFonts w:asciiTheme="majorHAnsi" w:eastAsiaTheme="majorEastAsia" w:hAnsiTheme="majorHAnsi" w:cstheme="majorBidi"/>
      <w:b/>
      <w:bCs/>
      <w:color w:val="333333"/>
      <w:sz w:val="28"/>
      <w:szCs w:val="28"/>
      <w:lang w:val="en-GB"/>
    </w:rPr>
  </w:style>
  <w:style w:type="paragraph" w:customStyle="1" w:styleId="JuHa0">
    <w:name w:val="Ju_H_a"/>
    <w:aliases w:val="_Head_5"/>
    <w:basedOn w:val="Heading5"/>
    <w:next w:val="JuPara"/>
    <w:uiPriority w:val="17"/>
    <w:rsid w:val="00FF31D2"/>
    <w:pPr>
      <w:keepNext/>
      <w:keepLines/>
      <w:numPr>
        <w:ilvl w:val="4"/>
        <w:numId w:val="3"/>
      </w:numPr>
      <w:spacing w:before="100" w:beforeAutospacing="1" w:after="120"/>
      <w:jc w:val="both"/>
    </w:pPr>
    <w:rPr>
      <w:color w:val="auto"/>
      <w:sz w:val="20"/>
    </w:rPr>
  </w:style>
  <w:style w:type="paragraph" w:customStyle="1" w:styleId="JuHi">
    <w:name w:val="Ju_H_i"/>
    <w:aliases w:val="_Head_6"/>
    <w:basedOn w:val="Heading6"/>
    <w:next w:val="JuPara"/>
    <w:uiPriority w:val="17"/>
    <w:rsid w:val="00FF31D2"/>
    <w:pPr>
      <w:keepNext/>
      <w:keepLines/>
      <w:numPr>
        <w:ilvl w:val="5"/>
        <w:numId w:val="3"/>
      </w:numPr>
      <w:tabs>
        <w:tab w:val="left" w:pos="1077"/>
        <w:tab w:val="left" w:pos="1134"/>
        <w:tab w:val="left" w:pos="1191"/>
        <w:tab w:val="left" w:pos="1247"/>
      </w:tabs>
      <w:spacing w:before="100" w:beforeAutospacing="1" w:after="120"/>
      <w:jc w:val="both"/>
    </w:pPr>
    <w:rPr>
      <w:b w:val="0"/>
      <w:color w:val="auto"/>
      <w:sz w:val="20"/>
    </w:rPr>
  </w:style>
  <w:style w:type="character" w:customStyle="1" w:styleId="Heading2Char">
    <w:name w:val="Heading 2 Char"/>
    <w:basedOn w:val="DefaultParagraphFont"/>
    <w:link w:val="Heading2"/>
    <w:uiPriority w:val="98"/>
    <w:semiHidden/>
    <w:rsid w:val="00FF31D2"/>
    <w:rPr>
      <w:rFonts w:asciiTheme="majorHAnsi" w:eastAsiaTheme="majorEastAsia" w:hAnsiTheme="majorHAnsi" w:cstheme="majorBidi"/>
      <w:b/>
      <w:bCs/>
      <w:color w:val="4D4D4D"/>
      <w:sz w:val="26"/>
      <w:szCs w:val="26"/>
      <w:lang w:val="en-GB"/>
    </w:rPr>
  </w:style>
  <w:style w:type="paragraph" w:customStyle="1" w:styleId="JuHalpha">
    <w:name w:val="Ju_H_alpha"/>
    <w:aliases w:val="_Head_7"/>
    <w:basedOn w:val="Heading7"/>
    <w:next w:val="JuPara"/>
    <w:uiPriority w:val="17"/>
    <w:rsid w:val="00FF31D2"/>
    <w:pPr>
      <w:keepNext/>
      <w:keepLines/>
      <w:numPr>
        <w:ilvl w:val="6"/>
        <w:numId w:val="3"/>
      </w:numPr>
      <w:tabs>
        <w:tab w:val="left" w:pos="1361"/>
      </w:tabs>
      <w:spacing w:before="100" w:beforeAutospacing="1" w:after="120"/>
      <w:jc w:val="both"/>
    </w:pPr>
    <w:rPr>
      <w:i w:val="0"/>
      <w:sz w:val="20"/>
    </w:rPr>
  </w:style>
  <w:style w:type="paragraph" w:customStyle="1" w:styleId="JuH">
    <w:name w:val="Ju_H_–"/>
    <w:aliases w:val="_Head_8"/>
    <w:basedOn w:val="Heading8"/>
    <w:next w:val="JuPara"/>
    <w:uiPriority w:val="17"/>
    <w:rsid w:val="00FF31D2"/>
    <w:pPr>
      <w:keepNext/>
      <w:keepLines/>
      <w:numPr>
        <w:ilvl w:val="7"/>
        <w:numId w:val="3"/>
      </w:numPr>
      <w:spacing w:before="100" w:beforeAutospacing="1" w:after="120"/>
      <w:jc w:val="both"/>
    </w:pPr>
    <w:rPr>
      <w:i/>
    </w:rPr>
  </w:style>
  <w:style w:type="character" w:customStyle="1" w:styleId="Heading3Char">
    <w:name w:val="Heading 3 Char"/>
    <w:basedOn w:val="DefaultParagraphFont"/>
    <w:link w:val="Heading3"/>
    <w:uiPriority w:val="98"/>
    <w:semiHidden/>
    <w:rsid w:val="00FF31D2"/>
    <w:rPr>
      <w:rFonts w:asciiTheme="majorHAnsi" w:eastAsiaTheme="majorEastAsia" w:hAnsiTheme="majorHAnsi" w:cstheme="majorBidi"/>
      <w:b/>
      <w:bCs/>
      <w:color w:val="5F5F5F"/>
      <w:lang w:val="en-GB"/>
    </w:rPr>
  </w:style>
  <w:style w:type="paragraph" w:customStyle="1" w:styleId="JuParaLast">
    <w:name w:val="Ju_Para_Last"/>
    <w:aliases w:val="_Para_Spaced"/>
    <w:basedOn w:val="NormalJustified"/>
    <w:uiPriority w:val="5"/>
    <w:qFormat/>
    <w:rsid w:val="00FF31D2"/>
    <w:pPr>
      <w:keepNext/>
      <w:keepLines/>
      <w:spacing w:before="240" w:after="240"/>
      <w:ind w:firstLine="284"/>
    </w:pPr>
  </w:style>
  <w:style w:type="paragraph" w:customStyle="1" w:styleId="JuJudges">
    <w:name w:val="Ju_Judges"/>
    <w:aliases w:val="_Judges"/>
    <w:basedOn w:val="Normal"/>
    <w:uiPriority w:val="32"/>
    <w:qFormat/>
    <w:rsid w:val="00FF31D2"/>
    <w:pPr>
      <w:tabs>
        <w:tab w:val="left" w:pos="567"/>
        <w:tab w:val="left" w:pos="1134"/>
      </w:tabs>
    </w:pPr>
  </w:style>
  <w:style w:type="character" w:customStyle="1" w:styleId="Heading4Char">
    <w:name w:val="Heading 4 Char"/>
    <w:basedOn w:val="DefaultParagraphFont"/>
    <w:link w:val="Heading4"/>
    <w:uiPriority w:val="98"/>
    <w:semiHidden/>
    <w:rsid w:val="00FF31D2"/>
    <w:rPr>
      <w:rFonts w:asciiTheme="majorHAnsi" w:eastAsiaTheme="majorEastAsia" w:hAnsiTheme="majorHAnsi" w:cstheme="majorBidi"/>
      <w:b/>
      <w:bCs/>
      <w:i/>
      <w:iCs/>
      <w:color w:val="777777"/>
      <w:lang w:val="en-GB"/>
    </w:rPr>
  </w:style>
  <w:style w:type="paragraph" w:customStyle="1" w:styleId="JuInitialled">
    <w:name w:val="Ju_Initialled"/>
    <w:aliases w:val="_Right"/>
    <w:basedOn w:val="Normal"/>
    <w:uiPriority w:val="30"/>
    <w:qFormat/>
    <w:rsid w:val="00FF31D2"/>
    <w:pPr>
      <w:tabs>
        <w:tab w:val="center" w:pos="6407"/>
      </w:tabs>
      <w:spacing w:before="720"/>
      <w:jc w:val="right"/>
    </w:pPr>
  </w:style>
  <w:style w:type="character" w:customStyle="1" w:styleId="Heading5Char">
    <w:name w:val="Heading 5 Char"/>
    <w:basedOn w:val="DefaultParagraphFont"/>
    <w:link w:val="Heading5"/>
    <w:uiPriority w:val="98"/>
    <w:semiHidden/>
    <w:rsid w:val="00FF31D2"/>
    <w:rPr>
      <w:rFonts w:asciiTheme="majorHAnsi" w:eastAsiaTheme="majorEastAsia" w:hAnsiTheme="majorHAnsi" w:cstheme="majorBidi"/>
      <w:b/>
      <w:bCs/>
      <w:color w:val="808080"/>
      <w:lang w:val="en-GB"/>
    </w:rPr>
  </w:style>
  <w:style w:type="character" w:customStyle="1" w:styleId="JuITMark">
    <w:name w:val="Ju_ITMark"/>
    <w:aliases w:val="_ITMark"/>
    <w:basedOn w:val="DefaultParagraphFont"/>
    <w:uiPriority w:val="54"/>
    <w:qFormat/>
    <w:rsid w:val="00FF31D2"/>
    <w:rPr>
      <w:vanish w:val="0"/>
      <w:color w:val="auto"/>
      <w:sz w:val="14"/>
      <w:bdr w:val="none" w:sz="0" w:space="0" w:color="auto"/>
      <w:shd w:val="clear" w:color="auto" w:fill="BEE5FF" w:themeFill="background1" w:themeFillTint="33"/>
    </w:rPr>
  </w:style>
  <w:style w:type="character" w:customStyle="1" w:styleId="JUNAMES">
    <w:name w:val="JU_NAMES"/>
    <w:aliases w:val="_Ju_Names"/>
    <w:uiPriority w:val="33"/>
    <w:qFormat/>
    <w:rsid w:val="00FF31D2"/>
    <w:rPr>
      <w:caps w:val="0"/>
      <w:smallCaps/>
    </w:rPr>
  </w:style>
  <w:style w:type="character" w:styleId="SubtleEmphasis">
    <w:name w:val="Subtle Emphasis"/>
    <w:uiPriority w:val="98"/>
    <w:semiHidden/>
    <w:qFormat/>
    <w:rsid w:val="00FF31D2"/>
    <w:rPr>
      <w:i/>
      <w:iCs/>
    </w:rPr>
  </w:style>
  <w:style w:type="table" w:customStyle="1" w:styleId="ECHRTable">
    <w:name w:val="ECHR_Table"/>
    <w:basedOn w:val="TableNormal"/>
    <w:rsid w:val="00FF31D2"/>
    <w:rPr>
      <w:rFonts w:eastAsia="Times New Roman" w:cs="Times New Roman"/>
      <w:sz w:val="20"/>
      <w:szCs w:val="20"/>
      <w:lang w:val="en-GB"/>
    </w:rPr>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TableNormal"/>
    <w:rsid w:val="00FF31D2"/>
    <w:rPr>
      <w:rFonts w:ascii="Verdana" w:eastAsia="Times New Roman" w:hAnsi="Verdana" w:cs="Times New Roman"/>
      <w:sz w:val="20"/>
      <w:szCs w:val="20"/>
      <w:lang w:val="en-GB"/>
    </w:rPr>
    <w:tblPr>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character" w:styleId="Emphasis">
    <w:name w:val="Emphasis"/>
    <w:uiPriority w:val="98"/>
    <w:semiHidden/>
    <w:qFormat/>
    <w:rsid w:val="00FF31D2"/>
    <w:rPr>
      <w:b/>
      <w:bCs/>
      <w:i/>
      <w:iCs/>
      <w:spacing w:val="10"/>
      <w:bdr w:val="none" w:sz="0" w:space="0" w:color="auto"/>
      <w:shd w:val="clear" w:color="auto" w:fill="auto"/>
    </w:rPr>
  </w:style>
  <w:style w:type="paragraph" w:styleId="Footer0">
    <w:name w:val="footer"/>
    <w:basedOn w:val="Normal"/>
    <w:link w:val="FooterChar"/>
    <w:uiPriority w:val="98"/>
    <w:semiHidden/>
    <w:rsid w:val="00FF31D2"/>
    <w:pPr>
      <w:tabs>
        <w:tab w:val="center" w:pos="3686"/>
        <w:tab w:val="right" w:pos="7371"/>
      </w:tabs>
    </w:pPr>
  </w:style>
  <w:style w:type="character" w:customStyle="1" w:styleId="FooterChar">
    <w:name w:val="Footer Char"/>
    <w:basedOn w:val="DefaultParagraphFont"/>
    <w:link w:val="Footer0"/>
    <w:uiPriority w:val="98"/>
    <w:semiHidden/>
    <w:rsid w:val="00FF31D2"/>
    <w:rPr>
      <w:sz w:val="24"/>
      <w:szCs w:val="24"/>
      <w:lang w:val="en-GB"/>
    </w:rPr>
  </w:style>
  <w:style w:type="character" w:styleId="FootnoteReference">
    <w:name w:val="footnote reference"/>
    <w:basedOn w:val="DefaultParagraphFont"/>
    <w:uiPriority w:val="98"/>
    <w:semiHidden/>
    <w:rsid w:val="00FF31D2"/>
    <w:rPr>
      <w:vertAlign w:val="superscript"/>
    </w:rPr>
  </w:style>
  <w:style w:type="paragraph" w:styleId="FootnoteText">
    <w:name w:val="footnote text"/>
    <w:basedOn w:val="Normal"/>
    <w:link w:val="FootnoteTextChar"/>
    <w:uiPriority w:val="98"/>
    <w:semiHidden/>
    <w:rsid w:val="00FF31D2"/>
    <w:rPr>
      <w:sz w:val="20"/>
      <w:szCs w:val="20"/>
    </w:rPr>
  </w:style>
  <w:style w:type="character" w:customStyle="1" w:styleId="FootnoteTextChar">
    <w:name w:val="Footnote Text Char"/>
    <w:basedOn w:val="DefaultParagraphFont"/>
    <w:link w:val="FootnoteText"/>
    <w:uiPriority w:val="98"/>
    <w:semiHidden/>
    <w:rsid w:val="00FF31D2"/>
    <w:rPr>
      <w:sz w:val="20"/>
      <w:szCs w:val="20"/>
      <w:lang w:val="en-GB"/>
    </w:rPr>
  </w:style>
  <w:style w:type="character" w:customStyle="1" w:styleId="Heading6Char">
    <w:name w:val="Heading 6 Char"/>
    <w:basedOn w:val="DefaultParagraphFont"/>
    <w:link w:val="Heading6"/>
    <w:uiPriority w:val="98"/>
    <w:semiHidden/>
    <w:rsid w:val="00FF31D2"/>
    <w:rPr>
      <w:rFonts w:asciiTheme="majorHAnsi" w:eastAsiaTheme="majorEastAsia" w:hAnsiTheme="majorHAnsi" w:cstheme="majorBidi"/>
      <w:b/>
      <w:bCs/>
      <w:i/>
      <w:iCs/>
      <w:color w:val="7F7F7F" w:themeColor="text1" w:themeTint="80"/>
      <w:lang w:val="en-GB" w:bidi="en-US"/>
    </w:rPr>
  </w:style>
  <w:style w:type="character" w:customStyle="1" w:styleId="Heading7Char">
    <w:name w:val="Heading 7 Char"/>
    <w:basedOn w:val="DefaultParagraphFont"/>
    <w:link w:val="Heading7"/>
    <w:uiPriority w:val="98"/>
    <w:semiHidden/>
    <w:rsid w:val="00FF31D2"/>
    <w:rPr>
      <w:rFonts w:asciiTheme="majorHAnsi" w:eastAsiaTheme="majorEastAsia" w:hAnsiTheme="majorHAnsi" w:cstheme="majorBidi"/>
      <w:i/>
      <w:iCs/>
      <w:lang w:val="en-GB" w:bidi="en-US"/>
    </w:rPr>
  </w:style>
  <w:style w:type="character" w:customStyle="1" w:styleId="Heading8Char">
    <w:name w:val="Heading 8 Char"/>
    <w:basedOn w:val="DefaultParagraphFont"/>
    <w:link w:val="Heading8"/>
    <w:uiPriority w:val="98"/>
    <w:semiHidden/>
    <w:rsid w:val="00FF31D2"/>
    <w:rPr>
      <w:rFonts w:asciiTheme="majorHAnsi" w:eastAsiaTheme="majorEastAsia" w:hAnsiTheme="majorHAnsi" w:cstheme="majorBidi"/>
      <w:sz w:val="20"/>
      <w:szCs w:val="20"/>
      <w:lang w:val="en-GB" w:bidi="en-US"/>
    </w:rPr>
  </w:style>
  <w:style w:type="character" w:customStyle="1" w:styleId="Heading9Char">
    <w:name w:val="Heading 9 Char"/>
    <w:basedOn w:val="DefaultParagraphFont"/>
    <w:link w:val="Heading9"/>
    <w:uiPriority w:val="98"/>
    <w:semiHidden/>
    <w:rsid w:val="00FF31D2"/>
    <w:rPr>
      <w:rFonts w:asciiTheme="majorHAnsi" w:eastAsiaTheme="majorEastAsia" w:hAnsiTheme="majorHAnsi" w:cstheme="majorBidi"/>
      <w:i/>
      <w:iCs/>
      <w:spacing w:val="5"/>
      <w:sz w:val="20"/>
      <w:szCs w:val="20"/>
      <w:lang w:val="en-GB" w:bidi="en-US"/>
    </w:rPr>
  </w:style>
  <w:style w:type="character" w:styleId="Hyperlink">
    <w:name w:val="Hyperlink"/>
    <w:basedOn w:val="DefaultParagraphFont"/>
    <w:uiPriority w:val="98"/>
    <w:semiHidden/>
    <w:rsid w:val="00FF31D2"/>
    <w:rPr>
      <w:color w:val="0072BC" w:themeColor="hyperlink"/>
      <w:u w:val="single"/>
    </w:rPr>
  </w:style>
  <w:style w:type="character" w:styleId="IntenseEmphasis">
    <w:name w:val="Intense Emphasis"/>
    <w:uiPriority w:val="98"/>
    <w:semiHidden/>
    <w:qFormat/>
    <w:rsid w:val="00FF31D2"/>
    <w:rPr>
      <w:b/>
      <w:bCs/>
    </w:rPr>
  </w:style>
  <w:style w:type="paragraph" w:styleId="IntenseQuote">
    <w:name w:val="Intense Quote"/>
    <w:basedOn w:val="Normal"/>
    <w:next w:val="Normal"/>
    <w:link w:val="IntenseQuoteChar"/>
    <w:uiPriority w:val="98"/>
    <w:semiHidden/>
    <w:qFormat/>
    <w:rsid w:val="00FF31D2"/>
    <w:pPr>
      <w:pBdr>
        <w:bottom w:val="single" w:sz="4" w:space="1" w:color="auto"/>
      </w:pBdr>
      <w:spacing w:before="200" w:after="280"/>
      <w:ind w:left="1008" w:right="1152"/>
    </w:pPr>
    <w:rPr>
      <w:b/>
      <w:bCs/>
      <w:i/>
      <w:iCs/>
      <w:lang w:bidi="en-US"/>
    </w:rPr>
  </w:style>
  <w:style w:type="character" w:customStyle="1" w:styleId="IntenseQuoteChar">
    <w:name w:val="Intense Quote Char"/>
    <w:basedOn w:val="DefaultParagraphFont"/>
    <w:link w:val="IntenseQuote"/>
    <w:uiPriority w:val="98"/>
    <w:semiHidden/>
    <w:rsid w:val="00FF31D2"/>
    <w:rPr>
      <w:b/>
      <w:bCs/>
      <w:i/>
      <w:iCs/>
      <w:sz w:val="24"/>
      <w:szCs w:val="24"/>
      <w:lang w:val="en-GB" w:bidi="en-US"/>
    </w:rPr>
  </w:style>
  <w:style w:type="character" w:styleId="IntenseReference">
    <w:name w:val="Intense Reference"/>
    <w:uiPriority w:val="98"/>
    <w:semiHidden/>
    <w:qFormat/>
    <w:rsid w:val="00FF31D2"/>
    <w:rPr>
      <w:smallCaps/>
      <w:spacing w:val="5"/>
      <w:u w:val="single"/>
    </w:rPr>
  </w:style>
  <w:style w:type="paragraph" w:styleId="ListParagraph">
    <w:name w:val="List Paragraph"/>
    <w:basedOn w:val="Normal"/>
    <w:uiPriority w:val="98"/>
    <w:semiHidden/>
    <w:qFormat/>
    <w:rsid w:val="00FF31D2"/>
    <w:pPr>
      <w:ind w:left="720"/>
      <w:contextualSpacing/>
    </w:pPr>
  </w:style>
  <w:style w:type="table" w:customStyle="1" w:styleId="LtrTableAddress">
    <w:name w:val="Ltr_Table_Address"/>
    <w:aliases w:val="ECHR_Ltr_Table_Address"/>
    <w:basedOn w:val="TableNormal"/>
    <w:uiPriority w:val="99"/>
    <w:rsid w:val="00FF31D2"/>
    <w:rPr>
      <w:sz w:val="24"/>
      <w:szCs w:val="24"/>
    </w:rPr>
    <w:tblPr>
      <w:tblInd w:w="5103" w:type="dxa"/>
    </w:tblPr>
  </w:style>
  <w:style w:type="paragraph" w:styleId="Quote">
    <w:name w:val="Quote"/>
    <w:basedOn w:val="Normal"/>
    <w:next w:val="Normal"/>
    <w:link w:val="QuoteChar"/>
    <w:uiPriority w:val="98"/>
    <w:semiHidden/>
    <w:qFormat/>
    <w:rsid w:val="00FF31D2"/>
    <w:pPr>
      <w:spacing w:before="200"/>
      <w:ind w:left="360" w:right="360"/>
    </w:pPr>
    <w:rPr>
      <w:i/>
      <w:iCs/>
      <w:lang w:bidi="en-US"/>
    </w:rPr>
  </w:style>
  <w:style w:type="character" w:customStyle="1" w:styleId="QuoteChar">
    <w:name w:val="Quote Char"/>
    <w:basedOn w:val="DefaultParagraphFont"/>
    <w:link w:val="Quote"/>
    <w:uiPriority w:val="98"/>
    <w:semiHidden/>
    <w:rsid w:val="00FF31D2"/>
    <w:rPr>
      <w:i/>
      <w:iCs/>
      <w:sz w:val="24"/>
      <w:szCs w:val="24"/>
      <w:lang w:val="en-GB" w:bidi="en-US"/>
    </w:rPr>
  </w:style>
  <w:style w:type="character" w:styleId="SubtleReference">
    <w:name w:val="Subtle Reference"/>
    <w:uiPriority w:val="98"/>
    <w:semiHidden/>
    <w:qFormat/>
    <w:rsid w:val="00FF31D2"/>
    <w:rPr>
      <w:smallCaps/>
    </w:rPr>
  </w:style>
  <w:style w:type="table" w:styleId="TableGrid">
    <w:name w:val="Table Grid"/>
    <w:basedOn w:val="TableNormal"/>
    <w:uiPriority w:val="59"/>
    <w:semiHidden/>
    <w:rsid w:val="00FF31D2"/>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98"/>
    <w:semiHidden/>
    <w:rsid w:val="00FF31D2"/>
    <w:pPr>
      <w:keepNext/>
      <w:tabs>
        <w:tab w:val="right" w:leader="dot" w:pos="7371"/>
      </w:tabs>
      <w:spacing w:before="160" w:after="60" w:line="240" w:lineRule="exact"/>
      <w:ind w:left="340" w:right="567" w:hanging="340"/>
    </w:pPr>
    <w:rPr>
      <w:b/>
      <w:sz w:val="22"/>
    </w:rPr>
  </w:style>
  <w:style w:type="paragraph" w:styleId="TOC2">
    <w:name w:val="toc 2"/>
    <w:basedOn w:val="Normal"/>
    <w:next w:val="Normal"/>
    <w:autoRedefine/>
    <w:uiPriority w:val="98"/>
    <w:semiHidden/>
    <w:rsid w:val="00FF31D2"/>
    <w:pPr>
      <w:keepNext/>
      <w:tabs>
        <w:tab w:val="right" w:leader="dot" w:pos="7371"/>
      </w:tabs>
      <w:spacing w:after="60" w:line="240" w:lineRule="exact"/>
      <w:ind w:left="680" w:right="567" w:hanging="340"/>
    </w:pPr>
    <w:rPr>
      <w:sz w:val="22"/>
    </w:rPr>
  </w:style>
  <w:style w:type="paragraph" w:styleId="TOC3">
    <w:name w:val="toc 3"/>
    <w:basedOn w:val="Normal"/>
    <w:next w:val="Normal"/>
    <w:autoRedefine/>
    <w:uiPriority w:val="98"/>
    <w:semiHidden/>
    <w:rsid w:val="00FF31D2"/>
    <w:pPr>
      <w:keepNext/>
      <w:tabs>
        <w:tab w:val="right" w:leader="dot" w:pos="7371"/>
      </w:tabs>
      <w:spacing w:after="60" w:line="240" w:lineRule="exact"/>
      <w:ind w:left="1020" w:right="567" w:hanging="340"/>
    </w:pPr>
    <w:rPr>
      <w:sz w:val="20"/>
    </w:rPr>
  </w:style>
  <w:style w:type="paragraph" w:styleId="TOC4">
    <w:name w:val="toc 4"/>
    <w:basedOn w:val="Normal"/>
    <w:next w:val="Normal"/>
    <w:autoRedefine/>
    <w:uiPriority w:val="98"/>
    <w:semiHidden/>
    <w:rsid w:val="00FF31D2"/>
    <w:pPr>
      <w:keepNext/>
      <w:tabs>
        <w:tab w:val="right" w:leader="dot" w:pos="7371"/>
      </w:tabs>
      <w:spacing w:after="60" w:line="240" w:lineRule="exact"/>
      <w:ind w:left="1361" w:right="567" w:hanging="340"/>
    </w:pPr>
    <w:rPr>
      <w:sz w:val="20"/>
    </w:rPr>
  </w:style>
  <w:style w:type="paragraph" w:styleId="TOC5">
    <w:name w:val="toc 5"/>
    <w:basedOn w:val="Normal"/>
    <w:next w:val="Normal"/>
    <w:autoRedefine/>
    <w:uiPriority w:val="98"/>
    <w:semiHidden/>
    <w:rsid w:val="00FF31D2"/>
    <w:pPr>
      <w:tabs>
        <w:tab w:val="right" w:leader="dot" w:pos="7371"/>
      </w:tabs>
      <w:spacing w:after="60" w:line="240" w:lineRule="exact"/>
      <w:ind w:left="1701" w:right="567" w:hanging="340"/>
    </w:pPr>
    <w:rPr>
      <w:sz w:val="20"/>
    </w:rPr>
  </w:style>
  <w:style w:type="paragraph" w:styleId="TOCHeading">
    <w:name w:val="TOC Heading"/>
    <w:basedOn w:val="Normal"/>
    <w:next w:val="Normal"/>
    <w:uiPriority w:val="98"/>
    <w:semiHidden/>
    <w:qFormat/>
    <w:rsid w:val="00FF31D2"/>
    <w:pPr>
      <w:keepNext/>
      <w:keepLines/>
      <w:spacing w:before="240"/>
      <w:contextualSpacing/>
      <w:jc w:val="center"/>
    </w:pPr>
    <w:rPr>
      <w:rFonts w:asciiTheme="majorHAnsi" w:hAnsiTheme="majorHAnsi"/>
      <w:b/>
      <w:color w:val="474747" w:themeColor="accent3" w:themeShade="BF"/>
      <w:sz w:val="28"/>
    </w:rPr>
  </w:style>
  <w:style w:type="table" w:customStyle="1" w:styleId="UGTable">
    <w:name w:val="UG_Table"/>
    <w:aliases w:val="ECHR_UG_Table"/>
    <w:basedOn w:val="TableNormal"/>
    <w:uiPriority w:val="99"/>
    <w:rsid w:val="00FF31D2"/>
    <w:rPr>
      <w:rFonts w:eastAsiaTheme="minorEastAsia"/>
      <w:sz w:val="20"/>
      <w:szCs w:val="24"/>
      <w:lang w:val="en-GB" w:eastAsia="en-GB"/>
    </w:rPr>
    <w:tblPr>
      <w:tblInd w:w="-1191" w:type="dxa"/>
      <w:tblCellMar>
        <w:top w:w="57" w:type="dxa"/>
        <w:left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aliases w:val="ECHR_UG_Table_White_Box"/>
    <w:basedOn w:val="TableNormal"/>
    <w:uiPriority w:val="99"/>
    <w:rsid w:val="00FF31D2"/>
    <w:rPr>
      <w:rFonts w:eastAsiaTheme="minorEastAsia"/>
      <w:sz w:val="24"/>
      <w:szCs w:val="24"/>
      <w:lang w:val="en-GB" w:eastAsia="en-GB"/>
    </w:rPr>
    <w:tblPr>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table" w:customStyle="1" w:styleId="PCFTableStyle">
    <w:name w:val="PCF_Table_Style"/>
    <w:aliases w:val="ECHR_PCF_Table_Style"/>
    <w:basedOn w:val="TableNormal"/>
    <w:uiPriority w:val="99"/>
    <w:rsid w:val="00FF31D2"/>
    <w:rPr>
      <w:color w:val="000000" w:themeColor="text1"/>
      <w:sz w:val="18"/>
      <w:szCs w:val="24"/>
    </w:rPr>
    <w:tblPr>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Fax">
    <w:name w:val="ECHR_Table_Fax"/>
    <w:basedOn w:val="TableNormal"/>
    <w:uiPriority w:val="99"/>
    <w:rsid w:val="00FF31D2"/>
    <w:rPr>
      <w:color w:val="000000" w:themeColor="text1"/>
      <w:sz w:val="24"/>
      <w:szCs w:val="24"/>
    </w:rPr>
    <w:tblPr>
      <w:tblInd w:w="-680" w:type="dxa"/>
      <w:tblBorders>
        <w:insideH w:val="single" w:sz="4" w:space="0" w:color="C6C6C6" w:themeColor="text2"/>
        <w:insideV w:val="single" w:sz="4" w:space="0" w:color="C6C6C6" w:themeColor="text2"/>
      </w:tblBorders>
      <w:tblCellMar>
        <w:top w:w="142" w:type="dxa"/>
        <w:bottom w:w="142" w:type="dxa"/>
      </w:tblCellMar>
    </w:tblPr>
    <w:trPr>
      <w:cantSplit/>
    </w:trPr>
  </w:style>
  <w:style w:type="table" w:customStyle="1" w:styleId="ECHRTableMemo">
    <w:name w:val="ECHR_Table_Memo"/>
    <w:basedOn w:val="TableNormal"/>
    <w:uiPriority w:val="99"/>
    <w:rsid w:val="00FF31D2"/>
    <w:rPr>
      <w:sz w:val="24"/>
      <w:szCs w:val="24"/>
    </w:rPr>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DNTable">
    <w:name w:val="ECHR_DN_Table"/>
    <w:basedOn w:val="TableNormal"/>
    <w:uiPriority w:val="99"/>
    <w:rsid w:val="00FF31D2"/>
    <w:rPr>
      <w:sz w:val="24"/>
      <w:szCs w:val="24"/>
    </w:rPr>
    <w:tblPr>
      <w:jc w:val="center"/>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bottom w:w="57"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styleId="TOAHeading">
    <w:name w:val="toa heading"/>
    <w:basedOn w:val="Normal"/>
    <w:next w:val="Normal"/>
    <w:uiPriority w:val="98"/>
    <w:semiHidden/>
    <w:rsid w:val="00FF31D2"/>
    <w:pPr>
      <w:keepNext/>
      <w:keepLines/>
      <w:spacing w:before="240"/>
      <w:contextualSpacing/>
      <w:jc w:val="center"/>
    </w:pPr>
    <w:rPr>
      <w:rFonts w:asciiTheme="majorHAnsi" w:eastAsiaTheme="majorEastAsia" w:hAnsiTheme="majorHAnsi" w:cstheme="majorBidi"/>
      <w:b/>
      <w:bCs/>
      <w:color w:val="474747" w:themeColor="accent3" w:themeShade="BF"/>
      <w:sz w:val="28"/>
    </w:rPr>
  </w:style>
  <w:style w:type="paragraph" w:styleId="Subtitle">
    <w:name w:val="Subtitle"/>
    <w:basedOn w:val="Normal"/>
    <w:next w:val="Normal"/>
    <w:link w:val="SubtitleChar"/>
    <w:uiPriority w:val="98"/>
    <w:semiHidden/>
    <w:qFormat/>
    <w:rsid w:val="00FF31D2"/>
    <w:pPr>
      <w:spacing w:after="600"/>
    </w:pPr>
    <w:rPr>
      <w:rFonts w:asciiTheme="majorHAnsi" w:eastAsiaTheme="majorEastAsia" w:hAnsiTheme="majorHAnsi" w:cstheme="majorBidi"/>
      <w:i/>
      <w:iCs/>
      <w:spacing w:val="13"/>
      <w:lang w:bidi="en-US"/>
    </w:rPr>
  </w:style>
  <w:style w:type="character" w:customStyle="1" w:styleId="SubtitleChar">
    <w:name w:val="Subtitle Char"/>
    <w:basedOn w:val="DefaultParagraphFont"/>
    <w:link w:val="Subtitle"/>
    <w:uiPriority w:val="98"/>
    <w:semiHidden/>
    <w:rsid w:val="00FF31D2"/>
    <w:rPr>
      <w:rFonts w:asciiTheme="majorHAnsi" w:eastAsiaTheme="majorEastAsia" w:hAnsiTheme="majorHAnsi" w:cstheme="majorBidi"/>
      <w:i/>
      <w:iCs/>
      <w:spacing w:val="13"/>
      <w:sz w:val="24"/>
      <w:szCs w:val="24"/>
      <w:lang w:val="en-GB" w:bidi="en-US"/>
    </w:rPr>
  </w:style>
  <w:style w:type="numbering" w:styleId="111111">
    <w:name w:val="Outline List 2"/>
    <w:basedOn w:val="NoList"/>
    <w:uiPriority w:val="99"/>
    <w:semiHidden/>
    <w:unhideWhenUsed/>
    <w:rsid w:val="00FF31D2"/>
    <w:pPr>
      <w:numPr>
        <w:numId w:val="4"/>
      </w:numPr>
    </w:pPr>
  </w:style>
  <w:style w:type="paragraph" w:customStyle="1" w:styleId="JuPara">
    <w:name w:val="Ju_Para"/>
    <w:aliases w:val="_Para"/>
    <w:basedOn w:val="NormalJustified"/>
    <w:link w:val="JuParaChar"/>
    <w:uiPriority w:val="4"/>
    <w:qFormat/>
    <w:rsid w:val="00FF31D2"/>
    <w:pPr>
      <w:ind w:firstLine="284"/>
    </w:pPr>
  </w:style>
  <w:style w:type="numbering" w:styleId="1ai">
    <w:name w:val="Outline List 1"/>
    <w:basedOn w:val="NoList"/>
    <w:uiPriority w:val="99"/>
    <w:semiHidden/>
    <w:unhideWhenUsed/>
    <w:rsid w:val="00FF31D2"/>
    <w:pPr>
      <w:numPr>
        <w:numId w:val="5"/>
      </w:numPr>
    </w:pPr>
  </w:style>
  <w:style w:type="table" w:customStyle="1" w:styleId="ECHRTableSimpleBox">
    <w:name w:val="ECHR_Table_Simple_Box"/>
    <w:basedOn w:val="TableNormal"/>
    <w:uiPriority w:val="99"/>
    <w:rsid w:val="00FF31D2"/>
    <w:rPr>
      <w:sz w:val="24"/>
      <w:szCs w:val="24"/>
    </w:rPr>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table" w:customStyle="1" w:styleId="ECHRTableNoLines">
    <w:name w:val="ECHR_Table_No_Lines"/>
    <w:basedOn w:val="TableNormal"/>
    <w:uiPriority w:val="99"/>
    <w:rsid w:val="00FF31D2"/>
    <w:rPr>
      <w:sz w:val="24"/>
      <w:szCs w:val="24"/>
    </w:rPr>
    <w:tblPr>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numbering" w:styleId="ArticleSection">
    <w:name w:val="Outline List 3"/>
    <w:basedOn w:val="NoList"/>
    <w:uiPriority w:val="99"/>
    <w:semiHidden/>
    <w:unhideWhenUsed/>
    <w:rsid w:val="00FF31D2"/>
    <w:pPr>
      <w:numPr>
        <w:numId w:val="6"/>
      </w:numPr>
    </w:pPr>
  </w:style>
  <w:style w:type="table" w:customStyle="1" w:styleId="ECHRTableForInternalUse">
    <w:name w:val="ECHR_Table_For_Internal_Use"/>
    <w:basedOn w:val="TableNormal"/>
    <w:uiPriority w:val="99"/>
    <w:rsid w:val="00FF31D2"/>
    <w:rPr>
      <w:color w:val="636363" w:themeColor="text2" w:themeShade="80"/>
      <w:sz w:val="18"/>
      <w:szCs w:val="24"/>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ListTable">
    <w:name w:val="ECHR_List_Table"/>
    <w:basedOn w:val="TableNormal"/>
    <w:uiPriority w:val="99"/>
    <w:rsid w:val="00FF31D2"/>
    <w:rPr>
      <w:sz w:val="24"/>
      <w:szCs w:val="24"/>
    </w:rPr>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paragraph" w:styleId="Bibliography">
    <w:name w:val="Bibliography"/>
    <w:basedOn w:val="Normal"/>
    <w:next w:val="Normal"/>
    <w:uiPriority w:val="98"/>
    <w:semiHidden/>
    <w:rsid w:val="00FF31D2"/>
  </w:style>
  <w:style w:type="paragraph" w:styleId="BlockText">
    <w:name w:val="Block Text"/>
    <w:basedOn w:val="Normal"/>
    <w:uiPriority w:val="98"/>
    <w:semiHidden/>
    <w:rsid w:val="00FF31D2"/>
    <w:pPr>
      <w:pBdr>
        <w:top w:val="single" w:sz="2" w:space="10" w:color="0072BC" w:themeColor="accent1" w:shadow="1" w:frame="1"/>
        <w:left w:val="single" w:sz="2" w:space="10" w:color="0072BC" w:themeColor="accent1" w:shadow="1" w:frame="1"/>
        <w:bottom w:val="single" w:sz="2" w:space="10" w:color="0072BC" w:themeColor="accent1" w:shadow="1" w:frame="1"/>
        <w:right w:val="single" w:sz="2" w:space="10" w:color="0072BC" w:themeColor="accent1" w:shadow="1" w:frame="1"/>
      </w:pBdr>
      <w:ind w:left="1152" w:right="1152"/>
    </w:pPr>
    <w:rPr>
      <w:i/>
      <w:iCs/>
      <w:color w:val="0072BC" w:themeColor="accent1"/>
    </w:rPr>
  </w:style>
  <w:style w:type="table" w:customStyle="1" w:styleId="ECHRHeaderTable">
    <w:name w:val="ECHR_Header_Table"/>
    <w:basedOn w:val="TableNormal"/>
    <w:uiPriority w:val="99"/>
    <w:rsid w:val="00FF31D2"/>
    <w:rPr>
      <w:sz w:val="24"/>
      <w:szCs w:val="24"/>
    </w:rPr>
    <w:tblPr>
      <w:tblInd w:w="-1474" w:type="dxa"/>
      <w:tblBorders>
        <w:bottom w:val="single" w:sz="6" w:space="0" w:color="949494" w:themeColor="text2" w:themeShade="BF"/>
      </w:tblBorders>
      <w:tblCellMar>
        <w:left w:w="0" w:type="dxa"/>
        <w:bottom w:w="28" w:type="dxa"/>
        <w:right w:w="0" w:type="dxa"/>
      </w:tblCellMar>
    </w:tblPr>
    <w:tcPr>
      <w:vAlign w:val="bottom"/>
    </w:tcPr>
    <w:tblStylePr w:type="lastCol">
      <w:pPr>
        <w:wordWrap/>
        <w:jc w:val="both"/>
      </w:pPr>
    </w:tblStylePr>
  </w:style>
  <w:style w:type="paragraph" w:styleId="BodyText">
    <w:name w:val="Body Text"/>
    <w:basedOn w:val="Normal"/>
    <w:link w:val="BodyTextChar"/>
    <w:uiPriority w:val="98"/>
    <w:semiHidden/>
    <w:rsid w:val="00FF31D2"/>
    <w:pPr>
      <w:spacing w:after="120"/>
    </w:pPr>
  </w:style>
  <w:style w:type="character" w:customStyle="1" w:styleId="BodyTextChar">
    <w:name w:val="Body Text Char"/>
    <w:basedOn w:val="DefaultParagraphFont"/>
    <w:link w:val="BodyText"/>
    <w:uiPriority w:val="98"/>
    <w:semiHidden/>
    <w:rsid w:val="00FF31D2"/>
    <w:rPr>
      <w:sz w:val="24"/>
      <w:szCs w:val="24"/>
      <w:lang w:val="en-GB"/>
    </w:rPr>
  </w:style>
  <w:style w:type="table" w:customStyle="1" w:styleId="ECHRTableOddBanded">
    <w:name w:val="ECHR_Table_Odd_Banded"/>
    <w:basedOn w:val="TableNormal"/>
    <w:uiPriority w:val="99"/>
    <w:rsid w:val="00FF31D2"/>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paragraph" w:styleId="BodyText2">
    <w:name w:val="Body Text 2"/>
    <w:basedOn w:val="Normal"/>
    <w:link w:val="BodyText2Char"/>
    <w:uiPriority w:val="98"/>
    <w:semiHidden/>
    <w:rsid w:val="00FF31D2"/>
    <w:pPr>
      <w:spacing w:after="120" w:line="480" w:lineRule="auto"/>
    </w:pPr>
  </w:style>
  <w:style w:type="table" w:customStyle="1" w:styleId="ECHRHeaderTableReduced">
    <w:name w:val="ECHR_Header_Table_Reduced"/>
    <w:basedOn w:val="TableNormal"/>
    <w:uiPriority w:val="99"/>
    <w:rsid w:val="00FF31D2"/>
    <w:rPr>
      <w:sz w:val="24"/>
      <w:szCs w:val="24"/>
    </w:rPr>
    <w:tblPr>
      <w:tblInd w:w="-1474" w:type="dxa"/>
      <w:tblCellMar>
        <w:left w:w="0" w:type="dxa"/>
        <w:right w:w="0" w:type="dxa"/>
      </w:tblCellMar>
    </w:tblPr>
    <w:tcPr>
      <w:vAlign w:val="bottom"/>
    </w:tcPr>
    <w:tblStylePr w:type="firstRow">
      <w:rPr>
        <w:sz w:val="18"/>
      </w:rPr>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paragraph" w:customStyle="1" w:styleId="JuCase">
    <w:name w:val="Ju_Case"/>
    <w:aliases w:val="_Case_Name"/>
    <w:basedOn w:val="Normal"/>
    <w:next w:val="JuPara"/>
    <w:uiPriority w:val="32"/>
    <w:rsid w:val="00FF31D2"/>
    <w:pPr>
      <w:ind w:firstLine="284"/>
    </w:pPr>
    <w:rPr>
      <w:b/>
    </w:rPr>
  </w:style>
  <w:style w:type="character" w:styleId="PageNumber">
    <w:name w:val="page number"/>
    <w:uiPriority w:val="98"/>
    <w:semiHidden/>
    <w:rsid w:val="00FF31D2"/>
    <w:rPr>
      <w:sz w:val="18"/>
    </w:rPr>
  </w:style>
  <w:style w:type="paragraph" w:styleId="ListBullet">
    <w:name w:val="List Bullet"/>
    <w:basedOn w:val="Normal"/>
    <w:uiPriority w:val="98"/>
    <w:semiHidden/>
    <w:rsid w:val="00FF31D2"/>
    <w:pPr>
      <w:numPr>
        <w:numId w:val="10"/>
      </w:numPr>
    </w:pPr>
  </w:style>
  <w:style w:type="paragraph" w:styleId="ListBullet3">
    <w:name w:val="List Bullet 3"/>
    <w:basedOn w:val="Normal"/>
    <w:uiPriority w:val="98"/>
    <w:semiHidden/>
    <w:rsid w:val="00FF31D2"/>
    <w:pPr>
      <w:numPr>
        <w:numId w:val="12"/>
      </w:numPr>
      <w:contextualSpacing/>
    </w:pPr>
  </w:style>
  <w:style w:type="character" w:customStyle="1" w:styleId="BodyText2Char">
    <w:name w:val="Body Text 2 Char"/>
    <w:basedOn w:val="DefaultParagraphFont"/>
    <w:link w:val="BodyText2"/>
    <w:uiPriority w:val="98"/>
    <w:semiHidden/>
    <w:rsid w:val="00FF31D2"/>
    <w:rPr>
      <w:sz w:val="24"/>
      <w:szCs w:val="24"/>
      <w:lang w:val="en-GB"/>
    </w:rPr>
  </w:style>
  <w:style w:type="paragraph" w:styleId="BodyText3">
    <w:name w:val="Body Text 3"/>
    <w:basedOn w:val="Normal"/>
    <w:link w:val="BodyText3Char"/>
    <w:uiPriority w:val="98"/>
    <w:semiHidden/>
    <w:rsid w:val="00FF31D2"/>
    <w:pPr>
      <w:spacing w:after="120"/>
    </w:pPr>
    <w:rPr>
      <w:sz w:val="16"/>
      <w:szCs w:val="16"/>
    </w:rPr>
  </w:style>
  <w:style w:type="character" w:customStyle="1" w:styleId="BodyText3Char">
    <w:name w:val="Body Text 3 Char"/>
    <w:basedOn w:val="DefaultParagraphFont"/>
    <w:link w:val="BodyText3"/>
    <w:uiPriority w:val="98"/>
    <w:semiHidden/>
    <w:rsid w:val="00FF31D2"/>
    <w:rPr>
      <w:sz w:val="16"/>
      <w:szCs w:val="16"/>
      <w:lang w:val="en-GB"/>
    </w:rPr>
  </w:style>
  <w:style w:type="paragraph" w:styleId="BodyTextFirstIndent">
    <w:name w:val="Body Text First Indent"/>
    <w:basedOn w:val="BodyText"/>
    <w:link w:val="BodyTextFirstIndentChar"/>
    <w:uiPriority w:val="98"/>
    <w:semiHidden/>
    <w:rsid w:val="00FF31D2"/>
    <w:pPr>
      <w:spacing w:after="0"/>
      <w:ind w:firstLine="360"/>
    </w:pPr>
  </w:style>
  <w:style w:type="character" w:customStyle="1" w:styleId="BodyTextFirstIndentChar">
    <w:name w:val="Body Text First Indent Char"/>
    <w:basedOn w:val="BodyTextChar"/>
    <w:link w:val="BodyTextFirstIndent"/>
    <w:uiPriority w:val="98"/>
    <w:semiHidden/>
    <w:rsid w:val="00FF31D2"/>
    <w:rPr>
      <w:sz w:val="24"/>
      <w:szCs w:val="24"/>
      <w:lang w:val="en-GB"/>
    </w:rPr>
  </w:style>
  <w:style w:type="paragraph" w:styleId="BodyTextIndent">
    <w:name w:val="Body Text Indent"/>
    <w:basedOn w:val="Normal"/>
    <w:link w:val="BodyTextIndentChar"/>
    <w:uiPriority w:val="98"/>
    <w:semiHidden/>
    <w:rsid w:val="00FF31D2"/>
    <w:pPr>
      <w:spacing w:after="120"/>
      <w:ind w:left="283"/>
    </w:pPr>
  </w:style>
  <w:style w:type="character" w:customStyle="1" w:styleId="BodyTextIndentChar">
    <w:name w:val="Body Text Indent Char"/>
    <w:basedOn w:val="DefaultParagraphFont"/>
    <w:link w:val="BodyTextIndent"/>
    <w:uiPriority w:val="98"/>
    <w:semiHidden/>
    <w:rsid w:val="00FF31D2"/>
    <w:rPr>
      <w:sz w:val="24"/>
      <w:szCs w:val="24"/>
      <w:lang w:val="en-GB"/>
    </w:rPr>
  </w:style>
  <w:style w:type="paragraph" w:styleId="BodyTextFirstIndent2">
    <w:name w:val="Body Text First Indent 2"/>
    <w:basedOn w:val="BodyTextIndent"/>
    <w:link w:val="BodyTextFirstIndent2Char"/>
    <w:uiPriority w:val="98"/>
    <w:semiHidden/>
    <w:rsid w:val="00FF31D2"/>
    <w:pPr>
      <w:spacing w:after="0"/>
      <w:ind w:left="360" w:firstLine="360"/>
    </w:pPr>
  </w:style>
  <w:style w:type="character" w:customStyle="1" w:styleId="BodyTextFirstIndent2Char">
    <w:name w:val="Body Text First Indent 2 Char"/>
    <w:basedOn w:val="BodyTextIndentChar"/>
    <w:link w:val="BodyTextFirstIndent2"/>
    <w:uiPriority w:val="98"/>
    <w:semiHidden/>
    <w:rsid w:val="00FF31D2"/>
    <w:rPr>
      <w:sz w:val="24"/>
      <w:szCs w:val="24"/>
      <w:lang w:val="en-GB"/>
    </w:rPr>
  </w:style>
  <w:style w:type="paragraph" w:styleId="BodyTextIndent2">
    <w:name w:val="Body Text Indent 2"/>
    <w:basedOn w:val="Normal"/>
    <w:link w:val="BodyTextIndent2Char"/>
    <w:uiPriority w:val="98"/>
    <w:semiHidden/>
    <w:rsid w:val="00FF31D2"/>
    <w:pPr>
      <w:spacing w:after="120" w:line="480" w:lineRule="auto"/>
      <w:ind w:left="283"/>
    </w:pPr>
  </w:style>
  <w:style w:type="character" w:customStyle="1" w:styleId="BodyTextIndent2Char">
    <w:name w:val="Body Text Indent 2 Char"/>
    <w:basedOn w:val="DefaultParagraphFont"/>
    <w:link w:val="BodyTextIndent2"/>
    <w:uiPriority w:val="98"/>
    <w:semiHidden/>
    <w:rsid w:val="00FF31D2"/>
    <w:rPr>
      <w:sz w:val="24"/>
      <w:szCs w:val="24"/>
      <w:lang w:val="en-GB"/>
    </w:rPr>
  </w:style>
  <w:style w:type="paragraph" w:styleId="BodyTextIndent3">
    <w:name w:val="Body Text Indent 3"/>
    <w:basedOn w:val="Normal"/>
    <w:link w:val="BodyTextIndent3Char"/>
    <w:uiPriority w:val="98"/>
    <w:semiHidden/>
    <w:rsid w:val="00FF31D2"/>
    <w:pPr>
      <w:spacing w:after="120"/>
      <w:ind w:left="283"/>
    </w:pPr>
    <w:rPr>
      <w:sz w:val="16"/>
      <w:szCs w:val="16"/>
    </w:rPr>
  </w:style>
  <w:style w:type="character" w:customStyle="1" w:styleId="BodyTextIndent3Char">
    <w:name w:val="Body Text Indent 3 Char"/>
    <w:basedOn w:val="DefaultParagraphFont"/>
    <w:link w:val="BodyTextIndent3"/>
    <w:uiPriority w:val="98"/>
    <w:semiHidden/>
    <w:rsid w:val="00FF31D2"/>
    <w:rPr>
      <w:sz w:val="16"/>
      <w:szCs w:val="16"/>
      <w:lang w:val="en-GB"/>
    </w:rPr>
  </w:style>
  <w:style w:type="paragraph" w:styleId="Caption">
    <w:name w:val="caption"/>
    <w:basedOn w:val="Normal"/>
    <w:next w:val="Normal"/>
    <w:uiPriority w:val="98"/>
    <w:semiHidden/>
    <w:qFormat/>
    <w:rsid w:val="00FF31D2"/>
    <w:pPr>
      <w:spacing w:after="200"/>
    </w:pPr>
    <w:rPr>
      <w:b/>
      <w:bCs/>
      <w:color w:val="0072BC" w:themeColor="accent1"/>
      <w:sz w:val="18"/>
      <w:szCs w:val="18"/>
    </w:rPr>
  </w:style>
  <w:style w:type="paragraph" w:styleId="Closing">
    <w:name w:val="Closing"/>
    <w:basedOn w:val="Normal"/>
    <w:link w:val="ClosingChar"/>
    <w:uiPriority w:val="98"/>
    <w:semiHidden/>
    <w:rsid w:val="00FF31D2"/>
    <w:pPr>
      <w:ind w:left="4252"/>
    </w:pPr>
  </w:style>
  <w:style w:type="character" w:customStyle="1" w:styleId="ClosingChar">
    <w:name w:val="Closing Char"/>
    <w:basedOn w:val="DefaultParagraphFont"/>
    <w:link w:val="Closing"/>
    <w:uiPriority w:val="98"/>
    <w:semiHidden/>
    <w:rsid w:val="00FF31D2"/>
    <w:rPr>
      <w:sz w:val="24"/>
      <w:szCs w:val="24"/>
      <w:lang w:val="en-GB"/>
    </w:rPr>
  </w:style>
  <w:style w:type="table" w:styleId="ColorfulGrid">
    <w:name w:val="Colorful Grid"/>
    <w:basedOn w:val="TableNormal"/>
    <w:uiPriority w:val="73"/>
    <w:semiHidden/>
    <w:rsid w:val="00FF31D2"/>
    <w:rPr>
      <w:color w:val="000000" w:themeColor="text1"/>
      <w:sz w:val="24"/>
      <w:szCs w:val="24"/>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rsid w:val="00FF31D2"/>
    <w:rPr>
      <w:color w:val="000000" w:themeColor="text1"/>
      <w:sz w:val="24"/>
      <w:szCs w:val="24"/>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ColorfulGrid-Accent2">
    <w:name w:val="Colorful Grid Accent 2"/>
    <w:basedOn w:val="TableNormal"/>
    <w:uiPriority w:val="73"/>
    <w:semiHidden/>
    <w:rsid w:val="00FF31D2"/>
    <w:rPr>
      <w:color w:val="000000" w:themeColor="text1"/>
      <w:sz w:val="24"/>
      <w:szCs w:val="24"/>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ColorfulGrid-Accent3">
    <w:name w:val="Colorful Grid Accent 3"/>
    <w:basedOn w:val="TableNormal"/>
    <w:uiPriority w:val="73"/>
    <w:semiHidden/>
    <w:rsid w:val="00FF31D2"/>
    <w:rPr>
      <w:color w:val="000000" w:themeColor="text1"/>
      <w:sz w:val="24"/>
      <w:szCs w:val="24"/>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ColorfulGrid-Accent4">
    <w:name w:val="Colorful Grid Accent 4"/>
    <w:basedOn w:val="TableNormal"/>
    <w:uiPriority w:val="73"/>
    <w:semiHidden/>
    <w:rsid w:val="00FF31D2"/>
    <w:rPr>
      <w:color w:val="000000" w:themeColor="text1"/>
      <w:sz w:val="24"/>
      <w:szCs w:val="24"/>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ColorfulGrid-Accent5">
    <w:name w:val="Colorful Grid Accent 5"/>
    <w:basedOn w:val="TableNormal"/>
    <w:uiPriority w:val="73"/>
    <w:semiHidden/>
    <w:rsid w:val="00FF31D2"/>
    <w:rPr>
      <w:color w:val="000000" w:themeColor="text1"/>
      <w:sz w:val="24"/>
      <w:szCs w:val="24"/>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ColorfulGrid-Accent6">
    <w:name w:val="Colorful Grid Accent 6"/>
    <w:basedOn w:val="TableNormal"/>
    <w:uiPriority w:val="73"/>
    <w:semiHidden/>
    <w:rsid w:val="00FF31D2"/>
    <w:rPr>
      <w:color w:val="000000" w:themeColor="text1"/>
      <w:sz w:val="24"/>
      <w:szCs w:val="24"/>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ColorfulList">
    <w:name w:val="Colorful List"/>
    <w:basedOn w:val="TableNormal"/>
    <w:uiPriority w:val="72"/>
    <w:semiHidden/>
    <w:rsid w:val="00FF31D2"/>
    <w:rPr>
      <w:color w:val="000000" w:themeColor="text1"/>
      <w:sz w:val="24"/>
      <w:szCs w:val="24"/>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rsid w:val="00FF31D2"/>
    <w:rPr>
      <w:color w:val="000000" w:themeColor="text1"/>
      <w:sz w:val="24"/>
      <w:szCs w:val="24"/>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ColorfulList-Accent2">
    <w:name w:val="Colorful List Accent 2"/>
    <w:basedOn w:val="TableNormal"/>
    <w:uiPriority w:val="72"/>
    <w:semiHidden/>
    <w:rsid w:val="00FF31D2"/>
    <w:rPr>
      <w:color w:val="000000" w:themeColor="text1"/>
      <w:sz w:val="24"/>
      <w:szCs w:val="24"/>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ColorfulList-Accent3">
    <w:name w:val="Colorful List Accent 3"/>
    <w:basedOn w:val="TableNormal"/>
    <w:uiPriority w:val="72"/>
    <w:semiHidden/>
    <w:rsid w:val="00FF31D2"/>
    <w:rPr>
      <w:color w:val="000000" w:themeColor="text1"/>
      <w:sz w:val="24"/>
      <w:szCs w:val="24"/>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ColorfulList-Accent4">
    <w:name w:val="Colorful List Accent 4"/>
    <w:basedOn w:val="TableNormal"/>
    <w:uiPriority w:val="72"/>
    <w:semiHidden/>
    <w:rsid w:val="00FF31D2"/>
    <w:rPr>
      <w:color w:val="000000" w:themeColor="text1"/>
      <w:sz w:val="24"/>
      <w:szCs w:val="24"/>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ColorfulList-Accent5">
    <w:name w:val="Colorful List Accent 5"/>
    <w:basedOn w:val="TableNormal"/>
    <w:uiPriority w:val="72"/>
    <w:semiHidden/>
    <w:rsid w:val="00FF31D2"/>
    <w:rPr>
      <w:color w:val="000000" w:themeColor="text1"/>
      <w:sz w:val="24"/>
      <w:szCs w:val="24"/>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ColorfulList-Accent6">
    <w:name w:val="Colorful List Accent 6"/>
    <w:basedOn w:val="TableNormal"/>
    <w:uiPriority w:val="72"/>
    <w:semiHidden/>
    <w:rsid w:val="00FF31D2"/>
    <w:rPr>
      <w:color w:val="000000" w:themeColor="text1"/>
      <w:sz w:val="24"/>
      <w:szCs w:val="24"/>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ColorfulShading">
    <w:name w:val="Colorful Shading"/>
    <w:basedOn w:val="TableNormal"/>
    <w:uiPriority w:val="71"/>
    <w:semiHidden/>
    <w:rsid w:val="00FF31D2"/>
    <w:rPr>
      <w:color w:val="000000" w:themeColor="text1"/>
      <w:sz w:val="24"/>
      <w:szCs w:val="24"/>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rsid w:val="00FF31D2"/>
    <w:rPr>
      <w:color w:val="000000" w:themeColor="text1"/>
      <w:sz w:val="24"/>
      <w:szCs w:val="24"/>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rsid w:val="00FF31D2"/>
    <w:rPr>
      <w:color w:val="000000" w:themeColor="text1"/>
      <w:sz w:val="24"/>
      <w:szCs w:val="24"/>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rsid w:val="00FF31D2"/>
    <w:rPr>
      <w:color w:val="000000" w:themeColor="text1"/>
      <w:sz w:val="24"/>
      <w:szCs w:val="24"/>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ColorfulShading-Accent4">
    <w:name w:val="Colorful Shading Accent 4"/>
    <w:basedOn w:val="TableNormal"/>
    <w:uiPriority w:val="71"/>
    <w:semiHidden/>
    <w:rsid w:val="00FF31D2"/>
    <w:rPr>
      <w:color w:val="000000" w:themeColor="text1"/>
      <w:sz w:val="24"/>
      <w:szCs w:val="24"/>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rsid w:val="00FF31D2"/>
    <w:rPr>
      <w:color w:val="000000" w:themeColor="text1"/>
      <w:sz w:val="24"/>
      <w:szCs w:val="24"/>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rsid w:val="00FF31D2"/>
    <w:rPr>
      <w:color w:val="000000" w:themeColor="text1"/>
      <w:sz w:val="24"/>
      <w:szCs w:val="24"/>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8"/>
    <w:semiHidden/>
    <w:rsid w:val="00FF31D2"/>
    <w:rPr>
      <w:sz w:val="16"/>
      <w:szCs w:val="16"/>
    </w:rPr>
  </w:style>
  <w:style w:type="paragraph" w:styleId="CommentText">
    <w:name w:val="annotation text"/>
    <w:basedOn w:val="Normal"/>
    <w:link w:val="CommentTextChar"/>
    <w:uiPriority w:val="98"/>
    <w:semiHidden/>
    <w:rsid w:val="00FF31D2"/>
    <w:rPr>
      <w:sz w:val="20"/>
      <w:szCs w:val="20"/>
    </w:rPr>
  </w:style>
  <w:style w:type="character" w:customStyle="1" w:styleId="CommentTextChar">
    <w:name w:val="Comment Text Char"/>
    <w:basedOn w:val="DefaultParagraphFont"/>
    <w:link w:val="CommentText"/>
    <w:uiPriority w:val="98"/>
    <w:semiHidden/>
    <w:rsid w:val="00FF31D2"/>
    <w:rPr>
      <w:sz w:val="20"/>
      <w:szCs w:val="20"/>
      <w:lang w:val="en-GB"/>
    </w:rPr>
  </w:style>
  <w:style w:type="paragraph" w:styleId="CommentSubject">
    <w:name w:val="annotation subject"/>
    <w:basedOn w:val="CommentText"/>
    <w:next w:val="CommentText"/>
    <w:link w:val="CommentSubjectChar"/>
    <w:uiPriority w:val="98"/>
    <w:semiHidden/>
    <w:rsid w:val="00FF31D2"/>
    <w:rPr>
      <w:b/>
      <w:bCs/>
    </w:rPr>
  </w:style>
  <w:style w:type="character" w:customStyle="1" w:styleId="CommentSubjectChar">
    <w:name w:val="Comment Subject Char"/>
    <w:basedOn w:val="CommentTextChar"/>
    <w:link w:val="CommentSubject"/>
    <w:uiPriority w:val="98"/>
    <w:semiHidden/>
    <w:rsid w:val="00FF31D2"/>
    <w:rPr>
      <w:b/>
      <w:bCs/>
      <w:sz w:val="20"/>
      <w:szCs w:val="20"/>
      <w:lang w:val="en-GB"/>
    </w:rPr>
  </w:style>
  <w:style w:type="table" w:styleId="DarkList">
    <w:name w:val="Dark List"/>
    <w:basedOn w:val="TableNormal"/>
    <w:uiPriority w:val="70"/>
    <w:semiHidden/>
    <w:rsid w:val="00FF31D2"/>
    <w:rPr>
      <w:color w:val="0072BC" w:themeColor="background1"/>
      <w:sz w:val="24"/>
      <w:szCs w:val="24"/>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rsid w:val="00FF31D2"/>
    <w:rPr>
      <w:color w:val="0072BC" w:themeColor="background1"/>
      <w:sz w:val="24"/>
      <w:szCs w:val="24"/>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DarkList-Accent2">
    <w:name w:val="Dark List Accent 2"/>
    <w:basedOn w:val="TableNormal"/>
    <w:uiPriority w:val="70"/>
    <w:semiHidden/>
    <w:rsid w:val="00FF31D2"/>
    <w:rPr>
      <w:color w:val="0072BC" w:themeColor="background1"/>
      <w:sz w:val="24"/>
      <w:szCs w:val="24"/>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DarkList-Accent3">
    <w:name w:val="Dark List Accent 3"/>
    <w:basedOn w:val="TableNormal"/>
    <w:uiPriority w:val="70"/>
    <w:semiHidden/>
    <w:rsid w:val="00FF31D2"/>
    <w:rPr>
      <w:color w:val="0072BC" w:themeColor="background1"/>
      <w:sz w:val="24"/>
      <w:szCs w:val="24"/>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DarkList-Accent4">
    <w:name w:val="Dark List Accent 4"/>
    <w:basedOn w:val="TableNormal"/>
    <w:uiPriority w:val="70"/>
    <w:semiHidden/>
    <w:rsid w:val="00FF31D2"/>
    <w:rPr>
      <w:color w:val="0072BC" w:themeColor="background1"/>
      <w:sz w:val="24"/>
      <w:szCs w:val="24"/>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DarkList-Accent5">
    <w:name w:val="Dark List Accent 5"/>
    <w:basedOn w:val="TableNormal"/>
    <w:uiPriority w:val="70"/>
    <w:semiHidden/>
    <w:rsid w:val="00FF31D2"/>
    <w:rPr>
      <w:color w:val="0072BC" w:themeColor="background1"/>
      <w:sz w:val="24"/>
      <w:szCs w:val="24"/>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DarkList-Accent6">
    <w:name w:val="Dark List Accent 6"/>
    <w:basedOn w:val="TableNormal"/>
    <w:uiPriority w:val="70"/>
    <w:semiHidden/>
    <w:rsid w:val="00FF31D2"/>
    <w:rPr>
      <w:color w:val="0072BC" w:themeColor="background1"/>
      <w:sz w:val="24"/>
      <w:szCs w:val="24"/>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e">
    <w:name w:val="Date"/>
    <w:basedOn w:val="Normal"/>
    <w:next w:val="Normal"/>
    <w:link w:val="DateChar"/>
    <w:uiPriority w:val="98"/>
    <w:semiHidden/>
    <w:rsid w:val="00FF31D2"/>
  </w:style>
  <w:style w:type="character" w:customStyle="1" w:styleId="DateChar">
    <w:name w:val="Date Char"/>
    <w:basedOn w:val="DefaultParagraphFont"/>
    <w:link w:val="Date"/>
    <w:uiPriority w:val="98"/>
    <w:semiHidden/>
    <w:rsid w:val="00FF31D2"/>
    <w:rPr>
      <w:sz w:val="24"/>
      <w:szCs w:val="24"/>
      <w:lang w:val="en-GB"/>
    </w:rPr>
  </w:style>
  <w:style w:type="paragraph" w:styleId="DocumentMap">
    <w:name w:val="Document Map"/>
    <w:basedOn w:val="Normal"/>
    <w:link w:val="DocumentMapChar"/>
    <w:uiPriority w:val="98"/>
    <w:semiHidden/>
    <w:rsid w:val="00FF31D2"/>
    <w:rPr>
      <w:rFonts w:ascii="Tahoma" w:hAnsi="Tahoma" w:cs="Tahoma"/>
      <w:sz w:val="16"/>
      <w:szCs w:val="16"/>
    </w:rPr>
  </w:style>
  <w:style w:type="character" w:customStyle="1" w:styleId="DocumentMapChar">
    <w:name w:val="Document Map Char"/>
    <w:basedOn w:val="DefaultParagraphFont"/>
    <w:link w:val="DocumentMap"/>
    <w:uiPriority w:val="98"/>
    <w:semiHidden/>
    <w:rsid w:val="00FF31D2"/>
    <w:rPr>
      <w:rFonts w:ascii="Tahoma" w:hAnsi="Tahoma" w:cs="Tahoma"/>
      <w:sz w:val="16"/>
      <w:szCs w:val="16"/>
      <w:lang w:val="en-GB"/>
    </w:rPr>
  </w:style>
  <w:style w:type="paragraph" w:styleId="E-mailSignature">
    <w:name w:val="E-mail Signature"/>
    <w:basedOn w:val="Normal"/>
    <w:link w:val="E-mailSignatureChar"/>
    <w:uiPriority w:val="98"/>
    <w:semiHidden/>
    <w:rsid w:val="00FF31D2"/>
  </w:style>
  <w:style w:type="character" w:customStyle="1" w:styleId="E-mailSignatureChar">
    <w:name w:val="E-mail Signature Char"/>
    <w:basedOn w:val="DefaultParagraphFont"/>
    <w:link w:val="E-mailSignature"/>
    <w:uiPriority w:val="98"/>
    <w:semiHidden/>
    <w:rsid w:val="00FF31D2"/>
    <w:rPr>
      <w:sz w:val="24"/>
      <w:szCs w:val="24"/>
      <w:lang w:val="en-GB"/>
    </w:rPr>
  </w:style>
  <w:style w:type="character" w:styleId="EndnoteReference">
    <w:name w:val="endnote reference"/>
    <w:basedOn w:val="DefaultParagraphFont"/>
    <w:uiPriority w:val="98"/>
    <w:semiHidden/>
    <w:rsid w:val="00FF31D2"/>
    <w:rPr>
      <w:vertAlign w:val="superscript"/>
    </w:rPr>
  </w:style>
  <w:style w:type="paragraph" w:styleId="EndnoteText">
    <w:name w:val="endnote text"/>
    <w:basedOn w:val="Normal"/>
    <w:link w:val="EndnoteTextChar"/>
    <w:uiPriority w:val="98"/>
    <w:semiHidden/>
    <w:rsid w:val="00FF31D2"/>
    <w:rPr>
      <w:sz w:val="20"/>
      <w:szCs w:val="20"/>
    </w:rPr>
  </w:style>
  <w:style w:type="character" w:customStyle="1" w:styleId="EndnoteTextChar">
    <w:name w:val="Endnote Text Char"/>
    <w:basedOn w:val="DefaultParagraphFont"/>
    <w:link w:val="EndnoteText"/>
    <w:uiPriority w:val="98"/>
    <w:semiHidden/>
    <w:rsid w:val="00FF31D2"/>
    <w:rPr>
      <w:sz w:val="20"/>
      <w:szCs w:val="20"/>
      <w:lang w:val="en-GB"/>
    </w:rPr>
  </w:style>
  <w:style w:type="paragraph" w:styleId="EnvelopeAddress">
    <w:name w:val="envelope address"/>
    <w:basedOn w:val="Normal"/>
    <w:uiPriority w:val="98"/>
    <w:semiHidden/>
    <w:rsid w:val="00FF31D2"/>
    <w:pPr>
      <w:framePr w:w="7938" w:h="1985" w:hRule="exact" w:hSpace="141" w:wrap="auto" w:hAnchor="page" w:xAlign="center" w:yAlign="bottom"/>
      <w:ind w:left="2835"/>
    </w:pPr>
    <w:rPr>
      <w:rFonts w:asciiTheme="majorHAnsi" w:eastAsiaTheme="majorEastAsia" w:hAnsiTheme="majorHAnsi" w:cstheme="majorBidi"/>
    </w:rPr>
  </w:style>
  <w:style w:type="paragraph" w:styleId="EnvelopeReturn">
    <w:name w:val="envelope return"/>
    <w:basedOn w:val="Normal"/>
    <w:uiPriority w:val="98"/>
    <w:semiHidden/>
    <w:rsid w:val="00FF31D2"/>
    <w:rPr>
      <w:rFonts w:asciiTheme="majorHAnsi" w:eastAsiaTheme="majorEastAsia" w:hAnsiTheme="majorHAnsi" w:cstheme="majorBidi"/>
      <w:sz w:val="20"/>
      <w:szCs w:val="20"/>
    </w:rPr>
  </w:style>
  <w:style w:type="character" w:styleId="FollowedHyperlink">
    <w:name w:val="FollowedHyperlink"/>
    <w:basedOn w:val="DefaultParagraphFont"/>
    <w:uiPriority w:val="98"/>
    <w:semiHidden/>
    <w:rsid w:val="00FF31D2"/>
    <w:rPr>
      <w:color w:val="7030A0" w:themeColor="followedHyperlink"/>
      <w:u w:val="single"/>
    </w:rPr>
  </w:style>
  <w:style w:type="character" w:styleId="HTMLAcronym">
    <w:name w:val="HTML Acronym"/>
    <w:basedOn w:val="DefaultParagraphFont"/>
    <w:uiPriority w:val="98"/>
    <w:semiHidden/>
    <w:rsid w:val="00FF31D2"/>
  </w:style>
  <w:style w:type="paragraph" w:styleId="HTMLAddress">
    <w:name w:val="HTML Address"/>
    <w:basedOn w:val="Normal"/>
    <w:link w:val="HTMLAddressChar"/>
    <w:uiPriority w:val="98"/>
    <w:semiHidden/>
    <w:rsid w:val="00FF31D2"/>
    <w:rPr>
      <w:i/>
      <w:iCs/>
    </w:rPr>
  </w:style>
  <w:style w:type="character" w:customStyle="1" w:styleId="HTMLAddressChar">
    <w:name w:val="HTML Address Char"/>
    <w:basedOn w:val="DefaultParagraphFont"/>
    <w:link w:val="HTMLAddress"/>
    <w:uiPriority w:val="98"/>
    <w:semiHidden/>
    <w:rsid w:val="00FF31D2"/>
    <w:rPr>
      <w:i/>
      <w:iCs/>
      <w:sz w:val="24"/>
      <w:szCs w:val="24"/>
      <w:lang w:val="en-GB"/>
    </w:rPr>
  </w:style>
  <w:style w:type="character" w:styleId="HTMLCite">
    <w:name w:val="HTML Cite"/>
    <w:basedOn w:val="DefaultParagraphFont"/>
    <w:uiPriority w:val="98"/>
    <w:semiHidden/>
    <w:rsid w:val="00FF31D2"/>
    <w:rPr>
      <w:i/>
      <w:iCs/>
    </w:rPr>
  </w:style>
  <w:style w:type="character" w:styleId="HTMLCode">
    <w:name w:val="HTML Code"/>
    <w:basedOn w:val="DefaultParagraphFont"/>
    <w:uiPriority w:val="98"/>
    <w:semiHidden/>
    <w:rsid w:val="00FF31D2"/>
    <w:rPr>
      <w:rFonts w:ascii="Consolas" w:hAnsi="Consolas" w:cs="Consolas"/>
      <w:sz w:val="20"/>
      <w:szCs w:val="20"/>
    </w:rPr>
  </w:style>
  <w:style w:type="character" w:styleId="HTMLDefinition">
    <w:name w:val="HTML Definition"/>
    <w:basedOn w:val="DefaultParagraphFont"/>
    <w:uiPriority w:val="98"/>
    <w:semiHidden/>
    <w:rsid w:val="00FF31D2"/>
    <w:rPr>
      <w:i/>
      <w:iCs/>
    </w:rPr>
  </w:style>
  <w:style w:type="character" w:styleId="HTMLKeyboard">
    <w:name w:val="HTML Keyboard"/>
    <w:basedOn w:val="DefaultParagraphFont"/>
    <w:uiPriority w:val="98"/>
    <w:semiHidden/>
    <w:rsid w:val="00FF31D2"/>
    <w:rPr>
      <w:rFonts w:ascii="Consolas" w:hAnsi="Consolas" w:cs="Consolas"/>
      <w:sz w:val="20"/>
      <w:szCs w:val="20"/>
    </w:rPr>
  </w:style>
  <w:style w:type="paragraph" w:styleId="HTMLPreformatted">
    <w:name w:val="HTML Preformatted"/>
    <w:basedOn w:val="Normal"/>
    <w:link w:val="HTMLPreformattedChar"/>
    <w:uiPriority w:val="98"/>
    <w:semiHidden/>
    <w:rsid w:val="00FF31D2"/>
    <w:rPr>
      <w:rFonts w:ascii="Consolas" w:hAnsi="Consolas" w:cs="Consolas"/>
      <w:sz w:val="20"/>
      <w:szCs w:val="20"/>
    </w:rPr>
  </w:style>
  <w:style w:type="character" w:customStyle="1" w:styleId="HTMLPreformattedChar">
    <w:name w:val="HTML Preformatted Char"/>
    <w:basedOn w:val="DefaultParagraphFont"/>
    <w:link w:val="HTMLPreformatted"/>
    <w:uiPriority w:val="98"/>
    <w:semiHidden/>
    <w:rsid w:val="00FF31D2"/>
    <w:rPr>
      <w:rFonts w:ascii="Consolas" w:hAnsi="Consolas" w:cs="Consolas"/>
      <w:sz w:val="20"/>
      <w:szCs w:val="20"/>
      <w:lang w:val="en-GB"/>
    </w:rPr>
  </w:style>
  <w:style w:type="character" w:styleId="HTMLSample">
    <w:name w:val="HTML Sample"/>
    <w:basedOn w:val="DefaultParagraphFont"/>
    <w:uiPriority w:val="98"/>
    <w:semiHidden/>
    <w:rsid w:val="00FF31D2"/>
    <w:rPr>
      <w:rFonts w:ascii="Consolas" w:hAnsi="Consolas" w:cs="Consolas"/>
      <w:sz w:val="24"/>
      <w:szCs w:val="24"/>
    </w:rPr>
  </w:style>
  <w:style w:type="character" w:styleId="HTMLTypewriter">
    <w:name w:val="HTML Typewriter"/>
    <w:basedOn w:val="DefaultParagraphFont"/>
    <w:uiPriority w:val="98"/>
    <w:semiHidden/>
    <w:rsid w:val="00FF31D2"/>
    <w:rPr>
      <w:rFonts w:ascii="Consolas" w:hAnsi="Consolas" w:cs="Consolas"/>
      <w:sz w:val="20"/>
      <w:szCs w:val="20"/>
    </w:rPr>
  </w:style>
  <w:style w:type="character" w:styleId="HTMLVariable">
    <w:name w:val="HTML Variable"/>
    <w:basedOn w:val="DefaultParagraphFont"/>
    <w:uiPriority w:val="98"/>
    <w:semiHidden/>
    <w:rsid w:val="00FF31D2"/>
    <w:rPr>
      <w:i/>
      <w:iCs/>
    </w:rPr>
  </w:style>
  <w:style w:type="paragraph" w:styleId="Index1">
    <w:name w:val="index 1"/>
    <w:basedOn w:val="Normal"/>
    <w:next w:val="Normal"/>
    <w:autoRedefine/>
    <w:uiPriority w:val="98"/>
    <w:semiHidden/>
    <w:rsid w:val="00FF31D2"/>
    <w:pPr>
      <w:ind w:left="240" w:hanging="240"/>
    </w:pPr>
  </w:style>
  <w:style w:type="paragraph" w:styleId="Index2">
    <w:name w:val="index 2"/>
    <w:basedOn w:val="Normal"/>
    <w:next w:val="Normal"/>
    <w:autoRedefine/>
    <w:uiPriority w:val="98"/>
    <w:semiHidden/>
    <w:rsid w:val="00FF31D2"/>
    <w:pPr>
      <w:ind w:left="480" w:hanging="240"/>
    </w:pPr>
  </w:style>
  <w:style w:type="paragraph" w:styleId="Index3">
    <w:name w:val="index 3"/>
    <w:basedOn w:val="Normal"/>
    <w:next w:val="Normal"/>
    <w:autoRedefine/>
    <w:uiPriority w:val="98"/>
    <w:semiHidden/>
    <w:rsid w:val="00FF31D2"/>
    <w:pPr>
      <w:ind w:left="720" w:hanging="240"/>
    </w:pPr>
  </w:style>
  <w:style w:type="paragraph" w:styleId="Index4">
    <w:name w:val="index 4"/>
    <w:basedOn w:val="Normal"/>
    <w:next w:val="Normal"/>
    <w:autoRedefine/>
    <w:uiPriority w:val="98"/>
    <w:semiHidden/>
    <w:rsid w:val="00FF31D2"/>
    <w:pPr>
      <w:ind w:left="960" w:hanging="240"/>
    </w:pPr>
  </w:style>
  <w:style w:type="paragraph" w:styleId="Index5">
    <w:name w:val="index 5"/>
    <w:basedOn w:val="Normal"/>
    <w:next w:val="Normal"/>
    <w:autoRedefine/>
    <w:uiPriority w:val="98"/>
    <w:semiHidden/>
    <w:rsid w:val="00FF31D2"/>
    <w:pPr>
      <w:ind w:left="1200" w:hanging="240"/>
    </w:pPr>
  </w:style>
  <w:style w:type="paragraph" w:styleId="Index6">
    <w:name w:val="index 6"/>
    <w:basedOn w:val="Normal"/>
    <w:next w:val="Normal"/>
    <w:autoRedefine/>
    <w:uiPriority w:val="98"/>
    <w:semiHidden/>
    <w:rsid w:val="00FF31D2"/>
    <w:pPr>
      <w:ind w:left="1440" w:hanging="240"/>
    </w:pPr>
  </w:style>
  <w:style w:type="paragraph" w:styleId="Index7">
    <w:name w:val="index 7"/>
    <w:basedOn w:val="Normal"/>
    <w:next w:val="Normal"/>
    <w:autoRedefine/>
    <w:uiPriority w:val="98"/>
    <w:semiHidden/>
    <w:rsid w:val="00FF31D2"/>
    <w:pPr>
      <w:ind w:left="1680" w:hanging="240"/>
    </w:pPr>
  </w:style>
  <w:style w:type="paragraph" w:styleId="Index8">
    <w:name w:val="index 8"/>
    <w:basedOn w:val="Normal"/>
    <w:next w:val="Normal"/>
    <w:autoRedefine/>
    <w:uiPriority w:val="98"/>
    <w:semiHidden/>
    <w:rsid w:val="00FF31D2"/>
    <w:pPr>
      <w:ind w:left="1920" w:hanging="240"/>
    </w:pPr>
  </w:style>
  <w:style w:type="paragraph" w:styleId="Index9">
    <w:name w:val="index 9"/>
    <w:basedOn w:val="Normal"/>
    <w:next w:val="Normal"/>
    <w:autoRedefine/>
    <w:uiPriority w:val="98"/>
    <w:semiHidden/>
    <w:rsid w:val="00FF31D2"/>
    <w:pPr>
      <w:ind w:left="2160" w:hanging="240"/>
    </w:pPr>
  </w:style>
  <w:style w:type="paragraph" w:styleId="IndexHeading">
    <w:name w:val="index heading"/>
    <w:basedOn w:val="Normal"/>
    <w:next w:val="Index1"/>
    <w:uiPriority w:val="98"/>
    <w:semiHidden/>
    <w:rsid w:val="00FF31D2"/>
    <w:rPr>
      <w:rFonts w:asciiTheme="majorHAnsi" w:eastAsiaTheme="majorEastAsia" w:hAnsiTheme="majorHAnsi" w:cstheme="majorBidi"/>
      <w:b/>
      <w:bCs/>
    </w:rPr>
  </w:style>
  <w:style w:type="table" w:styleId="LightGrid">
    <w:name w:val="Light Grid"/>
    <w:basedOn w:val="TableNormal"/>
    <w:uiPriority w:val="62"/>
    <w:semiHidden/>
    <w:rsid w:val="00FF31D2"/>
    <w:rPr>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rsid w:val="00FF31D2"/>
    <w:rPr>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LightGrid-Accent2">
    <w:name w:val="Light Grid Accent 2"/>
    <w:basedOn w:val="TableNormal"/>
    <w:uiPriority w:val="62"/>
    <w:semiHidden/>
    <w:rsid w:val="00FF31D2"/>
    <w:rPr>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LightGrid-Accent3">
    <w:name w:val="Light Grid Accent 3"/>
    <w:basedOn w:val="TableNormal"/>
    <w:uiPriority w:val="62"/>
    <w:semiHidden/>
    <w:rsid w:val="00FF31D2"/>
    <w:rPr>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LightGrid-Accent4">
    <w:name w:val="Light Grid Accent 4"/>
    <w:basedOn w:val="TableNormal"/>
    <w:uiPriority w:val="62"/>
    <w:semiHidden/>
    <w:rsid w:val="00FF31D2"/>
    <w:rPr>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LightGrid-Accent5">
    <w:name w:val="Light Grid Accent 5"/>
    <w:basedOn w:val="TableNormal"/>
    <w:uiPriority w:val="62"/>
    <w:semiHidden/>
    <w:rsid w:val="00FF31D2"/>
    <w:rPr>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LightGrid-Accent6">
    <w:name w:val="Light Grid Accent 6"/>
    <w:basedOn w:val="TableNormal"/>
    <w:uiPriority w:val="62"/>
    <w:semiHidden/>
    <w:rsid w:val="00FF31D2"/>
    <w:rPr>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LightList">
    <w:name w:val="Light List"/>
    <w:basedOn w:val="TableNormal"/>
    <w:uiPriority w:val="61"/>
    <w:semiHidden/>
    <w:rsid w:val="00FF31D2"/>
    <w:rPr>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rsid w:val="00FF31D2"/>
    <w:rPr>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LightList-Accent2">
    <w:name w:val="Light List Accent 2"/>
    <w:basedOn w:val="TableNormal"/>
    <w:uiPriority w:val="61"/>
    <w:semiHidden/>
    <w:rsid w:val="00FF31D2"/>
    <w:rPr>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LightList-Accent3">
    <w:name w:val="Light List Accent 3"/>
    <w:basedOn w:val="TableNormal"/>
    <w:uiPriority w:val="61"/>
    <w:semiHidden/>
    <w:rsid w:val="00FF31D2"/>
    <w:rPr>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LightList-Accent4">
    <w:name w:val="Light List Accent 4"/>
    <w:basedOn w:val="TableNormal"/>
    <w:uiPriority w:val="61"/>
    <w:semiHidden/>
    <w:rsid w:val="00FF31D2"/>
    <w:rPr>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LightList-Accent5">
    <w:name w:val="Light List Accent 5"/>
    <w:basedOn w:val="TableNormal"/>
    <w:uiPriority w:val="61"/>
    <w:semiHidden/>
    <w:rsid w:val="00FF31D2"/>
    <w:rPr>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LightList-Accent6">
    <w:name w:val="Light List Accent 6"/>
    <w:basedOn w:val="TableNormal"/>
    <w:uiPriority w:val="61"/>
    <w:semiHidden/>
    <w:rsid w:val="00FF31D2"/>
    <w:rPr>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LightShading">
    <w:name w:val="Light Shading"/>
    <w:basedOn w:val="TableNormal"/>
    <w:uiPriority w:val="60"/>
    <w:semiHidden/>
    <w:rsid w:val="00FF31D2"/>
    <w:rPr>
      <w:color w:val="000000" w:themeColor="text1" w:themeShade="BF"/>
      <w:sz w:val="24"/>
      <w:szCs w:val="24"/>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rsid w:val="00FF31D2"/>
    <w:rPr>
      <w:color w:val="00548C" w:themeColor="accent1" w:themeShade="BF"/>
      <w:sz w:val="24"/>
      <w:szCs w:val="24"/>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LightShading-Accent2">
    <w:name w:val="Light Shading Accent 2"/>
    <w:basedOn w:val="TableNormal"/>
    <w:uiPriority w:val="60"/>
    <w:semiHidden/>
    <w:rsid w:val="00FF31D2"/>
    <w:rPr>
      <w:color w:val="8F0000" w:themeColor="accent2" w:themeShade="BF"/>
      <w:sz w:val="24"/>
      <w:szCs w:val="24"/>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LightShading-Accent3">
    <w:name w:val="Light Shading Accent 3"/>
    <w:basedOn w:val="TableNormal"/>
    <w:uiPriority w:val="60"/>
    <w:semiHidden/>
    <w:rsid w:val="00FF31D2"/>
    <w:rPr>
      <w:color w:val="474747" w:themeColor="accent3" w:themeShade="BF"/>
      <w:sz w:val="24"/>
      <w:szCs w:val="24"/>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LightShading-Accent4">
    <w:name w:val="Light Shading Accent 4"/>
    <w:basedOn w:val="TableNormal"/>
    <w:uiPriority w:val="60"/>
    <w:semiHidden/>
    <w:rsid w:val="00FF31D2"/>
    <w:rPr>
      <w:color w:val="707070" w:themeColor="accent4" w:themeShade="BF"/>
      <w:sz w:val="24"/>
      <w:szCs w:val="24"/>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LightShading-Accent5">
    <w:name w:val="Light Shading Accent 5"/>
    <w:basedOn w:val="TableNormal"/>
    <w:uiPriority w:val="60"/>
    <w:semiHidden/>
    <w:rsid w:val="00FF31D2"/>
    <w:rPr>
      <w:color w:val="474747" w:themeColor="accent5" w:themeShade="BF"/>
      <w:sz w:val="24"/>
      <w:szCs w:val="24"/>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LightShading-Accent6">
    <w:name w:val="Light Shading Accent 6"/>
    <w:basedOn w:val="TableNormal"/>
    <w:uiPriority w:val="60"/>
    <w:semiHidden/>
    <w:rsid w:val="00FF31D2"/>
    <w:rPr>
      <w:color w:val="393939" w:themeColor="accent6" w:themeShade="BF"/>
      <w:sz w:val="24"/>
      <w:szCs w:val="24"/>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LineNumber">
    <w:name w:val="line number"/>
    <w:basedOn w:val="DefaultParagraphFont"/>
    <w:uiPriority w:val="98"/>
    <w:semiHidden/>
    <w:rsid w:val="00FF31D2"/>
  </w:style>
  <w:style w:type="paragraph" w:styleId="List">
    <w:name w:val="List"/>
    <w:basedOn w:val="Normal"/>
    <w:uiPriority w:val="98"/>
    <w:semiHidden/>
    <w:rsid w:val="00FF31D2"/>
    <w:pPr>
      <w:ind w:left="283" w:hanging="283"/>
      <w:contextualSpacing/>
    </w:pPr>
  </w:style>
  <w:style w:type="paragraph" w:styleId="List2">
    <w:name w:val="List 2"/>
    <w:basedOn w:val="Normal"/>
    <w:uiPriority w:val="98"/>
    <w:semiHidden/>
    <w:rsid w:val="00FF31D2"/>
    <w:pPr>
      <w:ind w:left="566" w:hanging="283"/>
      <w:contextualSpacing/>
    </w:pPr>
  </w:style>
  <w:style w:type="paragraph" w:styleId="List3">
    <w:name w:val="List 3"/>
    <w:basedOn w:val="Normal"/>
    <w:uiPriority w:val="98"/>
    <w:semiHidden/>
    <w:rsid w:val="00FF31D2"/>
    <w:pPr>
      <w:ind w:left="849" w:hanging="283"/>
      <w:contextualSpacing/>
    </w:pPr>
  </w:style>
  <w:style w:type="paragraph" w:styleId="List4">
    <w:name w:val="List 4"/>
    <w:basedOn w:val="Normal"/>
    <w:uiPriority w:val="98"/>
    <w:semiHidden/>
    <w:rsid w:val="00FF31D2"/>
    <w:pPr>
      <w:ind w:left="1132" w:hanging="283"/>
      <w:contextualSpacing/>
    </w:pPr>
  </w:style>
  <w:style w:type="paragraph" w:styleId="List5">
    <w:name w:val="List 5"/>
    <w:basedOn w:val="Normal"/>
    <w:uiPriority w:val="98"/>
    <w:semiHidden/>
    <w:rsid w:val="00FF31D2"/>
    <w:pPr>
      <w:ind w:left="1415" w:hanging="283"/>
      <w:contextualSpacing/>
    </w:pPr>
  </w:style>
  <w:style w:type="paragraph" w:styleId="ListBullet2">
    <w:name w:val="List Bullet 2"/>
    <w:basedOn w:val="Normal"/>
    <w:uiPriority w:val="98"/>
    <w:semiHidden/>
    <w:rsid w:val="00FF31D2"/>
    <w:pPr>
      <w:numPr>
        <w:numId w:val="11"/>
      </w:numPr>
      <w:contextualSpacing/>
    </w:pPr>
  </w:style>
  <w:style w:type="paragraph" w:styleId="ListBullet4">
    <w:name w:val="List Bullet 4"/>
    <w:basedOn w:val="Normal"/>
    <w:uiPriority w:val="98"/>
    <w:semiHidden/>
    <w:rsid w:val="00FF31D2"/>
    <w:pPr>
      <w:numPr>
        <w:numId w:val="13"/>
      </w:numPr>
      <w:contextualSpacing/>
    </w:pPr>
  </w:style>
  <w:style w:type="paragraph" w:styleId="ListBullet5">
    <w:name w:val="List Bullet 5"/>
    <w:basedOn w:val="Normal"/>
    <w:uiPriority w:val="98"/>
    <w:semiHidden/>
    <w:rsid w:val="00FF31D2"/>
    <w:pPr>
      <w:numPr>
        <w:numId w:val="14"/>
      </w:numPr>
      <w:contextualSpacing/>
    </w:pPr>
  </w:style>
  <w:style w:type="paragraph" w:styleId="ListContinue">
    <w:name w:val="List Continue"/>
    <w:basedOn w:val="Normal"/>
    <w:uiPriority w:val="98"/>
    <w:semiHidden/>
    <w:rsid w:val="00FF31D2"/>
    <w:pPr>
      <w:spacing w:after="120"/>
      <w:ind w:left="283"/>
      <w:contextualSpacing/>
    </w:pPr>
  </w:style>
  <w:style w:type="paragraph" w:styleId="ListContinue2">
    <w:name w:val="List Continue 2"/>
    <w:basedOn w:val="Normal"/>
    <w:uiPriority w:val="98"/>
    <w:semiHidden/>
    <w:rsid w:val="00FF31D2"/>
    <w:pPr>
      <w:spacing w:after="120"/>
      <w:ind w:left="566"/>
      <w:contextualSpacing/>
    </w:pPr>
  </w:style>
  <w:style w:type="paragraph" w:styleId="ListContinue3">
    <w:name w:val="List Continue 3"/>
    <w:basedOn w:val="Normal"/>
    <w:uiPriority w:val="98"/>
    <w:semiHidden/>
    <w:rsid w:val="00FF31D2"/>
    <w:pPr>
      <w:spacing w:after="120"/>
      <w:ind w:left="849"/>
      <w:contextualSpacing/>
    </w:pPr>
  </w:style>
  <w:style w:type="paragraph" w:styleId="ListContinue4">
    <w:name w:val="List Continue 4"/>
    <w:basedOn w:val="Normal"/>
    <w:uiPriority w:val="98"/>
    <w:semiHidden/>
    <w:rsid w:val="00FF31D2"/>
    <w:pPr>
      <w:spacing w:after="120"/>
      <w:ind w:left="1132"/>
      <w:contextualSpacing/>
    </w:pPr>
  </w:style>
  <w:style w:type="paragraph" w:styleId="ListContinue5">
    <w:name w:val="List Continue 5"/>
    <w:basedOn w:val="Normal"/>
    <w:uiPriority w:val="98"/>
    <w:semiHidden/>
    <w:rsid w:val="00FF31D2"/>
    <w:pPr>
      <w:spacing w:after="120"/>
      <w:ind w:left="1415"/>
      <w:contextualSpacing/>
    </w:pPr>
  </w:style>
  <w:style w:type="paragraph" w:styleId="ListNumber">
    <w:name w:val="List Number"/>
    <w:basedOn w:val="Normal"/>
    <w:uiPriority w:val="98"/>
    <w:semiHidden/>
    <w:rsid w:val="00FF31D2"/>
    <w:pPr>
      <w:numPr>
        <w:numId w:val="15"/>
      </w:numPr>
      <w:contextualSpacing/>
    </w:pPr>
  </w:style>
  <w:style w:type="paragraph" w:styleId="ListNumber2">
    <w:name w:val="List Number 2"/>
    <w:basedOn w:val="Normal"/>
    <w:uiPriority w:val="98"/>
    <w:semiHidden/>
    <w:rsid w:val="00FF31D2"/>
    <w:pPr>
      <w:numPr>
        <w:numId w:val="16"/>
      </w:numPr>
      <w:contextualSpacing/>
    </w:pPr>
  </w:style>
  <w:style w:type="paragraph" w:styleId="ListNumber3">
    <w:name w:val="List Number 3"/>
    <w:basedOn w:val="Normal"/>
    <w:uiPriority w:val="98"/>
    <w:semiHidden/>
    <w:rsid w:val="00FF31D2"/>
    <w:pPr>
      <w:numPr>
        <w:numId w:val="17"/>
      </w:numPr>
      <w:contextualSpacing/>
    </w:pPr>
  </w:style>
  <w:style w:type="paragraph" w:styleId="ListNumber4">
    <w:name w:val="List Number 4"/>
    <w:basedOn w:val="Normal"/>
    <w:uiPriority w:val="98"/>
    <w:semiHidden/>
    <w:rsid w:val="00FF31D2"/>
    <w:pPr>
      <w:numPr>
        <w:numId w:val="18"/>
      </w:numPr>
      <w:contextualSpacing/>
    </w:pPr>
  </w:style>
  <w:style w:type="paragraph" w:styleId="ListNumber5">
    <w:name w:val="List Number 5"/>
    <w:basedOn w:val="Normal"/>
    <w:uiPriority w:val="98"/>
    <w:semiHidden/>
    <w:rsid w:val="00FF31D2"/>
    <w:pPr>
      <w:numPr>
        <w:numId w:val="19"/>
      </w:numPr>
      <w:contextualSpacing/>
    </w:pPr>
  </w:style>
  <w:style w:type="paragraph" w:styleId="MacroText">
    <w:name w:val="macro"/>
    <w:link w:val="MacroTextChar"/>
    <w:uiPriority w:val="98"/>
    <w:semiHidden/>
    <w:rsid w:val="00FF31D2"/>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EastAsia" w:hAnsi="Consolas" w:cs="Consolas"/>
      <w:sz w:val="20"/>
      <w:szCs w:val="20"/>
    </w:rPr>
  </w:style>
  <w:style w:type="character" w:customStyle="1" w:styleId="MacroTextChar">
    <w:name w:val="Macro Text Char"/>
    <w:basedOn w:val="DefaultParagraphFont"/>
    <w:link w:val="MacroText"/>
    <w:uiPriority w:val="98"/>
    <w:semiHidden/>
    <w:rsid w:val="00FF31D2"/>
    <w:rPr>
      <w:rFonts w:ascii="Consolas" w:eastAsiaTheme="minorEastAsia" w:hAnsi="Consolas" w:cs="Consolas"/>
      <w:sz w:val="20"/>
      <w:szCs w:val="20"/>
    </w:rPr>
  </w:style>
  <w:style w:type="table" w:styleId="MediumGrid1">
    <w:name w:val="Medium Grid 1"/>
    <w:basedOn w:val="TableNormal"/>
    <w:uiPriority w:val="67"/>
    <w:semiHidden/>
    <w:rsid w:val="00FF31D2"/>
    <w:rPr>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rsid w:val="00FF31D2"/>
    <w:rPr>
      <w:sz w:val="24"/>
      <w:szCs w:val="24"/>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MediumGrid1-Accent2">
    <w:name w:val="Medium Grid 1 Accent 2"/>
    <w:basedOn w:val="TableNormal"/>
    <w:uiPriority w:val="67"/>
    <w:semiHidden/>
    <w:rsid w:val="00FF31D2"/>
    <w:rPr>
      <w:sz w:val="24"/>
      <w:szCs w:val="24"/>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MediumGrid1-Accent3">
    <w:name w:val="Medium Grid 1 Accent 3"/>
    <w:basedOn w:val="TableNormal"/>
    <w:uiPriority w:val="67"/>
    <w:semiHidden/>
    <w:rsid w:val="00FF31D2"/>
    <w:rPr>
      <w:sz w:val="24"/>
      <w:szCs w:val="24"/>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MediumGrid1-Accent4">
    <w:name w:val="Medium Grid 1 Accent 4"/>
    <w:basedOn w:val="TableNormal"/>
    <w:uiPriority w:val="67"/>
    <w:semiHidden/>
    <w:rsid w:val="00FF31D2"/>
    <w:rPr>
      <w:sz w:val="24"/>
      <w:szCs w:val="24"/>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MediumGrid1-Accent5">
    <w:name w:val="Medium Grid 1 Accent 5"/>
    <w:basedOn w:val="TableNormal"/>
    <w:uiPriority w:val="67"/>
    <w:semiHidden/>
    <w:rsid w:val="00FF31D2"/>
    <w:rPr>
      <w:sz w:val="24"/>
      <w:szCs w:val="24"/>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MediumGrid1-Accent6">
    <w:name w:val="Medium Grid 1 Accent 6"/>
    <w:basedOn w:val="TableNormal"/>
    <w:uiPriority w:val="67"/>
    <w:semiHidden/>
    <w:rsid w:val="00FF31D2"/>
    <w:rPr>
      <w:sz w:val="24"/>
      <w:szCs w:val="24"/>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MediumGrid2">
    <w:name w:val="Medium Grid 2"/>
    <w:basedOn w:val="TableNormal"/>
    <w:uiPriority w:val="68"/>
    <w:semiHidden/>
    <w:rsid w:val="00FF31D2"/>
    <w:rPr>
      <w:rFonts w:asciiTheme="majorHAnsi" w:eastAsiaTheme="majorEastAsia" w:hAnsiTheme="majorHAnsi" w:cstheme="majorBidi"/>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MediumGrid2-Accent1">
    <w:name w:val="Medium Grid 2 Accent 1"/>
    <w:basedOn w:val="TableNormal"/>
    <w:uiPriority w:val="68"/>
    <w:semiHidden/>
    <w:rsid w:val="00FF31D2"/>
    <w:rPr>
      <w:rFonts w:asciiTheme="majorHAnsi" w:eastAsiaTheme="majorEastAsia" w:hAnsiTheme="majorHAnsi" w:cstheme="majorBidi"/>
      <w:color w:val="000000" w:themeColor="text1"/>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MediumGrid2-Accent2">
    <w:name w:val="Medium Grid 2 Accent 2"/>
    <w:basedOn w:val="TableNormal"/>
    <w:uiPriority w:val="68"/>
    <w:semiHidden/>
    <w:rsid w:val="00FF31D2"/>
    <w:rPr>
      <w:rFonts w:asciiTheme="majorHAnsi" w:eastAsiaTheme="majorEastAsia" w:hAnsiTheme="majorHAnsi" w:cstheme="majorBidi"/>
      <w:color w:val="000000" w:themeColor="text1"/>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MediumGrid2-Accent3">
    <w:name w:val="Medium Grid 2 Accent 3"/>
    <w:basedOn w:val="TableNormal"/>
    <w:uiPriority w:val="68"/>
    <w:semiHidden/>
    <w:rsid w:val="00FF31D2"/>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MediumGrid2-Accent4">
    <w:name w:val="Medium Grid 2 Accent 4"/>
    <w:basedOn w:val="TableNormal"/>
    <w:uiPriority w:val="68"/>
    <w:semiHidden/>
    <w:rsid w:val="00FF31D2"/>
    <w:rPr>
      <w:rFonts w:asciiTheme="majorHAnsi" w:eastAsiaTheme="majorEastAsia" w:hAnsiTheme="majorHAnsi" w:cstheme="majorBidi"/>
      <w:color w:val="000000" w:themeColor="text1"/>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MediumGrid2-Accent5">
    <w:name w:val="Medium Grid 2 Accent 5"/>
    <w:basedOn w:val="TableNormal"/>
    <w:uiPriority w:val="68"/>
    <w:semiHidden/>
    <w:rsid w:val="00FF31D2"/>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MediumGrid2-Accent6">
    <w:name w:val="Medium Grid 2 Accent 6"/>
    <w:basedOn w:val="TableNormal"/>
    <w:uiPriority w:val="68"/>
    <w:semiHidden/>
    <w:rsid w:val="00FF31D2"/>
    <w:rPr>
      <w:rFonts w:asciiTheme="majorHAnsi" w:eastAsiaTheme="majorEastAsia" w:hAnsiTheme="majorHAnsi" w:cstheme="majorBidi"/>
      <w:color w:val="000000" w:themeColor="text1"/>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MediumGrid3">
    <w:name w:val="Medium Grid 3"/>
    <w:basedOn w:val="TableNormal"/>
    <w:uiPriority w:val="69"/>
    <w:semiHidden/>
    <w:rsid w:val="00FF31D2"/>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MediumGrid3-Accent1">
    <w:name w:val="Medium Grid 3 Accent 1"/>
    <w:basedOn w:val="TableNormal"/>
    <w:uiPriority w:val="69"/>
    <w:semiHidden/>
    <w:rsid w:val="00FF31D2"/>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MediumGrid3-Accent2">
    <w:name w:val="Medium Grid 3 Accent 2"/>
    <w:basedOn w:val="TableNormal"/>
    <w:uiPriority w:val="69"/>
    <w:semiHidden/>
    <w:rsid w:val="00FF31D2"/>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MediumGrid3-Accent3">
    <w:name w:val="Medium Grid 3 Accent 3"/>
    <w:basedOn w:val="TableNormal"/>
    <w:uiPriority w:val="69"/>
    <w:semiHidden/>
    <w:rsid w:val="00FF31D2"/>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MediumGrid3-Accent4">
    <w:name w:val="Medium Grid 3 Accent 4"/>
    <w:basedOn w:val="TableNormal"/>
    <w:uiPriority w:val="69"/>
    <w:semiHidden/>
    <w:rsid w:val="00FF31D2"/>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MediumGrid3-Accent5">
    <w:name w:val="Medium Grid 3 Accent 5"/>
    <w:basedOn w:val="TableNormal"/>
    <w:uiPriority w:val="69"/>
    <w:semiHidden/>
    <w:rsid w:val="00FF31D2"/>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MediumGrid3-Accent6">
    <w:name w:val="Medium Grid 3 Accent 6"/>
    <w:basedOn w:val="TableNormal"/>
    <w:uiPriority w:val="69"/>
    <w:semiHidden/>
    <w:rsid w:val="00FF31D2"/>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MediumList1">
    <w:name w:val="Medium List 1"/>
    <w:basedOn w:val="TableNormal"/>
    <w:uiPriority w:val="65"/>
    <w:semiHidden/>
    <w:rsid w:val="00FF31D2"/>
    <w:rPr>
      <w:color w:val="000000" w:themeColor="text1"/>
      <w:sz w:val="24"/>
      <w:szCs w:val="24"/>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rsid w:val="00FF31D2"/>
    <w:rPr>
      <w:color w:val="000000" w:themeColor="text1"/>
      <w:sz w:val="24"/>
      <w:szCs w:val="24"/>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MediumList1-Accent2">
    <w:name w:val="Medium List 1 Accent 2"/>
    <w:basedOn w:val="TableNormal"/>
    <w:uiPriority w:val="65"/>
    <w:semiHidden/>
    <w:rsid w:val="00FF31D2"/>
    <w:rPr>
      <w:color w:val="000000" w:themeColor="text1"/>
      <w:sz w:val="24"/>
      <w:szCs w:val="24"/>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MediumList1-Accent3">
    <w:name w:val="Medium List 1 Accent 3"/>
    <w:basedOn w:val="TableNormal"/>
    <w:uiPriority w:val="65"/>
    <w:semiHidden/>
    <w:rsid w:val="00FF31D2"/>
    <w:rPr>
      <w:color w:val="000000" w:themeColor="text1"/>
      <w:sz w:val="24"/>
      <w:szCs w:val="24"/>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MediumList1-Accent4">
    <w:name w:val="Medium List 1 Accent 4"/>
    <w:basedOn w:val="TableNormal"/>
    <w:uiPriority w:val="65"/>
    <w:semiHidden/>
    <w:rsid w:val="00FF31D2"/>
    <w:rPr>
      <w:color w:val="000000" w:themeColor="text1"/>
      <w:sz w:val="24"/>
      <w:szCs w:val="24"/>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MediumList1-Accent5">
    <w:name w:val="Medium List 1 Accent 5"/>
    <w:basedOn w:val="TableNormal"/>
    <w:uiPriority w:val="65"/>
    <w:semiHidden/>
    <w:rsid w:val="00FF31D2"/>
    <w:rPr>
      <w:color w:val="000000" w:themeColor="text1"/>
      <w:sz w:val="24"/>
      <w:szCs w:val="24"/>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MediumList1-Accent6">
    <w:name w:val="Medium List 1 Accent 6"/>
    <w:basedOn w:val="TableNormal"/>
    <w:uiPriority w:val="65"/>
    <w:semiHidden/>
    <w:rsid w:val="00FF31D2"/>
    <w:rPr>
      <w:color w:val="000000" w:themeColor="text1"/>
      <w:sz w:val="24"/>
      <w:szCs w:val="24"/>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MediumList2">
    <w:name w:val="Medium List 2"/>
    <w:basedOn w:val="TableNormal"/>
    <w:uiPriority w:val="66"/>
    <w:semiHidden/>
    <w:rsid w:val="00FF31D2"/>
    <w:rPr>
      <w:rFonts w:asciiTheme="majorHAnsi" w:eastAsiaTheme="majorEastAsia" w:hAnsiTheme="majorHAnsi" w:cstheme="majorBidi"/>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1">
    <w:name w:val="Medium List 2 Accent 1"/>
    <w:basedOn w:val="TableNormal"/>
    <w:uiPriority w:val="66"/>
    <w:semiHidden/>
    <w:rsid w:val="00FF31D2"/>
    <w:rPr>
      <w:rFonts w:asciiTheme="majorHAnsi" w:eastAsiaTheme="majorEastAsia" w:hAnsiTheme="majorHAnsi" w:cstheme="majorBidi"/>
      <w:color w:val="000000" w:themeColor="text1"/>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2">
    <w:name w:val="Medium List 2 Accent 2"/>
    <w:basedOn w:val="TableNormal"/>
    <w:uiPriority w:val="66"/>
    <w:semiHidden/>
    <w:rsid w:val="00FF31D2"/>
    <w:rPr>
      <w:rFonts w:asciiTheme="majorHAnsi" w:eastAsiaTheme="majorEastAsia" w:hAnsiTheme="majorHAnsi" w:cstheme="majorBidi"/>
      <w:color w:val="000000" w:themeColor="text1"/>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3">
    <w:name w:val="Medium List 2 Accent 3"/>
    <w:basedOn w:val="TableNormal"/>
    <w:uiPriority w:val="66"/>
    <w:semiHidden/>
    <w:rsid w:val="00FF31D2"/>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4">
    <w:name w:val="Medium List 2 Accent 4"/>
    <w:basedOn w:val="TableNormal"/>
    <w:uiPriority w:val="66"/>
    <w:semiHidden/>
    <w:rsid w:val="00FF31D2"/>
    <w:rPr>
      <w:rFonts w:asciiTheme="majorHAnsi" w:eastAsiaTheme="majorEastAsia" w:hAnsiTheme="majorHAnsi" w:cstheme="majorBidi"/>
      <w:color w:val="000000" w:themeColor="text1"/>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5">
    <w:name w:val="Medium List 2 Accent 5"/>
    <w:basedOn w:val="TableNormal"/>
    <w:uiPriority w:val="66"/>
    <w:semiHidden/>
    <w:rsid w:val="00FF31D2"/>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6">
    <w:name w:val="Medium List 2 Accent 6"/>
    <w:basedOn w:val="TableNormal"/>
    <w:uiPriority w:val="66"/>
    <w:semiHidden/>
    <w:rsid w:val="00FF31D2"/>
    <w:rPr>
      <w:rFonts w:asciiTheme="majorHAnsi" w:eastAsiaTheme="majorEastAsia" w:hAnsiTheme="majorHAnsi" w:cstheme="majorBidi"/>
      <w:color w:val="000000" w:themeColor="text1"/>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Shading1">
    <w:name w:val="Medium Shading 1"/>
    <w:basedOn w:val="TableNormal"/>
    <w:uiPriority w:val="63"/>
    <w:semiHidden/>
    <w:rsid w:val="00FF31D2"/>
    <w:rPr>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rsid w:val="00FF31D2"/>
    <w:rPr>
      <w:sz w:val="24"/>
      <w:szCs w:val="24"/>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rsid w:val="00FF31D2"/>
    <w:rPr>
      <w:sz w:val="24"/>
      <w:szCs w:val="24"/>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rsid w:val="00FF31D2"/>
    <w:rPr>
      <w:sz w:val="24"/>
      <w:szCs w:val="24"/>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rsid w:val="00FF31D2"/>
    <w:rPr>
      <w:sz w:val="24"/>
      <w:szCs w:val="24"/>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rsid w:val="00FF31D2"/>
    <w:rPr>
      <w:sz w:val="24"/>
      <w:szCs w:val="24"/>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rsid w:val="00FF31D2"/>
    <w:rPr>
      <w:sz w:val="24"/>
      <w:szCs w:val="24"/>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rsid w:val="00FF31D2"/>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rsid w:val="00FF31D2"/>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rsid w:val="00FF31D2"/>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rsid w:val="00FF31D2"/>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rsid w:val="00FF31D2"/>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rsid w:val="00FF31D2"/>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rsid w:val="00FF31D2"/>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8"/>
    <w:semiHidden/>
    <w:rsid w:val="00FF31D2"/>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8"/>
    <w:semiHidden/>
    <w:rsid w:val="00FF31D2"/>
    <w:rPr>
      <w:rFonts w:asciiTheme="majorHAnsi" w:eastAsiaTheme="majorEastAsia" w:hAnsiTheme="majorHAnsi" w:cstheme="majorBidi"/>
      <w:sz w:val="24"/>
      <w:szCs w:val="24"/>
      <w:shd w:val="pct20" w:color="auto" w:fill="auto"/>
      <w:lang w:val="en-GB"/>
    </w:rPr>
  </w:style>
  <w:style w:type="paragraph" w:styleId="NormalWeb">
    <w:name w:val="Normal (Web)"/>
    <w:basedOn w:val="Normal"/>
    <w:uiPriority w:val="98"/>
    <w:semiHidden/>
    <w:rsid w:val="00FF31D2"/>
    <w:rPr>
      <w:rFonts w:ascii="Times New Roman" w:hAnsi="Times New Roman" w:cs="Times New Roman"/>
    </w:rPr>
  </w:style>
  <w:style w:type="paragraph" w:styleId="NormalIndent">
    <w:name w:val="Normal Indent"/>
    <w:basedOn w:val="Normal"/>
    <w:uiPriority w:val="98"/>
    <w:semiHidden/>
    <w:rsid w:val="00FF31D2"/>
    <w:pPr>
      <w:ind w:left="720"/>
    </w:pPr>
  </w:style>
  <w:style w:type="paragraph" w:styleId="NoteHeading">
    <w:name w:val="Note Heading"/>
    <w:basedOn w:val="Normal"/>
    <w:next w:val="Normal"/>
    <w:link w:val="NoteHeadingChar"/>
    <w:uiPriority w:val="98"/>
    <w:semiHidden/>
    <w:rsid w:val="00FF31D2"/>
  </w:style>
  <w:style w:type="character" w:customStyle="1" w:styleId="NoteHeadingChar">
    <w:name w:val="Note Heading Char"/>
    <w:basedOn w:val="DefaultParagraphFont"/>
    <w:link w:val="NoteHeading"/>
    <w:uiPriority w:val="98"/>
    <w:semiHidden/>
    <w:rsid w:val="00FF31D2"/>
    <w:rPr>
      <w:sz w:val="24"/>
      <w:szCs w:val="24"/>
      <w:lang w:val="en-GB"/>
    </w:rPr>
  </w:style>
  <w:style w:type="character" w:styleId="PlaceholderText">
    <w:name w:val="Placeholder Text"/>
    <w:basedOn w:val="DefaultParagraphFont"/>
    <w:uiPriority w:val="98"/>
    <w:semiHidden/>
    <w:rsid w:val="00FF31D2"/>
    <w:rPr>
      <w:color w:val="auto"/>
      <w:bdr w:val="none" w:sz="0" w:space="0" w:color="auto"/>
      <w:shd w:val="clear" w:color="auto" w:fill="DFDFDF" w:themeFill="background2" w:themeFillShade="E6"/>
    </w:rPr>
  </w:style>
  <w:style w:type="paragraph" w:styleId="PlainText">
    <w:name w:val="Plain Text"/>
    <w:basedOn w:val="Normal"/>
    <w:link w:val="PlainTextChar"/>
    <w:uiPriority w:val="98"/>
    <w:semiHidden/>
    <w:rsid w:val="00FF31D2"/>
    <w:rPr>
      <w:rFonts w:ascii="Consolas" w:hAnsi="Consolas" w:cs="Consolas"/>
      <w:sz w:val="21"/>
      <w:szCs w:val="21"/>
    </w:rPr>
  </w:style>
  <w:style w:type="character" w:customStyle="1" w:styleId="PlainTextChar">
    <w:name w:val="Plain Text Char"/>
    <w:basedOn w:val="DefaultParagraphFont"/>
    <w:link w:val="PlainText"/>
    <w:uiPriority w:val="98"/>
    <w:semiHidden/>
    <w:rsid w:val="00FF31D2"/>
    <w:rPr>
      <w:rFonts w:ascii="Consolas" w:hAnsi="Consolas" w:cs="Consolas"/>
      <w:sz w:val="21"/>
      <w:szCs w:val="21"/>
      <w:lang w:val="en-GB"/>
    </w:rPr>
  </w:style>
  <w:style w:type="paragraph" w:styleId="Salutation">
    <w:name w:val="Salutation"/>
    <w:basedOn w:val="Normal"/>
    <w:next w:val="Normal"/>
    <w:link w:val="SalutationChar"/>
    <w:uiPriority w:val="98"/>
    <w:semiHidden/>
    <w:rsid w:val="00FF31D2"/>
  </w:style>
  <w:style w:type="character" w:customStyle="1" w:styleId="SalutationChar">
    <w:name w:val="Salutation Char"/>
    <w:basedOn w:val="DefaultParagraphFont"/>
    <w:link w:val="Salutation"/>
    <w:uiPriority w:val="98"/>
    <w:semiHidden/>
    <w:rsid w:val="00FF31D2"/>
    <w:rPr>
      <w:sz w:val="24"/>
      <w:szCs w:val="24"/>
      <w:lang w:val="en-GB"/>
    </w:rPr>
  </w:style>
  <w:style w:type="paragraph" w:styleId="Signature">
    <w:name w:val="Signature"/>
    <w:basedOn w:val="Normal"/>
    <w:link w:val="SignatureChar"/>
    <w:uiPriority w:val="98"/>
    <w:semiHidden/>
    <w:rsid w:val="00FF31D2"/>
    <w:pPr>
      <w:ind w:left="4252"/>
    </w:pPr>
  </w:style>
  <w:style w:type="character" w:customStyle="1" w:styleId="SignatureChar">
    <w:name w:val="Signature Char"/>
    <w:basedOn w:val="DefaultParagraphFont"/>
    <w:link w:val="Signature"/>
    <w:uiPriority w:val="98"/>
    <w:semiHidden/>
    <w:rsid w:val="00FF31D2"/>
    <w:rPr>
      <w:sz w:val="24"/>
      <w:szCs w:val="24"/>
      <w:lang w:val="en-GB"/>
    </w:rPr>
  </w:style>
  <w:style w:type="table" w:styleId="Table3Deffects1">
    <w:name w:val="Table 3D effects 1"/>
    <w:basedOn w:val="TableNormal"/>
    <w:uiPriority w:val="99"/>
    <w:semiHidden/>
    <w:unhideWhenUsed/>
    <w:rsid w:val="00FF31D2"/>
    <w:pPr>
      <w:jc w:val="both"/>
    </w:pPr>
    <w:rPr>
      <w:sz w:val="24"/>
      <w:szCs w:val="24"/>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FF31D2"/>
    <w:pPr>
      <w:jc w:val="both"/>
    </w:pPr>
    <w:rPr>
      <w:sz w:val="24"/>
      <w:szCs w:val="24"/>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FF31D2"/>
    <w:pPr>
      <w:jc w:val="both"/>
    </w:pPr>
    <w:rPr>
      <w:sz w:val="24"/>
      <w:szCs w:val="24"/>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FF31D2"/>
    <w:pPr>
      <w:jc w:val="both"/>
    </w:pPr>
    <w:rPr>
      <w:sz w:val="24"/>
      <w:szCs w:val="24"/>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FF31D2"/>
    <w:pPr>
      <w:jc w:val="both"/>
    </w:pPr>
    <w:rPr>
      <w:sz w:val="24"/>
      <w:szCs w:val="24"/>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FF31D2"/>
    <w:pPr>
      <w:jc w:val="both"/>
    </w:pPr>
    <w:rPr>
      <w:color w:val="000080"/>
      <w:sz w:val="24"/>
      <w:szCs w:val="24"/>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FF31D2"/>
    <w:pPr>
      <w:jc w:val="both"/>
    </w:pPr>
    <w:rPr>
      <w:sz w:val="24"/>
      <w:szCs w:val="24"/>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FF31D2"/>
    <w:pPr>
      <w:jc w:val="both"/>
    </w:pPr>
    <w:rPr>
      <w:color w:val="FFFFFF"/>
      <w:sz w:val="24"/>
      <w:szCs w:val="24"/>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FF31D2"/>
    <w:pPr>
      <w:jc w:val="both"/>
    </w:pPr>
    <w:rPr>
      <w:sz w:val="24"/>
      <w:szCs w:val="24"/>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FF31D2"/>
    <w:pPr>
      <w:jc w:val="both"/>
    </w:pPr>
    <w:rPr>
      <w:sz w:val="24"/>
      <w:szCs w:val="24"/>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FF31D2"/>
    <w:pPr>
      <w:jc w:val="both"/>
    </w:pPr>
    <w:rPr>
      <w:b/>
      <w:bCs/>
      <w:sz w:val="24"/>
      <w:szCs w:val="24"/>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FF31D2"/>
    <w:pPr>
      <w:jc w:val="both"/>
    </w:pPr>
    <w:rPr>
      <w:b/>
      <w:bCs/>
      <w:sz w:val="24"/>
      <w:szCs w:val="24"/>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FF31D2"/>
    <w:pPr>
      <w:jc w:val="both"/>
    </w:pPr>
    <w:rPr>
      <w:b/>
      <w:bCs/>
      <w:sz w:val="24"/>
      <w:szCs w:val="24"/>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FF31D2"/>
    <w:pPr>
      <w:jc w:val="both"/>
    </w:pPr>
    <w:rPr>
      <w:sz w:val="24"/>
      <w:szCs w:val="24"/>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FF31D2"/>
    <w:pPr>
      <w:jc w:val="both"/>
    </w:pPr>
    <w:rPr>
      <w:sz w:val="24"/>
      <w:szCs w:val="24"/>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FF31D2"/>
    <w:pPr>
      <w:jc w:val="both"/>
    </w:pPr>
    <w:rPr>
      <w:sz w:val="24"/>
      <w:szCs w:val="24"/>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FF31D2"/>
    <w:pPr>
      <w:jc w:val="both"/>
    </w:pPr>
    <w:rPr>
      <w:sz w:val="24"/>
      <w:szCs w:val="24"/>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FF31D2"/>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FF31D2"/>
    <w:pPr>
      <w:jc w:val="both"/>
    </w:pPr>
    <w:rPr>
      <w:sz w:val="24"/>
      <w:szCs w:val="24"/>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FF31D2"/>
    <w:pPr>
      <w:jc w:val="both"/>
    </w:pPr>
    <w:rPr>
      <w:sz w:val="24"/>
      <w:szCs w:val="24"/>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FF31D2"/>
    <w:pPr>
      <w:jc w:val="both"/>
    </w:pPr>
    <w:rPr>
      <w:sz w:val="24"/>
      <w:szCs w:val="24"/>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FF31D2"/>
    <w:pPr>
      <w:jc w:val="both"/>
    </w:pPr>
    <w:rPr>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FF31D2"/>
    <w:pPr>
      <w:jc w:val="both"/>
    </w:pPr>
    <w:rPr>
      <w:sz w:val="24"/>
      <w:szCs w:val="24"/>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FF31D2"/>
    <w:pPr>
      <w:jc w:val="both"/>
    </w:pPr>
    <w:rPr>
      <w:b/>
      <w:bCs/>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FF31D2"/>
    <w:pPr>
      <w:jc w:val="both"/>
    </w:pPr>
    <w:rPr>
      <w:sz w:val="24"/>
      <w:szCs w:val="24"/>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FF31D2"/>
    <w:pPr>
      <w:jc w:val="both"/>
    </w:pPr>
    <w:rPr>
      <w:sz w:val="24"/>
      <w:szCs w:val="24"/>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FF31D2"/>
    <w:pPr>
      <w:jc w:val="both"/>
    </w:pPr>
    <w:rPr>
      <w:sz w:val="24"/>
      <w:szCs w:val="24"/>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FF31D2"/>
    <w:pPr>
      <w:jc w:val="both"/>
    </w:pPr>
    <w:rPr>
      <w:sz w:val="24"/>
      <w:szCs w:val="24"/>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FF31D2"/>
    <w:pPr>
      <w:jc w:val="both"/>
    </w:pPr>
    <w:rPr>
      <w:sz w:val="24"/>
      <w:szCs w:val="24"/>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FF31D2"/>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FF31D2"/>
    <w:pPr>
      <w:jc w:val="both"/>
    </w:pPr>
    <w:rPr>
      <w:sz w:val="24"/>
      <w:szCs w:val="24"/>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FF31D2"/>
    <w:pPr>
      <w:jc w:val="both"/>
    </w:pPr>
    <w:rPr>
      <w:sz w:val="24"/>
      <w:szCs w:val="24"/>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FF31D2"/>
    <w:pPr>
      <w:jc w:val="both"/>
    </w:pPr>
    <w:rPr>
      <w:sz w:val="24"/>
      <w:szCs w:val="24"/>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8"/>
    <w:semiHidden/>
    <w:rsid w:val="00FF31D2"/>
    <w:pPr>
      <w:ind w:left="240" w:hanging="240"/>
    </w:pPr>
  </w:style>
  <w:style w:type="paragraph" w:styleId="TableofFigures">
    <w:name w:val="table of figures"/>
    <w:basedOn w:val="Normal"/>
    <w:next w:val="Normal"/>
    <w:uiPriority w:val="98"/>
    <w:semiHidden/>
    <w:rsid w:val="00FF31D2"/>
  </w:style>
  <w:style w:type="table" w:styleId="TableProfessional">
    <w:name w:val="Table Professional"/>
    <w:basedOn w:val="TableNormal"/>
    <w:uiPriority w:val="99"/>
    <w:semiHidden/>
    <w:unhideWhenUsed/>
    <w:rsid w:val="00FF31D2"/>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FF31D2"/>
    <w:pPr>
      <w:jc w:val="both"/>
    </w:pPr>
    <w:rPr>
      <w:sz w:val="24"/>
      <w:szCs w:val="24"/>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FF31D2"/>
    <w:pPr>
      <w:jc w:val="both"/>
    </w:pPr>
    <w:rPr>
      <w:sz w:val="24"/>
      <w:szCs w:val="24"/>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FF31D2"/>
    <w:pPr>
      <w:jc w:val="both"/>
    </w:pPr>
    <w:rPr>
      <w:sz w:val="24"/>
      <w:szCs w:val="24"/>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FF31D2"/>
    <w:pPr>
      <w:jc w:val="both"/>
    </w:pPr>
    <w:rPr>
      <w:sz w:val="24"/>
      <w:szCs w:val="24"/>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FF31D2"/>
    <w:pPr>
      <w:jc w:val="both"/>
    </w:pPr>
    <w:rPr>
      <w:sz w:val="24"/>
      <w:szCs w:val="24"/>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FF31D2"/>
    <w:pPr>
      <w:jc w:val="both"/>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FF31D2"/>
    <w:pPr>
      <w:jc w:val="both"/>
    </w:pPr>
    <w:rPr>
      <w:sz w:val="24"/>
      <w:szCs w:val="24"/>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FF31D2"/>
    <w:pPr>
      <w:jc w:val="both"/>
    </w:pPr>
    <w:rPr>
      <w:sz w:val="24"/>
      <w:szCs w:val="24"/>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FF31D2"/>
    <w:pPr>
      <w:jc w:val="both"/>
    </w:pPr>
    <w:rPr>
      <w:sz w:val="24"/>
      <w:szCs w:val="24"/>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6">
    <w:name w:val="toc 6"/>
    <w:basedOn w:val="Normal"/>
    <w:next w:val="Normal"/>
    <w:autoRedefine/>
    <w:uiPriority w:val="98"/>
    <w:semiHidden/>
    <w:rsid w:val="00FF31D2"/>
    <w:pPr>
      <w:tabs>
        <w:tab w:val="right" w:leader="dot" w:pos="7371"/>
      </w:tabs>
      <w:spacing w:after="60" w:line="240" w:lineRule="exact"/>
      <w:ind w:left="2041" w:right="567" w:hanging="340"/>
    </w:pPr>
    <w:rPr>
      <w:sz w:val="20"/>
    </w:rPr>
  </w:style>
  <w:style w:type="paragraph" w:styleId="TOC7">
    <w:name w:val="toc 7"/>
    <w:basedOn w:val="Normal"/>
    <w:next w:val="Normal"/>
    <w:autoRedefine/>
    <w:uiPriority w:val="98"/>
    <w:semiHidden/>
    <w:rsid w:val="00FF31D2"/>
    <w:pPr>
      <w:tabs>
        <w:tab w:val="right" w:leader="dot" w:pos="7371"/>
      </w:tabs>
      <w:spacing w:after="60" w:line="240" w:lineRule="exact"/>
      <w:ind w:left="2381" w:right="567" w:hanging="340"/>
    </w:pPr>
    <w:rPr>
      <w:sz w:val="20"/>
    </w:rPr>
  </w:style>
  <w:style w:type="paragraph" w:styleId="TOC8">
    <w:name w:val="toc 8"/>
    <w:basedOn w:val="Normal"/>
    <w:next w:val="Normal"/>
    <w:autoRedefine/>
    <w:uiPriority w:val="98"/>
    <w:semiHidden/>
    <w:rsid w:val="00FF31D2"/>
    <w:pPr>
      <w:spacing w:after="100"/>
      <w:ind w:left="1680"/>
    </w:pPr>
  </w:style>
  <w:style w:type="paragraph" w:styleId="TOC9">
    <w:name w:val="toc 9"/>
    <w:basedOn w:val="Normal"/>
    <w:next w:val="Normal"/>
    <w:autoRedefine/>
    <w:uiPriority w:val="98"/>
    <w:semiHidden/>
    <w:rsid w:val="00FF31D2"/>
    <w:pPr>
      <w:spacing w:after="100"/>
      <w:ind w:left="1920"/>
    </w:pPr>
  </w:style>
  <w:style w:type="paragraph" w:customStyle="1" w:styleId="ECHRFooter">
    <w:name w:val="ECHR_Footer"/>
    <w:aliases w:val="Footer_ECHR"/>
    <w:basedOn w:val="Footer0"/>
    <w:uiPriority w:val="57"/>
    <w:semiHidden/>
    <w:rsid w:val="0064393B"/>
    <w:rPr>
      <w:sz w:val="8"/>
    </w:rPr>
  </w:style>
  <w:style w:type="paragraph" w:customStyle="1" w:styleId="ECHRFooterLine">
    <w:name w:val="ECHR_Footer_Line"/>
    <w:aliases w:val="_Footer_Line"/>
    <w:basedOn w:val="Normal"/>
    <w:next w:val="Normal"/>
    <w:uiPriority w:val="30"/>
    <w:semiHidden/>
    <w:rsid w:val="00FF31D2"/>
    <w:pPr>
      <w:pBdr>
        <w:top w:val="single" w:sz="6" w:space="1" w:color="5F5F5F"/>
      </w:pBdr>
      <w:tabs>
        <w:tab w:val="center" w:pos="3686"/>
        <w:tab w:val="right" w:pos="7371"/>
      </w:tabs>
      <w:ind w:left="-1474" w:right="-1474"/>
    </w:pPr>
    <w:rPr>
      <w:color w:val="5F5F5F"/>
    </w:rPr>
  </w:style>
  <w:style w:type="paragraph" w:customStyle="1" w:styleId="DecHCase">
    <w:name w:val="Dec_H_Case"/>
    <w:aliases w:val="_Title_3"/>
    <w:basedOn w:val="JuPara"/>
    <w:next w:val="JuPara"/>
    <w:uiPriority w:val="38"/>
    <w:qFormat/>
    <w:rsid w:val="00FF31D2"/>
    <w:pPr>
      <w:keepNext/>
      <w:keepLines/>
      <w:spacing w:after="280"/>
      <w:ind w:firstLine="0"/>
      <w:jc w:val="center"/>
    </w:pPr>
    <w:rPr>
      <w:rFonts w:asciiTheme="majorHAnsi" w:hAnsiTheme="majorHAnsi"/>
    </w:rPr>
  </w:style>
  <w:style w:type="paragraph" w:customStyle="1" w:styleId="JuTitle">
    <w:name w:val="Ju_Title"/>
    <w:aliases w:val="_Title_2"/>
    <w:basedOn w:val="Normal"/>
    <w:next w:val="JuPara"/>
    <w:uiPriority w:val="38"/>
    <w:qFormat/>
    <w:rsid w:val="00FF31D2"/>
    <w:pPr>
      <w:keepNext/>
      <w:keepLines/>
      <w:spacing w:before="1320" w:after="280"/>
      <w:contextualSpacing/>
      <w:jc w:val="center"/>
    </w:pPr>
    <w:rPr>
      <w:b/>
    </w:rPr>
  </w:style>
  <w:style w:type="paragraph" w:customStyle="1" w:styleId="ECHRHeaderLandscape">
    <w:name w:val="ECHR_Header_Landscape"/>
    <w:aliases w:val="_Header_Landscape"/>
    <w:basedOn w:val="JuHeader"/>
    <w:uiPriority w:val="29"/>
    <w:semiHidden/>
    <w:rsid w:val="00FF31D2"/>
    <w:pPr>
      <w:tabs>
        <w:tab w:val="center" w:pos="6146"/>
        <w:tab w:val="right" w:pos="13778"/>
      </w:tabs>
      <w:ind w:left="-1474" w:right="-1474"/>
    </w:pPr>
  </w:style>
  <w:style w:type="paragraph" w:customStyle="1" w:styleId="ECHRBullet1">
    <w:name w:val="ECHR_Bullet_1"/>
    <w:aliases w:val="_Bul_1"/>
    <w:basedOn w:val="NormalJustified"/>
    <w:uiPriority w:val="23"/>
    <w:semiHidden/>
    <w:qFormat/>
    <w:rsid w:val="00FF31D2"/>
    <w:pPr>
      <w:numPr>
        <w:numId w:val="7"/>
      </w:numPr>
      <w:spacing w:before="60" w:after="60"/>
    </w:pPr>
  </w:style>
  <w:style w:type="paragraph" w:customStyle="1" w:styleId="ECHRBullet2">
    <w:name w:val="ECHR_Bullet_2"/>
    <w:aliases w:val="_Bul_2"/>
    <w:basedOn w:val="ECHRBullet1"/>
    <w:uiPriority w:val="23"/>
    <w:semiHidden/>
    <w:rsid w:val="00FF31D2"/>
    <w:pPr>
      <w:numPr>
        <w:ilvl w:val="1"/>
      </w:numPr>
    </w:pPr>
  </w:style>
  <w:style w:type="paragraph" w:customStyle="1" w:styleId="ECHRBullet3">
    <w:name w:val="ECHR_Bullet_3"/>
    <w:aliases w:val="_Bul_3"/>
    <w:basedOn w:val="ECHRBullet2"/>
    <w:uiPriority w:val="23"/>
    <w:semiHidden/>
    <w:rsid w:val="00FF31D2"/>
    <w:pPr>
      <w:numPr>
        <w:ilvl w:val="2"/>
      </w:numPr>
    </w:pPr>
  </w:style>
  <w:style w:type="paragraph" w:customStyle="1" w:styleId="ECHRBullet4">
    <w:name w:val="ECHR_Bullet_4"/>
    <w:aliases w:val="_Bul_4"/>
    <w:basedOn w:val="ECHRBullet3"/>
    <w:uiPriority w:val="23"/>
    <w:semiHidden/>
    <w:rsid w:val="00FF31D2"/>
    <w:pPr>
      <w:numPr>
        <w:ilvl w:val="3"/>
      </w:numPr>
    </w:pPr>
  </w:style>
  <w:style w:type="paragraph" w:customStyle="1" w:styleId="ECHRConfidential">
    <w:name w:val="ECHR_Confidential"/>
    <w:aliases w:val="_Confidential"/>
    <w:basedOn w:val="Normal"/>
    <w:next w:val="Normal"/>
    <w:uiPriority w:val="42"/>
    <w:semiHidden/>
    <w:qFormat/>
    <w:rsid w:val="00FF31D2"/>
    <w:pPr>
      <w:jc w:val="right"/>
    </w:pPr>
    <w:rPr>
      <w:color w:val="C00000"/>
      <w:sz w:val="20"/>
    </w:rPr>
  </w:style>
  <w:style w:type="paragraph" w:customStyle="1" w:styleId="ECHRDecisionBody">
    <w:name w:val="ECHR_Decision_Body"/>
    <w:aliases w:val="_Decision_Body"/>
    <w:basedOn w:val="NormalJustified"/>
    <w:uiPriority w:val="54"/>
    <w:semiHidden/>
    <w:rsid w:val="00FF31D2"/>
    <w:pPr>
      <w:tabs>
        <w:tab w:val="left" w:pos="567"/>
        <w:tab w:val="left" w:pos="1134"/>
      </w:tabs>
      <w:spacing w:line="240" w:lineRule="exact"/>
      <w:jc w:val="left"/>
    </w:pPr>
  </w:style>
  <w:style w:type="paragraph" w:customStyle="1" w:styleId="ECHRDivisionName">
    <w:name w:val="ECHR_DivisionName"/>
    <w:aliases w:val="_Div_Name"/>
    <w:basedOn w:val="Normal"/>
    <w:link w:val="ECHRDivisionNameChar"/>
    <w:uiPriority w:val="41"/>
    <w:semiHidden/>
    <w:qFormat/>
    <w:rsid w:val="00FF31D2"/>
    <w:pPr>
      <w:contextualSpacing/>
      <w:jc w:val="center"/>
    </w:pPr>
    <w:rPr>
      <w:rFonts w:ascii="Arial" w:hAnsi="Arial"/>
      <w:i/>
      <w:color w:val="002856"/>
      <w:sz w:val="32"/>
    </w:rPr>
  </w:style>
  <w:style w:type="character" w:customStyle="1" w:styleId="ECHRDivisionNameChar">
    <w:name w:val="ECHR_DivisionName Char"/>
    <w:aliases w:val="_Div_Name Char"/>
    <w:basedOn w:val="DefaultParagraphFont"/>
    <w:link w:val="ECHRDivisionName"/>
    <w:uiPriority w:val="41"/>
    <w:semiHidden/>
    <w:rsid w:val="00FF31D2"/>
    <w:rPr>
      <w:rFonts w:ascii="Arial" w:hAnsi="Arial"/>
      <w:i/>
      <w:color w:val="002856"/>
      <w:sz w:val="32"/>
      <w:szCs w:val="24"/>
      <w:lang w:val="en-GB"/>
    </w:rPr>
  </w:style>
  <w:style w:type="paragraph" w:customStyle="1" w:styleId="ECHRFooterLineLandscape">
    <w:name w:val="ECHR_Footer_Line_Landscape"/>
    <w:aliases w:val="_Footer_Line_Landscape"/>
    <w:basedOn w:val="Normal"/>
    <w:uiPriority w:val="30"/>
    <w:semiHidden/>
    <w:rsid w:val="00FF31D2"/>
    <w:pPr>
      <w:pBdr>
        <w:top w:val="single" w:sz="8" w:space="1" w:color="7F7F7F" w:themeColor="text1" w:themeTint="80"/>
      </w:pBdr>
      <w:tabs>
        <w:tab w:val="center" w:pos="6146"/>
        <w:tab w:val="right" w:pos="12293"/>
      </w:tabs>
      <w:ind w:left="-1474" w:right="-1474"/>
    </w:pPr>
    <w:rPr>
      <w:color w:val="474747" w:themeColor="accent3" w:themeShade="BF"/>
      <w:sz w:val="22"/>
    </w:rPr>
  </w:style>
  <w:style w:type="paragraph" w:customStyle="1" w:styleId="ECHRHeaderDate">
    <w:name w:val="ECHR_Header_Date"/>
    <w:aliases w:val="_Ref_Date"/>
    <w:basedOn w:val="Normal"/>
    <w:uiPriority w:val="44"/>
    <w:semiHidden/>
    <w:qFormat/>
    <w:rsid w:val="00FF31D2"/>
    <w:pPr>
      <w:jc w:val="right"/>
    </w:pPr>
    <w:rPr>
      <w:sz w:val="20"/>
    </w:rPr>
  </w:style>
  <w:style w:type="paragraph" w:customStyle="1" w:styleId="ECHRHeaderRefIt">
    <w:name w:val="ECHR_Header_Ref_It"/>
    <w:aliases w:val="_Ref_Ital"/>
    <w:basedOn w:val="Normal"/>
    <w:next w:val="ECHRHeaderDate"/>
    <w:uiPriority w:val="43"/>
    <w:qFormat/>
    <w:rsid w:val="00FF31D2"/>
    <w:pPr>
      <w:jc w:val="right"/>
    </w:pPr>
    <w:rPr>
      <w:i/>
      <w:sz w:val="20"/>
    </w:rPr>
  </w:style>
  <w:style w:type="paragraph" w:customStyle="1" w:styleId="ECHRHeading9">
    <w:name w:val="ECHR_Heading_9"/>
    <w:aliases w:val="_Head_9"/>
    <w:basedOn w:val="Heading9"/>
    <w:uiPriority w:val="17"/>
    <w:semiHidden/>
    <w:rsid w:val="00FF31D2"/>
    <w:pPr>
      <w:keepNext/>
      <w:keepLines/>
      <w:numPr>
        <w:ilvl w:val="8"/>
        <w:numId w:val="3"/>
      </w:numPr>
      <w:spacing w:before="100" w:beforeAutospacing="1"/>
      <w:contextualSpacing/>
      <w:jc w:val="both"/>
    </w:pPr>
    <w:rPr>
      <w:i w:val="0"/>
      <w:sz w:val="18"/>
    </w:rPr>
  </w:style>
  <w:style w:type="paragraph" w:customStyle="1" w:styleId="ECHRLine">
    <w:name w:val="ECHR_Line"/>
    <w:aliases w:val="_Line"/>
    <w:basedOn w:val="NormalJustified"/>
    <w:next w:val="Normal"/>
    <w:uiPriority w:val="46"/>
    <w:semiHidden/>
    <w:rsid w:val="00FF31D2"/>
    <w:pPr>
      <w:pBdr>
        <w:bottom w:val="single" w:sz="12" w:space="1" w:color="949494" w:themeColor="text2" w:themeShade="BF"/>
      </w:pBdr>
      <w:spacing w:after="120"/>
    </w:pPr>
    <w:rPr>
      <w:sz w:val="12"/>
    </w:rPr>
  </w:style>
  <w:style w:type="paragraph" w:customStyle="1" w:styleId="ECHRNumberedList1">
    <w:name w:val="ECHR_Numbered_List_1"/>
    <w:aliases w:val="_Num_1"/>
    <w:basedOn w:val="Normal"/>
    <w:uiPriority w:val="23"/>
    <w:semiHidden/>
    <w:qFormat/>
    <w:rsid w:val="00FF31D2"/>
    <w:pPr>
      <w:numPr>
        <w:numId w:val="9"/>
      </w:numPr>
      <w:spacing w:before="60" w:after="60"/>
    </w:pPr>
  </w:style>
  <w:style w:type="paragraph" w:customStyle="1" w:styleId="ECHRNumberedList2">
    <w:name w:val="ECHR_Numbered_List_2"/>
    <w:aliases w:val="_Num_2"/>
    <w:basedOn w:val="ECHRNumberedList1"/>
    <w:uiPriority w:val="23"/>
    <w:semiHidden/>
    <w:rsid w:val="00FF31D2"/>
    <w:pPr>
      <w:numPr>
        <w:ilvl w:val="1"/>
      </w:numPr>
    </w:pPr>
  </w:style>
  <w:style w:type="paragraph" w:customStyle="1" w:styleId="ECHRNumberedList3">
    <w:name w:val="ECHR_Numbered_List_3"/>
    <w:aliases w:val="_Num_3"/>
    <w:basedOn w:val="ECHRNumberedList2"/>
    <w:uiPriority w:val="23"/>
    <w:semiHidden/>
    <w:rsid w:val="00FF31D2"/>
    <w:pPr>
      <w:numPr>
        <w:ilvl w:val="2"/>
      </w:numPr>
    </w:pPr>
  </w:style>
  <w:style w:type="paragraph" w:customStyle="1" w:styleId="ECHRParaHanging">
    <w:name w:val="ECHR_Para_Hanging"/>
    <w:aliases w:val="_Hanging"/>
    <w:basedOn w:val="Normal"/>
    <w:uiPriority w:val="8"/>
    <w:semiHidden/>
    <w:qFormat/>
    <w:rsid w:val="00FF31D2"/>
    <w:pPr>
      <w:ind w:left="567" w:hanging="567"/>
      <w:jc w:val="both"/>
    </w:pPr>
  </w:style>
  <w:style w:type="paragraph" w:customStyle="1" w:styleId="ECHRParaIndent">
    <w:name w:val="ECHR_Para_Indent"/>
    <w:aliases w:val="_Indent"/>
    <w:basedOn w:val="Normal"/>
    <w:uiPriority w:val="7"/>
    <w:semiHidden/>
    <w:qFormat/>
    <w:rsid w:val="00FF31D2"/>
    <w:pPr>
      <w:spacing w:before="120" w:after="120"/>
      <w:ind w:left="284"/>
      <w:jc w:val="both"/>
    </w:pPr>
  </w:style>
  <w:style w:type="character" w:customStyle="1" w:styleId="ECHRRed">
    <w:name w:val="ECHR_Red"/>
    <w:aliases w:val="_Red"/>
    <w:basedOn w:val="DefaultParagraphFont"/>
    <w:uiPriority w:val="15"/>
    <w:semiHidden/>
    <w:qFormat/>
    <w:rsid w:val="00FF31D2"/>
    <w:rPr>
      <w:color w:val="C00000" w:themeColor="accent2"/>
    </w:rPr>
  </w:style>
  <w:style w:type="paragraph" w:customStyle="1" w:styleId="DecList">
    <w:name w:val="Dec_List"/>
    <w:aliases w:val="_List"/>
    <w:basedOn w:val="JuList"/>
    <w:uiPriority w:val="22"/>
    <w:rsid w:val="00FF31D2"/>
    <w:pPr>
      <w:numPr>
        <w:numId w:val="0"/>
      </w:numPr>
      <w:ind w:left="284"/>
    </w:pPr>
  </w:style>
  <w:style w:type="table" w:customStyle="1" w:styleId="ECHRTable2">
    <w:name w:val="ECHR_Table_2"/>
    <w:basedOn w:val="TableNormal"/>
    <w:uiPriority w:val="99"/>
    <w:rsid w:val="00FF31D2"/>
    <w:pPr>
      <w:tabs>
        <w:tab w:val="left" w:pos="567"/>
        <w:tab w:val="left" w:pos="851"/>
        <w:tab w:val="right" w:pos="5273"/>
      </w:tabs>
    </w:pPr>
    <w:rPr>
      <w:color w:val="262626" w:themeColor="text1" w:themeTint="D9"/>
      <w:sz w:val="24"/>
      <w:szCs w:val="24"/>
    </w:rPr>
    <w:tblPr>
      <w:tblStyleRowBandSize w:val="1"/>
      <w:tblStyleColBandSize w:val="1"/>
      <w:tblCellSpacing w:w="28" w:type="dxa"/>
      <w:tblInd w:w="-964" w:type="dxa"/>
      <w:tblCellMar>
        <w:top w:w="85" w:type="dxa"/>
        <w:left w:w="113" w:type="dxa"/>
        <w:bottom w:w="85" w:type="dxa"/>
        <w:right w:w="113" w:type="dxa"/>
      </w:tblCellMar>
    </w:tblPr>
    <w:trPr>
      <w:tblCellSpacing w:w="28" w:type="dxa"/>
    </w:trPr>
    <w:tblStylePr w:type="firstRow">
      <w:pPr>
        <w:jc w:val="center"/>
      </w:pPr>
      <w:rPr>
        <w:b/>
        <w:sz w:val="24"/>
      </w:rPr>
      <w:tblPr/>
      <w:tcPr>
        <w:tcBorders>
          <w:top w:val="nil"/>
          <w:left w:val="nil"/>
          <w:bottom w:val="nil"/>
          <w:right w:val="nil"/>
          <w:insideH w:val="nil"/>
          <w:insideV w:val="nil"/>
          <w:tl2br w:val="nil"/>
          <w:tr2bl w:val="nil"/>
        </w:tcBorders>
        <w:shd w:val="clear" w:color="auto" w:fill="DFDFDF" w:themeFill="background2" w:themeFillShade="E6"/>
      </w:tcPr>
    </w:tblStylePr>
    <w:tblStylePr w:type="lastRow">
      <w:rPr>
        <w:b/>
      </w:rPr>
      <w:tblPr/>
      <w:tcPr>
        <w:tcBorders>
          <w:top w:val="nil"/>
          <w:left w:val="nil"/>
          <w:bottom w:val="nil"/>
          <w:right w:val="nil"/>
          <w:insideH w:val="nil"/>
          <w:insideV w:val="nil"/>
          <w:tl2br w:val="nil"/>
          <w:tr2bl w:val="nil"/>
        </w:tcBorders>
        <w:shd w:val="clear" w:color="auto" w:fill="ECECEC"/>
      </w:tcPr>
    </w:tblStylePr>
    <w:tblStylePr w:type="firstCol">
      <w:tblPr/>
      <w:tcPr>
        <w:tcBorders>
          <w:top w:val="nil"/>
          <w:left w:val="nil"/>
          <w:bottom w:val="nil"/>
          <w:right w:val="nil"/>
          <w:insideH w:val="nil"/>
          <w:insideV w:val="nil"/>
          <w:tl2br w:val="nil"/>
          <w:tr2bl w:val="nil"/>
        </w:tcBorders>
        <w:shd w:val="clear" w:color="auto" w:fill="EFF8FF"/>
      </w:tcPr>
    </w:tblStylePr>
    <w:tblStylePr w:type="lastCol">
      <w:tblPr/>
      <w:tcPr>
        <w:tcBorders>
          <w:top w:val="nil"/>
          <w:left w:val="nil"/>
          <w:bottom w:val="nil"/>
          <w:right w:val="nil"/>
          <w:insideH w:val="nil"/>
          <w:insideV w:val="nil"/>
          <w:tl2br w:val="nil"/>
          <w:tr2bl w:val="nil"/>
        </w:tcBorders>
        <w:shd w:val="clear" w:color="auto" w:fill="F3FCE8"/>
      </w:tcPr>
    </w:tblStylePr>
    <w:tblStylePr w:type="band1Vert">
      <w:pPr>
        <w:jc w:val="center"/>
      </w:pPr>
      <w:rPr>
        <w:b/>
        <w:sz w:val="28"/>
      </w:rPr>
      <w:tblPr/>
      <w:tcPr>
        <w:tcBorders>
          <w:top w:val="nil"/>
          <w:left w:val="nil"/>
          <w:bottom w:val="nil"/>
          <w:right w:val="nil"/>
          <w:insideH w:val="nil"/>
          <w:insideV w:val="nil"/>
          <w:tl2br w:val="nil"/>
          <w:tr2bl w:val="nil"/>
        </w:tcBorders>
        <w:shd w:val="clear" w:color="auto" w:fill="A7DBFF"/>
      </w:tcPr>
    </w:tblStylePr>
    <w:tblStylePr w:type="band2Vert">
      <w:pPr>
        <w:jc w:val="center"/>
      </w:pPr>
      <w:rPr>
        <w:b/>
        <w:sz w:val="28"/>
      </w:rPr>
      <w:tblPr/>
      <w:tcPr>
        <w:tcBorders>
          <w:top w:val="nil"/>
          <w:left w:val="nil"/>
          <w:bottom w:val="nil"/>
          <w:right w:val="nil"/>
          <w:insideH w:val="nil"/>
          <w:insideV w:val="nil"/>
          <w:tl2br w:val="nil"/>
          <w:tr2bl w:val="nil"/>
        </w:tcBorders>
        <w:shd w:val="clear" w:color="auto" w:fill="C6F094"/>
      </w:tcPr>
    </w:tblStylePr>
    <w:tblStylePr w:type="band1Horz">
      <w:tblPr/>
      <w:tcPr>
        <w:tcBorders>
          <w:top w:val="nil"/>
          <w:left w:val="nil"/>
          <w:bottom w:val="nil"/>
          <w:right w:val="nil"/>
          <w:insideH w:val="nil"/>
          <w:insideV w:val="nil"/>
          <w:tl2br w:val="nil"/>
          <w:tr2bl w:val="nil"/>
        </w:tcBorders>
      </w:tcPr>
    </w:tblStylePr>
    <w:tblStylePr w:type="band2Horz">
      <w:tblPr/>
      <w:tcPr>
        <w:tcBorders>
          <w:top w:val="nil"/>
          <w:left w:val="nil"/>
          <w:bottom w:val="nil"/>
          <w:right w:val="nil"/>
          <w:insideH w:val="nil"/>
          <w:insideV w:val="nil"/>
          <w:tl2br w:val="nil"/>
          <w:tr2bl w:val="nil"/>
        </w:tcBorders>
        <w:shd w:val="clear" w:color="auto" w:fill="F8F8F8" w:themeFill="background2"/>
      </w:tcPr>
    </w:tblStylePr>
    <w:tblStylePr w:type="neCell">
      <w:pPr>
        <w:jc w:val="center"/>
      </w:pPr>
      <w:rPr>
        <w:b/>
      </w:rPr>
      <w:tblPr/>
      <w:tcPr>
        <w:tcBorders>
          <w:top w:val="nil"/>
          <w:left w:val="nil"/>
          <w:bottom w:val="nil"/>
          <w:right w:val="nil"/>
          <w:insideH w:val="nil"/>
          <w:insideV w:val="nil"/>
          <w:tl2br w:val="nil"/>
          <w:tr2bl w:val="nil"/>
        </w:tcBorders>
        <w:shd w:val="clear" w:color="auto" w:fill="DCF6BC"/>
      </w:tcPr>
    </w:tblStylePr>
    <w:tblStylePr w:type="nwCell">
      <w:pPr>
        <w:jc w:val="center"/>
      </w:pPr>
      <w:rPr>
        <w:b/>
      </w:rPr>
      <w:tblPr/>
      <w:tcPr>
        <w:tcBorders>
          <w:top w:val="nil"/>
          <w:left w:val="nil"/>
          <w:bottom w:val="nil"/>
          <w:right w:val="nil"/>
          <w:insideH w:val="nil"/>
          <w:insideV w:val="nil"/>
          <w:tl2br w:val="nil"/>
          <w:tr2bl w:val="nil"/>
        </w:tcBorders>
        <w:shd w:val="clear" w:color="auto" w:fill="CDEBFF"/>
      </w:tcPr>
    </w:tblStylePr>
    <w:tblStylePr w:type="seCell">
      <w:tblPr/>
      <w:tcPr>
        <w:tcBorders>
          <w:top w:val="nil"/>
          <w:left w:val="nil"/>
          <w:bottom w:val="nil"/>
          <w:right w:val="nil"/>
          <w:insideH w:val="nil"/>
          <w:insideV w:val="nil"/>
          <w:tl2br w:val="nil"/>
          <w:tr2bl w:val="nil"/>
        </w:tcBorders>
        <w:shd w:val="clear" w:color="auto" w:fill="C6F094"/>
      </w:tcPr>
    </w:tblStylePr>
    <w:tblStylePr w:type="swCell">
      <w:tblPr/>
      <w:tcPr>
        <w:tcBorders>
          <w:top w:val="nil"/>
          <w:left w:val="nil"/>
          <w:bottom w:val="nil"/>
          <w:right w:val="nil"/>
          <w:insideH w:val="nil"/>
          <w:insideV w:val="nil"/>
          <w:tl2br w:val="nil"/>
          <w:tr2bl w:val="nil"/>
        </w:tcBorders>
        <w:shd w:val="clear" w:color="auto" w:fill="A7DBFF"/>
      </w:tcPr>
    </w:tblStylePr>
  </w:style>
  <w:style w:type="table" w:customStyle="1" w:styleId="ECHRTable2016">
    <w:name w:val="ECHR_Table_2016"/>
    <w:basedOn w:val="TableNormal"/>
    <w:uiPriority w:val="99"/>
    <w:rsid w:val="00FF31D2"/>
    <w:rPr>
      <w:sz w:val="24"/>
      <w:szCs w:val="24"/>
    </w:rPr>
    <w:tblPr>
      <w:tblStyleRowBandSize w:val="1"/>
      <w:tblStyleColBandSize w:val="1"/>
      <w:jc w:val="center"/>
      <w:tbl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blBorders>
    </w:tblPr>
    <w:trPr>
      <w:jc w:val="center"/>
    </w:trPr>
    <w:tblStylePr w:type="firstRow">
      <w:rPr>
        <w:rFonts w:asciiTheme="majorHAnsi" w:hAnsiTheme="majorHAnsi"/>
        <w:b/>
        <w:i w:val="0"/>
        <w:color w:val="F8F8F8" w:themeColor="background2"/>
        <w:sz w:val="22"/>
      </w:rPr>
      <w:tblPr/>
      <w:trPr>
        <w:tblHeader/>
      </w:tr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F8F8F8" w:themeColor="background2"/>
          <w:tl2br w:val="nil"/>
          <w:tr2bl w:val="nil"/>
        </w:tcBorders>
        <w:shd w:val="clear" w:color="auto" w:fill="5F5F5F" w:themeFill="accent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band2Horz">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single" w:sz="4" w:space="0" w:color="0072BC" w:themeColor="accent1"/>
          <w:insideV w:val="single" w:sz="4" w:space="0" w:color="0072BC" w:themeColor="accent1"/>
          <w:tl2br w:val="nil"/>
          <w:tr2bl w:val="nil"/>
        </w:tcBorders>
        <w:shd w:val="clear" w:color="auto" w:fill="E8E8E8" w:themeFill="text2" w:themeFillTint="66"/>
      </w:tcPr>
    </w:tblStylePr>
  </w:style>
  <w:style w:type="paragraph" w:customStyle="1" w:styleId="ECHRTitle1">
    <w:name w:val="ECHR_Title_1"/>
    <w:aliases w:val="_Title_L_1"/>
    <w:basedOn w:val="Normal"/>
    <w:next w:val="Normal"/>
    <w:uiPriority w:val="28"/>
    <w:semiHidden/>
    <w:qFormat/>
    <w:rsid w:val="00FF31D2"/>
    <w:pPr>
      <w:keepNext/>
      <w:keepLines/>
      <w:spacing w:before="240"/>
      <w:contextualSpacing/>
    </w:pPr>
    <w:rPr>
      <w:rFonts w:asciiTheme="majorHAnsi" w:hAnsiTheme="majorHAnsi"/>
      <w:b/>
      <w:color w:val="2F2F2F" w:themeColor="accent3" w:themeShade="80"/>
      <w:sz w:val="32"/>
    </w:rPr>
  </w:style>
  <w:style w:type="paragraph" w:customStyle="1" w:styleId="ECHRTitle2">
    <w:name w:val="ECHR_Title_2"/>
    <w:aliases w:val="_Title_L_2"/>
    <w:basedOn w:val="Normal"/>
    <w:next w:val="Normal"/>
    <w:uiPriority w:val="28"/>
    <w:semiHidden/>
    <w:qFormat/>
    <w:rsid w:val="00FF31D2"/>
    <w:pPr>
      <w:keepNext/>
      <w:keepLines/>
      <w:spacing w:before="240"/>
      <w:contextualSpacing/>
    </w:pPr>
    <w:rPr>
      <w:rFonts w:asciiTheme="majorHAnsi" w:hAnsiTheme="majorHAnsi"/>
      <w:b/>
      <w:color w:val="474747" w:themeColor="accent3" w:themeShade="BF"/>
      <w:sz w:val="28"/>
    </w:rPr>
  </w:style>
  <w:style w:type="paragraph" w:customStyle="1" w:styleId="ECHRTitle3">
    <w:name w:val="ECHR_Title_3"/>
    <w:aliases w:val="_Title_L_3"/>
    <w:basedOn w:val="Normal"/>
    <w:next w:val="Normal"/>
    <w:uiPriority w:val="28"/>
    <w:semiHidden/>
    <w:qFormat/>
    <w:rsid w:val="00FF31D2"/>
    <w:pPr>
      <w:keepNext/>
      <w:keepLines/>
      <w:spacing w:before="240"/>
      <w:contextualSpacing/>
    </w:pPr>
    <w:rPr>
      <w:rFonts w:asciiTheme="majorHAnsi" w:hAnsiTheme="majorHAnsi"/>
      <w:b/>
      <w:color w:val="474747" w:themeColor="accent3" w:themeShade="BF"/>
    </w:rPr>
  </w:style>
  <w:style w:type="paragraph" w:customStyle="1" w:styleId="ECHRTitleCentre1">
    <w:name w:val="ECHR_Title_Centre_1"/>
    <w:aliases w:val="_Title_C_1"/>
    <w:basedOn w:val="Normal"/>
    <w:next w:val="Normal"/>
    <w:uiPriority w:val="26"/>
    <w:semiHidden/>
    <w:qFormat/>
    <w:rsid w:val="00FF31D2"/>
    <w:pPr>
      <w:keepNext/>
      <w:keepLines/>
      <w:spacing w:before="240"/>
      <w:contextualSpacing/>
      <w:jc w:val="center"/>
    </w:pPr>
    <w:rPr>
      <w:rFonts w:asciiTheme="majorHAnsi" w:hAnsiTheme="majorHAnsi"/>
      <w:b/>
      <w:color w:val="2F2F2F" w:themeColor="accent3" w:themeShade="80"/>
      <w:sz w:val="32"/>
    </w:rPr>
  </w:style>
  <w:style w:type="paragraph" w:customStyle="1" w:styleId="ECHRTitleCentre2">
    <w:name w:val="ECHR_Title_Centre_2"/>
    <w:aliases w:val="_Title_C_2"/>
    <w:basedOn w:val="Normal"/>
    <w:next w:val="Normal"/>
    <w:uiPriority w:val="26"/>
    <w:semiHidden/>
    <w:qFormat/>
    <w:rsid w:val="00FF31D2"/>
    <w:pPr>
      <w:keepNext/>
      <w:keepLines/>
      <w:spacing w:before="240"/>
      <w:contextualSpacing/>
      <w:jc w:val="center"/>
    </w:pPr>
    <w:rPr>
      <w:rFonts w:asciiTheme="majorHAnsi" w:hAnsiTheme="majorHAnsi"/>
      <w:b/>
      <w:color w:val="474747" w:themeColor="accent3" w:themeShade="BF"/>
      <w:sz w:val="28"/>
    </w:rPr>
  </w:style>
  <w:style w:type="paragraph" w:customStyle="1" w:styleId="ECHRTitleCentre3">
    <w:name w:val="ECHR_Title_Centre_3"/>
    <w:aliases w:val="_Title_C_3"/>
    <w:basedOn w:val="Normal"/>
    <w:next w:val="Normal"/>
    <w:uiPriority w:val="26"/>
    <w:semiHidden/>
    <w:qFormat/>
    <w:rsid w:val="00FF31D2"/>
    <w:pPr>
      <w:keepNext/>
      <w:keepLines/>
      <w:spacing w:before="240"/>
      <w:contextualSpacing/>
      <w:jc w:val="center"/>
    </w:pPr>
    <w:rPr>
      <w:rFonts w:asciiTheme="majorHAnsi" w:hAnsiTheme="majorHAnsi"/>
      <w:b/>
      <w:color w:val="474747" w:themeColor="accent3" w:themeShade="BF"/>
    </w:rPr>
  </w:style>
  <w:style w:type="paragraph" w:customStyle="1" w:styleId="ECHRTitleCentreTOC1">
    <w:name w:val="ECHR_Title_Centre_TOC_1"/>
    <w:aliases w:val="_Title_C_TOC"/>
    <w:basedOn w:val="ECHRTitleCentre1"/>
    <w:next w:val="Normal"/>
    <w:uiPriority w:val="25"/>
    <w:semiHidden/>
    <w:qFormat/>
    <w:rsid w:val="00FF31D2"/>
    <w:pPr>
      <w:outlineLvl w:val="0"/>
    </w:pPr>
  </w:style>
  <w:style w:type="paragraph" w:customStyle="1" w:styleId="ECHRTitleTOC1">
    <w:name w:val="ECHR_Title_TOC_1"/>
    <w:aliases w:val="_Title_L_TOC"/>
    <w:basedOn w:val="ECHRTitle1"/>
    <w:next w:val="Normal"/>
    <w:uiPriority w:val="27"/>
    <w:semiHidden/>
    <w:qFormat/>
    <w:rsid w:val="00FF31D2"/>
    <w:pPr>
      <w:outlineLvl w:val="0"/>
    </w:pPr>
  </w:style>
  <w:style w:type="paragraph" w:customStyle="1" w:styleId="ECHRPlaceholder">
    <w:name w:val="ECHR_Placeholder"/>
    <w:aliases w:val="_Placeholder"/>
    <w:basedOn w:val="JuSigned"/>
    <w:uiPriority w:val="31"/>
    <w:rsid w:val="00FF31D2"/>
    <w:rPr>
      <w:color w:val="FFFFFF"/>
    </w:rPr>
  </w:style>
  <w:style w:type="paragraph" w:customStyle="1" w:styleId="ECHRSpacer">
    <w:name w:val="ECHR_Spacer"/>
    <w:aliases w:val="_Spacer"/>
    <w:basedOn w:val="Normal"/>
    <w:uiPriority w:val="45"/>
    <w:semiHidden/>
    <w:rsid w:val="00FF31D2"/>
    <w:rPr>
      <w:sz w:val="4"/>
    </w:rPr>
  </w:style>
  <w:style w:type="table" w:customStyle="1" w:styleId="ECHRTableGrey">
    <w:name w:val="ECHR_Table_Grey"/>
    <w:basedOn w:val="TableNormal"/>
    <w:uiPriority w:val="99"/>
    <w:rsid w:val="00FF31D2"/>
    <w:pPr>
      <w:tabs>
        <w:tab w:val="left" w:pos="397"/>
      </w:tabs>
    </w:pPr>
    <w:tblPr>
      <w:jc w:val="center"/>
      <w:tblBorders>
        <w:top w:val="single" w:sz="4" w:space="0" w:color="636363" w:themeColor="text2" w:themeShade="80"/>
        <w:left w:val="single" w:sz="4" w:space="0" w:color="636363" w:themeColor="text2" w:themeShade="80"/>
        <w:bottom w:val="single" w:sz="4" w:space="0" w:color="636363" w:themeColor="text2" w:themeShade="80"/>
        <w:right w:val="single" w:sz="4" w:space="0" w:color="636363" w:themeColor="text2" w:themeShade="80"/>
      </w:tblBorders>
      <w:tblCellMar>
        <w:top w:w="142" w:type="dxa"/>
        <w:bottom w:w="85" w:type="dxa"/>
      </w:tblCellMar>
    </w:tblPr>
    <w:trPr>
      <w:jc w:val="center"/>
    </w:trPr>
    <w:tcPr>
      <w:shd w:val="clear" w:color="auto" w:fill="F8F8F8" w:themeFill="background2"/>
    </w:tcPr>
    <w:tblStylePr w:type="firstRow">
      <w:rPr>
        <w:b/>
        <w:color w:val="262626" w:themeColor="text1" w:themeTint="D9"/>
      </w:rPr>
    </w:tblStylePr>
  </w:style>
  <w:style w:type="character" w:customStyle="1" w:styleId="JuParaChar">
    <w:name w:val="Ju_Para Char"/>
    <w:aliases w:val="_Para Char"/>
    <w:link w:val="JuPara"/>
    <w:uiPriority w:val="4"/>
    <w:rsid w:val="004C1EEF"/>
    <w:rPr>
      <w:sz w:val="24"/>
      <w:szCs w:val="24"/>
      <w:lang w:val="en-GB"/>
    </w:rPr>
  </w:style>
  <w:style w:type="table" w:styleId="GridTable1Light">
    <w:name w:val="Grid Table 1 Light"/>
    <w:basedOn w:val="TableNormal"/>
    <w:uiPriority w:val="46"/>
    <w:semiHidden/>
    <w:rsid w:val="004C1EEF"/>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JuNames0">
    <w:name w:val="Ju_Names"/>
    <w:rsid w:val="004C1EEF"/>
    <w:rPr>
      <w:smallCaps/>
    </w:rPr>
  </w:style>
  <w:style w:type="paragraph" w:customStyle="1" w:styleId="JuList4">
    <w:name w:val="Ju_List_4"/>
    <w:aliases w:val="N_Bul_4"/>
    <w:basedOn w:val="JuListi"/>
    <w:uiPriority w:val="19"/>
    <w:rsid w:val="004C1EEF"/>
    <w:pPr>
      <w:numPr>
        <w:ilvl w:val="0"/>
        <w:numId w:val="0"/>
      </w:numPr>
      <w:tabs>
        <w:tab w:val="num" w:pos="1701"/>
      </w:tabs>
      <w:spacing w:before="60" w:after="60" w:line="240" w:lineRule="exact"/>
      <w:ind w:left="1703" w:hanging="284"/>
      <w:contextualSpacing/>
    </w:pPr>
    <w:rPr>
      <w:sz w:val="22"/>
      <w:lang w:val="fr-FR" w:eastAsia="fr-FR"/>
    </w:rPr>
  </w:style>
  <w:style w:type="table" w:styleId="GridTable1Light-Accent1">
    <w:name w:val="Grid Table 1 Light Accent 1"/>
    <w:basedOn w:val="TableNormal"/>
    <w:uiPriority w:val="46"/>
    <w:semiHidden/>
    <w:rsid w:val="004C1EEF"/>
    <w:tblPr>
      <w:tblStyleRowBandSize w:val="1"/>
      <w:tblStyleColBandSize w:val="1"/>
      <w:tblBorders>
        <w:top w:val="single" w:sz="4" w:space="0" w:color="7ECBFF" w:themeColor="accent1" w:themeTint="66"/>
        <w:left w:val="single" w:sz="4" w:space="0" w:color="7ECBFF" w:themeColor="accent1" w:themeTint="66"/>
        <w:bottom w:val="single" w:sz="4" w:space="0" w:color="7ECBFF" w:themeColor="accent1" w:themeTint="66"/>
        <w:right w:val="single" w:sz="4" w:space="0" w:color="7ECBFF" w:themeColor="accent1" w:themeTint="66"/>
        <w:insideH w:val="single" w:sz="4" w:space="0" w:color="7ECBFF" w:themeColor="accent1" w:themeTint="66"/>
        <w:insideV w:val="single" w:sz="4" w:space="0" w:color="7ECBFF" w:themeColor="accent1" w:themeTint="66"/>
      </w:tblBorders>
    </w:tblPr>
    <w:tblStylePr w:type="firstRow">
      <w:rPr>
        <w:b/>
        <w:bCs/>
      </w:rPr>
      <w:tblPr/>
      <w:tcPr>
        <w:tcBorders>
          <w:bottom w:val="single" w:sz="12" w:space="0" w:color="3DB2FF" w:themeColor="accent1" w:themeTint="99"/>
        </w:tcBorders>
      </w:tcPr>
    </w:tblStylePr>
    <w:tblStylePr w:type="lastRow">
      <w:rPr>
        <w:b/>
        <w:bCs/>
      </w:rPr>
      <w:tblPr/>
      <w:tcPr>
        <w:tcBorders>
          <w:top w:val="double" w:sz="2" w:space="0" w:color="3DB2F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semiHidden/>
    <w:rsid w:val="004C1EEF"/>
    <w:tblPr>
      <w:tblStyleRowBandSize w:val="1"/>
      <w:tblStyleColBandSize w:val="1"/>
      <w:tblBorders>
        <w:top w:val="single" w:sz="4" w:space="0" w:color="FF7F7F" w:themeColor="accent2" w:themeTint="66"/>
        <w:left w:val="single" w:sz="4" w:space="0" w:color="FF7F7F" w:themeColor="accent2" w:themeTint="66"/>
        <w:bottom w:val="single" w:sz="4" w:space="0" w:color="FF7F7F" w:themeColor="accent2" w:themeTint="66"/>
        <w:right w:val="single" w:sz="4" w:space="0" w:color="FF7F7F" w:themeColor="accent2" w:themeTint="66"/>
        <w:insideH w:val="single" w:sz="4" w:space="0" w:color="FF7F7F" w:themeColor="accent2" w:themeTint="66"/>
        <w:insideV w:val="single" w:sz="4" w:space="0" w:color="FF7F7F" w:themeColor="accent2" w:themeTint="66"/>
      </w:tblBorders>
    </w:tblPr>
    <w:tblStylePr w:type="firstRow">
      <w:rPr>
        <w:b/>
        <w:bCs/>
      </w:rPr>
      <w:tblPr/>
      <w:tcPr>
        <w:tcBorders>
          <w:bottom w:val="single" w:sz="12" w:space="0" w:color="FF4040" w:themeColor="accent2" w:themeTint="99"/>
        </w:tcBorders>
      </w:tcPr>
    </w:tblStylePr>
    <w:tblStylePr w:type="lastRow">
      <w:rPr>
        <w:b/>
        <w:bCs/>
      </w:rPr>
      <w:tblPr/>
      <w:tcPr>
        <w:tcBorders>
          <w:top w:val="double" w:sz="2" w:space="0" w:color="FF4040"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semiHidden/>
    <w:rsid w:val="004C1EEF"/>
    <w:tblPr>
      <w:tblStyleRowBandSize w:val="1"/>
      <w:tblStyleColBandSize w:val="1"/>
      <w:tblBorders>
        <w:top w:val="single" w:sz="4" w:space="0" w:color="BFBFBF" w:themeColor="accent3" w:themeTint="66"/>
        <w:left w:val="single" w:sz="4" w:space="0" w:color="BFBFBF" w:themeColor="accent3" w:themeTint="66"/>
        <w:bottom w:val="single" w:sz="4" w:space="0" w:color="BFBFBF" w:themeColor="accent3" w:themeTint="66"/>
        <w:right w:val="single" w:sz="4" w:space="0" w:color="BFBFBF" w:themeColor="accent3" w:themeTint="66"/>
        <w:insideH w:val="single" w:sz="4" w:space="0" w:color="BFBFBF" w:themeColor="accent3" w:themeTint="66"/>
        <w:insideV w:val="single" w:sz="4" w:space="0" w:color="BFBFBF" w:themeColor="accent3" w:themeTint="66"/>
      </w:tblBorders>
    </w:tblPr>
    <w:tblStylePr w:type="firstRow">
      <w:rPr>
        <w:b/>
        <w:bCs/>
      </w:rPr>
      <w:tblPr/>
      <w:tcPr>
        <w:tcBorders>
          <w:bottom w:val="single" w:sz="12" w:space="0" w:color="9F9F9F" w:themeColor="accent3" w:themeTint="99"/>
        </w:tcBorders>
      </w:tcPr>
    </w:tblStylePr>
    <w:tblStylePr w:type="lastRow">
      <w:rPr>
        <w:b/>
        <w:bCs/>
      </w:rPr>
      <w:tblPr/>
      <w:tcPr>
        <w:tcBorders>
          <w:top w:val="double" w:sz="2" w:space="0" w:color="9F9F9F"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semiHidden/>
    <w:rsid w:val="004C1EEF"/>
    <w:tblPr>
      <w:tblStyleRowBandSize w:val="1"/>
      <w:tblStyleColBandSize w:val="1"/>
      <w:tblBorders>
        <w:top w:val="single" w:sz="4" w:space="0" w:color="D5D5D5" w:themeColor="accent4" w:themeTint="66"/>
        <w:left w:val="single" w:sz="4" w:space="0" w:color="D5D5D5" w:themeColor="accent4" w:themeTint="66"/>
        <w:bottom w:val="single" w:sz="4" w:space="0" w:color="D5D5D5" w:themeColor="accent4" w:themeTint="66"/>
        <w:right w:val="single" w:sz="4" w:space="0" w:color="D5D5D5" w:themeColor="accent4" w:themeTint="66"/>
        <w:insideH w:val="single" w:sz="4" w:space="0" w:color="D5D5D5" w:themeColor="accent4" w:themeTint="66"/>
        <w:insideV w:val="single" w:sz="4" w:space="0" w:color="D5D5D5" w:themeColor="accent4" w:themeTint="66"/>
      </w:tblBorders>
    </w:tblPr>
    <w:tblStylePr w:type="firstRow">
      <w:rPr>
        <w:b/>
        <w:bCs/>
      </w:rPr>
      <w:tblPr/>
      <w:tcPr>
        <w:tcBorders>
          <w:bottom w:val="single" w:sz="12" w:space="0" w:color="C0C0C0" w:themeColor="accent4" w:themeTint="99"/>
        </w:tcBorders>
      </w:tcPr>
    </w:tblStylePr>
    <w:tblStylePr w:type="lastRow">
      <w:rPr>
        <w:b/>
        <w:bCs/>
      </w:rPr>
      <w:tblPr/>
      <w:tcPr>
        <w:tcBorders>
          <w:top w:val="double" w:sz="2" w:space="0" w:color="C0C0C0"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semiHidden/>
    <w:rsid w:val="004C1EEF"/>
    <w:tblPr>
      <w:tblStyleRowBandSize w:val="1"/>
      <w:tblStyleColBandSize w:val="1"/>
      <w:tblBorders>
        <w:top w:val="single" w:sz="4" w:space="0" w:color="BFBFBF" w:themeColor="accent5" w:themeTint="66"/>
        <w:left w:val="single" w:sz="4" w:space="0" w:color="BFBFBF" w:themeColor="accent5" w:themeTint="66"/>
        <w:bottom w:val="single" w:sz="4" w:space="0" w:color="BFBFBF" w:themeColor="accent5" w:themeTint="66"/>
        <w:right w:val="single" w:sz="4" w:space="0" w:color="BFBFBF" w:themeColor="accent5" w:themeTint="66"/>
        <w:insideH w:val="single" w:sz="4" w:space="0" w:color="BFBFBF" w:themeColor="accent5" w:themeTint="66"/>
        <w:insideV w:val="single" w:sz="4" w:space="0" w:color="BFBFBF" w:themeColor="accent5" w:themeTint="66"/>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2" w:space="0" w:color="9F9F9F"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semiHidden/>
    <w:rsid w:val="004C1EEF"/>
    <w:tblPr>
      <w:tblStyleRowBandSize w:val="1"/>
      <w:tblStyleColBandSize w:val="1"/>
      <w:tblBorders>
        <w:top w:val="single" w:sz="4" w:space="0" w:color="B7B7B7" w:themeColor="accent6" w:themeTint="66"/>
        <w:left w:val="single" w:sz="4" w:space="0" w:color="B7B7B7" w:themeColor="accent6" w:themeTint="66"/>
        <w:bottom w:val="single" w:sz="4" w:space="0" w:color="B7B7B7" w:themeColor="accent6" w:themeTint="66"/>
        <w:right w:val="single" w:sz="4" w:space="0" w:color="B7B7B7" w:themeColor="accent6" w:themeTint="66"/>
        <w:insideH w:val="single" w:sz="4" w:space="0" w:color="B7B7B7" w:themeColor="accent6" w:themeTint="66"/>
        <w:insideV w:val="single" w:sz="4" w:space="0" w:color="B7B7B7" w:themeColor="accent6" w:themeTint="66"/>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2" w:space="0" w:color="949494"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semiHidden/>
    <w:rsid w:val="004C1EEF"/>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0072BC" w:themeFill="background1"/>
      </w:tcPr>
    </w:tblStylePr>
    <w:tblStylePr w:type="lastRow">
      <w:rPr>
        <w:b/>
        <w:bCs/>
      </w:rPr>
      <w:tblPr/>
      <w:tcPr>
        <w:tcBorders>
          <w:top w:val="double" w:sz="2" w:space="0" w:color="666666" w:themeColor="text1"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semiHidden/>
    <w:rsid w:val="004C1EEF"/>
    <w:tblPr>
      <w:tblStyleRowBandSize w:val="1"/>
      <w:tblStyleColBandSize w:val="1"/>
      <w:tblBorders>
        <w:top w:val="single" w:sz="2" w:space="0" w:color="3DB2FF" w:themeColor="accent1" w:themeTint="99"/>
        <w:bottom w:val="single" w:sz="2" w:space="0" w:color="3DB2FF" w:themeColor="accent1" w:themeTint="99"/>
        <w:insideH w:val="single" w:sz="2" w:space="0" w:color="3DB2FF" w:themeColor="accent1" w:themeTint="99"/>
        <w:insideV w:val="single" w:sz="2" w:space="0" w:color="3DB2FF" w:themeColor="accent1" w:themeTint="99"/>
      </w:tblBorders>
    </w:tblPr>
    <w:tblStylePr w:type="firstRow">
      <w:rPr>
        <w:b/>
        <w:bCs/>
      </w:rPr>
      <w:tblPr/>
      <w:tcPr>
        <w:tcBorders>
          <w:top w:val="nil"/>
          <w:bottom w:val="single" w:sz="12" w:space="0" w:color="3DB2FF" w:themeColor="accent1" w:themeTint="99"/>
          <w:insideH w:val="nil"/>
          <w:insideV w:val="nil"/>
        </w:tcBorders>
        <w:shd w:val="clear" w:color="auto" w:fill="0072BC" w:themeFill="background1"/>
      </w:tcPr>
    </w:tblStylePr>
    <w:tblStylePr w:type="lastRow">
      <w:rPr>
        <w:b/>
        <w:bCs/>
      </w:rPr>
      <w:tblPr/>
      <w:tcPr>
        <w:tcBorders>
          <w:top w:val="double" w:sz="2" w:space="0" w:color="3DB2FF" w:themeColor="accent1"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GridTable2-Accent2">
    <w:name w:val="Grid Table 2 Accent 2"/>
    <w:basedOn w:val="TableNormal"/>
    <w:uiPriority w:val="47"/>
    <w:semiHidden/>
    <w:rsid w:val="004C1EEF"/>
    <w:tblPr>
      <w:tblStyleRowBandSize w:val="1"/>
      <w:tblStyleColBandSize w:val="1"/>
      <w:tblBorders>
        <w:top w:val="single" w:sz="2" w:space="0" w:color="FF4040" w:themeColor="accent2" w:themeTint="99"/>
        <w:bottom w:val="single" w:sz="2" w:space="0" w:color="FF4040" w:themeColor="accent2" w:themeTint="99"/>
        <w:insideH w:val="single" w:sz="2" w:space="0" w:color="FF4040" w:themeColor="accent2" w:themeTint="99"/>
        <w:insideV w:val="single" w:sz="2" w:space="0" w:color="FF4040" w:themeColor="accent2" w:themeTint="99"/>
      </w:tblBorders>
    </w:tblPr>
    <w:tblStylePr w:type="firstRow">
      <w:rPr>
        <w:b/>
        <w:bCs/>
      </w:rPr>
      <w:tblPr/>
      <w:tcPr>
        <w:tcBorders>
          <w:top w:val="nil"/>
          <w:bottom w:val="single" w:sz="12" w:space="0" w:color="FF4040" w:themeColor="accent2" w:themeTint="99"/>
          <w:insideH w:val="nil"/>
          <w:insideV w:val="nil"/>
        </w:tcBorders>
        <w:shd w:val="clear" w:color="auto" w:fill="0072BC" w:themeFill="background1"/>
      </w:tcPr>
    </w:tblStylePr>
    <w:tblStylePr w:type="lastRow">
      <w:rPr>
        <w:b/>
        <w:bCs/>
      </w:rPr>
      <w:tblPr/>
      <w:tcPr>
        <w:tcBorders>
          <w:top w:val="double" w:sz="2" w:space="0" w:color="FF4040" w:themeColor="accent2"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GridTable2-Accent3">
    <w:name w:val="Grid Table 2 Accent 3"/>
    <w:basedOn w:val="TableNormal"/>
    <w:uiPriority w:val="47"/>
    <w:semiHidden/>
    <w:rsid w:val="004C1EEF"/>
    <w:tblPr>
      <w:tblStyleRowBandSize w:val="1"/>
      <w:tblStyleColBandSize w:val="1"/>
      <w:tblBorders>
        <w:top w:val="single" w:sz="2" w:space="0" w:color="9F9F9F" w:themeColor="accent3" w:themeTint="99"/>
        <w:bottom w:val="single" w:sz="2" w:space="0" w:color="9F9F9F" w:themeColor="accent3" w:themeTint="99"/>
        <w:insideH w:val="single" w:sz="2" w:space="0" w:color="9F9F9F" w:themeColor="accent3" w:themeTint="99"/>
        <w:insideV w:val="single" w:sz="2" w:space="0" w:color="9F9F9F" w:themeColor="accent3" w:themeTint="99"/>
      </w:tblBorders>
    </w:tblPr>
    <w:tblStylePr w:type="firstRow">
      <w:rPr>
        <w:b/>
        <w:bCs/>
      </w:rPr>
      <w:tblPr/>
      <w:tcPr>
        <w:tcBorders>
          <w:top w:val="nil"/>
          <w:bottom w:val="single" w:sz="12" w:space="0" w:color="9F9F9F" w:themeColor="accent3" w:themeTint="99"/>
          <w:insideH w:val="nil"/>
          <w:insideV w:val="nil"/>
        </w:tcBorders>
        <w:shd w:val="clear" w:color="auto" w:fill="0072BC" w:themeFill="background1"/>
      </w:tcPr>
    </w:tblStylePr>
    <w:tblStylePr w:type="lastRow">
      <w:rPr>
        <w:b/>
        <w:bCs/>
      </w:rPr>
      <w:tblPr/>
      <w:tcPr>
        <w:tcBorders>
          <w:top w:val="double" w:sz="2" w:space="0" w:color="9F9F9F" w:themeColor="accent3"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GridTable2-Accent4">
    <w:name w:val="Grid Table 2 Accent 4"/>
    <w:basedOn w:val="TableNormal"/>
    <w:uiPriority w:val="47"/>
    <w:semiHidden/>
    <w:rsid w:val="004C1EEF"/>
    <w:tblPr>
      <w:tblStyleRowBandSize w:val="1"/>
      <w:tblStyleColBandSize w:val="1"/>
      <w:tblBorders>
        <w:top w:val="single" w:sz="2" w:space="0" w:color="C0C0C0" w:themeColor="accent4" w:themeTint="99"/>
        <w:bottom w:val="single" w:sz="2" w:space="0" w:color="C0C0C0" w:themeColor="accent4" w:themeTint="99"/>
        <w:insideH w:val="single" w:sz="2" w:space="0" w:color="C0C0C0" w:themeColor="accent4" w:themeTint="99"/>
        <w:insideV w:val="single" w:sz="2" w:space="0" w:color="C0C0C0" w:themeColor="accent4" w:themeTint="99"/>
      </w:tblBorders>
    </w:tblPr>
    <w:tblStylePr w:type="firstRow">
      <w:rPr>
        <w:b/>
        <w:bCs/>
      </w:rPr>
      <w:tblPr/>
      <w:tcPr>
        <w:tcBorders>
          <w:top w:val="nil"/>
          <w:bottom w:val="single" w:sz="12" w:space="0" w:color="C0C0C0" w:themeColor="accent4" w:themeTint="99"/>
          <w:insideH w:val="nil"/>
          <w:insideV w:val="nil"/>
        </w:tcBorders>
        <w:shd w:val="clear" w:color="auto" w:fill="0072BC" w:themeFill="background1"/>
      </w:tcPr>
    </w:tblStylePr>
    <w:tblStylePr w:type="lastRow">
      <w:rPr>
        <w:b/>
        <w:bCs/>
      </w:rPr>
      <w:tblPr/>
      <w:tcPr>
        <w:tcBorders>
          <w:top w:val="double" w:sz="2" w:space="0" w:color="C0C0C0" w:themeColor="accent4"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GridTable2-Accent5">
    <w:name w:val="Grid Table 2 Accent 5"/>
    <w:basedOn w:val="TableNormal"/>
    <w:uiPriority w:val="47"/>
    <w:semiHidden/>
    <w:rsid w:val="004C1EEF"/>
    <w:tblPr>
      <w:tblStyleRowBandSize w:val="1"/>
      <w:tblStyleColBandSize w:val="1"/>
      <w:tblBorders>
        <w:top w:val="single" w:sz="2" w:space="0" w:color="9F9F9F" w:themeColor="accent5" w:themeTint="99"/>
        <w:bottom w:val="single" w:sz="2" w:space="0" w:color="9F9F9F" w:themeColor="accent5" w:themeTint="99"/>
        <w:insideH w:val="single" w:sz="2" w:space="0" w:color="9F9F9F" w:themeColor="accent5" w:themeTint="99"/>
        <w:insideV w:val="single" w:sz="2" w:space="0" w:color="9F9F9F" w:themeColor="accent5" w:themeTint="99"/>
      </w:tblBorders>
    </w:tblPr>
    <w:tblStylePr w:type="firstRow">
      <w:rPr>
        <w:b/>
        <w:bCs/>
      </w:rPr>
      <w:tblPr/>
      <w:tcPr>
        <w:tcBorders>
          <w:top w:val="nil"/>
          <w:bottom w:val="single" w:sz="12" w:space="0" w:color="9F9F9F" w:themeColor="accent5" w:themeTint="99"/>
          <w:insideH w:val="nil"/>
          <w:insideV w:val="nil"/>
        </w:tcBorders>
        <w:shd w:val="clear" w:color="auto" w:fill="0072BC" w:themeFill="background1"/>
      </w:tcPr>
    </w:tblStylePr>
    <w:tblStylePr w:type="lastRow">
      <w:rPr>
        <w:b/>
        <w:bCs/>
      </w:rPr>
      <w:tblPr/>
      <w:tcPr>
        <w:tcBorders>
          <w:top w:val="double" w:sz="2" w:space="0" w:color="9F9F9F" w:themeColor="accent5"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GridTable2-Accent6">
    <w:name w:val="Grid Table 2 Accent 6"/>
    <w:basedOn w:val="TableNormal"/>
    <w:uiPriority w:val="47"/>
    <w:semiHidden/>
    <w:rsid w:val="004C1EEF"/>
    <w:tblPr>
      <w:tblStyleRowBandSize w:val="1"/>
      <w:tblStyleColBandSize w:val="1"/>
      <w:tblBorders>
        <w:top w:val="single" w:sz="2" w:space="0" w:color="949494" w:themeColor="accent6" w:themeTint="99"/>
        <w:bottom w:val="single" w:sz="2" w:space="0" w:color="949494" w:themeColor="accent6" w:themeTint="99"/>
        <w:insideH w:val="single" w:sz="2" w:space="0" w:color="949494" w:themeColor="accent6" w:themeTint="99"/>
        <w:insideV w:val="single" w:sz="2" w:space="0" w:color="949494" w:themeColor="accent6" w:themeTint="99"/>
      </w:tblBorders>
    </w:tblPr>
    <w:tblStylePr w:type="firstRow">
      <w:rPr>
        <w:b/>
        <w:bCs/>
      </w:rPr>
      <w:tblPr/>
      <w:tcPr>
        <w:tcBorders>
          <w:top w:val="nil"/>
          <w:bottom w:val="single" w:sz="12" w:space="0" w:color="949494" w:themeColor="accent6" w:themeTint="99"/>
          <w:insideH w:val="nil"/>
          <w:insideV w:val="nil"/>
        </w:tcBorders>
        <w:shd w:val="clear" w:color="auto" w:fill="0072BC" w:themeFill="background1"/>
      </w:tcPr>
    </w:tblStylePr>
    <w:tblStylePr w:type="lastRow">
      <w:rPr>
        <w:b/>
        <w:bCs/>
      </w:rPr>
      <w:tblPr/>
      <w:tcPr>
        <w:tcBorders>
          <w:top w:val="double" w:sz="2" w:space="0" w:color="949494" w:themeColor="accent6"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GridTable3">
    <w:name w:val="Grid Table 3"/>
    <w:basedOn w:val="TableNormal"/>
    <w:uiPriority w:val="48"/>
    <w:semiHidden/>
    <w:rsid w:val="004C1EEF"/>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semiHidden/>
    <w:rsid w:val="004C1EEF"/>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bottom w:val="single" w:sz="4" w:space="0" w:color="3DB2FF" w:themeColor="accent1" w:themeTint="99"/>
        </w:tcBorders>
      </w:tcPr>
    </w:tblStylePr>
    <w:tblStylePr w:type="nwCell">
      <w:tblPr/>
      <w:tcPr>
        <w:tcBorders>
          <w:bottom w:val="single" w:sz="4" w:space="0" w:color="3DB2FF" w:themeColor="accent1" w:themeTint="99"/>
        </w:tcBorders>
      </w:tcPr>
    </w:tblStylePr>
    <w:tblStylePr w:type="seCell">
      <w:tblPr/>
      <w:tcPr>
        <w:tcBorders>
          <w:top w:val="single" w:sz="4" w:space="0" w:color="3DB2FF" w:themeColor="accent1" w:themeTint="99"/>
        </w:tcBorders>
      </w:tcPr>
    </w:tblStylePr>
    <w:tblStylePr w:type="swCell">
      <w:tblPr/>
      <w:tcPr>
        <w:tcBorders>
          <w:top w:val="single" w:sz="4" w:space="0" w:color="3DB2FF" w:themeColor="accent1" w:themeTint="99"/>
        </w:tcBorders>
      </w:tcPr>
    </w:tblStylePr>
  </w:style>
  <w:style w:type="table" w:styleId="GridTable3-Accent2">
    <w:name w:val="Grid Table 3 Accent 2"/>
    <w:basedOn w:val="TableNormal"/>
    <w:uiPriority w:val="48"/>
    <w:semiHidden/>
    <w:rsid w:val="004C1EEF"/>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bottom w:val="single" w:sz="4" w:space="0" w:color="FF4040" w:themeColor="accent2" w:themeTint="99"/>
        </w:tcBorders>
      </w:tcPr>
    </w:tblStylePr>
    <w:tblStylePr w:type="nwCell">
      <w:tblPr/>
      <w:tcPr>
        <w:tcBorders>
          <w:bottom w:val="single" w:sz="4" w:space="0" w:color="FF4040" w:themeColor="accent2" w:themeTint="99"/>
        </w:tcBorders>
      </w:tcPr>
    </w:tblStylePr>
    <w:tblStylePr w:type="seCell">
      <w:tblPr/>
      <w:tcPr>
        <w:tcBorders>
          <w:top w:val="single" w:sz="4" w:space="0" w:color="FF4040" w:themeColor="accent2" w:themeTint="99"/>
        </w:tcBorders>
      </w:tcPr>
    </w:tblStylePr>
    <w:tblStylePr w:type="swCell">
      <w:tblPr/>
      <w:tcPr>
        <w:tcBorders>
          <w:top w:val="single" w:sz="4" w:space="0" w:color="FF4040" w:themeColor="accent2" w:themeTint="99"/>
        </w:tcBorders>
      </w:tcPr>
    </w:tblStylePr>
  </w:style>
  <w:style w:type="table" w:styleId="GridTable3-Accent3">
    <w:name w:val="Grid Table 3 Accent 3"/>
    <w:basedOn w:val="TableNormal"/>
    <w:uiPriority w:val="48"/>
    <w:semiHidden/>
    <w:rsid w:val="004C1EEF"/>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bottom w:val="single" w:sz="4" w:space="0" w:color="9F9F9F" w:themeColor="accent3" w:themeTint="99"/>
        </w:tcBorders>
      </w:tcPr>
    </w:tblStylePr>
    <w:tblStylePr w:type="nwCell">
      <w:tblPr/>
      <w:tcPr>
        <w:tcBorders>
          <w:bottom w:val="single" w:sz="4" w:space="0" w:color="9F9F9F" w:themeColor="accent3" w:themeTint="99"/>
        </w:tcBorders>
      </w:tcPr>
    </w:tblStylePr>
    <w:tblStylePr w:type="seCell">
      <w:tblPr/>
      <w:tcPr>
        <w:tcBorders>
          <w:top w:val="single" w:sz="4" w:space="0" w:color="9F9F9F" w:themeColor="accent3" w:themeTint="99"/>
        </w:tcBorders>
      </w:tcPr>
    </w:tblStylePr>
    <w:tblStylePr w:type="swCell">
      <w:tblPr/>
      <w:tcPr>
        <w:tcBorders>
          <w:top w:val="single" w:sz="4" w:space="0" w:color="9F9F9F" w:themeColor="accent3" w:themeTint="99"/>
        </w:tcBorders>
      </w:tcPr>
    </w:tblStylePr>
  </w:style>
  <w:style w:type="table" w:styleId="GridTable3-Accent4">
    <w:name w:val="Grid Table 3 Accent 4"/>
    <w:basedOn w:val="TableNormal"/>
    <w:uiPriority w:val="48"/>
    <w:semiHidden/>
    <w:rsid w:val="004C1EEF"/>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bottom w:val="single" w:sz="4" w:space="0" w:color="C0C0C0" w:themeColor="accent4" w:themeTint="99"/>
        </w:tcBorders>
      </w:tcPr>
    </w:tblStylePr>
    <w:tblStylePr w:type="nwCell">
      <w:tblPr/>
      <w:tcPr>
        <w:tcBorders>
          <w:bottom w:val="single" w:sz="4" w:space="0" w:color="C0C0C0" w:themeColor="accent4" w:themeTint="99"/>
        </w:tcBorders>
      </w:tcPr>
    </w:tblStylePr>
    <w:tblStylePr w:type="seCell">
      <w:tblPr/>
      <w:tcPr>
        <w:tcBorders>
          <w:top w:val="single" w:sz="4" w:space="0" w:color="C0C0C0" w:themeColor="accent4" w:themeTint="99"/>
        </w:tcBorders>
      </w:tcPr>
    </w:tblStylePr>
    <w:tblStylePr w:type="swCell">
      <w:tblPr/>
      <w:tcPr>
        <w:tcBorders>
          <w:top w:val="single" w:sz="4" w:space="0" w:color="C0C0C0" w:themeColor="accent4" w:themeTint="99"/>
        </w:tcBorders>
      </w:tcPr>
    </w:tblStylePr>
  </w:style>
  <w:style w:type="table" w:styleId="GridTable3-Accent5">
    <w:name w:val="Grid Table 3 Accent 5"/>
    <w:basedOn w:val="TableNormal"/>
    <w:uiPriority w:val="48"/>
    <w:semiHidden/>
    <w:rsid w:val="004C1EEF"/>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styleId="GridTable3-Accent6">
    <w:name w:val="Grid Table 3 Accent 6"/>
    <w:basedOn w:val="TableNormal"/>
    <w:uiPriority w:val="48"/>
    <w:semiHidden/>
    <w:rsid w:val="004C1EEF"/>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table" w:styleId="GridTable4">
    <w:name w:val="Grid Table 4"/>
    <w:basedOn w:val="TableNormal"/>
    <w:uiPriority w:val="49"/>
    <w:semiHidden/>
    <w:rsid w:val="004C1EEF"/>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0072BC"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semiHidden/>
    <w:rsid w:val="004C1EEF"/>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color w:val="0072BC" w:themeColor="background1"/>
      </w:rPr>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nil"/>
          <w:insideV w:val="nil"/>
        </w:tcBorders>
        <w:shd w:val="clear" w:color="auto" w:fill="0072BC" w:themeFill="accent1"/>
      </w:tcPr>
    </w:tblStylePr>
    <w:tblStylePr w:type="lastRow">
      <w:rPr>
        <w:b/>
        <w:bCs/>
      </w:rPr>
      <w:tblPr/>
      <w:tcPr>
        <w:tcBorders>
          <w:top w:val="double" w:sz="4" w:space="0" w:color="0072BC" w:themeColor="accent1"/>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GridTable4-Accent2">
    <w:name w:val="Grid Table 4 Accent 2"/>
    <w:basedOn w:val="TableNormal"/>
    <w:uiPriority w:val="49"/>
    <w:semiHidden/>
    <w:rsid w:val="004C1EEF"/>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color w:val="0072BC" w:themeColor="background1"/>
      </w:rPr>
      <w:tblPr/>
      <w:tcPr>
        <w:tcBorders>
          <w:top w:val="single" w:sz="4" w:space="0" w:color="C00000" w:themeColor="accent2"/>
          <w:left w:val="single" w:sz="4" w:space="0" w:color="C00000" w:themeColor="accent2"/>
          <w:bottom w:val="single" w:sz="4" w:space="0" w:color="C00000" w:themeColor="accent2"/>
          <w:right w:val="single" w:sz="4" w:space="0" w:color="C00000" w:themeColor="accent2"/>
          <w:insideH w:val="nil"/>
          <w:insideV w:val="nil"/>
        </w:tcBorders>
        <w:shd w:val="clear" w:color="auto" w:fill="C00000" w:themeFill="accent2"/>
      </w:tcPr>
    </w:tblStylePr>
    <w:tblStylePr w:type="lastRow">
      <w:rPr>
        <w:b/>
        <w:bCs/>
      </w:rPr>
      <w:tblPr/>
      <w:tcPr>
        <w:tcBorders>
          <w:top w:val="double" w:sz="4" w:space="0" w:color="C00000" w:themeColor="accent2"/>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GridTable4-Accent3">
    <w:name w:val="Grid Table 4 Accent 3"/>
    <w:basedOn w:val="TableNormal"/>
    <w:uiPriority w:val="49"/>
    <w:semiHidden/>
    <w:rsid w:val="004C1EEF"/>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color w:val="0072BC" w:themeColor="background1"/>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cBorders>
        <w:shd w:val="clear" w:color="auto" w:fill="5F5F5F" w:themeFill="accent3"/>
      </w:tcPr>
    </w:tblStylePr>
    <w:tblStylePr w:type="lastRow">
      <w:rPr>
        <w:b/>
        <w:bCs/>
      </w:rPr>
      <w:tblPr/>
      <w:tcPr>
        <w:tcBorders>
          <w:top w:val="double" w:sz="4" w:space="0" w:color="5F5F5F" w:themeColor="accent3"/>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GridTable4-Accent4">
    <w:name w:val="Grid Table 4 Accent 4"/>
    <w:basedOn w:val="TableNormal"/>
    <w:uiPriority w:val="49"/>
    <w:semiHidden/>
    <w:rsid w:val="004C1EEF"/>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color w:val="0072BC" w:themeColor="background1"/>
      </w:rPr>
      <w:tblPr/>
      <w:tcPr>
        <w:tcBorders>
          <w:top w:val="single" w:sz="4" w:space="0" w:color="969696" w:themeColor="accent4"/>
          <w:left w:val="single" w:sz="4" w:space="0" w:color="969696" w:themeColor="accent4"/>
          <w:bottom w:val="single" w:sz="4" w:space="0" w:color="969696" w:themeColor="accent4"/>
          <w:right w:val="single" w:sz="4" w:space="0" w:color="969696" w:themeColor="accent4"/>
          <w:insideH w:val="nil"/>
          <w:insideV w:val="nil"/>
        </w:tcBorders>
        <w:shd w:val="clear" w:color="auto" w:fill="969696" w:themeFill="accent4"/>
      </w:tcPr>
    </w:tblStylePr>
    <w:tblStylePr w:type="lastRow">
      <w:rPr>
        <w:b/>
        <w:bCs/>
      </w:rPr>
      <w:tblPr/>
      <w:tcPr>
        <w:tcBorders>
          <w:top w:val="double" w:sz="4" w:space="0" w:color="969696" w:themeColor="accent4"/>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GridTable4-Accent5">
    <w:name w:val="Grid Table 4 Accent 5"/>
    <w:basedOn w:val="TableNormal"/>
    <w:uiPriority w:val="49"/>
    <w:semiHidden/>
    <w:rsid w:val="004C1EEF"/>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color w:val="0072BC"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insideV w:val="nil"/>
        </w:tcBorders>
        <w:shd w:val="clear" w:color="auto" w:fill="5F5F5F" w:themeFill="accent5"/>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GridTable4-Accent6">
    <w:name w:val="Grid Table 4 Accent 6"/>
    <w:basedOn w:val="TableNormal"/>
    <w:uiPriority w:val="49"/>
    <w:semiHidden/>
    <w:rsid w:val="004C1EEF"/>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color w:val="0072BC"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insideV w:val="nil"/>
        </w:tcBorders>
        <w:shd w:val="clear" w:color="auto" w:fill="4D4D4D" w:themeFill="accent6"/>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GridTable5Dark">
    <w:name w:val="Grid Table 5 Dark"/>
    <w:basedOn w:val="TableNormal"/>
    <w:uiPriority w:val="50"/>
    <w:semiHidden/>
    <w:rsid w:val="004C1EEF"/>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CCCCCC" w:themeFill="text1"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000000" w:themeFill="text1"/>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000000" w:themeFill="text1"/>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000000" w:themeFill="text1"/>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semiHidden/>
    <w:rsid w:val="004C1EEF"/>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BEE5FF" w:themeFill="accent1"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0072BC" w:themeFill="accent1"/>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0072BC" w:themeFill="accent1"/>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0072BC" w:themeFill="accent1"/>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0072BC" w:themeFill="accent1"/>
      </w:tcPr>
    </w:tblStylePr>
    <w:tblStylePr w:type="band1Vert">
      <w:tblPr/>
      <w:tcPr>
        <w:shd w:val="clear" w:color="auto" w:fill="7ECBFF" w:themeFill="accent1" w:themeFillTint="66"/>
      </w:tcPr>
    </w:tblStylePr>
    <w:tblStylePr w:type="band1Horz">
      <w:tblPr/>
      <w:tcPr>
        <w:shd w:val="clear" w:color="auto" w:fill="7ECBFF" w:themeFill="accent1" w:themeFillTint="66"/>
      </w:tcPr>
    </w:tblStylePr>
  </w:style>
  <w:style w:type="table" w:styleId="GridTable5Dark-Accent2">
    <w:name w:val="Grid Table 5 Dark Accent 2"/>
    <w:basedOn w:val="TableNormal"/>
    <w:uiPriority w:val="50"/>
    <w:semiHidden/>
    <w:rsid w:val="004C1EEF"/>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FFBFBF" w:themeFill="accent2"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C00000" w:themeFill="accent2"/>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C00000" w:themeFill="accent2"/>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C00000" w:themeFill="accent2"/>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C00000" w:themeFill="accent2"/>
      </w:tcPr>
    </w:tblStylePr>
    <w:tblStylePr w:type="band1Vert">
      <w:tblPr/>
      <w:tcPr>
        <w:shd w:val="clear" w:color="auto" w:fill="FF7F7F" w:themeFill="accent2" w:themeFillTint="66"/>
      </w:tcPr>
    </w:tblStylePr>
    <w:tblStylePr w:type="band1Horz">
      <w:tblPr/>
      <w:tcPr>
        <w:shd w:val="clear" w:color="auto" w:fill="FF7F7F" w:themeFill="accent2" w:themeFillTint="66"/>
      </w:tcPr>
    </w:tblStylePr>
  </w:style>
  <w:style w:type="table" w:styleId="GridTable5Dark-Accent3">
    <w:name w:val="Grid Table 5 Dark Accent 3"/>
    <w:basedOn w:val="TableNormal"/>
    <w:uiPriority w:val="50"/>
    <w:semiHidden/>
    <w:rsid w:val="004C1EEF"/>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FDFDF" w:themeFill="accent3"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5F5F5F" w:themeFill="accent3"/>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5F5F5F" w:themeFill="accent3"/>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5F5F5F" w:themeFill="accent3"/>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5F5F5F" w:themeFill="accent3"/>
      </w:tcPr>
    </w:tblStylePr>
    <w:tblStylePr w:type="band1Vert">
      <w:tblPr/>
      <w:tcPr>
        <w:shd w:val="clear" w:color="auto" w:fill="BFBFBF" w:themeFill="accent3" w:themeFillTint="66"/>
      </w:tcPr>
    </w:tblStylePr>
    <w:tblStylePr w:type="band1Horz">
      <w:tblPr/>
      <w:tcPr>
        <w:shd w:val="clear" w:color="auto" w:fill="BFBFBF" w:themeFill="accent3" w:themeFillTint="66"/>
      </w:tcPr>
    </w:tblStylePr>
  </w:style>
  <w:style w:type="table" w:styleId="GridTable5Dark-Accent4">
    <w:name w:val="Grid Table 5 Dark Accent 4"/>
    <w:basedOn w:val="TableNormal"/>
    <w:uiPriority w:val="50"/>
    <w:semiHidden/>
    <w:rsid w:val="004C1EEF"/>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EAEAEA" w:themeFill="accent4"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969696" w:themeFill="accent4"/>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969696" w:themeFill="accent4"/>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969696" w:themeFill="accent4"/>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969696" w:themeFill="accent4"/>
      </w:tcPr>
    </w:tblStylePr>
    <w:tblStylePr w:type="band1Vert">
      <w:tblPr/>
      <w:tcPr>
        <w:shd w:val="clear" w:color="auto" w:fill="D5D5D5" w:themeFill="accent4" w:themeFillTint="66"/>
      </w:tcPr>
    </w:tblStylePr>
    <w:tblStylePr w:type="band1Horz">
      <w:tblPr/>
      <w:tcPr>
        <w:shd w:val="clear" w:color="auto" w:fill="D5D5D5" w:themeFill="accent4" w:themeFillTint="66"/>
      </w:tcPr>
    </w:tblStylePr>
  </w:style>
  <w:style w:type="table" w:styleId="GridTable5Dark-Accent5">
    <w:name w:val="Grid Table 5 Dark Accent 5"/>
    <w:basedOn w:val="TableNormal"/>
    <w:uiPriority w:val="50"/>
    <w:semiHidden/>
    <w:rsid w:val="004C1EEF"/>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FDFDF" w:themeFill="accent5"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5F5F5F" w:themeFill="accent5"/>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5F5F5F" w:themeFill="accent5"/>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5F5F5F" w:themeFill="accent5"/>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5F5F5F" w:themeFill="accent5"/>
      </w:tcPr>
    </w:tblStylePr>
    <w:tblStylePr w:type="band1Vert">
      <w:tblPr/>
      <w:tcPr>
        <w:shd w:val="clear" w:color="auto" w:fill="BFBFBF" w:themeFill="accent5" w:themeFillTint="66"/>
      </w:tcPr>
    </w:tblStylePr>
    <w:tblStylePr w:type="band1Horz">
      <w:tblPr/>
      <w:tcPr>
        <w:shd w:val="clear" w:color="auto" w:fill="BFBFBF" w:themeFill="accent5" w:themeFillTint="66"/>
      </w:tcPr>
    </w:tblStylePr>
  </w:style>
  <w:style w:type="table" w:styleId="GridTable5Dark-Accent6">
    <w:name w:val="Grid Table 5 Dark Accent 6"/>
    <w:basedOn w:val="TableNormal"/>
    <w:uiPriority w:val="50"/>
    <w:semiHidden/>
    <w:rsid w:val="004C1EEF"/>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BDBDB" w:themeFill="accent6"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4D4D4D" w:themeFill="accent6"/>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4D4D4D" w:themeFill="accent6"/>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4D4D4D" w:themeFill="accent6"/>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4D4D4D" w:themeFill="accent6"/>
      </w:tcPr>
    </w:tblStylePr>
    <w:tblStylePr w:type="band1Vert">
      <w:tblPr/>
      <w:tcPr>
        <w:shd w:val="clear" w:color="auto" w:fill="B7B7B7" w:themeFill="accent6" w:themeFillTint="66"/>
      </w:tcPr>
    </w:tblStylePr>
    <w:tblStylePr w:type="band1Horz">
      <w:tblPr/>
      <w:tcPr>
        <w:shd w:val="clear" w:color="auto" w:fill="B7B7B7" w:themeFill="accent6" w:themeFillTint="66"/>
      </w:tcPr>
    </w:tblStylePr>
  </w:style>
  <w:style w:type="table" w:styleId="GridTable6Colorful">
    <w:name w:val="Grid Table 6 Colorful"/>
    <w:basedOn w:val="TableNormal"/>
    <w:uiPriority w:val="51"/>
    <w:semiHidden/>
    <w:rsid w:val="004C1EEF"/>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semiHidden/>
    <w:rsid w:val="004C1EEF"/>
    <w:rPr>
      <w:color w:val="00548C" w:themeColor="accent1" w:themeShade="BF"/>
    </w:rPr>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bottom w:val="single" w:sz="12" w:space="0" w:color="3DB2FF" w:themeColor="accent1" w:themeTint="99"/>
        </w:tcBorders>
      </w:tcPr>
    </w:tblStylePr>
    <w:tblStylePr w:type="lastRow">
      <w:rPr>
        <w:b/>
        <w:bCs/>
      </w:rPr>
      <w:tblPr/>
      <w:tcPr>
        <w:tcBorders>
          <w:top w:val="doub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GridTable6Colorful-Accent2">
    <w:name w:val="Grid Table 6 Colorful Accent 2"/>
    <w:basedOn w:val="TableNormal"/>
    <w:uiPriority w:val="51"/>
    <w:semiHidden/>
    <w:rsid w:val="004C1EEF"/>
    <w:rPr>
      <w:color w:val="8F0000" w:themeColor="accent2" w:themeShade="BF"/>
    </w:rPr>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bottom w:val="single" w:sz="12" w:space="0" w:color="FF4040" w:themeColor="accent2" w:themeTint="99"/>
        </w:tcBorders>
      </w:tcPr>
    </w:tblStylePr>
    <w:tblStylePr w:type="lastRow">
      <w:rPr>
        <w:b/>
        <w:bCs/>
      </w:rPr>
      <w:tblPr/>
      <w:tcPr>
        <w:tcBorders>
          <w:top w:val="doub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GridTable6Colorful-Accent3">
    <w:name w:val="Grid Table 6 Colorful Accent 3"/>
    <w:basedOn w:val="TableNormal"/>
    <w:uiPriority w:val="51"/>
    <w:semiHidden/>
    <w:rsid w:val="004C1EEF"/>
    <w:rPr>
      <w:color w:val="474747" w:themeColor="accent3" w:themeShade="BF"/>
    </w:rPr>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bottom w:val="single" w:sz="12" w:space="0" w:color="9F9F9F" w:themeColor="accent3" w:themeTint="99"/>
        </w:tcBorders>
      </w:tcPr>
    </w:tblStylePr>
    <w:tblStylePr w:type="lastRow">
      <w:rPr>
        <w:b/>
        <w:bCs/>
      </w:rPr>
      <w:tblPr/>
      <w:tcPr>
        <w:tcBorders>
          <w:top w:val="doub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GridTable6Colorful-Accent4">
    <w:name w:val="Grid Table 6 Colorful Accent 4"/>
    <w:basedOn w:val="TableNormal"/>
    <w:uiPriority w:val="51"/>
    <w:semiHidden/>
    <w:rsid w:val="004C1EEF"/>
    <w:rPr>
      <w:color w:val="707070" w:themeColor="accent4" w:themeShade="BF"/>
    </w:rPr>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bottom w:val="single" w:sz="12" w:space="0" w:color="C0C0C0" w:themeColor="accent4" w:themeTint="99"/>
        </w:tcBorders>
      </w:tcPr>
    </w:tblStylePr>
    <w:tblStylePr w:type="lastRow">
      <w:rPr>
        <w:b/>
        <w:bCs/>
      </w:rPr>
      <w:tblPr/>
      <w:tcPr>
        <w:tcBorders>
          <w:top w:val="doub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GridTable6Colorful-Accent5">
    <w:name w:val="Grid Table 6 Colorful Accent 5"/>
    <w:basedOn w:val="TableNormal"/>
    <w:uiPriority w:val="51"/>
    <w:semiHidden/>
    <w:rsid w:val="004C1EEF"/>
    <w:rPr>
      <w:color w:val="474747" w:themeColor="accent5" w:themeShade="BF"/>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GridTable6Colorful-Accent6">
    <w:name w:val="Grid Table 6 Colorful Accent 6"/>
    <w:basedOn w:val="TableNormal"/>
    <w:uiPriority w:val="51"/>
    <w:semiHidden/>
    <w:rsid w:val="004C1EEF"/>
    <w:rPr>
      <w:color w:val="393939" w:themeColor="accent6" w:themeShade="BF"/>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GridTable7Colorful">
    <w:name w:val="Grid Table 7 Colorful"/>
    <w:basedOn w:val="TableNormal"/>
    <w:uiPriority w:val="52"/>
    <w:semiHidden/>
    <w:rsid w:val="004C1EEF"/>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semiHidden/>
    <w:rsid w:val="004C1EEF"/>
    <w:rPr>
      <w:color w:val="00548C" w:themeColor="accent1" w:themeShade="BF"/>
    </w:rPr>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bottom w:val="single" w:sz="4" w:space="0" w:color="3DB2FF" w:themeColor="accent1" w:themeTint="99"/>
        </w:tcBorders>
      </w:tcPr>
    </w:tblStylePr>
    <w:tblStylePr w:type="nwCell">
      <w:tblPr/>
      <w:tcPr>
        <w:tcBorders>
          <w:bottom w:val="single" w:sz="4" w:space="0" w:color="3DB2FF" w:themeColor="accent1" w:themeTint="99"/>
        </w:tcBorders>
      </w:tcPr>
    </w:tblStylePr>
    <w:tblStylePr w:type="seCell">
      <w:tblPr/>
      <w:tcPr>
        <w:tcBorders>
          <w:top w:val="single" w:sz="4" w:space="0" w:color="3DB2FF" w:themeColor="accent1" w:themeTint="99"/>
        </w:tcBorders>
      </w:tcPr>
    </w:tblStylePr>
    <w:tblStylePr w:type="swCell">
      <w:tblPr/>
      <w:tcPr>
        <w:tcBorders>
          <w:top w:val="single" w:sz="4" w:space="0" w:color="3DB2FF" w:themeColor="accent1" w:themeTint="99"/>
        </w:tcBorders>
      </w:tcPr>
    </w:tblStylePr>
  </w:style>
  <w:style w:type="table" w:styleId="GridTable7Colorful-Accent2">
    <w:name w:val="Grid Table 7 Colorful Accent 2"/>
    <w:basedOn w:val="TableNormal"/>
    <w:uiPriority w:val="52"/>
    <w:semiHidden/>
    <w:rsid w:val="004C1EEF"/>
    <w:rPr>
      <w:color w:val="8F0000" w:themeColor="accent2" w:themeShade="BF"/>
    </w:rPr>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bottom w:val="single" w:sz="4" w:space="0" w:color="FF4040" w:themeColor="accent2" w:themeTint="99"/>
        </w:tcBorders>
      </w:tcPr>
    </w:tblStylePr>
    <w:tblStylePr w:type="nwCell">
      <w:tblPr/>
      <w:tcPr>
        <w:tcBorders>
          <w:bottom w:val="single" w:sz="4" w:space="0" w:color="FF4040" w:themeColor="accent2" w:themeTint="99"/>
        </w:tcBorders>
      </w:tcPr>
    </w:tblStylePr>
    <w:tblStylePr w:type="seCell">
      <w:tblPr/>
      <w:tcPr>
        <w:tcBorders>
          <w:top w:val="single" w:sz="4" w:space="0" w:color="FF4040" w:themeColor="accent2" w:themeTint="99"/>
        </w:tcBorders>
      </w:tcPr>
    </w:tblStylePr>
    <w:tblStylePr w:type="swCell">
      <w:tblPr/>
      <w:tcPr>
        <w:tcBorders>
          <w:top w:val="single" w:sz="4" w:space="0" w:color="FF4040" w:themeColor="accent2" w:themeTint="99"/>
        </w:tcBorders>
      </w:tcPr>
    </w:tblStylePr>
  </w:style>
  <w:style w:type="table" w:styleId="GridTable7Colorful-Accent3">
    <w:name w:val="Grid Table 7 Colorful Accent 3"/>
    <w:basedOn w:val="TableNormal"/>
    <w:uiPriority w:val="52"/>
    <w:semiHidden/>
    <w:rsid w:val="004C1EEF"/>
    <w:rPr>
      <w:color w:val="474747" w:themeColor="accent3" w:themeShade="BF"/>
    </w:rPr>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bottom w:val="single" w:sz="4" w:space="0" w:color="9F9F9F" w:themeColor="accent3" w:themeTint="99"/>
        </w:tcBorders>
      </w:tcPr>
    </w:tblStylePr>
    <w:tblStylePr w:type="nwCell">
      <w:tblPr/>
      <w:tcPr>
        <w:tcBorders>
          <w:bottom w:val="single" w:sz="4" w:space="0" w:color="9F9F9F" w:themeColor="accent3" w:themeTint="99"/>
        </w:tcBorders>
      </w:tcPr>
    </w:tblStylePr>
    <w:tblStylePr w:type="seCell">
      <w:tblPr/>
      <w:tcPr>
        <w:tcBorders>
          <w:top w:val="single" w:sz="4" w:space="0" w:color="9F9F9F" w:themeColor="accent3" w:themeTint="99"/>
        </w:tcBorders>
      </w:tcPr>
    </w:tblStylePr>
    <w:tblStylePr w:type="swCell">
      <w:tblPr/>
      <w:tcPr>
        <w:tcBorders>
          <w:top w:val="single" w:sz="4" w:space="0" w:color="9F9F9F" w:themeColor="accent3" w:themeTint="99"/>
        </w:tcBorders>
      </w:tcPr>
    </w:tblStylePr>
  </w:style>
  <w:style w:type="table" w:styleId="GridTable7Colorful-Accent4">
    <w:name w:val="Grid Table 7 Colorful Accent 4"/>
    <w:basedOn w:val="TableNormal"/>
    <w:uiPriority w:val="52"/>
    <w:semiHidden/>
    <w:rsid w:val="004C1EEF"/>
    <w:rPr>
      <w:color w:val="707070" w:themeColor="accent4" w:themeShade="BF"/>
    </w:rPr>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bottom w:val="single" w:sz="4" w:space="0" w:color="C0C0C0" w:themeColor="accent4" w:themeTint="99"/>
        </w:tcBorders>
      </w:tcPr>
    </w:tblStylePr>
    <w:tblStylePr w:type="nwCell">
      <w:tblPr/>
      <w:tcPr>
        <w:tcBorders>
          <w:bottom w:val="single" w:sz="4" w:space="0" w:color="C0C0C0" w:themeColor="accent4" w:themeTint="99"/>
        </w:tcBorders>
      </w:tcPr>
    </w:tblStylePr>
    <w:tblStylePr w:type="seCell">
      <w:tblPr/>
      <w:tcPr>
        <w:tcBorders>
          <w:top w:val="single" w:sz="4" w:space="0" w:color="C0C0C0" w:themeColor="accent4" w:themeTint="99"/>
        </w:tcBorders>
      </w:tcPr>
    </w:tblStylePr>
    <w:tblStylePr w:type="swCell">
      <w:tblPr/>
      <w:tcPr>
        <w:tcBorders>
          <w:top w:val="single" w:sz="4" w:space="0" w:color="C0C0C0" w:themeColor="accent4" w:themeTint="99"/>
        </w:tcBorders>
      </w:tcPr>
    </w:tblStylePr>
  </w:style>
  <w:style w:type="table" w:styleId="GridTable7Colorful-Accent5">
    <w:name w:val="Grid Table 7 Colorful Accent 5"/>
    <w:basedOn w:val="TableNormal"/>
    <w:uiPriority w:val="52"/>
    <w:semiHidden/>
    <w:rsid w:val="004C1EEF"/>
    <w:rPr>
      <w:color w:val="474747" w:themeColor="accent5" w:themeShade="BF"/>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styleId="GridTable7Colorful-Accent6">
    <w:name w:val="Grid Table 7 Colorful Accent 6"/>
    <w:basedOn w:val="TableNormal"/>
    <w:uiPriority w:val="52"/>
    <w:semiHidden/>
    <w:rsid w:val="004C1EEF"/>
    <w:rPr>
      <w:color w:val="393939" w:themeColor="accent6" w:themeShade="BF"/>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character" w:customStyle="1" w:styleId="Hashtag">
    <w:name w:val="Hashtag"/>
    <w:basedOn w:val="DefaultParagraphFont"/>
    <w:uiPriority w:val="99"/>
    <w:semiHidden/>
    <w:unhideWhenUsed/>
    <w:rsid w:val="004C1EEF"/>
    <w:rPr>
      <w:color w:val="2B579A"/>
      <w:shd w:val="clear" w:color="auto" w:fill="E1DFDD"/>
    </w:rPr>
  </w:style>
  <w:style w:type="table" w:styleId="ListTable1Light">
    <w:name w:val="List Table 1 Light"/>
    <w:basedOn w:val="TableNormal"/>
    <w:uiPriority w:val="46"/>
    <w:semiHidden/>
    <w:rsid w:val="004C1EEF"/>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semiHidden/>
    <w:rsid w:val="004C1EEF"/>
    <w:tblPr>
      <w:tblStyleRowBandSize w:val="1"/>
      <w:tblStyleColBandSize w:val="1"/>
    </w:tblPr>
    <w:tblStylePr w:type="firstRow">
      <w:rPr>
        <w:b/>
        <w:bCs/>
      </w:rPr>
      <w:tblPr/>
      <w:tcPr>
        <w:tcBorders>
          <w:bottom w:val="single" w:sz="4" w:space="0" w:color="3DB2FF" w:themeColor="accent1" w:themeTint="99"/>
        </w:tcBorders>
      </w:tcPr>
    </w:tblStylePr>
    <w:tblStylePr w:type="lastRow">
      <w:rPr>
        <w:b/>
        <w:bCs/>
      </w:rPr>
      <w:tblPr/>
      <w:tcPr>
        <w:tcBorders>
          <w:top w:val="sing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ListTable1Light-Accent2">
    <w:name w:val="List Table 1 Light Accent 2"/>
    <w:basedOn w:val="TableNormal"/>
    <w:uiPriority w:val="46"/>
    <w:semiHidden/>
    <w:rsid w:val="004C1EEF"/>
    <w:tblPr>
      <w:tblStyleRowBandSize w:val="1"/>
      <w:tblStyleColBandSize w:val="1"/>
    </w:tblPr>
    <w:tblStylePr w:type="firstRow">
      <w:rPr>
        <w:b/>
        <w:bCs/>
      </w:rPr>
      <w:tblPr/>
      <w:tcPr>
        <w:tcBorders>
          <w:bottom w:val="single" w:sz="4" w:space="0" w:color="FF4040" w:themeColor="accent2" w:themeTint="99"/>
        </w:tcBorders>
      </w:tcPr>
    </w:tblStylePr>
    <w:tblStylePr w:type="lastRow">
      <w:rPr>
        <w:b/>
        <w:bCs/>
      </w:rPr>
      <w:tblPr/>
      <w:tcPr>
        <w:tcBorders>
          <w:top w:val="sing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ListTable1Light-Accent3">
    <w:name w:val="List Table 1 Light Accent 3"/>
    <w:basedOn w:val="TableNormal"/>
    <w:uiPriority w:val="46"/>
    <w:semiHidden/>
    <w:rsid w:val="004C1EEF"/>
    <w:tblPr>
      <w:tblStyleRowBandSize w:val="1"/>
      <w:tblStyleColBandSize w:val="1"/>
    </w:tblPr>
    <w:tblStylePr w:type="firstRow">
      <w:rPr>
        <w:b/>
        <w:bCs/>
      </w:rPr>
      <w:tblPr/>
      <w:tcPr>
        <w:tcBorders>
          <w:bottom w:val="single" w:sz="4" w:space="0" w:color="9F9F9F" w:themeColor="accent3" w:themeTint="99"/>
        </w:tcBorders>
      </w:tcPr>
    </w:tblStylePr>
    <w:tblStylePr w:type="lastRow">
      <w:rPr>
        <w:b/>
        <w:bCs/>
      </w:rPr>
      <w:tblPr/>
      <w:tcPr>
        <w:tcBorders>
          <w:top w:val="sing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ListTable1Light-Accent4">
    <w:name w:val="List Table 1 Light Accent 4"/>
    <w:basedOn w:val="TableNormal"/>
    <w:uiPriority w:val="46"/>
    <w:semiHidden/>
    <w:rsid w:val="004C1EEF"/>
    <w:tblPr>
      <w:tblStyleRowBandSize w:val="1"/>
      <w:tblStyleColBandSize w:val="1"/>
    </w:tblPr>
    <w:tblStylePr w:type="firstRow">
      <w:rPr>
        <w:b/>
        <w:bCs/>
      </w:rPr>
      <w:tblPr/>
      <w:tcPr>
        <w:tcBorders>
          <w:bottom w:val="single" w:sz="4" w:space="0" w:color="C0C0C0" w:themeColor="accent4" w:themeTint="99"/>
        </w:tcBorders>
      </w:tcPr>
    </w:tblStylePr>
    <w:tblStylePr w:type="lastRow">
      <w:rPr>
        <w:b/>
        <w:bCs/>
      </w:rPr>
      <w:tblPr/>
      <w:tcPr>
        <w:tcBorders>
          <w:top w:val="sing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ListTable1Light-Accent5">
    <w:name w:val="List Table 1 Light Accent 5"/>
    <w:basedOn w:val="TableNormal"/>
    <w:uiPriority w:val="46"/>
    <w:semiHidden/>
    <w:rsid w:val="004C1EEF"/>
    <w:tblPr>
      <w:tblStyleRowBandSize w:val="1"/>
      <w:tblStyleColBandSize w:val="1"/>
    </w:tblPr>
    <w:tblStylePr w:type="firstRow">
      <w:rPr>
        <w:b/>
        <w:bCs/>
      </w:rPr>
      <w:tblPr/>
      <w:tcPr>
        <w:tcBorders>
          <w:bottom w:val="single" w:sz="4" w:space="0" w:color="9F9F9F" w:themeColor="accent5" w:themeTint="99"/>
        </w:tcBorders>
      </w:tcPr>
    </w:tblStylePr>
    <w:tblStylePr w:type="lastRow">
      <w:rPr>
        <w:b/>
        <w:bCs/>
      </w:rPr>
      <w:tblPr/>
      <w:tcPr>
        <w:tcBorders>
          <w:top w:val="sing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Table1Light-Accent6">
    <w:name w:val="List Table 1 Light Accent 6"/>
    <w:basedOn w:val="TableNormal"/>
    <w:uiPriority w:val="46"/>
    <w:semiHidden/>
    <w:rsid w:val="004C1EEF"/>
    <w:tblPr>
      <w:tblStyleRowBandSize w:val="1"/>
      <w:tblStyleColBandSize w:val="1"/>
    </w:tblPr>
    <w:tblStylePr w:type="firstRow">
      <w:rPr>
        <w:b/>
        <w:bCs/>
      </w:rPr>
      <w:tblPr/>
      <w:tcPr>
        <w:tcBorders>
          <w:bottom w:val="single" w:sz="4" w:space="0" w:color="949494" w:themeColor="accent6" w:themeTint="99"/>
        </w:tcBorders>
      </w:tcPr>
    </w:tblStylePr>
    <w:tblStylePr w:type="lastRow">
      <w:rPr>
        <w:b/>
        <w:bCs/>
      </w:rPr>
      <w:tblPr/>
      <w:tcPr>
        <w:tcBorders>
          <w:top w:val="sing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Table2">
    <w:name w:val="List Table 2"/>
    <w:basedOn w:val="TableNormal"/>
    <w:uiPriority w:val="47"/>
    <w:semiHidden/>
    <w:rsid w:val="004C1EEF"/>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semiHidden/>
    <w:rsid w:val="004C1EEF"/>
    <w:tblPr>
      <w:tblStyleRowBandSize w:val="1"/>
      <w:tblStyleColBandSize w:val="1"/>
      <w:tblBorders>
        <w:top w:val="single" w:sz="4" w:space="0" w:color="3DB2FF" w:themeColor="accent1" w:themeTint="99"/>
        <w:bottom w:val="single" w:sz="4" w:space="0" w:color="3DB2FF" w:themeColor="accent1" w:themeTint="99"/>
        <w:insideH w:val="single" w:sz="4" w:space="0" w:color="3DB2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ListTable2-Accent2">
    <w:name w:val="List Table 2 Accent 2"/>
    <w:basedOn w:val="TableNormal"/>
    <w:uiPriority w:val="47"/>
    <w:semiHidden/>
    <w:rsid w:val="004C1EEF"/>
    <w:tblPr>
      <w:tblStyleRowBandSize w:val="1"/>
      <w:tblStyleColBandSize w:val="1"/>
      <w:tblBorders>
        <w:top w:val="single" w:sz="4" w:space="0" w:color="FF4040" w:themeColor="accent2" w:themeTint="99"/>
        <w:bottom w:val="single" w:sz="4" w:space="0" w:color="FF4040" w:themeColor="accent2" w:themeTint="99"/>
        <w:insideH w:val="single" w:sz="4" w:space="0" w:color="FF404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ListTable2-Accent3">
    <w:name w:val="List Table 2 Accent 3"/>
    <w:basedOn w:val="TableNormal"/>
    <w:uiPriority w:val="47"/>
    <w:semiHidden/>
    <w:rsid w:val="004C1EEF"/>
    <w:tblPr>
      <w:tblStyleRowBandSize w:val="1"/>
      <w:tblStyleColBandSize w:val="1"/>
      <w:tblBorders>
        <w:top w:val="single" w:sz="4" w:space="0" w:color="9F9F9F" w:themeColor="accent3" w:themeTint="99"/>
        <w:bottom w:val="single" w:sz="4" w:space="0" w:color="9F9F9F" w:themeColor="accent3" w:themeTint="99"/>
        <w:insideH w:val="single" w:sz="4" w:space="0" w:color="9F9F9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ListTable2-Accent4">
    <w:name w:val="List Table 2 Accent 4"/>
    <w:basedOn w:val="TableNormal"/>
    <w:uiPriority w:val="47"/>
    <w:semiHidden/>
    <w:rsid w:val="004C1EEF"/>
    <w:tblPr>
      <w:tblStyleRowBandSize w:val="1"/>
      <w:tblStyleColBandSize w:val="1"/>
      <w:tblBorders>
        <w:top w:val="single" w:sz="4" w:space="0" w:color="C0C0C0" w:themeColor="accent4" w:themeTint="99"/>
        <w:bottom w:val="single" w:sz="4" w:space="0" w:color="C0C0C0" w:themeColor="accent4" w:themeTint="99"/>
        <w:insideH w:val="single" w:sz="4" w:space="0" w:color="C0C0C0"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ListTable2-Accent5">
    <w:name w:val="List Table 2 Accent 5"/>
    <w:basedOn w:val="TableNormal"/>
    <w:uiPriority w:val="47"/>
    <w:semiHidden/>
    <w:rsid w:val="004C1EEF"/>
    <w:tblPr>
      <w:tblStyleRowBandSize w:val="1"/>
      <w:tblStyleColBandSize w:val="1"/>
      <w:tblBorders>
        <w:top w:val="single" w:sz="4" w:space="0" w:color="9F9F9F" w:themeColor="accent5" w:themeTint="99"/>
        <w:bottom w:val="single" w:sz="4" w:space="0" w:color="9F9F9F" w:themeColor="accent5" w:themeTint="99"/>
        <w:insideH w:val="single" w:sz="4" w:space="0" w:color="9F9F9F"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Table2-Accent6">
    <w:name w:val="List Table 2 Accent 6"/>
    <w:basedOn w:val="TableNormal"/>
    <w:uiPriority w:val="47"/>
    <w:semiHidden/>
    <w:rsid w:val="004C1EEF"/>
    <w:tblPr>
      <w:tblStyleRowBandSize w:val="1"/>
      <w:tblStyleColBandSize w:val="1"/>
      <w:tblBorders>
        <w:top w:val="single" w:sz="4" w:space="0" w:color="949494" w:themeColor="accent6" w:themeTint="99"/>
        <w:bottom w:val="single" w:sz="4" w:space="0" w:color="949494" w:themeColor="accent6" w:themeTint="99"/>
        <w:insideH w:val="single" w:sz="4" w:space="0" w:color="94949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Table3">
    <w:name w:val="List Table 3"/>
    <w:basedOn w:val="TableNormal"/>
    <w:uiPriority w:val="48"/>
    <w:semiHidden/>
    <w:rsid w:val="004C1EEF"/>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0072BC"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semiHidden/>
    <w:rsid w:val="004C1EEF"/>
    <w:tblPr>
      <w:tblStyleRowBandSize w:val="1"/>
      <w:tblStyleColBandSize w:val="1"/>
      <w:tblBorders>
        <w:top w:val="single" w:sz="4" w:space="0" w:color="0072BC" w:themeColor="accent1"/>
        <w:left w:val="single" w:sz="4" w:space="0" w:color="0072BC" w:themeColor="accent1"/>
        <w:bottom w:val="single" w:sz="4" w:space="0" w:color="0072BC" w:themeColor="accent1"/>
        <w:right w:val="single" w:sz="4" w:space="0" w:color="0072BC" w:themeColor="accent1"/>
      </w:tblBorders>
    </w:tblPr>
    <w:tblStylePr w:type="firstRow">
      <w:rPr>
        <w:b/>
        <w:bCs/>
        <w:color w:val="0072BC" w:themeColor="background1"/>
      </w:rPr>
      <w:tblPr/>
      <w:tcPr>
        <w:shd w:val="clear" w:color="auto" w:fill="0072BC" w:themeFill="accent1"/>
      </w:tcPr>
    </w:tblStylePr>
    <w:tblStylePr w:type="lastRow">
      <w:rPr>
        <w:b/>
        <w:bCs/>
      </w:rPr>
      <w:tblPr/>
      <w:tcPr>
        <w:tcBorders>
          <w:top w:val="double" w:sz="4" w:space="0" w:color="0072BC" w:themeColor="accent1"/>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0072BC" w:themeColor="accent1"/>
          <w:right w:val="single" w:sz="4" w:space="0" w:color="0072BC" w:themeColor="accent1"/>
        </w:tcBorders>
      </w:tcPr>
    </w:tblStylePr>
    <w:tblStylePr w:type="band1Horz">
      <w:tblPr/>
      <w:tcPr>
        <w:tcBorders>
          <w:top w:val="single" w:sz="4" w:space="0" w:color="0072BC" w:themeColor="accent1"/>
          <w:bottom w:val="single" w:sz="4" w:space="0" w:color="0072B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2BC" w:themeColor="accent1"/>
          <w:left w:val="nil"/>
        </w:tcBorders>
      </w:tcPr>
    </w:tblStylePr>
    <w:tblStylePr w:type="swCell">
      <w:tblPr/>
      <w:tcPr>
        <w:tcBorders>
          <w:top w:val="double" w:sz="4" w:space="0" w:color="0072BC" w:themeColor="accent1"/>
          <w:right w:val="nil"/>
        </w:tcBorders>
      </w:tcPr>
    </w:tblStylePr>
  </w:style>
  <w:style w:type="table" w:styleId="ListTable3-Accent2">
    <w:name w:val="List Table 3 Accent 2"/>
    <w:basedOn w:val="TableNormal"/>
    <w:uiPriority w:val="48"/>
    <w:semiHidden/>
    <w:rsid w:val="004C1EEF"/>
    <w:tblPr>
      <w:tblStyleRowBandSize w:val="1"/>
      <w:tblStyleColBandSize w:val="1"/>
      <w:tblBorders>
        <w:top w:val="single" w:sz="4" w:space="0" w:color="C00000" w:themeColor="accent2"/>
        <w:left w:val="single" w:sz="4" w:space="0" w:color="C00000" w:themeColor="accent2"/>
        <w:bottom w:val="single" w:sz="4" w:space="0" w:color="C00000" w:themeColor="accent2"/>
        <w:right w:val="single" w:sz="4" w:space="0" w:color="C00000" w:themeColor="accent2"/>
      </w:tblBorders>
    </w:tblPr>
    <w:tblStylePr w:type="firstRow">
      <w:rPr>
        <w:b/>
        <w:bCs/>
        <w:color w:val="0072BC" w:themeColor="background1"/>
      </w:rPr>
      <w:tblPr/>
      <w:tcPr>
        <w:shd w:val="clear" w:color="auto" w:fill="C00000" w:themeFill="accent2"/>
      </w:tcPr>
    </w:tblStylePr>
    <w:tblStylePr w:type="lastRow">
      <w:rPr>
        <w:b/>
        <w:bCs/>
      </w:rPr>
      <w:tblPr/>
      <w:tcPr>
        <w:tcBorders>
          <w:top w:val="double" w:sz="4" w:space="0" w:color="C00000" w:themeColor="accent2"/>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C00000" w:themeColor="accent2"/>
          <w:right w:val="single" w:sz="4" w:space="0" w:color="C00000" w:themeColor="accent2"/>
        </w:tcBorders>
      </w:tcPr>
    </w:tblStylePr>
    <w:tblStylePr w:type="band1Horz">
      <w:tblPr/>
      <w:tcPr>
        <w:tcBorders>
          <w:top w:val="single" w:sz="4" w:space="0" w:color="C00000" w:themeColor="accent2"/>
          <w:bottom w:val="single" w:sz="4" w:space="0" w:color="C0000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0000" w:themeColor="accent2"/>
          <w:left w:val="nil"/>
        </w:tcBorders>
      </w:tcPr>
    </w:tblStylePr>
    <w:tblStylePr w:type="swCell">
      <w:tblPr/>
      <w:tcPr>
        <w:tcBorders>
          <w:top w:val="double" w:sz="4" w:space="0" w:color="C00000" w:themeColor="accent2"/>
          <w:right w:val="nil"/>
        </w:tcBorders>
      </w:tcPr>
    </w:tblStylePr>
  </w:style>
  <w:style w:type="table" w:styleId="ListTable3-Accent3">
    <w:name w:val="List Table 3 Accent 3"/>
    <w:basedOn w:val="TableNormal"/>
    <w:uiPriority w:val="48"/>
    <w:semiHidden/>
    <w:rsid w:val="004C1EEF"/>
    <w:tblPr>
      <w:tblStyleRowBandSize w:val="1"/>
      <w:tblStyleColBandSize w:val="1"/>
      <w:tblBorders>
        <w:top w:val="single" w:sz="4" w:space="0" w:color="5F5F5F" w:themeColor="accent3"/>
        <w:left w:val="single" w:sz="4" w:space="0" w:color="5F5F5F" w:themeColor="accent3"/>
        <w:bottom w:val="single" w:sz="4" w:space="0" w:color="5F5F5F" w:themeColor="accent3"/>
        <w:right w:val="single" w:sz="4" w:space="0" w:color="5F5F5F" w:themeColor="accent3"/>
      </w:tblBorders>
    </w:tblPr>
    <w:tblStylePr w:type="firstRow">
      <w:rPr>
        <w:b/>
        <w:bCs/>
        <w:color w:val="0072BC" w:themeColor="background1"/>
      </w:rPr>
      <w:tblPr/>
      <w:tcPr>
        <w:shd w:val="clear" w:color="auto" w:fill="5F5F5F" w:themeFill="accent3"/>
      </w:tcPr>
    </w:tblStylePr>
    <w:tblStylePr w:type="lastRow">
      <w:rPr>
        <w:b/>
        <w:bCs/>
      </w:rPr>
      <w:tblPr/>
      <w:tcPr>
        <w:tcBorders>
          <w:top w:val="double" w:sz="4" w:space="0" w:color="5F5F5F" w:themeColor="accent3"/>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5F5F5F" w:themeColor="accent3"/>
          <w:right w:val="single" w:sz="4" w:space="0" w:color="5F5F5F" w:themeColor="accent3"/>
        </w:tcBorders>
      </w:tcPr>
    </w:tblStylePr>
    <w:tblStylePr w:type="band1Horz">
      <w:tblPr/>
      <w:tcPr>
        <w:tcBorders>
          <w:top w:val="single" w:sz="4" w:space="0" w:color="5F5F5F" w:themeColor="accent3"/>
          <w:bottom w:val="single" w:sz="4" w:space="0" w:color="5F5F5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5F5F" w:themeColor="accent3"/>
          <w:left w:val="nil"/>
        </w:tcBorders>
      </w:tcPr>
    </w:tblStylePr>
    <w:tblStylePr w:type="swCell">
      <w:tblPr/>
      <w:tcPr>
        <w:tcBorders>
          <w:top w:val="double" w:sz="4" w:space="0" w:color="5F5F5F" w:themeColor="accent3"/>
          <w:right w:val="nil"/>
        </w:tcBorders>
      </w:tcPr>
    </w:tblStylePr>
  </w:style>
  <w:style w:type="table" w:styleId="ListTable3-Accent4">
    <w:name w:val="List Table 3 Accent 4"/>
    <w:basedOn w:val="TableNormal"/>
    <w:uiPriority w:val="48"/>
    <w:semiHidden/>
    <w:rsid w:val="004C1EEF"/>
    <w:tblPr>
      <w:tblStyleRowBandSize w:val="1"/>
      <w:tblStyleColBandSize w:val="1"/>
      <w:tblBorders>
        <w:top w:val="single" w:sz="4" w:space="0" w:color="969696" w:themeColor="accent4"/>
        <w:left w:val="single" w:sz="4" w:space="0" w:color="969696" w:themeColor="accent4"/>
        <w:bottom w:val="single" w:sz="4" w:space="0" w:color="969696" w:themeColor="accent4"/>
        <w:right w:val="single" w:sz="4" w:space="0" w:color="969696" w:themeColor="accent4"/>
      </w:tblBorders>
    </w:tblPr>
    <w:tblStylePr w:type="firstRow">
      <w:rPr>
        <w:b/>
        <w:bCs/>
        <w:color w:val="0072BC" w:themeColor="background1"/>
      </w:rPr>
      <w:tblPr/>
      <w:tcPr>
        <w:shd w:val="clear" w:color="auto" w:fill="969696" w:themeFill="accent4"/>
      </w:tcPr>
    </w:tblStylePr>
    <w:tblStylePr w:type="lastRow">
      <w:rPr>
        <w:b/>
        <w:bCs/>
      </w:rPr>
      <w:tblPr/>
      <w:tcPr>
        <w:tcBorders>
          <w:top w:val="double" w:sz="4" w:space="0" w:color="969696" w:themeColor="accent4"/>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969696" w:themeColor="accent4"/>
          <w:right w:val="single" w:sz="4" w:space="0" w:color="969696" w:themeColor="accent4"/>
        </w:tcBorders>
      </w:tcPr>
    </w:tblStylePr>
    <w:tblStylePr w:type="band1Horz">
      <w:tblPr/>
      <w:tcPr>
        <w:tcBorders>
          <w:top w:val="single" w:sz="4" w:space="0" w:color="969696" w:themeColor="accent4"/>
          <w:bottom w:val="single" w:sz="4" w:space="0" w:color="969696"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9696" w:themeColor="accent4"/>
          <w:left w:val="nil"/>
        </w:tcBorders>
      </w:tcPr>
    </w:tblStylePr>
    <w:tblStylePr w:type="swCell">
      <w:tblPr/>
      <w:tcPr>
        <w:tcBorders>
          <w:top w:val="double" w:sz="4" w:space="0" w:color="969696" w:themeColor="accent4"/>
          <w:right w:val="nil"/>
        </w:tcBorders>
      </w:tcPr>
    </w:tblStylePr>
  </w:style>
  <w:style w:type="table" w:styleId="ListTable3-Accent5">
    <w:name w:val="List Table 3 Accent 5"/>
    <w:basedOn w:val="TableNormal"/>
    <w:uiPriority w:val="48"/>
    <w:semiHidden/>
    <w:rsid w:val="004C1EEF"/>
    <w:tblPr>
      <w:tblStyleRowBandSize w:val="1"/>
      <w:tblStyleColBandSize w:val="1"/>
      <w:tblBorders>
        <w:top w:val="single" w:sz="4" w:space="0" w:color="5F5F5F" w:themeColor="accent5"/>
        <w:left w:val="single" w:sz="4" w:space="0" w:color="5F5F5F" w:themeColor="accent5"/>
        <w:bottom w:val="single" w:sz="4" w:space="0" w:color="5F5F5F" w:themeColor="accent5"/>
        <w:right w:val="single" w:sz="4" w:space="0" w:color="5F5F5F" w:themeColor="accent5"/>
      </w:tblBorders>
    </w:tblPr>
    <w:tblStylePr w:type="firstRow">
      <w:rPr>
        <w:b/>
        <w:bCs/>
        <w:color w:val="0072BC" w:themeColor="background1"/>
      </w:rPr>
      <w:tblPr/>
      <w:tcPr>
        <w:shd w:val="clear" w:color="auto" w:fill="5F5F5F" w:themeFill="accent5"/>
      </w:tcPr>
    </w:tblStylePr>
    <w:tblStylePr w:type="lastRow">
      <w:rPr>
        <w:b/>
        <w:bCs/>
      </w:rPr>
      <w:tblPr/>
      <w:tcPr>
        <w:tcBorders>
          <w:top w:val="double" w:sz="4" w:space="0" w:color="5F5F5F" w:themeColor="accent5"/>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5F5F5F" w:themeColor="accent5"/>
          <w:right w:val="single" w:sz="4" w:space="0" w:color="5F5F5F" w:themeColor="accent5"/>
        </w:tcBorders>
      </w:tcPr>
    </w:tblStylePr>
    <w:tblStylePr w:type="band1Horz">
      <w:tblPr/>
      <w:tcPr>
        <w:tcBorders>
          <w:top w:val="single" w:sz="4" w:space="0" w:color="5F5F5F" w:themeColor="accent5"/>
          <w:bottom w:val="single" w:sz="4" w:space="0" w:color="5F5F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5F5F" w:themeColor="accent5"/>
          <w:left w:val="nil"/>
        </w:tcBorders>
      </w:tcPr>
    </w:tblStylePr>
    <w:tblStylePr w:type="swCell">
      <w:tblPr/>
      <w:tcPr>
        <w:tcBorders>
          <w:top w:val="double" w:sz="4" w:space="0" w:color="5F5F5F" w:themeColor="accent5"/>
          <w:right w:val="nil"/>
        </w:tcBorders>
      </w:tcPr>
    </w:tblStylePr>
  </w:style>
  <w:style w:type="table" w:styleId="ListTable3-Accent6">
    <w:name w:val="List Table 3 Accent 6"/>
    <w:basedOn w:val="TableNormal"/>
    <w:uiPriority w:val="48"/>
    <w:semiHidden/>
    <w:rsid w:val="004C1EEF"/>
    <w:tblPr>
      <w:tblStyleRowBandSize w:val="1"/>
      <w:tblStyleColBandSize w:val="1"/>
      <w:tblBorders>
        <w:top w:val="single" w:sz="4" w:space="0" w:color="4D4D4D" w:themeColor="accent6"/>
        <w:left w:val="single" w:sz="4" w:space="0" w:color="4D4D4D" w:themeColor="accent6"/>
        <w:bottom w:val="single" w:sz="4" w:space="0" w:color="4D4D4D" w:themeColor="accent6"/>
        <w:right w:val="single" w:sz="4" w:space="0" w:color="4D4D4D" w:themeColor="accent6"/>
      </w:tblBorders>
    </w:tblPr>
    <w:tblStylePr w:type="firstRow">
      <w:rPr>
        <w:b/>
        <w:bCs/>
        <w:color w:val="0072BC" w:themeColor="background1"/>
      </w:rPr>
      <w:tblPr/>
      <w:tcPr>
        <w:shd w:val="clear" w:color="auto" w:fill="4D4D4D" w:themeFill="accent6"/>
      </w:tcPr>
    </w:tblStylePr>
    <w:tblStylePr w:type="lastRow">
      <w:rPr>
        <w:b/>
        <w:bCs/>
      </w:rPr>
      <w:tblPr/>
      <w:tcPr>
        <w:tcBorders>
          <w:top w:val="double" w:sz="4" w:space="0" w:color="4D4D4D" w:themeColor="accent6"/>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4D4D4D" w:themeColor="accent6"/>
          <w:right w:val="single" w:sz="4" w:space="0" w:color="4D4D4D" w:themeColor="accent6"/>
        </w:tcBorders>
      </w:tcPr>
    </w:tblStylePr>
    <w:tblStylePr w:type="band1Horz">
      <w:tblPr/>
      <w:tcPr>
        <w:tcBorders>
          <w:top w:val="single" w:sz="4" w:space="0" w:color="4D4D4D" w:themeColor="accent6"/>
          <w:bottom w:val="single" w:sz="4" w:space="0" w:color="4D4D4D"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D4D4D" w:themeColor="accent6"/>
          <w:left w:val="nil"/>
        </w:tcBorders>
      </w:tcPr>
    </w:tblStylePr>
    <w:tblStylePr w:type="swCell">
      <w:tblPr/>
      <w:tcPr>
        <w:tcBorders>
          <w:top w:val="double" w:sz="4" w:space="0" w:color="4D4D4D" w:themeColor="accent6"/>
          <w:right w:val="nil"/>
        </w:tcBorders>
      </w:tcPr>
    </w:tblStylePr>
  </w:style>
  <w:style w:type="table" w:styleId="ListTable4">
    <w:name w:val="List Table 4"/>
    <w:basedOn w:val="TableNormal"/>
    <w:uiPriority w:val="49"/>
    <w:semiHidden/>
    <w:rsid w:val="004C1EEF"/>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0072BC"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semiHidden/>
    <w:rsid w:val="004C1EEF"/>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tblBorders>
    </w:tblPr>
    <w:tblStylePr w:type="firstRow">
      <w:rPr>
        <w:b/>
        <w:bCs/>
        <w:color w:val="0072BC" w:themeColor="background1"/>
      </w:rPr>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nil"/>
        </w:tcBorders>
        <w:shd w:val="clear" w:color="auto" w:fill="0072BC" w:themeFill="accent1"/>
      </w:tcPr>
    </w:tblStylePr>
    <w:tblStylePr w:type="lastRow">
      <w:rPr>
        <w:b/>
        <w:bCs/>
      </w:rPr>
      <w:tblPr/>
      <w:tcPr>
        <w:tcBorders>
          <w:top w:val="doub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ListTable4-Accent2">
    <w:name w:val="List Table 4 Accent 2"/>
    <w:basedOn w:val="TableNormal"/>
    <w:uiPriority w:val="49"/>
    <w:semiHidden/>
    <w:rsid w:val="004C1EEF"/>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tblBorders>
    </w:tblPr>
    <w:tblStylePr w:type="firstRow">
      <w:rPr>
        <w:b/>
        <w:bCs/>
        <w:color w:val="0072BC" w:themeColor="background1"/>
      </w:rPr>
      <w:tblPr/>
      <w:tcPr>
        <w:tcBorders>
          <w:top w:val="single" w:sz="4" w:space="0" w:color="C00000" w:themeColor="accent2"/>
          <w:left w:val="single" w:sz="4" w:space="0" w:color="C00000" w:themeColor="accent2"/>
          <w:bottom w:val="single" w:sz="4" w:space="0" w:color="C00000" w:themeColor="accent2"/>
          <w:right w:val="single" w:sz="4" w:space="0" w:color="C00000" w:themeColor="accent2"/>
          <w:insideH w:val="nil"/>
        </w:tcBorders>
        <w:shd w:val="clear" w:color="auto" w:fill="C00000" w:themeFill="accent2"/>
      </w:tcPr>
    </w:tblStylePr>
    <w:tblStylePr w:type="lastRow">
      <w:rPr>
        <w:b/>
        <w:bCs/>
      </w:rPr>
      <w:tblPr/>
      <w:tcPr>
        <w:tcBorders>
          <w:top w:val="doub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ListTable4-Accent3">
    <w:name w:val="List Table 4 Accent 3"/>
    <w:basedOn w:val="TableNormal"/>
    <w:uiPriority w:val="49"/>
    <w:semiHidden/>
    <w:rsid w:val="004C1EEF"/>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tblBorders>
    </w:tblPr>
    <w:tblStylePr w:type="firstRow">
      <w:rPr>
        <w:b/>
        <w:bCs/>
        <w:color w:val="0072BC" w:themeColor="background1"/>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tcBorders>
        <w:shd w:val="clear" w:color="auto" w:fill="5F5F5F" w:themeFill="accent3"/>
      </w:tcPr>
    </w:tblStylePr>
    <w:tblStylePr w:type="lastRow">
      <w:rPr>
        <w:b/>
        <w:bCs/>
      </w:rPr>
      <w:tblPr/>
      <w:tcPr>
        <w:tcBorders>
          <w:top w:val="doub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ListTable4-Accent4">
    <w:name w:val="List Table 4 Accent 4"/>
    <w:basedOn w:val="TableNormal"/>
    <w:uiPriority w:val="49"/>
    <w:semiHidden/>
    <w:rsid w:val="004C1EEF"/>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tblBorders>
    </w:tblPr>
    <w:tblStylePr w:type="firstRow">
      <w:rPr>
        <w:b/>
        <w:bCs/>
        <w:color w:val="0072BC" w:themeColor="background1"/>
      </w:rPr>
      <w:tblPr/>
      <w:tcPr>
        <w:tcBorders>
          <w:top w:val="single" w:sz="4" w:space="0" w:color="969696" w:themeColor="accent4"/>
          <w:left w:val="single" w:sz="4" w:space="0" w:color="969696" w:themeColor="accent4"/>
          <w:bottom w:val="single" w:sz="4" w:space="0" w:color="969696" w:themeColor="accent4"/>
          <w:right w:val="single" w:sz="4" w:space="0" w:color="969696" w:themeColor="accent4"/>
          <w:insideH w:val="nil"/>
        </w:tcBorders>
        <w:shd w:val="clear" w:color="auto" w:fill="969696" w:themeFill="accent4"/>
      </w:tcPr>
    </w:tblStylePr>
    <w:tblStylePr w:type="lastRow">
      <w:rPr>
        <w:b/>
        <w:bCs/>
      </w:rPr>
      <w:tblPr/>
      <w:tcPr>
        <w:tcBorders>
          <w:top w:val="doub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ListTable4-Accent5">
    <w:name w:val="List Table 4 Accent 5"/>
    <w:basedOn w:val="TableNormal"/>
    <w:uiPriority w:val="49"/>
    <w:semiHidden/>
    <w:rsid w:val="004C1EEF"/>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tblBorders>
    </w:tblPr>
    <w:tblStylePr w:type="firstRow">
      <w:rPr>
        <w:b/>
        <w:bCs/>
        <w:color w:val="0072BC"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tcBorders>
        <w:shd w:val="clear" w:color="auto" w:fill="5F5F5F" w:themeFill="accent5"/>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Table4-Accent6">
    <w:name w:val="List Table 4 Accent 6"/>
    <w:basedOn w:val="TableNormal"/>
    <w:uiPriority w:val="49"/>
    <w:semiHidden/>
    <w:rsid w:val="004C1EEF"/>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tblBorders>
    </w:tblPr>
    <w:tblStylePr w:type="firstRow">
      <w:rPr>
        <w:b/>
        <w:bCs/>
        <w:color w:val="0072BC"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tcBorders>
        <w:shd w:val="clear" w:color="auto" w:fill="4D4D4D" w:themeFill="accent6"/>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Table5Dark">
    <w:name w:val="List Table 5 Dark"/>
    <w:basedOn w:val="TableNormal"/>
    <w:uiPriority w:val="50"/>
    <w:semiHidden/>
    <w:rsid w:val="004C1EEF"/>
    <w:rPr>
      <w:color w:val="0072BC"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semiHidden/>
    <w:rsid w:val="004C1EEF"/>
    <w:rPr>
      <w:color w:val="0072BC" w:themeColor="background1"/>
    </w:rPr>
    <w:tblPr>
      <w:tblStyleRowBandSize w:val="1"/>
      <w:tblStyleColBandSize w:val="1"/>
      <w:tblBorders>
        <w:top w:val="single" w:sz="24" w:space="0" w:color="0072BC" w:themeColor="accent1"/>
        <w:left w:val="single" w:sz="24" w:space="0" w:color="0072BC" w:themeColor="accent1"/>
        <w:bottom w:val="single" w:sz="24" w:space="0" w:color="0072BC" w:themeColor="accent1"/>
        <w:right w:val="single" w:sz="24" w:space="0" w:color="0072BC" w:themeColor="accent1"/>
      </w:tblBorders>
    </w:tblPr>
    <w:tcPr>
      <w:shd w:val="clear" w:color="auto" w:fill="0072BC" w:themeFill="accent1"/>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semiHidden/>
    <w:rsid w:val="004C1EEF"/>
    <w:rPr>
      <w:color w:val="0072BC" w:themeColor="background1"/>
    </w:rPr>
    <w:tblPr>
      <w:tblStyleRowBandSize w:val="1"/>
      <w:tblStyleColBandSize w:val="1"/>
      <w:tblBorders>
        <w:top w:val="single" w:sz="24" w:space="0" w:color="C00000" w:themeColor="accent2"/>
        <w:left w:val="single" w:sz="24" w:space="0" w:color="C00000" w:themeColor="accent2"/>
        <w:bottom w:val="single" w:sz="24" w:space="0" w:color="C00000" w:themeColor="accent2"/>
        <w:right w:val="single" w:sz="24" w:space="0" w:color="C00000" w:themeColor="accent2"/>
      </w:tblBorders>
    </w:tblPr>
    <w:tcPr>
      <w:shd w:val="clear" w:color="auto" w:fill="C00000" w:themeFill="accent2"/>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semiHidden/>
    <w:rsid w:val="004C1EEF"/>
    <w:rPr>
      <w:color w:val="0072BC" w:themeColor="background1"/>
    </w:rPr>
    <w:tblPr>
      <w:tblStyleRowBandSize w:val="1"/>
      <w:tblStyleColBandSize w:val="1"/>
      <w:tblBorders>
        <w:top w:val="single" w:sz="24" w:space="0" w:color="5F5F5F" w:themeColor="accent3"/>
        <w:left w:val="single" w:sz="24" w:space="0" w:color="5F5F5F" w:themeColor="accent3"/>
        <w:bottom w:val="single" w:sz="24" w:space="0" w:color="5F5F5F" w:themeColor="accent3"/>
        <w:right w:val="single" w:sz="24" w:space="0" w:color="5F5F5F" w:themeColor="accent3"/>
      </w:tblBorders>
    </w:tblPr>
    <w:tcPr>
      <w:shd w:val="clear" w:color="auto" w:fill="5F5F5F" w:themeFill="accent3"/>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semiHidden/>
    <w:rsid w:val="004C1EEF"/>
    <w:rPr>
      <w:color w:val="0072BC" w:themeColor="background1"/>
    </w:rPr>
    <w:tblPr>
      <w:tblStyleRowBandSize w:val="1"/>
      <w:tblStyleColBandSize w:val="1"/>
      <w:tblBorders>
        <w:top w:val="single" w:sz="24" w:space="0" w:color="969696" w:themeColor="accent4"/>
        <w:left w:val="single" w:sz="24" w:space="0" w:color="969696" w:themeColor="accent4"/>
        <w:bottom w:val="single" w:sz="24" w:space="0" w:color="969696" w:themeColor="accent4"/>
        <w:right w:val="single" w:sz="24" w:space="0" w:color="969696" w:themeColor="accent4"/>
      </w:tblBorders>
    </w:tblPr>
    <w:tcPr>
      <w:shd w:val="clear" w:color="auto" w:fill="969696" w:themeFill="accent4"/>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semiHidden/>
    <w:rsid w:val="004C1EEF"/>
    <w:rPr>
      <w:color w:val="0072BC" w:themeColor="background1"/>
    </w:rPr>
    <w:tblPr>
      <w:tblStyleRowBandSize w:val="1"/>
      <w:tblStyleColBandSize w:val="1"/>
      <w:tblBorders>
        <w:top w:val="single" w:sz="24" w:space="0" w:color="5F5F5F" w:themeColor="accent5"/>
        <w:left w:val="single" w:sz="24" w:space="0" w:color="5F5F5F" w:themeColor="accent5"/>
        <w:bottom w:val="single" w:sz="24" w:space="0" w:color="5F5F5F" w:themeColor="accent5"/>
        <w:right w:val="single" w:sz="24" w:space="0" w:color="5F5F5F" w:themeColor="accent5"/>
      </w:tblBorders>
    </w:tblPr>
    <w:tcPr>
      <w:shd w:val="clear" w:color="auto" w:fill="5F5F5F" w:themeFill="accent5"/>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semiHidden/>
    <w:rsid w:val="004C1EEF"/>
    <w:rPr>
      <w:color w:val="0072BC" w:themeColor="background1"/>
    </w:rPr>
    <w:tblPr>
      <w:tblStyleRowBandSize w:val="1"/>
      <w:tblStyleColBandSize w:val="1"/>
      <w:tblBorders>
        <w:top w:val="single" w:sz="24" w:space="0" w:color="4D4D4D" w:themeColor="accent6"/>
        <w:left w:val="single" w:sz="24" w:space="0" w:color="4D4D4D" w:themeColor="accent6"/>
        <w:bottom w:val="single" w:sz="24" w:space="0" w:color="4D4D4D" w:themeColor="accent6"/>
        <w:right w:val="single" w:sz="24" w:space="0" w:color="4D4D4D" w:themeColor="accent6"/>
      </w:tblBorders>
    </w:tblPr>
    <w:tcPr>
      <w:shd w:val="clear" w:color="auto" w:fill="4D4D4D" w:themeFill="accent6"/>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semiHidden/>
    <w:rsid w:val="004C1EEF"/>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semiHidden/>
    <w:rsid w:val="004C1EEF"/>
    <w:rPr>
      <w:color w:val="00548C" w:themeColor="accent1" w:themeShade="BF"/>
    </w:rPr>
    <w:tblPr>
      <w:tblStyleRowBandSize w:val="1"/>
      <w:tblStyleColBandSize w:val="1"/>
      <w:tblBorders>
        <w:top w:val="single" w:sz="4" w:space="0" w:color="0072BC" w:themeColor="accent1"/>
        <w:bottom w:val="single" w:sz="4" w:space="0" w:color="0072BC" w:themeColor="accent1"/>
      </w:tblBorders>
    </w:tblPr>
    <w:tblStylePr w:type="firstRow">
      <w:rPr>
        <w:b/>
        <w:bCs/>
      </w:rPr>
      <w:tblPr/>
      <w:tcPr>
        <w:tcBorders>
          <w:bottom w:val="single" w:sz="4" w:space="0" w:color="0072BC" w:themeColor="accent1"/>
        </w:tcBorders>
      </w:tcPr>
    </w:tblStylePr>
    <w:tblStylePr w:type="lastRow">
      <w:rPr>
        <w:b/>
        <w:bCs/>
      </w:rPr>
      <w:tblPr/>
      <w:tcPr>
        <w:tcBorders>
          <w:top w:val="double" w:sz="4" w:space="0" w:color="0072BC" w:themeColor="accent1"/>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ListTable6Colorful-Accent2">
    <w:name w:val="List Table 6 Colorful Accent 2"/>
    <w:basedOn w:val="TableNormal"/>
    <w:uiPriority w:val="51"/>
    <w:semiHidden/>
    <w:rsid w:val="004C1EEF"/>
    <w:rPr>
      <w:color w:val="8F0000" w:themeColor="accent2" w:themeShade="BF"/>
    </w:rPr>
    <w:tblPr>
      <w:tblStyleRowBandSize w:val="1"/>
      <w:tblStyleColBandSize w:val="1"/>
      <w:tblBorders>
        <w:top w:val="single" w:sz="4" w:space="0" w:color="C00000" w:themeColor="accent2"/>
        <w:bottom w:val="single" w:sz="4" w:space="0" w:color="C00000" w:themeColor="accent2"/>
      </w:tblBorders>
    </w:tblPr>
    <w:tblStylePr w:type="firstRow">
      <w:rPr>
        <w:b/>
        <w:bCs/>
      </w:rPr>
      <w:tblPr/>
      <w:tcPr>
        <w:tcBorders>
          <w:bottom w:val="single" w:sz="4" w:space="0" w:color="C00000" w:themeColor="accent2"/>
        </w:tcBorders>
      </w:tcPr>
    </w:tblStylePr>
    <w:tblStylePr w:type="lastRow">
      <w:rPr>
        <w:b/>
        <w:bCs/>
      </w:rPr>
      <w:tblPr/>
      <w:tcPr>
        <w:tcBorders>
          <w:top w:val="double" w:sz="4" w:space="0" w:color="C00000" w:themeColor="accent2"/>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ListTable6Colorful-Accent3">
    <w:name w:val="List Table 6 Colorful Accent 3"/>
    <w:basedOn w:val="TableNormal"/>
    <w:uiPriority w:val="51"/>
    <w:semiHidden/>
    <w:rsid w:val="004C1EEF"/>
    <w:rPr>
      <w:color w:val="474747" w:themeColor="accent3" w:themeShade="BF"/>
    </w:rPr>
    <w:tblPr>
      <w:tblStyleRowBandSize w:val="1"/>
      <w:tblStyleColBandSize w:val="1"/>
      <w:tblBorders>
        <w:top w:val="single" w:sz="4" w:space="0" w:color="5F5F5F" w:themeColor="accent3"/>
        <w:bottom w:val="single" w:sz="4" w:space="0" w:color="5F5F5F" w:themeColor="accent3"/>
      </w:tblBorders>
    </w:tblPr>
    <w:tblStylePr w:type="firstRow">
      <w:rPr>
        <w:b/>
        <w:bCs/>
      </w:rPr>
      <w:tblPr/>
      <w:tcPr>
        <w:tcBorders>
          <w:bottom w:val="single" w:sz="4" w:space="0" w:color="5F5F5F" w:themeColor="accent3"/>
        </w:tcBorders>
      </w:tcPr>
    </w:tblStylePr>
    <w:tblStylePr w:type="lastRow">
      <w:rPr>
        <w:b/>
        <w:bCs/>
      </w:rPr>
      <w:tblPr/>
      <w:tcPr>
        <w:tcBorders>
          <w:top w:val="double" w:sz="4" w:space="0" w:color="5F5F5F" w:themeColor="accent3"/>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ListTable6Colorful-Accent4">
    <w:name w:val="List Table 6 Colorful Accent 4"/>
    <w:basedOn w:val="TableNormal"/>
    <w:uiPriority w:val="51"/>
    <w:semiHidden/>
    <w:rsid w:val="004C1EEF"/>
    <w:rPr>
      <w:color w:val="707070" w:themeColor="accent4" w:themeShade="BF"/>
    </w:rPr>
    <w:tblPr>
      <w:tblStyleRowBandSize w:val="1"/>
      <w:tblStyleColBandSize w:val="1"/>
      <w:tblBorders>
        <w:top w:val="single" w:sz="4" w:space="0" w:color="969696" w:themeColor="accent4"/>
        <w:bottom w:val="single" w:sz="4" w:space="0" w:color="969696" w:themeColor="accent4"/>
      </w:tblBorders>
    </w:tblPr>
    <w:tblStylePr w:type="firstRow">
      <w:rPr>
        <w:b/>
        <w:bCs/>
      </w:rPr>
      <w:tblPr/>
      <w:tcPr>
        <w:tcBorders>
          <w:bottom w:val="single" w:sz="4" w:space="0" w:color="969696" w:themeColor="accent4"/>
        </w:tcBorders>
      </w:tcPr>
    </w:tblStylePr>
    <w:tblStylePr w:type="lastRow">
      <w:rPr>
        <w:b/>
        <w:bCs/>
      </w:rPr>
      <w:tblPr/>
      <w:tcPr>
        <w:tcBorders>
          <w:top w:val="double" w:sz="4" w:space="0" w:color="969696" w:themeColor="accent4"/>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ListTable6Colorful-Accent5">
    <w:name w:val="List Table 6 Colorful Accent 5"/>
    <w:basedOn w:val="TableNormal"/>
    <w:uiPriority w:val="51"/>
    <w:semiHidden/>
    <w:rsid w:val="004C1EEF"/>
    <w:rPr>
      <w:color w:val="474747" w:themeColor="accent5" w:themeShade="BF"/>
    </w:rPr>
    <w:tblPr>
      <w:tblStyleRowBandSize w:val="1"/>
      <w:tblStyleColBandSize w:val="1"/>
      <w:tblBorders>
        <w:top w:val="single" w:sz="4" w:space="0" w:color="5F5F5F" w:themeColor="accent5"/>
        <w:bottom w:val="single" w:sz="4" w:space="0" w:color="5F5F5F" w:themeColor="accent5"/>
      </w:tblBorders>
    </w:tblPr>
    <w:tblStylePr w:type="firstRow">
      <w:rPr>
        <w:b/>
        <w:bCs/>
      </w:rPr>
      <w:tblPr/>
      <w:tcPr>
        <w:tcBorders>
          <w:bottom w:val="single" w:sz="4" w:space="0" w:color="5F5F5F" w:themeColor="accent5"/>
        </w:tcBorders>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Table6Colorful-Accent6">
    <w:name w:val="List Table 6 Colorful Accent 6"/>
    <w:basedOn w:val="TableNormal"/>
    <w:uiPriority w:val="51"/>
    <w:semiHidden/>
    <w:rsid w:val="004C1EEF"/>
    <w:rPr>
      <w:color w:val="393939" w:themeColor="accent6" w:themeShade="BF"/>
    </w:rPr>
    <w:tblPr>
      <w:tblStyleRowBandSize w:val="1"/>
      <w:tblStyleColBandSize w:val="1"/>
      <w:tblBorders>
        <w:top w:val="single" w:sz="4" w:space="0" w:color="4D4D4D" w:themeColor="accent6"/>
        <w:bottom w:val="single" w:sz="4" w:space="0" w:color="4D4D4D" w:themeColor="accent6"/>
      </w:tblBorders>
    </w:tblPr>
    <w:tblStylePr w:type="firstRow">
      <w:rPr>
        <w:b/>
        <w:bCs/>
      </w:rPr>
      <w:tblPr/>
      <w:tcPr>
        <w:tcBorders>
          <w:bottom w:val="single" w:sz="4" w:space="0" w:color="4D4D4D" w:themeColor="accent6"/>
        </w:tcBorders>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Table7Colorful">
    <w:name w:val="List Table 7 Colorful"/>
    <w:basedOn w:val="TableNormal"/>
    <w:uiPriority w:val="52"/>
    <w:semiHidden/>
    <w:rsid w:val="004C1EEF"/>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semiHidden/>
    <w:rsid w:val="004C1EEF"/>
    <w:rPr>
      <w:color w:val="00548C"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72BC" w:themeColor="accent1"/>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0072BC" w:themeColor="accent1"/>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72BC" w:themeColor="accent1"/>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0072BC" w:themeColor="accent1"/>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semiHidden/>
    <w:rsid w:val="004C1EEF"/>
    <w:rPr>
      <w:color w:val="8F000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0000" w:themeColor="accent2"/>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C00000" w:themeColor="accent2"/>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0000" w:themeColor="accent2"/>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C00000" w:themeColor="accent2"/>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semiHidden/>
    <w:rsid w:val="004C1EEF"/>
    <w:rPr>
      <w:color w:val="474747"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F5F5F" w:themeColor="accent3"/>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5F5F5F" w:themeColor="accent3"/>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F5F5F" w:themeColor="accent3"/>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5F5F5F" w:themeColor="accent3"/>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semiHidden/>
    <w:rsid w:val="004C1EEF"/>
    <w:rPr>
      <w:color w:val="70707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69696" w:themeColor="accent4"/>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969696" w:themeColor="accent4"/>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69696" w:themeColor="accent4"/>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969696" w:themeColor="accent4"/>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semiHidden/>
    <w:rsid w:val="004C1EEF"/>
    <w:rPr>
      <w:color w:val="4747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F5F5F" w:themeColor="accent5"/>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5F5F5F" w:themeColor="accent5"/>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F5F5F" w:themeColor="accent5"/>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5F5F5F" w:themeColor="accent5"/>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semiHidden/>
    <w:rsid w:val="004C1EEF"/>
    <w:rPr>
      <w:color w:val="393939"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D4D4D" w:themeColor="accent6"/>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4D4D4D" w:themeColor="accent6"/>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D4D4D" w:themeColor="accent6"/>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4D4D4D" w:themeColor="accent6"/>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Mention">
    <w:name w:val="Mention"/>
    <w:basedOn w:val="DefaultParagraphFont"/>
    <w:uiPriority w:val="99"/>
    <w:semiHidden/>
    <w:unhideWhenUsed/>
    <w:rsid w:val="004C1EEF"/>
    <w:rPr>
      <w:color w:val="2B579A"/>
      <w:shd w:val="clear" w:color="auto" w:fill="E1DFDD"/>
    </w:rPr>
  </w:style>
  <w:style w:type="table" w:styleId="PlainTable1">
    <w:name w:val="Plain Table 1"/>
    <w:basedOn w:val="TableNormal"/>
    <w:uiPriority w:val="41"/>
    <w:semiHidden/>
    <w:rsid w:val="004C1EEF"/>
    <w:tblPr>
      <w:tblStyleRowBandSize w:val="1"/>
      <w:tblStyleColBandSize w:val="1"/>
      <w:tblBorders>
        <w:top w:val="single" w:sz="4" w:space="0" w:color="00548C" w:themeColor="background1" w:themeShade="BF"/>
        <w:left w:val="single" w:sz="4" w:space="0" w:color="00548C" w:themeColor="background1" w:themeShade="BF"/>
        <w:bottom w:val="single" w:sz="4" w:space="0" w:color="00548C" w:themeColor="background1" w:themeShade="BF"/>
        <w:right w:val="single" w:sz="4" w:space="0" w:color="00548C" w:themeColor="background1" w:themeShade="BF"/>
        <w:insideH w:val="single" w:sz="4" w:space="0" w:color="00548C" w:themeColor="background1" w:themeShade="BF"/>
        <w:insideV w:val="single" w:sz="4" w:space="0" w:color="00548C" w:themeColor="background1" w:themeShade="BF"/>
      </w:tblBorders>
    </w:tblPr>
    <w:tblStylePr w:type="firstRow">
      <w:rPr>
        <w:b/>
        <w:bCs/>
      </w:rPr>
    </w:tblStylePr>
    <w:tblStylePr w:type="lastRow">
      <w:rPr>
        <w:b/>
        <w:bCs/>
      </w:rPr>
      <w:tblPr/>
      <w:tcPr>
        <w:tcBorders>
          <w:top w:val="double" w:sz="4" w:space="0" w:color="00548C" w:themeColor="background1" w:themeShade="BF"/>
        </w:tcBorders>
      </w:tcPr>
    </w:tblStylePr>
    <w:tblStylePr w:type="firstCol">
      <w:rPr>
        <w:b/>
        <w:bCs/>
      </w:rPr>
    </w:tblStylePr>
    <w:tblStylePr w:type="lastCol">
      <w:rPr>
        <w:b/>
        <w:bCs/>
      </w:r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style>
  <w:style w:type="table" w:styleId="PlainTable2">
    <w:name w:val="Plain Table 2"/>
    <w:basedOn w:val="TableNormal"/>
    <w:uiPriority w:val="42"/>
    <w:semiHidden/>
    <w:rsid w:val="004C1EEF"/>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semiHidden/>
    <w:rsid w:val="004C1EEF"/>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semiHidden/>
    <w:rsid w:val="004C1EEF"/>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style>
  <w:style w:type="table" w:styleId="PlainTable5">
    <w:name w:val="Plain Table 5"/>
    <w:basedOn w:val="TableNormal"/>
    <w:uiPriority w:val="45"/>
    <w:semiHidden/>
    <w:rsid w:val="004C1EEF"/>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0072BC" w:themeFill="background1"/>
      </w:tc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SmartHyperlink">
    <w:name w:val="Smart Hyperlink"/>
    <w:basedOn w:val="DefaultParagraphFont"/>
    <w:uiPriority w:val="99"/>
    <w:semiHidden/>
    <w:unhideWhenUsed/>
    <w:rsid w:val="004C1EEF"/>
    <w:rPr>
      <w:u w:val="dotted"/>
    </w:rPr>
  </w:style>
  <w:style w:type="character" w:customStyle="1" w:styleId="SmartLink">
    <w:name w:val="Smart Link"/>
    <w:basedOn w:val="DefaultParagraphFont"/>
    <w:uiPriority w:val="99"/>
    <w:semiHidden/>
    <w:unhideWhenUsed/>
    <w:rsid w:val="004C1EEF"/>
    <w:rPr>
      <w:color w:val="0000FF"/>
      <w:u w:val="single"/>
      <w:shd w:val="clear" w:color="auto" w:fill="F3F2F1"/>
    </w:rPr>
  </w:style>
  <w:style w:type="table" w:styleId="TableGridLight">
    <w:name w:val="Grid Table Light"/>
    <w:basedOn w:val="TableNormal"/>
    <w:uiPriority w:val="40"/>
    <w:semiHidden/>
    <w:rsid w:val="004C1EEF"/>
    <w:tblPr>
      <w:tblBorders>
        <w:top w:val="single" w:sz="4" w:space="0" w:color="00548C" w:themeColor="background1" w:themeShade="BF"/>
        <w:left w:val="single" w:sz="4" w:space="0" w:color="00548C" w:themeColor="background1" w:themeShade="BF"/>
        <w:bottom w:val="single" w:sz="4" w:space="0" w:color="00548C" w:themeColor="background1" w:themeShade="BF"/>
        <w:right w:val="single" w:sz="4" w:space="0" w:color="00548C" w:themeColor="background1" w:themeShade="BF"/>
        <w:insideH w:val="single" w:sz="4" w:space="0" w:color="00548C" w:themeColor="background1" w:themeShade="BF"/>
        <w:insideV w:val="single" w:sz="4" w:space="0" w:color="00548C" w:themeColor="background1" w:themeShade="BF"/>
      </w:tblBorders>
    </w:tblPr>
  </w:style>
  <w:style w:type="character" w:customStyle="1" w:styleId="UnresolvedMention">
    <w:name w:val="Unresolved Mention"/>
    <w:basedOn w:val="DefaultParagraphFont"/>
    <w:uiPriority w:val="99"/>
    <w:semiHidden/>
    <w:unhideWhenUsed/>
    <w:rsid w:val="004C1E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1226880">
      <w:bodyDiv w:val="1"/>
      <w:marLeft w:val="0"/>
      <w:marRight w:val="0"/>
      <w:marTop w:val="0"/>
      <w:marBottom w:val="0"/>
      <w:divBdr>
        <w:top w:val="none" w:sz="0" w:space="0" w:color="auto"/>
        <w:left w:val="none" w:sz="0" w:space="0" w:color="auto"/>
        <w:bottom w:val="none" w:sz="0" w:space="0" w:color="auto"/>
        <w:right w:val="none" w:sz="0" w:space="0" w:color="auto"/>
      </w:divBdr>
    </w:div>
    <w:div w:id="914632635">
      <w:bodyDiv w:val="1"/>
      <w:marLeft w:val="0"/>
      <w:marRight w:val="0"/>
      <w:marTop w:val="0"/>
      <w:marBottom w:val="0"/>
      <w:divBdr>
        <w:top w:val="none" w:sz="0" w:space="0" w:color="auto"/>
        <w:left w:val="none" w:sz="0" w:space="0" w:color="auto"/>
        <w:bottom w:val="none" w:sz="0" w:space="0" w:color="auto"/>
        <w:right w:val="none" w:sz="0" w:space="0" w:color="auto"/>
      </w:divBdr>
    </w:div>
    <w:div w:id="1645431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558EB02BDB9E204AB350EDD385B68E10" ma:contentTypeVersion="0" ma:contentTypeDescription="Create a new document." ma:contentTypeScope="" ma:versionID="4c0f801ee557d5c8fba2c83aceb7a3a2">
  <xsd:schema xmlns:xsd="http://www.w3.org/2001/XMLSchema" xmlns:xs="http://www.w3.org/2001/XMLSchema" xmlns:p="http://schemas.microsoft.com/office/2006/metadata/properties" targetNamespace="http://schemas.microsoft.com/office/2006/metadata/properties" ma:root="true" ma:fieldsID="66a9e0779a85d62bb2248c31b91edb7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E21BA77-D8E6-40E7-ACBC-6EFDAA657B9C}">
  <ds:schemaRefs>
    <ds:schemaRef ds:uri="http://schemas.openxmlformats.org/officeDocument/2006/bibliography"/>
  </ds:schemaRefs>
</ds:datastoreItem>
</file>

<file path=customXml/itemProps2.xml><?xml version="1.0" encoding="utf-8"?>
<ds:datastoreItem xmlns:ds="http://schemas.openxmlformats.org/officeDocument/2006/customXml" ds:itemID="{4D44F95E-92CE-4036-951B-70523E55ED78}"/>
</file>

<file path=customXml/itemProps3.xml><?xml version="1.0" encoding="utf-8"?>
<ds:datastoreItem xmlns:ds="http://schemas.openxmlformats.org/officeDocument/2006/customXml" ds:itemID="{7EE38286-AD0A-483D-A411-4C3F25136272}"/>
</file>

<file path=customXml/itemProps4.xml><?xml version="1.0" encoding="utf-8"?>
<ds:datastoreItem xmlns:ds="http://schemas.openxmlformats.org/officeDocument/2006/customXml" ds:itemID="{079F1A0A-538C-47DD-8994-536DEF122C9E}"/>
</file>

<file path=docProps/app.xml><?xml version="1.0" encoding="utf-8"?>
<Properties xmlns="http://schemas.openxmlformats.org/officeDocument/2006/extended-properties" xmlns:vt="http://schemas.openxmlformats.org/officeDocument/2006/docPropsVTypes">
  <Template>Normal.dotm</Template>
  <TotalTime>0</TotalTime>
  <Pages>1</Pages>
  <Words>5272</Words>
  <Characters>30054</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ECHR</vt:lpstr>
    </vt:vector>
  </TitlesOfParts>
  <Manager/>
  <Company/>
  <LinksUpToDate>false</LinksUpToDate>
  <CharactersWithSpaces>35256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JUD</dc:subject>
  <dc:creator/>
  <cp:keywords/>
  <cp:lastModifiedBy/>
  <cp:revision>1</cp:revision>
  <dcterms:created xsi:type="dcterms:W3CDTF">2021-08-31T07:50:00Z</dcterms:created>
  <dcterms:modified xsi:type="dcterms:W3CDTF">2021-08-31T07:50:00Z</dcterms:modified>
  <cp:category>ECHR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tLanguage">
    <vt:i4>2057</vt:i4>
  </property>
  <property fmtid="{D5CDD505-2E9C-101B-9397-08002B2CF9AE}" pid="3" name="RegisteredNo">
    <vt:lpwstr>27289/17</vt:lpwstr>
  </property>
  <property fmtid="{D5CDD505-2E9C-101B-9397-08002B2CF9AE}" pid="4" name="CASEID">
    <vt:lpwstr>1300545</vt:lpwstr>
  </property>
  <property fmtid="{D5CDD505-2E9C-101B-9397-08002B2CF9AE}" pid="5" name="ContentTypeId">
    <vt:lpwstr>0x010100558EB02BDB9E204AB350EDD385B68E10</vt:lpwstr>
  </property>
</Properties>
</file>