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B6D09" w:rsidR="00972830" w:rsidP="001B6D09" w:rsidRDefault="00972830" w14:paraId="31F30E59" w14:textId="77777777">
      <w:pPr>
        <w:pStyle w:val="DecHCase"/>
      </w:pPr>
      <w:bookmarkStart w:name="_GoBack" w:id="0"/>
      <w:bookmarkEnd w:id="0"/>
    </w:p>
    <w:p w:rsidRPr="001B6D09" w:rsidR="00972830" w:rsidP="001B6D09" w:rsidRDefault="00972830" w14:paraId="547A27D3" w14:textId="36F8C873">
      <w:pPr>
        <w:pStyle w:val="DecHCase"/>
      </w:pPr>
      <w:r w:rsidRPr="001B6D09">
        <w:t>FIRST SECTION</w:t>
      </w:r>
    </w:p>
    <w:p w:rsidRPr="001B6D09" w:rsidR="005B12FD" w:rsidP="001B6D09" w:rsidRDefault="005B12FD" w14:paraId="45497C6F" w14:textId="77777777">
      <w:pPr>
        <w:pStyle w:val="JuTitle"/>
      </w:pPr>
      <w:bookmarkStart w:name="To" w:id="1"/>
      <w:r w:rsidRPr="001B6D09">
        <w:rPr>
          <w:bCs/>
          <w:color w:val="000000" w:themeColor="text1"/>
        </w:rPr>
        <w:t>CASE OF</w:t>
      </w:r>
      <w:bookmarkEnd w:id="1"/>
      <w:r w:rsidRPr="001B6D09">
        <w:rPr>
          <w:color w:val="000000" w:themeColor="text1"/>
        </w:rPr>
        <w:t xml:space="preserve"> </w:t>
      </w:r>
      <w:r w:rsidRPr="001B6D09">
        <w:t>GALOVIĆ v. CROATIA</w:t>
      </w:r>
    </w:p>
    <w:p w:rsidRPr="001B6D09" w:rsidR="00D420F3" w:rsidP="001B6D09" w:rsidRDefault="0077175D" w14:paraId="14CB0248" w14:textId="77777777">
      <w:pPr>
        <w:pStyle w:val="ECHRCoverTitle4"/>
      </w:pPr>
      <w:r w:rsidRPr="001B6D09">
        <w:t>(</w:t>
      </w:r>
      <w:r w:rsidRPr="001B6D09" w:rsidR="006374CD">
        <w:t>Application no. 45512/11</w:t>
      </w:r>
      <w:r w:rsidRPr="001B6D09">
        <w:t>)</w:t>
      </w:r>
    </w:p>
    <w:p w:rsidRPr="001B6D09" w:rsidR="00972830" w:rsidP="001B6D09" w:rsidRDefault="00972830" w14:paraId="0A6A6148" w14:textId="77777777">
      <w:pPr>
        <w:pStyle w:val="DecHCase"/>
      </w:pPr>
    </w:p>
    <w:p w:rsidRPr="001B6D09" w:rsidR="00972830" w:rsidP="001B6D09" w:rsidRDefault="00972830" w14:paraId="2E22BEFB" w14:textId="77777777">
      <w:pPr>
        <w:pStyle w:val="DecHCase"/>
      </w:pPr>
    </w:p>
    <w:p w:rsidRPr="001B6D09" w:rsidR="00972830" w:rsidP="001B6D09" w:rsidRDefault="00972830" w14:paraId="17B4ADBB" w14:textId="77777777">
      <w:pPr>
        <w:pStyle w:val="DecHCase"/>
      </w:pPr>
    </w:p>
    <w:p w:rsidRPr="001B6D09" w:rsidR="00972830" w:rsidP="001B6D09" w:rsidRDefault="00972830" w14:paraId="09799C87" w14:textId="46288AAC">
      <w:pPr>
        <w:pStyle w:val="DecHCase"/>
      </w:pPr>
      <w:r w:rsidRPr="001B6D09">
        <w:t>JUDGMENT</w:t>
      </w:r>
    </w:p>
    <w:p w:rsidRPr="001B6D09" w:rsidR="005B12FD" w:rsidP="001B6D09" w:rsidRDefault="005B12FD" w14:paraId="05604D46" w14:textId="77777777">
      <w:pPr>
        <w:pBdr>
          <w:top w:val="single" w:color="auto" w:sz="4" w:space="1"/>
          <w:left w:val="single" w:color="auto" w:sz="4" w:space="4"/>
          <w:bottom w:val="single" w:color="auto" w:sz="4" w:space="1"/>
          <w:right w:val="single" w:color="auto" w:sz="4" w:space="4"/>
        </w:pBdr>
        <w:jc w:val="both"/>
        <w:rPr>
          <w:sz w:val="22"/>
          <w:szCs w:val="22"/>
        </w:rPr>
      </w:pPr>
      <w:bookmarkStart w:name="_Hlk78186321" w:id="2"/>
      <w:bookmarkStart w:name="_Hlk77843667" w:id="3"/>
      <w:r w:rsidRPr="001B6D09">
        <w:rPr>
          <w:sz w:val="22"/>
          <w:szCs w:val="22"/>
        </w:rPr>
        <w:t>Art 4 P7 • Right not to be tried or punished twice • Proceedings and penalties for minor offences and on indictment forming part of a coherent whole to punish individual acts and patterns of domestic violence in an effective, proportionate and dissuasive manner • Duality of proceedings following complementary purposes and foreseeable for applicant • Interaction between courts, deduction of sentence and sufficient connection in time between various proceedings, bearing in mind specific dynamics in the context of domestic violence</w:t>
      </w:r>
    </w:p>
    <w:bookmarkEnd w:id="2"/>
    <w:p w:rsidRPr="001B6D09" w:rsidR="005B12FD" w:rsidP="001B6D09" w:rsidRDefault="005B12FD" w14:paraId="452A55A5" w14:textId="781355AE">
      <w:pPr>
        <w:pBdr>
          <w:top w:val="single" w:color="auto" w:sz="4" w:space="1"/>
          <w:left w:val="single" w:color="auto" w:sz="4" w:space="4"/>
          <w:bottom w:val="single" w:color="auto" w:sz="4" w:space="1"/>
          <w:right w:val="single" w:color="auto" w:sz="4" w:space="4"/>
        </w:pBdr>
        <w:jc w:val="both"/>
        <w:rPr>
          <w:rFonts w:asciiTheme="majorHAnsi" w:hAnsiTheme="majorHAnsi"/>
          <w:sz w:val="22"/>
          <w:szCs w:val="22"/>
        </w:rPr>
      </w:pPr>
      <w:r w:rsidRPr="001B6D09">
        <w:rPr>
          <w:sz w:val="22"/>
          <w:szCs w:val="22"/>
        </w:rPr>
        <w:t>Art 6 § 1 (criminal) and Art 6 § 3 (b) and (c) • Fair hearing • Adequate time and facilities to prepare defence before appeal court session and respect for the right to be legally represented • Applicant</w:t>
      </w:r>
      <w:r w:rsidRPr="001B6D09" w:rsidR="001B6D09">
        <w:rPr>
          <w:sz w:val="22"/>
          <w:szCs w:val="22"/>
        </w:rPr>
        <w:t>’</w:t>
      </w:r>
      <w:r w:rsidRPr="001B6D09">
        <w:rPr>
          <w:sz w:val="22"/>
          <w:szCs w:val="22"/>
        </w:rPr>
        <w:t>s absence from appeal court session</w:t>
      </w:r>
      <w:bookmarkEnd w:id="3"/>
    </w:p>
    <w:p w:rsidRPr="001B6D09" w:rsidR="005B12FD" w:rsidP="001B6D09" w:rsidRDefault="005B12FD" w14:paraId="02C10F71" w14:textId="77777777">
      <w:pPr>
        <w:pStyle w:val="DecHCase"/>
      </w:pPr>
    </w:p>
    <w:p w:rsidRPr="001B6D09" w:rsidR="00972830" w:rsidP="001B6D09" w:rsidRDefault="00972830" w14:paraId="1976A65C" w14:textId="0424619A">
      <w:pPr>
        <w:pStyle w:val="DecHCase"/>
      </w:pPr>
      <w:r w:rsidRPr="001B6D09">
        <w:t>STRASBOURG</w:t>
      </w:r>
    </w:p>
    <w:p w:rsidRPr="001B6D09" w:rsidR="00972830" w:rsidP="001B6D09" w:rsidRDefault="00972830" w14:paraId="77D8DD8D" w14:textId="77777777">
      <w:pPr>
        <w:pStyle w:val="DecHCase"/>
      </w:pPr>
      <w:r w:rsidRPr="001B6D09">
        <w:rPr>
          <w:rFonts w:ascii="Times New Roman" w:hAnsi="Times New Roman" w:cs="Times New Roman"/>
        </w:rPr>
        <w:t>31 August 2021</w:t>
      </w:r>
    </w:p>
    <w:p w:rsidRPr="001B6D09" w:rsidR="00972830" w:rsidP="001B6D09" w:rsidRDefault="00972830" w14:paraId="55B86B06" w14:textId="77777777">
      <w:pPr>
        <w:pStyle w:val="DecHCase"/>
      </w:pPr>
    </w:p>
    <w:p w:rsidRPr="001B6D09" w:rsidR="00B077DA" w:rsidP="001B6D09" w:rsidRDefault="00972830" w14:paraId="5F9BEFEA" w14:textId="77777777">
      <w:pPr>
        <w:rPr>
          <w:i/>
          <w:sz w:val="22"/>
        </w:rPr>
        <w:sectPr w:rsidRPr="001B6D09" w:rsidR="00B077DA" w:rsidSect="00B077D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r w:rsidRPr="001B6D09">
        <w:rPr>
          <w:i/>
          <w:sz w:val="22"/>
        </w:rPr>
        <w:t>This judgment will become final in the circumstances set out in Article 44 § 2 of the Convention. It may be subject to editorial revision.</w:t>
      </w:r>
    </w:p>
    <w:p w:rsidRPr="001B6D09" w:rsidR="00D420F3" w:rsidP="001B6D09" w:rsidRDefault="0077175D" w14:paraId="5FFE7AA6" w14:textId="0C4574BB">
      <w:pPr>
        <w:rPr>
          <w:bCs/>
        </w:rPr>
      </w:pPr>
      <w:r w:rsidRPr="001B6D09">
        <w:rPr>
          <w:b/>
          <w:bCs/>
        </w:rPr>
        <w:t xml:space="preserve">In the case of </w:t>
      </w:r>
      <w:r w:rsidRPr="001B6D09" w:rsidR="006374CD">
        <w:rPr>
          <w:b/>
          <w:bCs/>
        </w:rPr>
        <w:t>Galović v. Croatia</w:t>
      </w:r>
      <w:r w:rsidRPr="001B6D09">
        <w:t>,</w:t>
      </w:r>
    </w:p>
    <w:p w:rsidRPr="001B6D09" w:rsidR="00D420F3" w:rsidP="001B6D09" w:rsidRDefault="0077175D" w14:paraId="40B416C9" w14:textId="77777777">
      <w:pPr>
        <w:pStyle w:val="JuPara"/>
      </w:pPr>
      <w:r w:rsidRPr="001B6D09">
        <w:t>The European Court of Human Rights (</w:t>
      </w:r>
      <w:r w:rsidRPr="001B6D09" w:rsidR="006374CD">
        <w:t>First Section</w:t>
      </w:r>
      <w:r w:rsidRPr="001B6D09">
        <w:t xml:space="preserve">), sitting as a </w:t>
      </w:r>
      <w:r w:rsidRPr="001B6D09" w:rsidR="006374CD">
        <w:t>Chamber</w:t>
      </w:r>
      <w:r w:rsidRPr="001B6D09">
        <w:t xml:space="preserve"> composed of:</w:t>
      </w:r>
    </w:p>
    <w:p w:rsidRPr="001B6D09" w:rsidR="00D420F3" w:rsidP="001B6D09" w:rsidRDefault="00297B56" w14:paraId="57DAF522" w14:textId="09B074F3">
      <w:pPr>
        <w:pStyle w:val="ECHRDecisionBody"/>
      </w:pPr>
      <w:r w:rsidRPr="001B6D09">
        <w:tab/>
        <w:t>Péter Paczolay,</w:t>
      </w:r>
      <w:r w:rsidRPr="001B6D09">
        <w:rPr>
          <w:i/>
        </w:rPr>
        <w:t xml:space="preserve"> President,</w:t>
      </w:r>
      <w:r w:rsidRPr="001B6D09">
        <w:rPr>
          <w:i/>
        </w:rPr>
        <w:br/>
      </w:r>
      <w:r w:rsidRPr="001B6D09">
        <w:tab/>
        <w:t>Ksenija Turković,</w:t>
      </w:r>
      <w:r w:rsidRPr="001B6D09">
        <w:rPr>
          <w:i/>
        </w:rPr>
        <w:br/>
      </w:r>
      <w:r w:rsidRPr="001B6D09">
        <w:tab/>
        <w:t>Krzysztof Wojtyczek,</w:t>
      </w:r>
      <w:r w:rsidRPr="001B6D09">
        <w:rPr>
          <w:i/>
        </w:rPr>
        <w:br/>
      </w:r>
      <w:r w:rsidRPr="001B6D09">
        <w:tab/>
        <w:t>Alena Poláčková,</w:t>
      </w:r>
      <w:r w:rsidRPr="001B6D09">
        <w:rPr>
          <w:i/>
        </w:rPr>
        <w:br/>
      </w:r>
      <w:r w:rsidRPr="001B6D09">
        <w:tab/>
        <w:t>Gilberto Felici,</w:t>
      </w:r>
      <w:r w:rsidRPr="001B6D09">
        <w:rPr>
          <w:i/>
        </w:rPr>
        <w:br/>
      </w:r>
      <w:r w:rsidRPr="001B6D09">
        <w:tab/>
        <w:t>Erik Wennerström,</w:t>
      </w:r>
      <w:r w:rsidRPr="001B6D09">
        <w:rPr>
          <w:i/>
        </w:rPr>
        <w:br/>
      </w:r>
      <w:r w:rsidRPr="001B6D09">
        <w:tab/>
        <w:t>Ioannis Ktistakis,</w:t>
      </w:r>
      <w:r w:rsidRPr="001B6D09">
        <w:rPr>
          <w:i/>
        </w:rPr>
        <w:t xml:space="preserve"> judges,</w:t>
      </w:r>
      <w:r w:rsidRPr="001B6D09" w:rsidR="0077175D">
        <w:br/>
        <w:t xml:space="preserve">and </w:t>
      </w:r>
      <w:r w:rsidRPr="001B6D09" w:rsidR="00F5360F">
        <w:t>Renata Degener</w:t>
      </w:r>
      <w:r w:rsidRPr="001B6D09" w:rsidR="0077175D">
        <w:t xml:space="preserve">, </w:t>
      </w:r>
      <w:r w:rsidRPr="001B6D09" w:rsidR="006374CD">
        <w:rPr>
          <w:i/>
        </w:rPr>
        <w:t xml:space="preserve">Section </w:t>
      </w:r>
      <w:r w:rsidRPr="001B6D09" w:rsidR="006374CD">
        <w:rPr>
          <w:i/>
          <w:iCs/>
        </w:rPr>
        <w:t>Registrar</w:t>
      </w:r>
      <w:r w:rsidRPr="001B6D09" w:rsidR="0077175D">
        <w:rPr>
          <w:i/>
        </w:rPr>
        <w:t>,</w:t>
      </w:r>
    </w:p>
    <w:p w:rsidRPr="001B6D09" w:rsidR="00F5360F" w:rsidP="001B6D09" w:rsidRDefault="00F5360F" w14:paraId="6ACB2D1F" w14:textId="77777777">
      <w:pPr>
        <w:pStyle w:val="JuPara"/>
      </w:pPr>
      <w:r w:rsidRPr="001B6D09">
        <w:t>Having regard to:</w:t>
      </w:r>
    </w:p>
    <w:p w:rsidRPr="001B6D09" w:rsidR="002462FC" w:rsidP="001B6D09" w:rsidRDefault="00F5360F" w14:paraId="5208376D" w14:textId="77777777">
      <w:pPr>
        <w:pStyle w:val="JuPara"/>
        <w:jc w:val="both"/>
      </w:pPr>
      <w:r w:rsidRPr="001B6D09">
        <w:t>the above application against the Republic of Croatia lodged with the Court under Article 34 of the Convention for the Protection of Human Rights and Fundamental Freedoms (“the Convention”) by a Croatian national, Mr Miljenko Galovi</w:t>
      </w:r>
      <w:r w:rsidRPr="001B6D09">
        <w:rPr>
          <w:rFonts w:cstheme="minorHAnsi"/>
        </w:rPr>
        <w:t>ć</w:t>
      </w:r>
      <w:r w:rsidRPr="001B6D09">
        <w:t xml:space="preserve"> (“the applicant”), on 18 July 2011,</w:t>
      </w:r>
    </w:p>
    <w:p w:rsidRPr="001B6D09" w:rsidR="00F5360F" w:rsidP="001B6D09" w:rsidRDefault="00F5360F" w14:paraId="7A0760F2" w14:textId="6DCB3DF6">
      <w:pPr>
        <w:pStyle w:val="JuPara"/>
        <w:jc w:val="both"/>
      </w:pPr>
      <w:r w:rsidRPr="001B6D09">
        <w:t xml:space="preserve">the decision to give notice to the Croatian Government </w:t>
      </w:r>
      <w:r w:rsidRPr="001B6D09" w:rsidR="002462FC">
        <w:t xml:space="preserve">(“the Government”) </w:t>
      </w:r>
      <w:r w:rsidRPr="001B6D09">
        <w:t>of the complaint concerning the right not to be tried or punished twice, the applicant</w:t>
      </w:r>
      <w:r w:rsidRPr="001B6D09" w:rsidR="001B6D09">
        <w:t>’</w:t>
      </w:r>
      <w:r w:rsidRPr="001B6D09">
        <w:t xml:space="preserve">s absence from the </w:t>
      </w:r>
      <w:r w:rsidRPr="001B6D09" w:rsidR="002462FC">
        <w:t xml:space="preserve">session of the </w:t>
      </w:r>
      <w:r w:rsidRPr="001B6D09">
        <w:t xml:space="preserve">second-instance court, and the complaints concerning his right to defend himself in person or through effective legal assistance and his right to be afforded adequate time and facilities to prepare his defence, and to declare </w:t>
      </w:r>
      <w:r w:rsidRPr="001B6D09" w:rsidR="000D1247">
        <w:t xml:space="preserve">inadmissible </w:t>
      </w:r>
      <w:r w:rsidRPr="001B6D09">
        <w:t>the remainder of the application</w:t>
      </w:r>
      <w:r w:rsidRPr="001B6D09" w:rsidR="000D1247">
        <w:t>,</w:t>
      </w:r>
    </w:p>
    <w:p w:rsidRPr="001B6D09" w:rsidR="00F5360F" w:rsidP="001B6D09" w:rsidRDefault="00F5360F" w14:paraId="081F1642" w14:textId="51F774A8">
      <w:pPr>
        <w:pStyle w:val="JuPara"/>
        <w:jc w:val="both"/>
      </w:pPr>
      <w:r w:rsidRPr="001B6D09">
        <w:t xml:space="preserve">Having deliberated in private on </w:t>
      </w:r>
      <w:r w:rsidRPr="001B6D09" w:rsidR="0024650C">
        <w:t>29 June 2021</w:t>
      </w:r>
      <w:r w:rsidRPr="001B6D09">
        <w:t>,</w:t>
      </w:r>
    </w:p>
    <w:p w:rsidRPr="001B6D09" w:rsidR="00F5360F" w:rsidP="001B6D09" w:rsidRDefault="00F5360F" w14:paraId="2BA59CA6" w14:textId="77777777">
      <w:pPr>
        <w:pStyle w:val="JuPara"/>
        <w:jc w:val="both"/>
      </w:pPr>
      <w:r w:rsidRPr="001B6D09">
        <w:t>Delivers the following judgment, which was adopted on that date:</w:t>
      </w:r>
    </w:p>
    <w:p w:rsidRPr="001B6D09" w:rsidR="00F5360F" w:rsidP="001B6D09" w:rsidRDefault="00F5360F" w14:paraId="0B774867" w14:textId="77777777">
      <w:pPr>
        <w:pStyle w:val="JuHHead"/>
      </w:pPr>
      <w:r w:rsidRPr="001B6D09">
        <w:t>INTRODUCTION</w:t>
      </w:r>
    </w:p>
    <w:p w:rsidRPr="001B6D09" w:rsidR="001B3726" w:rsidP="001B6D09" w:rsidRDefault="00F5360F" w14:paraId="20CD9C0D" w14:textId="24EC54C2">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w:t>
      </w:r>
      <w:r w:rsidRPr="001B6D09">
        <w:fldChar w:fldCharType="end"/>
      </w:r>
      <w:r w:rsidRPr="001B6D09">
        <w:t xml:space="preserve">.  The applicant was convicted </w:t>
      </w:r>
      <w:r w:rsidRPr="001B6D09" w:rsidR="00FE38E2">
        <w:t>of</w:t>
      </w:r>
      <w:r w:rsidRPr="001B6D09">
        <w:t xml:space="preserve"> several minor</w:t>
      </w:r>
      <w:r w:rsidRPr="001B6D09" w:rsidR="004734F2">
        <w:t xml:space="preserve"> </w:t>
      </w:r>
      <w:r w:rsidRPr="001B6D09">
        <w:t>offence</w:t>
      </w:r>
      <w:r w:rsidRPr="001B6D09" w:rsidR="004734F2">
        <w:t xml:space="preserve">s of domestic violence. Ultimately, he was also convicted </w:t>
      </w:r>
      <w:r w:rsidRPr="001B6D09" w:rsidR="009E6070">
        <w:t>of</w:t>
      </w:r>
      <w:r w:rsidRPr="001B6D09" w:rsidR="004734F2">
        <w:t xml:space="preserve"> domestic violence and child neglect in </w:t>
      </w:r>
      <w:r w:rsidRPr="001B6D09">
        <w:t xml:space="preserve">criminal proceedings </w:t>
      </w:r>
      <w:r w:rsidRPr="001B6D09" w:rsidR="004734F2">
        <w:t>on indictment</w:t>
      </w:r>
      <w:r w:rsidRPr="001B6D09">
        <w:t>. He complained under Article</w:t>
      </w:r>
      <w:r w:rsidRPr="001B6D09" w:rsidR="0024650C">
        <w:t> </w:t>
      </w:r>
      <w:r w:rsidRPr="001B6D09">
        <w:t xml:space="preserve">6 </w:t>
      </w:r>
      <w:r w:rsidRPr="001B6D09">
        <w:rPr>
          <w:rFonts w:cstheme="minorHAnsi"/>
        </w:rPr>
        <w:t>§</w:t>
      </w:r>
      <w:r w:rsidRPr="001B6D09">
        <w:t xml:space="preserve"> 3 (b) of the Convention that, owing to the brevity o</w:t>
      </w:r>
      <w:r w:rsidRPr="001B6D09" w:rsidR="00FE38E2">
        <w:t>f</w:t>
      </w:r>
      <w:r w:rsidRPr="001B6D09">
        <w:t xml:space="preserve"> the period between the date when he had been informed of the appeal court</w:t>
      </w:r>
      <w:r w:rsidRPr="001B6D09" w:rsidR="001B6D09">
        <w:t>’</w:t>
      </w:r>
      <w:r w:rsidRPr="001B6D09">
        <w:t>s session and the actual date of that session, he had not had sufficient time to find a lawyer and to prepare his defence. He further complained that his absence from the appeal court session resulted in a breach of his rights under Article</w:t>
      </w:r>
      <w:r w:rsidRPr="001B6D09" w:rsidR="0024650C">
        <w:t> </w:t>
      </w:r>
      <w:r w:rsidRPr="001B6D09">
        <w:t xml:space="preserve">6 </w:t>
      </w:r>
      <w:r w:rsidRPr="001B6D09">
        <w:rPr>
          <w:rFonts w:cstheme="minorHAnsi"/>
        </w:rPr>
        <w:t>§</w:t>
      </w:r>
      <w:r w:rsidRPr="001B6D09">
        <w:t xml:space="preserve"> 3 (c) of the Convention. Finally, the applicant complained that he had been tried and convicted twice </w:t>
      </w:r>
      <w:r w:rsidRPr="001B6D09" w:rsidR="00FE38E2">
        <w:t>of</w:t>
      </w:r>
      <w:r w:rsidRPr="001B6D09">
        <w:t xml:space="preserve"> the same </w:t>
      </w:r>
      <w:r w:rsidRPr="001B6D09" w:rsidR="004734F2">
        <w:t>offence</w:t>
      </w:r>
      <w:r w:rsidRPr="001B6D09">
        <w:t xml:space="preserve"> contrary to Article 4 of Protocol No. 7 to the Convention.</w:t>
      </w:r>
    </w:p>
    <w:p w:rsidRPr="001B6D09" w:rsidR="00D420F3" w:rsidP="001B6D09" w:rsidRDefault="0077175D" w14:paraId="1A501F2A" w14:textId="53D4ABBF">
      <w:pPr>
        <w:pStyle w:val="JuHHead"/>
      </w:pPr>
      <w:r w:rsidRPr="001B6D09">
        <w:t>THE FACTS</w:t>
      </w:r>
    </w:p>
    <w:p w:rsidRPr="001B6D09" w:rsidR="004440AF" w:rsidP="001B6D09" w:rsidRDefault="006374CD" w14:paraId="6EF6A847" w14:textId="23C17AC1">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2</w:t>
      </w:r>
      <w:r w:rsidRPr="001B6D09">
        <w:fldChar w:fldCharType="end"/>
      </w:r>
      <w:r w:rsidRPr="001B6D09" w:rsidR="0077175D">
        <w:t xml:space="preserve">.  The </w:t>
      </w:r>
      <w:r w:rsidRPr="001B6D09">
        <w:t>applicant was born in 1957 and lives</w:t>
      </w:r>
      <w:r w:rsidRPr="001B6D09" w:rsidR="0077175D">
        <w:t xml:space="preserve"> in </w:t>
      </w:r>
      <w:r w:rsidRPr="001B6D09">
        <w:t>Zagreb</w:t>
      </w:r>
      <w:r w:rsidRPr="001B6D09" w:rsidR="0077175D">
        <w:t>.</w:t>
      </w:r>
      <w:r w:rsidRPr="001B6D09" w:rsidR="004440AF">
        <w:t xml:space="preserve"> He was represented before the Court by Ms T. Milanković Podbrežnički, a lawyer practising in Zagreb.</w:t>
      </w:r>
    </w:p>
    <w:p w:rsidRPr="001B6D09" w:rsidR="004440AF" w:rsidP="001B6D09" w:rsidRDefault="004440AF" w14:paraId="07A2B0A5" w14:textId="79425DDF">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3</w:t>
      </w:r>
      <w:r w:rsidRPr="001B6D09">
        <w:fldChar w:fldCharType="end"/>
      </w:r>
      <w:r w:rsidRPr="001B6D09">
        <w:t>.  The Croatian Government were represented by their Agent, Ms</w:t>
      </w:r>
      <w:r w:rsidRPr="001B6D09" w:rsidR="00B809F5">
        <w:t> </w:t>
      </w:r>
      <w:r w:rsidRPr="001B6D09">
        <w:t>Š.</w:t>
      </w:r>
      <w:r w:rsidRPr="001B6D09" w:rsidR="005B12FD">
        <w:t> </w:t>
      </w:r>
      <w:r w:rsidRPr="001B6D09">
        <w:t>Stažnik.</w:t>
      </w:r>
    </w:p>
    <w:p w:rsidRPr="001B6D09" w:rsidR="00C244F3" w:rsidP="001B6D09" w:rsidRDefault="00C244F3" w14:paraId="35F522C7" w14:textId="70DF4E76">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4</w:t>
      </w:r>
      <w:r w:rsidRPr="001B6D09">
        <w:fldChar w:fldCharType="end"/>
      </w:r>
      <w:r w:rsidRPr="001B6D09">
        <w:t>.  The facts of the case, as submitted by the parties, may be summarised as follows.</w:t>
      </w:r>
    </w:p>
    <w:bookmarkStart w:name="first_criminal_judgment_2002to2005" w:id="4"/>
    <w:p w:rsidRPr="001B6D09" w:rsidR="000C75EF" w:rsidP="001B6D09" w:rsidRDefault="005970BA" w14:paraId="07351E0D" w14:textId="53D9DD06">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5</w:t>
      </w:r>
      <w:r w:rsidRPr="001B6D09">
        <w:fldChar w:fldCharType="end"/>
      </w:r>
      <w:bookmarkEnd w:id="4"/>
      <w:r w:rsidRPr="001B6D09">
        <w:t>.  </w:t>
      </w:r>
      <w:r w:rsidRPr="001B6D09" w:rsidR="000C75EF">
        <w:t>On 4 July 2007 the Zagreb Municipal Court (</w:t>
      </w:r>
      <w:r w:rsidRPr="001B6D09" w:rsidR="000C75EF">
        <w:rPr>
          <w:i/>
        </w:rPr>
        <w:t>Općinski sud u Zagrebu</w:t>
      </w:r>
      <w:r w:rsidRPr="001B6D09" w:rsidR="000C75EF">
        <w:t xml:space="preserve">) found the applicant guilty in criminal proceedings </w:t>
      </w:r>
      <w:r w:rsidRPr="001B6D09" w:rsidR="009E6070">
        <w:t>concerning</w:t>
      </w:r>
      <w:r w:rsidRPr="001B6D09" w:rsidR="000C75EF">
        <w:t xml:space="preserve"> domestic violence and neglect and abuse of a minor child for the period between March 2002 and the end of February 2005</w:t>
      </w:r>
      <w:r w:rsidRPr="001B6D09" w:rsidR="004734F2">
        <w:t>. He was</w:t>
      </w:r>
      <w:r w:rsidRPr="001B6D09" w:rsidR="000C75EF">
        <w:t xml:space="preserve"> sentenced to two years</w:t>
      </w:r>
      <w:r w:rsidRPr="001B6D09" w:rsidR="001B6D09">
        <w:t>’</w:t>
      </w:r>
      <w:r w:rsidRPr="001B6D09" w:rsidR="000C75EF">
        <w:t xml:space="preserve"> imprisonment</w:t>
      </w:r>
      <w:r w:rsidRPr="001B6D09">
        <w:t xml:space="preserve"> suspended for a period of five years</w:t>
      </w:r>
      <w:r w:rsidRPr="001B6D09" w:rsidR="000C75EF">
        <w:t>. That judgment was upheld on appeal</w:t>
      </w:r>
      <w:r w:rsidRPr="001B6D09" w:rsidR="004734F2">
        <w:t xml:space="preserve"> and</w:t>
      </w:r>
      <w:r w:rsidRPr="001B6D09" w:rsidR="000C75EF">
        <w:t xml:space="preserve"> </w:t>
      </w:r>
      <w:r w:rsidRPr="001B6D09" w:rsidR="004734F2">
        <w:t>t</w:t>
      </w:r>
      <w:r w:rsidRPr="001B6D09" w:rsidR="00D413DC">
        <w:t>h</w:t>
      </w:r>
      <w:r w:rsidRPr="001B6D09" w:rsidR="004734F2">
        <w:t>e</w:t>
      </w:r>
      <w:r w:rsidRPr="001B6D09" w:rsidR="00D413DC">
        <w:t xml:space="preserve"> suspended sentence was subsequently revoked (see paragraph </w:t>
      </w:r>
      <w:r w:rsidRPr="001B6D09" w:rsidR="00D413DC">
        <w:fldChar w:fldCharType="begin"/>
      </w:r>
      <w:r w:rsidRPr="001B6D09" w:rsidR="00D413DC">
        <w:instrText xml:space="preserve"> REF second_criminal_judgment \h </w:instrText>
      </w:r>
      <w:r w:rsidRPr="001B6D09" w:rsidR="005B12FD">
        <w:instrText xml:space="preserve"> \* MERGEFORMAT </w:instrText>
      </w:r>
      <w:r w:rsidRPr="001B6D09" w:rsidR="00D413DC">
        <w:fldChar w:fldCharType="separate"/>
      </w:r>
      <w:r w:rsidRPr="001B6D09" w:rsidR="001B6D09">
        <w:rPr>
          <w:noProof/>
        </w:rPr>
        <w:t>33</w:t>
      </w:r>
      <w:r w:rsidRPr="001B6D09" w:rsidR="00D413DC">
        <w:fldChar w:fldCharType="end"/>
      </w:r>
      <w:r w:rsidRPr="001B6D09" w:rsidR="00D413DC">
        <w:t xml:space="preserve"> below).</w:t>
      </w:r>
    </w:p>
    <w:p w:rsidRPr="001B6D09" w:rsidR="00246411" w:rsidP="001B6D09" w:rsidRDefault="00FC585F" w14:paraId="19B4A76C" w14:textId="2254771B">
      <w:pPr>
        <w:pStyle w:val="JuHA"/>
      </w:pPr>
      <w:r w:rsidRPr="001B6D09">
        <w:t>The minor-offence proceedings</w:t>
      </w:r>
    </w:p>
    <w:bookmarkStart w:name="first_minor_offence_judgment" w:id="5"/>
    <w:p w:rsidRPr="001B6D09" w:rsidR="001B3726" w:rsidP="001B6D09" w:rsidRDefault="000C75EF" w14:paraId="0DF0FCD7" w14:textId="09F7BFAD">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6</w:t>
      </w:r>
      <w:r w:rsidRPr="001B6D09">
        <w:fldChar w:fldCharType="end"/>
      </w:r>
      <w:bookmarkEnd w:id="5"/>
      <w:r w:rsidRPr="001B6D09">
        <w:t>.  Meanwhile, o</w:t>
      </w:r>
      <w:r w:rsidRPr="001B6D09" w:rsidR="00FC585F">
        <w:t>n 6 October 2006 the Zagreb Minor Offences Court (</w:t>
      </w:r>
      <w:r w:rsidRPr="001B6D09" w:rsidR="00FC585F">
        <w:rPr>
          <w:i/>
          <w:lang w:val="hr-HR"/>
        </w:rPr>
        <w:t>Prekršajni sud u Zagrebu</w:t>
      </w:r>
      <w:r w:rsidRPr="001B6D09" w:rsidR="00FC585F">
        <w:t xml:space="preserve">) found the applicant guilty of a minor offence of domestic violence </w:t>
      </w:r>
      <w:r w:rsidRPr="001B6D09" w:rsidR="00803186">
        <w:t xml:space="preserve">under section 4 of the Protection against Domestic Violence Act (see paragraph </w:t>
      </w:r>
      <w:r w:rsidRPr="001B6D09" w:rsidR="00803186">
        <w:fldChar w:fldCharType="begin"/>
      </w:r>
      <w:r w:rsidRPr="001B6D09" w:rsidR="00803186">
        <w:instrText xml:space="preserve"> REF Domestic_Violence_Act \h </w:instrText>
      </w:r>
      <w:r w:rsidRPr="001B6D09" w:rsidR="005B12FD">
        <w:instrText xml:space="preserve"> \* MERGEFORMAT </w:instrText>
      </w:r>
      <w:r w:rsidRPr="001B6D09" w:rsidR="00803186">
        <w:fldChar w:fldCharType="separate"/>
      </w:r>
      <w:r w:rsidRPr="001B6D09" w:rsidR="001B6D09">
        <w:rPr>
          <w:noProof/>
        </w:rPr>
        <w:t>68</w:t>
      </w:r>
      <w:r w:rsidRPr="001B6D09" w:rsidR="00803186">
        <w:fldChar w:fldCharType="end"/>
      </w:r>
      <w:r w:rsidRPr="001B6D09" w:rsidR="00803186">
        <w:t xml:space="preserve"> below) </w:t>
      </w:r>
      <w:r w:rsidRPr="001B6D09" w:rsidR="00FC585F">
        <w:t>against his minor daughter Z.G.</w:t>
      </w:r>
      <w:r w:rsidRPr="001B6D09" w:rsidR="00FE38E2">
        <w:t>,</w:t>
      </w:r>
      <w:r w:rsidRPr="001B6D09" w:rsidR="00FC585F">
        <w:t xml:space="preserve"> committed on 5 October 2006. </w:t>
      </w:r>
      <w:r w:rsidRPr="001B6D09" w:rsidR="00803186">
        <w:t>He was sentenced to fifty days</w:t>
      </w:r>
      <w:r w:rsidRPr="001B6D09" w:rsidR="001B6D09">
        <w:t>’</w:t>
      </w:r>
      <w:r w:rsidRPr="001B6D09" w:rsidR="00803186">
        <w:t xml:space="preserve"> imprisonment suspended for one year.</w:t>
      </w:r>
    </w:p>
    <w:bookmarkStart w:name="second_minor_offence_judgment" w:id="6"/>
    <w:p w:rsidRPr="001B6D09" w:rsidR="00D14C09" w:rsidP="001B6D09" w:rsidRDefault="00B46142" w14:paraId="4287A5FD" w14:textId="3AFA77D1">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7</w:t>
      </w:r>
      <w:r w:rsidRPr="001B6D09">
        <w:fldChar w:fldCharType="end"/>
      </w:r>
      <w:bookmarkEnd w:id="6"/>
      <w:r w:rsidRPr="001B6D09">
        <w:t>.  </w:t>
      </w:r>
      <w:r w:rsidRPr="001B6D09" w:rsidR="00C50C9F">
        <w:t xml:space="preserve">On 2 </w:t>
      </w:r>
      <w:r w:rsidRPr="001B6D09" w:rsidR="00C27297">
        <w:t>February</w:t>
      </w:r>
      <w:r w:rsidRPr="001B6D09" w:rsidR="00C50C9F">
        <w:t xml:space="preserve"> 2007 the Zagreb Minor Offences Court found the applicant guilty of a minor offence of domestic violence against his </w:t>
      </w:r>
      <w:r w:rsidRPr="001B6D09" w:rsidR="003706C9">
        <w:t xml:space="preserve">wife Mi.G. and his </w:t>
      </w:r>
      <w:r w:rsidRPr="001B6D09" w:rsidR="00C50C9F">
        <w:t>son H.G</w:t>
      </w:r>
      <w:r w:rsidRPr="001B6D09" w:rsidR="00FC585F">
        <w:t xml:space="preserve"> committed on 30 January 2007</w:t>
      </w:r>
      <w:r w:rsidRPr="001B6D09" w:rsidR="00C50C9F">
        <w:t xml:space="preserve">. </w:t>
      </w:r>
      <w:r w:rsidRPr="001B6D09" w:rsidR="00803186">
        <w:t>He was sentenced to ten days</w:t>
      </w:r>
      <w:r w:rsidRPr="001B6D09" w:rsidR="001B6D09">
        <w:t>’</w:t>
      </w:r>
      <w:r w:rsidRPr="001B6D09" w:rsidR="00803186">
        <w:t xml:space="preserve"> imprisonment, whereas his previous suspended sentence had been revoked (see paragraph </w:t>
      </w:r>
      <w:r w:rsidRPr="001B6D09" w:rsidR="00E2140B">
        <w:fldChar w:fldCharType="begin"/>
      </w:r>
      <w:r w:rsidRPr="001B6D09" w:rsidR="00E2140B">
        <w:instrText xml:space="preserve"> REF first_minor_offence_judgment \h </w:instrText>
      </w:r>
      <w:r w:rsidRPr="001B6D09" w:rsidR="005B12FD">
        <w:instrText xml:space="preserve"> \* MERGEFORMAT </w:instrText>
      </w:r>
      <w:r w:rsidRPr="001B6D09" w:rsidR="00E2140B">
        <w:fldChar w:fldCharType="separate"/>
      </w:r>
      <w:r w:rsidRPr="001B6D09" w:rsidR="001B6D09">
        <w:rPr>
          <w:noProof/>
        </w:rPr>
        <w:t>6</w:t>
      </w:r>
      <w:r w:rsidRPr="001B6D09" w:rsidR="00E2140B">
        <w:fldChar w:fldCharType="end"/>
      </w:r>
      <w:r w:rsidRPr="001B6D09" w:rsidR="00E2140B">
        <w:t xml:space="preserve"> </w:t>
      </w:r>
      <w:r w:rsidRPr="001B6D09" w:rsidR="00803186">
        <w:t xml:space="preserve">above) and he was sentenced to a total of </w:t>
      </w:r>
      <w:r w:rsidRPr="001B6D09" w:rsidR="004734F2">
        <w:t>fifty</w:t>
      </w:r>
      <w:r w:rsidRPr="001B6D09" w:rsidR="0024650C">
        <w:noBreakHyphen/>
      </w:r>
      <w:r w:rsidRPr="001B6D09" w:rsidR="004734F2">
        <w:t xml:space="preserve"> nine</w:t>
      </w:r>
      <w:r w:rsidRPr="001B6D09" w:rsidR="00803186">
        <w:t xml:space="preserve"> days</w:t>
      </w:r>
      <w:r w:rsidRPr="001B6D09" w:rsidR="001B6D09">
        <w:t>’</w:t>
      </w:r>
      <w:r w:rsidRPr="001B6D09" w:rsidR="00803186">
        <w:t xml:space="preserve"> imprisonment.</w:t>
      </w:r>
    </w:p>
    <w:bookmarkStart w:name="third_minor_offence_judgment" w:id="7"/>
    <w:p w:rsidRPr="001B6D09" w:rsidR="00EE57D9" w:rsidP="001B6D09" w:rsidRDefault="00C50C9F" w14:paraId="68F7A6E3" w14:textId="08513371">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8</w:t>
      </w:r>
      <w:r w:rsidRPr="001B6D09">
        <w:fldChar w:fldCharType="end"/>
      </w:r>
      <w:bookmarkEnd w:id="7"/>
      <w:r w:rsidRPr="001B6D09">
        <w:t>.  </w:t>
      </w:r>
      <w:r w:rsidRPr="001B6D09" w:rsidR="00EE57D9">
        <w:t xml:space="preserve">On </w:t>
      </w:r>
      <w:r w:rsidRPr="001B6D09" w:rsidR="00803186">
        <w:t xml:space="preserve">3 </w:t>
      </w:r>
      <w:r w:rsidRPr="001B6D09">
        <w:t>April 2007</w:t>
      </w:r>
      <w:r w:rsidRPr="001B6D09" w:rsidR="00EE57D9">
        <w:t xml:space="preserve"> the </w:t>
      </w:r>
      <w:r w:rsidRPr="001B6D09" w:rsidR="00D14C09">
        <w:t>same court</w:t>
      </w:r>
      <w:r w:rsidRPr="001B6D09" w:rsidR="00EE57D9">
        <w:t xml:space="preserve"> found the applicant guilty of a minor offence of domestic violence </w:t>
      </w:r>
      <w:r w:rsidRPr="001B6D09">
        <w:t xml:space="preserve">against his </w:t>
      </w:r>
      <w:r w:rsidRPr="001B6D09" w:rsidR="00803186">
        <w:t xml:space="preserve">wife Mi.G., his son H.G. and his </w:t>
      </w:r>
      <w:r w:rsidRPr="001B6D09">
        <w:t>minor daughter Z.G.</w:t>
      </w:r>
      <w:r w:rsidRPr="001B6D09" w:rsidR="00803186">
        <w:t xml:space="preserve"> committed earlier that same day. He was sentenced to </w:t>
      </w:r>
      <w:r w:rsidRPr="001B6D09" w:rsidR="000C75EF">
        <w:t>forty</w:t>
      </w:r>
      <w:r w:rsidRPr="001B6D09" w:rsidR="00803186">
        <w:t xml:space="preserve"> days</w:t>
      </w:r>
      <w:r w:rsidRPr="001B6D09" w:rsidR="001B6D09">
        <w:t>’</w:t>
      </w:r>
      <w:r w:rsidRPr="001B6D09" w:rsidR="00803186">
        <w:t xml:space="preserve"> imprisonment suspended for ten months.</w:t>
      </w:r>
    </w:p>
    <w:bookmarkStart w:name="first_minor_offence_proceedings" w:id="8"/>
    <w:bookmarkStart w:name="fourth_minor_offence_judgment" w:id="9"/>
    <w:p w:rsidRPr="001B6D09" w:rsidR="007452EF" w:rsidP="001B6D09" w:rsidRDefault="007452EF" w14:paraId="2A0C7C2F" w14:textId="62BD8D30">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9</w:t>
      </w:r>
      <w:r w:rsidRPr="001B6D09">
        <w:fldChar w:fldCharType="end"/>
      </w:r>
      <w:bookmarkEnd w:id="8"/>
      <w:bookmarkEnd w:id="9"/>
      <w:r w:rsidRPr="001B6D09">
        <w:t>.  </w:t>
      </w:r>
      <w:r w:rsidRPr="001B6D09" w:rsidR="004734F2">
        <w:t>On</w:t>
      </w:r>
      <w:r w:rsidRPr="001B6D09">
        <w:t xml:space="preserve"> 16 January 2008 the Zagreb Minor Offences Court found the applicant guilty</w:t>
      </w:r>
      <w:r w:rsidRPr="001B6D09" w:rsidR="005B63B0">
        <w:t xml:space="preserve"> of</w:t>
      </w:r>
      <w:r w:rsidRPr="001B6D09">
        <w:t xml:space="preserve"> a minor offence </w:t>
      </w:r>
      <w:r w:rsidRPr="001B6D09" w:rsidR="000C75EF">
        <w:t>of domestic violence</w:t>
      </w:r>
      <w:r w:rsidRPr="001B6D09">
        <w:t>, in that on 10</w:t>
      </w:r>
      <w:r w:rsidRPr="001B6D09" w:rsidR="0024650C">
        <w:t> </w:t>
      </w:r>
      <w:r w:rsidRPr="001B6D09">
        <w:t>January 2008 he had verbally insulted his daughter</w:t>
      </w:r>
      <w:r w:rsidRPr="001B6D09" w:rsidR="00E727A6">
        <w:t>s</w:t>
      </w:r>
      <w:r w:rsidRPr="001B6D09">
        <w:t xml:space="preserve"> Z.G.</w:t>
      </w:r>
      <w:r w:rsidRPr="001B6D09" w:rsidR="00E727A6">
        <w:t xml:space="preserve"> and M.G. and his wife Mi.G.</w:t>
      </w:r>
      <w:r w:rsidRPr="001B6D09">
        <w:t xml:space="preserve"> </w:t>
      </w:r>
      <w:r w:rsidRPr="001B6D09" w:rsidR="000C75EF">
        <w:t>The</w:t>
      </w:r>
      <w:r w:rsidRPr="001B6D09">
        <w:t xml:space="preserve"> applicant was </w:t>
      </w:r>
      <w:r w:rsidRPr="001B6D09" w:rsidR="00FE38E2">
        <w:t>given</w:t>
      </w:r>
      <w:r w:rsidRPr="001B6D09" w:rsidR="005A6D6D">
        <w:t xml:space="preserve"> </w:t>
      </w:r>
      <w:r w:rsidRPr="001B6D09">
        <w:t>a suspended sentence of seventy-six days</w:t>
      </w:r>
      <w:r w:rsidRPr="001B6D09" w:rsidR="001B6D09">
        <w:t>’</w:t>
      </w:r>
      <w:r w:rsidRPr="001B6D09">
        <w:t xml:space="preserve"> imprisonment, taking into account a </w:t>
      </w:r>
      <w:r w:rsidRPr="001B6D09" w:rsidR="000C75EF">
        <w:t xml:space="preserve">previously imposed </w:t>
      </w:r>
      <w:r w:rsidRPr="001B6D09">
        <w:t xml:space="preserve">suspended sentence </w:t>
      </w:r>
      <w:r w:rsidRPr="001B6D09" w:rsidR="000C75EF">
        <w:t xml:space="preserve">(see paragraph </w:t>
      </w:r>
      <w:r w:rsidRPr="001B6D09" w:rsidR="00E2140B">
        <w:fldChar w:fldCharType="begin"/>
      </w:r>
      <w:r w:rsidRPr="001B6D09" w:rsidR="00E2140B">
        <w:instrText xml:space="preserve"> REF third_minor_offence_judgment \h </w:instrText>
      </w:r>
      <w:r w:rsidRPr="001B6D09" w:rsidR="005B12FD">
        <w:instrText xml:space="preserve"> \* MERGEFORMAT </w:instrText>
      </w:r>
      <w:r w:rsidRPr="001B6D09" w:rsidR="00E2140B">
        <w:fldChar w:fldCharType="separate"/>
      </w:r>
      <w:r w:rsidRPr="001B6D09" w:rsidR="001B6D09">
        <w:rPr>
          <w:noProof/>
        </w:rPr>
        <w:t>8</w:t>
      </w:r>
      <w:r w:rsidRPr="001B6D09" w:rsidR="00E2140B">
        <w:fldChar w:fldCharType="end"/>
      </w:r>
      <w:r w:rsidRPr="001B6D09" w:rsidR="00E2140B">
        <w:t xml:space="preserve"> </w:t>
      </w:r>
      <w:r w:rsidRPr="001B6D09" w:rsidR="000C75EF">
        <w:t>above)</w:t>
      </w:r>
      <w:r w:rsidRPr="001B6D09">
        <w:t xml:space="preserve">, with a one-year probation period. That judgment </w:t>
      </w:r>
      <w:r w:rsidRPr="001B6D09" w:rsidR="005A6D6D">
        <w:t>was upheld on</w:t>
      </w:r>
      <w:r w:rsidRPr="001B6D09">
        <w:t xml:space="preserve"> appeal.</w:t>
      </w:r>
    </w:p>
    <w:p w:rsidRPr="001B6D09" w:rsidR="00246411" w:rsidP="001B6D09" w:rsidRDefault="00246411" w14:paraId="3C04F111" w14:textId="44A1208E">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10</w:t>
      </w:r>
      <w:r w:rsidRPr="001B6D09">
        <w:fldChar w:fldCharType="end"/>
      </w:r>
      <w:r w:rsidRPr="001B6D09">
        <w:t xml:space="preserve">.  On 4 November 2008 the </w:t>
      </w:r>
      <w:r w:rsidRPr="001B6D09" w:rsidR="007B016A">
        <w:t xml:space="preserve">Kutina Social Welfare Centre received a complaint </w:t>
      </w:r>
      <w:r w:rsidRPr="001B6D09" w:rsidR="00A87953">
        <w:t xml:space="preserve">from </w:t>
      </w:r>
      <w:r w:rsidRPr="001B6D09">
        <w:t>M</w:t>
      </w:r>
      <w:r w:rsidRPr="001B6D09" w:rsidR="00707865">
        <w:t>i</w:t>
      </w:r>
      <w:r w:rsidRPr="001B6D09">
        <w:t>.G.</w:t>
      </w:r>
      <w:r w:rsidRPr="001B6D09" w:rsidR="00A87953">
        <w:t xml:space="preserve"> She</w:t>
      </w:r>
      <w:r w:rsidRPr="001B6D09">
        <w:t xml:space="preserve"> alleg</w:t>
      </w:r>
      <w:r w:rsidRPr="001B6D09" w:rsidR="00A87953">
        <w:t>ed</w:t>
      </w:r>
      <w:r w:rsidRPr="001B6D09">
        <w:t xml:space="preserve"> that </w:t>
      </w:r>
      <w:r w:rsidRPr="001B6D09" w:rsidR="00FE38E2">
        <w:t xml:space="preserve">on 3 November 2008 </w:t>
      </w:r>
      <w:r w:rsidRPr="001B6D09" w:rsidR="00220A9C">
        <w:t xml:space="preserve">the applicant </w:t>
      </w:r>
      <w:r w:rsidRPr="001B6D09">
        <w:t>had beh</w:t>
      </w:r>
      <w:r w:rsidRPr="001B6D09" w:rsidR="00142FDF">
        <w:t>a</w:t>
      </w:r>
      <w:r w:rsidRPr="001B6D09">
        <w:t>ved violently</w:t>
      </w:r>
      <w:r w:rsidRPr="001B6D09" w:rsidR="00142FDF">
        <w:t xml:space="preserve"> in their family home</w:t>
      </w:r>
      <w:r w:rsidRPr="001B6D09" w:rsidR="0092368D">
        <w:t xml:space="preserve">, </w:t>
      </w:r>
      <w:r w:rsidRPr="001B6D09" w:rsidR="00A87953">
        <w:t xml:space="preserve">had blamed </w:t>
      </w:r>
      <w:r w:rsidRPr="001B6D09" w:rsidR="0092368D">
        <w:t xml:space="preserve">her for </w:t>
      </w:r>
      <w:r w:rsidRPr="001B6D09" w:rsidR="00A87953">
        <w:t xml:space="preserve">the loss of </w:t>
      </w:r>
      <w:r w:rsidRPr="001B6D09" w:rsidR="0092368D">
        <w:t xml:space="preserve">his job </w:t>
      </w:r>
      <w:r w:rsidRPr="001B6D09" w:rsidR="00142FDF">
        <w:t xml:space="preserve">and had been threatening to kill her since 2005. She </w:t>
      </w:r>
      <w:r w:rsidRPr="001B6D09" w:rsidR="00FE38E2">
        <w:t>produced</w:t>
      </w:r>
      <w:r w:rsidRPr="001B6D09" w:rsidR="00142FDF">
        <w:t xml:space="preserve"> medical documentation </w:t>
      </w:r>
      <w:r w:rsidRPr="001B6D09" w:rsidR="00FE38E2">
        <w:t>of</w:t>
      </w:r>
      <w:r w:rsidRPr="001B6D09" w:rsidR="00142FDF">
        <w:t xml:space="preserve"> the same day</w:t>
      </w:r>
      <w:r w:rsidRPr="001B6D09" w:rsidR="00FE38E2">
        <w:t>,</w:t>
      </w:r>
      <w:r w:rsidRPr="001B6D09" w:rsidR="00142FDF">
        <w:t xml:space="preserve"> indicating that she had su</w:t>
      </w:r>
      <w:r w:rsidRPr="001B6D09" w:rsidR="000772CF">
        <w:t>s</w:t>
      </w:r>
      <w:r w:rsidRPr="001B6D09" w:rsidR="00142FDF">
        <w:t xml:space="preserve">tained </w:t>
      </w:r>
      <w:r w:rsidRPr="001B6D09" w:rsidR="00E1585D">
        <w:t xml:space="preserve">injuries </w:t>
      </w:r>
      <w:r w:rsidRPr="001B6D09" w:rsidR="00121C94">
        <w:t xml:space="preserve">to </w:t>
      </w:r>
      <w:r w:rsidRPr="001B6D09" w:rsidR="00142FDF">
        <w:t>her head.</w:t>
      </w:r>
      <w:r w:rsidRPr="001B6D09" w:rsidR="007B016A">
        <w:t xml:space="preserve"> The Kutina Social Welfare Centre lodged a criminal complaint with the police.</w:t>
      </w:r>
    </w:p>
    <w:bookmarkStart w:name="instituted_MO_proc" w:id="10"/>
    <w:p w:rsidRPr="001B6D09" w:rsidR="001B3726" w:rsidP="001B6D09" w:rsidRDefault="00D57E19" w14:paraId="5B0CD8FF" w14:textId="1F8EEC93">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11</w:t>
      </w:r>
      <w:r w:rsidRPr="001B6D09">
        <w:fldChar w:fldCharType="end"/>
      </w:r>
      <w:bookmarkEnd w:id="10"/>
      <w:r w:rsidRPr="001B6D09">
        <w:t>.  </w:t>
      </w:r>
      <w:r w:rsidRPr="001B6D09" w:rsidR="008C21CB">
        <w:t>On 4 November 20</w:t>
      </w:r>
      <w:r w:rsidRPr="001B6D09" w:rsidR="003735C3">
        <w:t>08</w:t>
      </w:r>
      <w:r w:rsidRPr="001B6D09" w:rsidR="008C21CB">
        <w:t xml:space="preserve"> the police instituted minor</w:t>
      </w:r>
      <w:r w:rsidRPr="001B6D09" w:rsidR="00A87953">
        <w:t>-</w:t>
      </w:r>
      <w:r w:rsidRPr="001B6D09" w:rsidR="008C21CB">
        <w:t xml:space="preserve">offence proceedings against the applicant before the Zagreb Minor Offences Court for the minor offence </w:t>
      </w:r>
      <w:r w:rsidRPr="001B6D09" w:rsidR="00707865">
        <w:t xml:space="preserve">of domestic violence </w:t>
      </w:r>
      <w:r w:rsidRPr="001B6D09" w:rsidR="003706C9">
        <w:t xml:space="preserve">under section 4 and section 18(3) of the Protection against Domestic Violence Act </w:t>
      </w:r>
      <w:r w:rsidRPr="001B6D09" w:rsidR="008C21CB">
        <w:t xml:space="preserve">committed on 3 November 2008 against </w:t>
      </w:r>
      <w:r w:rsidRPr="001B6D09" w:rsidR="004734F2">
        <w:t>Mi.G.</w:t>
      </w:r>
      <w:r w:rsidRPr="001B6D09" w:rsidR="00A87953">
        <w:t xml:space="preserve"> – who by that time was his former spouse –</w:t>
      </w:r>
      <w:r w:rsidRPr="001B6D09" w:rsidR="008C21CB">
        <w:t xml:space="preserve"> and his daughter</w:t>
      </w:r>
      <w:r w:rsidRPr="001B6D09" w:rsidR="00E712C7">
        <w:t xml:space="preserve"> M.G</w:t>
      </w:r>
      <w:r w:rsidRPr="001B6D09" w:rsidR="008C21CB">
        <w:t>.</w:t>
      </w:r>
    </w:p>
    <w:p w:rsidRPr="001B6D09" w:rsidR="008C21CB" w:rsidP="001B6D09" w:rsidRDefault="00224DCB" w14:paraId="4ADD318D" w14:textId="3D629BC9">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12</w:t>
      </w:r>
      <w:r w:rsidRPr="001B6D09">
        <w:fldChar w:fldCharType="end"/>
      </w:r>
      <w:r w:rsidRPr="001B6D09">
        <w:t>.  </w:t>
      </w:r>
      <w:r w:rsidRPr="001B6D09" w:rsidR="008C21CB">
        <w:t>On the same day the applicant was arrested and placed in detention.</w:t>
      </w:r>
    </w:p>
    <w:bookmarkStart w:name="minor_offence_judgment" w:id="11"/>
    <w:bookmarkStart w:name="fifth_minor_offence_judgment" w:id="12"/>
    <w:p w:rsidRPr="001B6D09" w:rsidR="008C21CB" w:rsidP="001B6D09" w:rsidRDefault="00D57E19" w14:paraId="22C2CB96" w14:textId="5743E2CA">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13</w:t>
      </w:r>
      <w:r w:rsidRPr="001B6D09">
        <w:fldChar w:fldCharType="end"/>
      </w:r>
      <w:bookmarkEnd w:id="11"/>
      <w:bookmarkEnd w:id="12"/>
      <w:r w:rsidRPr="001B6D09">
        <w:t>.  </w:t>
      </w:r>
      <w:r w:rsidRPr="001B6D09" w:rsidR="004734F2">
        <w:t>On</w:t>
      </w:r>
      <w:r w:rsidRPr="001B6D09" w:rsidR="008C21CB">
        <w:t xml:space="preserve"> 1</w:t>
      </w:r>
      <w:r w:rsidRPr="001B6D09" w:rsidR="00481870">
        <w:t>7</w:t>
      </w:r>
      <w:r w:rsidRPr="001B6D09" w:rsidR="008C21CB">
        <w:t xml:space="preserve"> November 2008 the Zagreb Minor Offences Court found the applicant guilty </w:t>
      </w:r>
      <w:r w:rsidRPr="001B6D09" w:rsidR="00707865">
        <w:t xml:space="preserve">of </w:t>
      </w:r>
      <w:r w:rsidRPr="001B6D09" w:rsidR="00121C94">
        <w:t>violent behaviour</w:t>
      </w:r>
      <w:r w:rsidRPr="001B6D09" w:rsidR="00135D88">
        <w:t xml:space="preserve"> </w:t>
      </w:r>
      <w:r w:rsidRPr="001B6D09" w:rsidR="00121C94">
        <w:t>with</w:t>
      </w:r>
      <w:r w:rsidRPr="001B6D09" w:rsidR="00707865">
        <w:t xml:space="preserve">in </w:t>
      </w:r>
      <w:r w:rsidRPr="001B6D09" w:rsidR="00135D88">
        <w:t xml:space="preserve">the </w:t>
      </w:r>
      <w:r w:rsidRPr="001B6D09" w:rsidR="00707865">
        <w:t>family</w:t>
      </w:r>
      <w:r w:rsidRPr="001B6D09" w:rsidR="003706C9">
        <w:t xml:space="preserve"> towards Mi.G. and his older daughter M.G.</w:t>
      </w:r>
      <w:r w:rsidRPr="001B6D09" w:rsidR="00707865">
        <w:t xml:space="preserve"> </w:t>
      </w:r>
      <w:r w:rsidRPr="001B6D09" w:rsidR="00135D88">
        <w:t xml:space="preserve">and </w:t>
      </w:r>
      <w:r w:rsidRPr="001B6D09" w:rsidR="008C21CB">
        <w:t xml:space="preserve">sentenced him to </w:t>
      </w:r>
      <w:r w:rsidRPr="001B6D09" w:rsidR="00135D88">
        <w:t>thirty</w:t>
      </w:r>
      <w:r w:rsidRPr="001B6D09" w:rsidR="00416819">
        <w:t xml:space="preserve"> days</w:t>
      </w:r>
      <w:r w:rsidRPr="001B6D09" w:rsidR="001B6D09">
        <w:t>’</w:t>
      </w:r>
      <w:r w:rsidRPr="001B6D09" w:rsidR="00416819">
        <w:t xml:space="preserve"> imprisonment. At the same time it revoked the applicant</w:t>
      </w:r>
      <w:r w:rsidRPr="001B6D09" w:rsidR="001B6D09">
        <w:t>’</w:t>
      </w:r>
      <w:r w:rsidRPr="001B6D09" w:rsidR="00416819">
        <w:t xml:space="preserve">s </w:t>
      </w:r>
      <w:r w:rsidRPr="001B6D09" w:rsidR="00220A9C">
        <w:t xml:space="preserve">previous </w:t>
      </w:r>
      <w:r w:rsidRPr="001B6D09" w:rsidR="00416819">
        <w:t xml:space="preserve">suspended sentence </w:t>
      </w:r>
      <w:r w:rsidRPr="001B6D09" w:rsidR="001456E2">
        <w:t>(see paragraph</w:t>
      </w:r>
      <w:r w:rsidRPr="001B6D09" w:rsidR="009E6070">
        <w:t>s 8 and</w:t>
      </w:r>
      <w:r w:rsidRPr="001B6D09" w:rsidR="001456E2">
        <w:t xml:space="preserve"> </w:t>
      </w:r>
      <w:r w:rsidRPr="001B6D09" w:rsidR="00E2140B">
        <w:fldChar w:fldCharType="begin"/>
      </w:r>
      <w:r w:rsidRPr="001B6D09" w:rsidR="00E2140B">
        <w:instrText xml:space="preserve"> REF fourth_minor_offence_judgment \h </w:instrText>
      </w:r>
      <w:r w:rsidRPr="001B6D09" w:rsidR="005B12FD">
        <w:instrText xml:space="preserve"> \* MERGEFORMAT </w:instrText>
      </w:r>
      <w:r w:rsidRPr="001B6D09" w:rsidR="00E2140B">
        <w:fldChar w:fldCharType="separate"/>
      </w:r>
      <w:r w:rsidRPr="001B6D09" w:rsidR="001B6D09">
        <w:rPr>
          <w:noProof/>
        </w:rPr>
        <w:t>9</w:t>
      </w:r>
      <w:r w:rsidRPr="001B6D09" w:rsidR="00E2140B">
        <w:fldChar w:fldCharType="end"/>
      </w:r>
      <w:r w:rsidRPr="001B6D09" w:rsidR="001456E2">
        <w:t xml:space="preserve"> above)</w:t>
      </w:r>
      <w:r w:rsidRPr="001B6D09" w:rsidR="00135D88">
        <w:t xml:space="preserve">, </w:t>
      </w:r>
      <w:r w:rsidRPr="001B6D09" w:rsidR="00416819">
        <w:t xml:space="preserve">and </w:t>
      </w:r>
      <w:r w:rsidRPr="001B6D09" w:rsidR="00FE38E2">
        <w:t>imposed</w:t>
      </w:r>
      <w:r w:rsidRPr="001B6D09" w:rsidR="00416819">
        <w:t xml:space="preserve"> a sentence of </w:t>
      </w:r>
      <w:r w:rsidRPr="001B6D09" w:rsidR="008C21CB">
        <w:t>112 days</w:t>
      </w:r>
      <w:r w:rsidRPr="001B6D09" w:rsidR="001B6D09">
        <w:t>’</w:t>
      </w:r>
      <w:r w:rsidRPr="001B6D09" w:rsidR="008C21CB">
        <w:t xml:space="preserve"> imprisonment</w:t>
      </w:r>
      <w:r w:rsidRPr="001B6D09" w:rsidR="00135D88">
        <w:t xml:space="preserve"> in total</w:t>
      </w:r>
      <w:r w:rsidRPr="001B6D09" w:rsidR="008C21CB">
        <w:t>.</w:t>
      </w:r>
      <w:r w:rsidRPr="001B6D09" w:rsidR="009478C1">
        <w:t xml:space="preserve"> The rel</w:t>
      </w:r>
      <w:r w:rsidRPr="001B6D09" w:rsidR="00681C2C">
        <w:t>e</w:t>
      </w:r>
      <w:r w:rsidRPr="001B6D09" w:rsidR="009478C1">
        <w:t>vant part of that judgment read as follows:</w:t>
      </w:r>
    </w:p>
    <w:p w:rsidRPr="001B6D09" w:rsidR="00B74C10" w:rsidP="001B6D09" w:rsidRDefault="00681C2C" w14:paraId="2608F968" w14:textId="45BEF6A0">
      <w:pPr>
        <w:pStyle w:val="JuQuot"/>
        <w:jc w:val="both"/>
      </w:pPr>
      <w:r w:rsidRPr="001B6D09">
        <w:t>“</w:t>
      </w:r>
      <w:r w:rsidRPr="001B6D09" w:rsidR="009478C1">
        <w:t>The accused</w:t>
      </w:r>
      <w:r w:rsidRPr="001B6D09" w:rsidR="00995BB4">
        <w:t>,</w:t>
      </w:r>
      <w:r w:rsidRPr="001B6D09" w:rsidR="009478C1">
        <w:t xml:space="preserve"> Miljenko Galovi</w:t>
      </w:r>
      <w:r w:rsidRPr="001B6D09" w:rsidR="009478C1">
        <w:rPr>
          <w:rFonts w:cstheme="minorHAnsi"/>
        </w:rPr>
        <w:t>ć</w:t>
      </w:r>
      <w:r w:rsidRPr="001B6D09" w:rsidR="00995BB4">
        <w:rPr>
          <w:rFonts w:cstheme="minorHAnsi"/>
        </w:rPr>
        <w:t>,</w:t>
      </w:r>
      <w:r w:rsidRPr="001B6D09" w:rsidR="009478C1">
        <w:t xml:space="preserve"> </w:t>
      </w:r>
      <w:r w:rsidRPr="001B6D09" w:rsidR="001B3726">
        <w:t>...</w:t>
      </w:r>
      <w:r w:rsidRPr="001B6D09" w:rsidR="009478C1">
        <w:t xml:space="preserve"> is guilty in th</w:t>
      </w:r>
      <w:r w:rsidRPr="001B6D09" w:rsidR="00707865">
        <w:t xml:space="preserve">at on 3 and 4 November 2008 </w:t>
      </w:r>
      <w:r w:rsidRPr="001B6D09" w:rsidR="009478C1">
        <w:t xml:space="preserve">at 10.02 a.m. in [his] family house in </w:t>
      </w:r>
      <w:r w:rsidRPr="001B6D09" w:rsidR="001B3726">
        <w:t>...</w:t>
      </w:r>
      <w:r w:rsidRPr="001B6D09" w:rsidR="00FE58C1">
        <w:t xml:space="preserve"> </w:t>
      </w:r>
      <w:r w:rsidRPr="001B6D09" w:rsidR="009478C1">
        <w:t>whi</w:t>
      </w:r>
      <w:r w:rsidRPr="001B6D09">
        <w:t>le</w:t>
      </w:r>
      <w:r w:rsidRPr="001B6D09" w:rsidR="009478C1">
        <w:t xml:space="preserve"> being under the influence of alcohol, </w:t>
      </w:r>
      <w:r w:rsidRPr="001B6D09" w:rsidR="00995BB4">
        <w:t xml:space="preserve">he </w:t>
      </w:r>
      <w:r w:rsidRPr="001B6D09" w:rsidR="009478C1">
        <w:t>beh</w:t>
      </w:r>
      <w:r w:rsidRPr="001B6D09">
        <w:t>a</w:t>
      </w:r>
      <w:r w:rsidRPr="001B6D09" w:rsidR="009478C1">
        <w:t xml:space="preserve">ved </w:t>
      </w:r>
      <w:r w:rsidRPr="001B6D09" w:rsidR="00121C94">
        <w:t>violently with</w:t>
      </w:r>
      <w:r w:rsidRPr="001B6D09" w:rsidR="009478C1">
        <w:t>in</w:t>
      </w:r>
      <w:r w:rsidRPr="001B6D09" w:rsidR="00995BB4">
        <w:t xml:space="preserve"> </w:t>
      </w:r>
      <w:r w:rsidRPr="001B6D09" w:rsidR="00121C94">
        <w:t xml:space="preserve">[his] </w:t>
      </w:r>
      <w:r w:rsidRPr="001B6D09" w:rsidR="009478C1">
        <w:t>family</w:t>
      </w:r>
      <w:r w:rsidRPr="001B6D09" w:rsidR="00121C94">
        <w:t>,</w:t>
      </w:r>
      <w:r w:rsidRPr="001B6D09" w:rsidR="009478C1">
        <w:t xml:space="preserve"> in that on 3 November 2008 at about 4 p.m. </w:t>
      </w:r>
      <w:r w:rsidRPr="001B6D09" w:rsidR="00995BB4">
        <w:t xml:space="preserve">he </w:t>
      </w:r>
      <w:r w:rsidRPr="001B6D09" w:rsidR="00FC7D61">
        <w:t>verbally insulted hi</w:t>
      </w:r>
      <w:r w:rsidRPr="001B6D09" w:rsidR="000E0731">
        <w:t>s</w:t>
      </w:r>
      <w:r w:rsidRPr="001B6D09" w:rsidR="00FC7D61">
        <w:t xml:space="preserve"> daughter M.G. </w:t>
      </w:r>
      <w:r w:rsidRPr="001B6D09">
        <w:t>and</w:t>
      </w:r>
      <w:r w:rsidRPr="001B6D09" w:rsidR="00FC7D61">
        <w:t xml:space="preserve"> former spouse Mi.G. by </w:t>
      </w:r>
      <w:r w:rsidRPr="001B6D09" w:rsidR="00995BB4">
        <w:t xml:space="preserve">saying to </w:t>
      </w:r>
      <w:r w:rsidRPr="001B6D09">
        <w:t>th</w:t>
      </w:r>
      <w:r w:rsidRPr="001B6D09" w:rsidR="00FC7D61">
        <w:t xml:space="preserve">em </w:t>
      </w:r>
      <w:r w:rsidRPr="001B6D09" w:rsidR="001B6D09">
        <w:t>‘</w:t>
      </w:r>
      <w:r w:rsidRPr="001B6D09">
        <w:t>W</w:t>
      </w:r>
      <w:r w:rsidRPr="001B6D09" w:rsidR="00FC7D61">
        <w:t>hores, sluts, I</w:t>
      </w:r>
      <w:r w:rsidRPr="001B6D09" w:rsidR="00FE38E2">
        <w:t xml:space="preserve"> ha</w:t>
      </w:r>
      <w:r w:rsidRPr="001B6D09" w:rsidR="00FC7D61">
        <w:t>ve l</w:t>
      </w:r>
      <w:r w:rsidRPr="001B6D09">
        <w:t xml:space="preserve">ost </w:t>
      </w:r>
      <w:r w:rsidRPr="001B6D09" w:rsidR="00FC7D61">
        <w:t>my job</w:t>
      </w:r>
      <w:r w:rsidRPr="001B6D09" w:rsidR="00995BB4">
        <w:t xml:space="preserve"> because of you</w:t>
      </w:r>
      <w:r w:rsidRPr="001B6D09">
        <w:t>!</w:t>
      </w:r>
      <w:r w:rsidRPr="001B6D09" w:rsidR="001B6D09">
        <w:t>’</w:t>
      </w:r>
      <w:r w:rsidRPr="001B6D09" w:rsidR="00995BB4">
        <w:t>,</w:t>
      </w:r>
      <w:r w:rsidRPr="001B6D09" w:rsidR="00FC7D61">
        <w:t xml:space="preserve"> after which his daughter M. left the house, and after her return at about 8.30 p.m. </w:t>
      </w:r>
      <w:r w:rsidRPr="001B6D09">
        <w:t xml:space="preserve">he </w:t>
      </w:r>
      <w:r w:rsidRPr="001B6D09" w:rsidR="00FC7D61">
        <w:t xml:space="preserve">continued to insult her by saying </w:t>
      </w:r>
      <w:r w:rsidRPr="001B6D09" w:rsidR="001B6D09">
        <w:t>‘</w:t>
      </w:r>
      <w:r w:rsidRPr="001B6D09">
        <w:t>S</w:t>
      </w:r>
      <w:r w:rsidRPr="001B6D09" w:rsidR="00FC7D61">
        <w:t>lut, whore, you and your mother, I</w:t>
      </w:r>
      <w:r w:rsidRPr="001B6D09" w:rsidR="00FE38E2">
        <w:t xml:space="preserve"> ha</w:t>
      </w:r>
      <w:r w:rsidRPr="001B6D09" w:rsidR="00FC7D61">
        <w:t xml:space="preserve">ve lost my </w:t>
      </w:r>
      <w:r w:rsidRPr="001B6D09">
        <w:t>j</w:t>
      </w:r>
      <w:r w:rsidRPr="001B6D09" w:rsidR="00FC7D61">
        <w:t>ob</w:t>
      </w:r>
      <w:r w:rsidRPr="001B6D09" w:rsidR="00995BB4">
        <w:t xml:space="preserve"> because of you</w:t>
      </w:r>
      <w:r w:rsidRPr="001B6D09" w:rsidR="00FC7D61">
        <w:t>!</w:t>
      </w:r>
      <w:r w:rsidRPr="001B6D09" w:rsidR="001B6D09">
        <w:t>’</w:t>
      </w:r>
      <w:r w:rsidRPr="001B6D09" w:rsidR="006549D3">
        <w:t>,</w:t>
      </w:r>
      <w:r w:rsidRPr="001B6D09" w:rsidR="00FC7D61">
        <w:t xml:space="preserve"> after which she locke</w:t>
      </w:r>
      <w:r w:rsidRPr="001B6D09">
        <w:t>d</w:t>
      </w:r>
      <w:r w:rsidRPr="001B6D09" w:rsidR="00FC7D61">
        <w:t xml:space="preserve"> hers</w:t>
      </w:r>
      <w:r w:rsidRPr="001B6D09">
        <w:t>e</w:t>
      </w:r>
      <w:r w:rsidRPr="001B6D09" w:rsidR="00FC7D61">
        <w:t xml:space="preserve">lf in a room </w:t>
      </w:r>
      <w:r w:rsidRPr="001B6D09" w:rsidR="00995BB4">
        <w:t xml:space="preserve">while </w:t>
      </w:r>
      <w:r w:rsidRPr="001B6D09" w:rsidR="00FC7D61">
        <w:t>the acc</w:t>
      </w:r>
      <w:r w:rsidRPr="001B6D09">
        <w:t>u</w:t>
      </w:r>
      <w:r w:rsidRPr="001B6D09" w:rsidR="00FC7D61">
        <w:t>sed banged at the door of her room</w:t>
      </w:r>
      <w:r w:rsidRPr="001B6D09" w:rsidR="00995BB4">
        <w:t>,</w:t>
      </w:r>
      <w:r w:rsidRPr="001B6D09" w:rsidR="00FC7D61">
        <w:t xml:space="preserve"> continuing to insu</w:t>
      </w:r>
      <w:r w:rsidRPr="001B6D09">
        <w:t>l</w:t>
      </w:r>
      <w:r w:rsidRPr="001B6D09" w:rsidR="00FC7D61">
        <w:t>t her by sayin</w:t>
      </w:r>
      <w:r w:rsidRPr="001B6D09">
        <w:t xml:space="preserve">g </w:t>
      </w:r>
      <w:r w:rsidRPr="001B6D09" w:rsidR="001B6D09">
        <w:t>‘</w:t>
      </w:r>
      <w:r w:rsidRPr="001B6D09">
        <w:t>S</w:t>
      </w:r>
      <w:r w:rsidRPr="001B6D09" w:rsidR="00FC7D61">
        <w:t>lut, whore, get out of the house, go to your lover, g</w:t>
      </w:r>
      <w:r w:rsidRPr="001B6D09" w:rsidR="00020D0C">
        <w:t>o</w:t>
      </w:r>
      <w:r w:rsidRPr="001B6D09" w:rsidR="00FC7D61">
        <w:t xml:space="preserve"> away!</w:t>
      </w:r>
      <w:r w:rsidRPr="001B6D09" w:rsidR="001B6D09">
        <w:t>’</w:t>
      </w:r>
      <w:r w:rsidRPr="001B6D09" w:rsidR="00662078">
        <w:t>,</w:t>
      </w:r>
      <w:r w:rsidRPr="001B6D09" w:rsidR="00FC7D61">
        <w:t xml:space="preserve"> and on 3 November 2008 at 5 p.m. </w:t>
      </w:r>
      <w:r w:rsidRPr="001B6D09" w:rsidR="00995BB4">
        <w:t xml:space="preserve">he </w:t>
      </w:r>
      <w:r w:rsidRPr="001B6D09" w:rsidR="00FC7D61">
        <w:t>verbally assaulted his former spouse Mi.G. by saying</w:t>
      </w:r>
      <w:r w:rsidRPr="001B6D09">
        <w:t xml:space="preserve"> </w:t>
      </w:r>
      <w:r w:rsidRPr="001B6D09" w:rsidR="001B6D09">
        <w:t>‘</w:t>
      </w:r>
      <w:r w:rsidRPr="001B6D09">
        <w:t>W</w:t>
      </w:r>
      <w:r w:rsidRPr="001B6D09" w:rsidR="00FC7D61">
        <w:t xml:space="preserve">hore, do you know that I got fired </w:t>
      </w:r>
      <w:r w:rsidRPr="001B6D09" w:rsidR="00995BB4">
        <w:t xml:space="preserve">today </w:t>
      </w:r>
      <w:r w:rsidRPr="001B6D09" w:rsidR="00FC7D61">
        <w:t xml:space="preserve">because </w:t>
      </w:r>
      <w:r w:rsidRPr="001B6D09">
        <w:t>of</w:t>
      </w:r>
      <w:r w:rsidRPr="001B6D09" w:rsidR="00FC7D61">
        <w:t xml:space="preserve"> you</w:t>
      </w:r>
      <w:r w:rsidRPr="001B6D09" w:rsidR="00995BB4">
        <w:t>.</w:t>
      </w:r>
      <w:r w:rsidRPr="001B6D09" w:rsidR="00FC7D61">
        <w:t xml:space="preserve"> I will throw you out of the house, I will kill you</w:t>
      </w:r>
      <w:r w:rsidRPr="001B6D09" w:rsidR="00995BB4">
        <w:t>.</w:t>
      </w:r>
      <w:r w:rsidRPr="001B6D09" w:rsidR="00FC7D61">
        <w:t xml:space="preserve"> </w:t>
      </w:r>
      <w:r w:rsidRPr="001B6D09" w:rsidR="00995BB4">
        <w:t>N</w:t>
      </w:r>
      <w:r w:rsidRPr="001B6D09" w:rsidR="00FC7D61">
        <w:t>ow you have no alimony, the bank will take your assets</w:t>
      </w:r>
      <w:r w:rsidRPr="001B6D09" w:rsidR="00995BB4">
        <w:t>.</w:t>
      </w:r>
      <w:r w:rsidRPr="001B6D09" w:rsidR="00FC7D61">
        <w:t xml:space="preserve"> </w:t>
      </w:r>
      <w:r w:rsidRPr="001B6D09" w:rsidR="00995BB4">
        <w:t>S</w:t>
      </w:r>
      <w:r w:rsidRPr="001B6D09" w:rsidR="00FC7D61">
        <w:t xml:space="preserve">ee how </w:t>
      </w:r>
      <w:r w:rsidRPr="001B6D09" w:rsidR="00CE3FDB">
        <w:t>stupid you are</w:t>
      </w:r>
      <w:r w:rsidRPr="001B6D09" w:rsidR="00995BB4">
        <w:t>,</w:t>
      </w:r>
      <w:r w:rsidRPr="001B6D09" w:rsidR="00CE3FDB">
        <w:t xml:space="preserve"> a </w:t>
      </w:r>
      <w:r w:rsidRPr="001B6D09" w:rsidR="00FC7D61">
        <w:t>whore</w:t>
      </w:r>
      <w:r w:rsidRPr="001B6D09" w:rsidR="00CE3FDB">
        <w:t xml:space="preserve"> from Moslavina-Zagorje</w:t>
      </w:r>
      <w:r w:rsidRPr="001B6D09" w:rsidR="00FC7D61">
        <w:t>!</w:t>
      </w:r>
      <w:r w:rsidRPr="001B6D09" w:rsidR="001B6D09">
        <w:t>’</w:t>
      </w:r>
      <w:r w:rsidRPr="001B6D09" w:rsidR="00995BB4">
        <w:t>,</w:t>
      </w:r>
      <w:r w:rsidRPr="001B6D09" w:rsidR="00FC7D61">
        <w:t xml:space="preserve"> after which he went to sleep and when he wo</w:t>
      </w:r>
      <w:r w:rsidRPr="001B6D09">
        <w:t>ke</w:t>
      </w:r>
      <w:r w:rsidRPr="001B6D09" w:rsidR="00FC7D61">
        <w:t xml:space="preserve"> up at 6.30 p.m. he </w:t>
      </w:r>
      <w:r w:rsidRPr="001B6D09" w:rsidR="00995BB4">
        <w:t xml:space="preserve">went </w:t>
      </w:r>
      <w:r w:rsidRPr="001B6D09" w:rsidR="00FC7D61">
        <w:t>to the room where his for</w:t>
      </w:r>
      <w:r w:rsidRPr="001B6D09">
        <w:t>mer</w:t>
      </w:r>
      <w:r w:rsidRPr="001B6D09" w:rsidR="00FC7D61">
        <w:t xml:space="preserve"> spouse was and continued to verbally insult her by saying</w:t>
      </w:r>
      <w:r w:rsidRPr="001B6D09">
        <w:t xml:space="preserve"> </w:t>
      </w:r>
      <w:r w:rsidRPr="001B6D09" w:rsidR="001B6D09">
        <w:t>‘</w:t>
      </w:r>
      <w:r w:rsidRPr="001B6D09">
        <w:t>W</w:t>
      </w:r>
      <w:r w:rsidRPr="001B6D09" w:rsidR="00FC7D61">
        <w:t>hore, I lost my job today</w:t>
      </w:r>
      <w:r w:rsidRPr="001B6D09" w:rsidR="001B6D09">
        <w:t>’</w:t>
      </w:r>
      <w:r w:rsidRPr="001B6D09" w:rsidR="00FC7D61">
        <w:t xml:space="preserve">, after which he physically assaulted her by approaching the bed on which she </w:t>
      </w:r>
      <w:r w:rsidRPr="001B6D09" w:rsidR="00995BB4">
        <w:t xml:space="preserve">was sitting, </w:t>
      </w:r>
      <w:r w:rsidRPr="001B6D09">
        <w:t>grabb</w:t>
      </w:r>
      <w:r w:rsidRPr="001B6D09" w:rsidR="00995BB4">
        <w:t>ing</w:t>
      </w:r>
      <w:r w:rsidRPr="001B6D09" w:rsidR="00FC7D61">
        <w:t xml:space="preserve"> her by the hair </w:t>
      </w:r>
      <w:r w:rsidRPr="001B6D09" w:rsidR="00995BB4">
        <w:t xml:space="preserve">with both hands </w:t>
      </w:r>
      <w:r w:rsidRPr="001B6D09" w:rsidR="00FC7D61">
        <w:t>and thr</w:t>
      </w:r>
      <w:r w:rsidRPr="001B6D09" w:rsidR="00995BB4">
        <w:t>o</w:t>
      </w:r>
      <w:r w:rsidRPr="001B6D09" w:rsidR="00FC7D61">
        <w:t>w</w:t>
      </w:r>
      <w:r w:rsidRPr="001B6D09" w:rsidR="00995BB4">
        <w:t>ing</w:t>
      </w:r>
      <w:r w:rsidRPr="001B6D09" w:rsidR="00FC7D61">
        <w:t xml:space="preserve"> her on</w:t>
      </w:r>
      <w:r w:rsidRPr="001B6D09" w:rsidR="00995BB4">
        <w:t>to</w:t>
      </w:r>
      <w:r w:rsidRPr="001B6D09" w:rsidR="00FC7D61">
        <w:t xml:space="preserve"> the bed</w:t>
      </w:r>
      <w:r w:rsidRPr="001B6D09" w:rsidR="00995BB4">
        <w:t>.</w:t>
      </w:r>
      <w:r w:rsidRPr="001B6D09" w:rsidR="00FC7D61">
        <w:t xml:space="preserve"> </w:t>
      </w:r>
      <w:r w:rsidRPr="001B6D09" w:rsidR="00995BB4">
        <w:t xml:space="preserve">He </w:t>
      </w:r>
      <w:r w:rsidRPr="001B6D09" w:rsidR="00FC7D61">
        <w:t xml:space="preserve">[continued to] hold her by the hair </w:t>
      </w:r>
      <w:r w:rsidRPr="001B6D09" w:rsidR="000E0731">
        <w:t>with</w:t>
      </w:r>
      <w:r w:rsidRPr="001B6D09" w:rsidR="00FC7D61">
        <w:t xml:space="preserve"> his left hand and </w:t>
      </w:r>
      <w:r w:rsidRPr="001B6D09" w:rsidR="000E0731">
        <w:t>with</w:t>
      </w:r>
      <w:r w:rsidRPr="001B6D09" w:rsidR="00FC7D61">
        <w:t xml:space="preserve"> his right </w:t>
      </w:r>
      <w:r w:rsidRPr="001B6D09" w:rsidR="000E0731">
        <w:t xml:space="preserve">hand </w:t>
      </w:r>
      <w:r w:rsidRPr="001B6D09" w:rsidR="00FC7D61">
        <w:t xml:space="preserve">he slapped her several times on the left cheek and ear while </w:t>
      </w:r>
      <w:r w:rsidRPr="001B6D09" w:rsidR="00995BB4">
        <w:t xml:space="preserve">saying to </w:t>
      </w:r>
      <w:r w:rsidRPr="001B6D09" w:rsidR="00FC7D61">
        <w:t>her</w:t>
      </w:r>
      <w:r w:rsidRPr="001B6D09">
        <w:t xml:space="preserve"> </w:t>
      </w:r>
      <w:r w:rsidRPr="001B6D09" w:rsidR="001B6D09">
        <w:t>‘</w:t>
      </w:r>
      <w:r w:rsidRPr="001B6D09">
        <w:t>C</w:t>
      </w:r>
      <w:r w:rsidRPr="001B6D09" w:rsidR="00FC7D61">
        <w:t>ome on</w:t>
      </w:r>
      <w:r w:rsidRPr="001B6D09" w:rsidR="00995BB4">
        <w:t>,</w:t>
      </w:r>
      <w:r w:rsidRPr="001B6D09" w:rsidR="00FC7D61">
        <w:t xml:space="preserve"> </w:t>
      </w:r>
      <w:r w:rsidRPr="001B6D09" w:rsidR="00995BB4">
        <w:t>shout</w:t>
      </w:r>
      <w:r w:rsidRPr="001B6D09" w:rsidR="00FC7D61">
        <w:t xml:space="preserve">, </w:t>
      </w:r>
      <w:r w:rsidRPr="001B6D09" w:rsidR="00995BB4">
        <w:t>shout</w:t>
      </w:r>
      <w:r w:rsidRPr="001B6D09" w:rsidR="00FC7D61">
        <w:t>, I</w:t>
      </w:r>
      <w:r w:rsidRPr="001B6D09" w:rsidR="00FE38E2">
        <w:t xml:space="preserve"> wi</w:t>
      </w:r>
      <w:r w:rsidRPr="001B6D09" w:rsidR="00FC7D61">
        <w:t>ll kill you before the police arrive</w:t>
      </w:r>
      <w:r w:rsidRPr="001B6D09" w:rsidR="00995BB4">
        <w:t>.</w:t>
      </w:r>
      <w:r w:rsidRPr="001B6D09" w:rsidR="00FC7D61">
        <w:t xml:space="preserve"> </w:t>
      </w:r>
      <w:r w:rsidRPr="001B6D09" w:rsidR="00995BB4">
        <w:t>I</w:t>
      </w:r>
      <w:r w:rsidRPr="001B6D09" w:rsidR="00FC7D61">
        <w:t xml:space="preserve">f you put me </w:t>
      </w:r>
      <w:r w:rsidRPr="001B6D09" w:rsidR="00995BB4">
        <w:t xml:space="preserve">in </w:t>
      </w:r>
      <w:r w:rsidRPr="001B6D09" w:rsidR="00FC7D61">
        <w:t>prison</w:t>
      </w:r>
      <w:r w:rsidRPr="001B6D09" w:rsidR="00995BB4">
        <w:t>,</w:t>
      </w:r>
      <w:r w:rsidRPr="001B6D09" w:rsidR="00FC7D61">
        <w:t xml:space="preserve"> after two years</w:t>
      </w:r>
      <w:r w:rsidRPr="001B6D09" w:rsidR="00995BB4">
        <w:t xml:space="preserve"> I</w:t>
      </w:r>
      <w:r w:rsidRPr="001B6D09" w:rsidR="00FE38E2">
        <w:t xml:space="preserve"> wi</w:t>
      </w:r>
      <w:r w:rsidRPr="001B6D09" w:rsidR="00995BB4">
        <w:t>ll find you</w:t>
      </w:r>
      <w:r w:rsidRPr="001B6D09" w:rsidR="00FC7D61">
        <w:t>, you are mine!</w:t>
      </w:r>
      <w:r w:rsidRPr="001B6D09" w:rsidR="001B6D09">
        <w:t>’</w:t>
      </w:r>
    </w:p>
    <w:p w:rsidRPr="001B6D09" w:rsidR="00B74C10" w:rsidP="001B6D09" w:rsidRDefault="001B3726" w14:paraId="4154E24C" w14:textId="746DE776">
      <w:pPr>
        <w:pStyle w:val="JuQuot"/>
        <w:jc w:val="both"/>
      </w:pPr>
      <w:r w:rsidRPr="001B6D09">
        <w:t>...</w:t>
      </w:r>
    </w:p>
    <w:p w:rsidRPr="001B6D09" w:rsidR="009478C1" w:rsidP="001B6D09" w:rsidRDefault="00B74C10" w14:paraId="707A5D71" w14:textId="688BE727">
      <w:pPr>
        <w:pStyle w:val="JuQuot"/>
        <w:jc w:val="both"/>
      </w:pPr>
      <w:r w:rsidRPr="001B6D09">
        <w:t xml:space="preserve">The court inspected </w:t>
      </w:r>
      <w:r w:rsidRPr="001B6D09" w:rsidR="001B3726">
        <w:t>...</w:t>
      </w:r>
      <w:r w:rsidRPr="001B6D09">
        <w:t xml:space="preserve"> the record of examination of blood alcohol [of 4 November 2008]</w:t>
      </w:r>
      <w:r w:rsidRPr="001B6D09" w:rsidR="00FC7D61">
        <w:t>.</w:t>
      </w:r>
      <w:r w:rsidRPr="001B6D09">
        <w:t>”</w:t>
      </w:r>
    </w:p>
    <w:bookmarkStart w:name="High_Minor_Offences_Court_judg" w:id="13"/>
    <w:p w:rsidRPr="001B6D09" w:rsidR="008C21CB" w:rsidP="001B6D09" w:rsidRDefault="00D57E19" w14:paraId="215F9E1B" w14:textId="654022EA">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14</w:t>
      </w:r>
      <w:r w:rsidRPr="001B6D09">
        <w:fldChar w:fldCharType="end"/>
      </w:r>
      <w:bookmarkEnd w:id="13"/>
      <w:r w:rsidRPr="001B6D09">
        <w:t>.  </w:t>
      </w:r>
      <w:r w:rsidRPr="001B6D09" w:rsidR="008C21CB">
        <w:t>By a judgment of 2</w:t>
      </w:r>
      <w:r w:rsidRPr="001B6D09" w:rsidR="00051100">
        <w:t>8</w:t>
      </w:r>
      <w:r w:rsidRPr="001B6D09" w:rsidR="008C21CB">
        <w:t xml:space="preserve"> </w:t>
      </w:r>
      <w:r w:rsidRPr="001B6D09" w:rsidR="00051100">
        <w:t xml:space="preserve">January </w:t>
      </w:r>
      <w:r w:rsidRPr="001B6D09" w:rsidR="008C21CB">
        <w:t>200</w:t>
      </w:r>
      <w:r w:rsidRPr="001B6D09" w:rsidR="00051100">
        <w:t>9</w:t>
      </w:r>
      <w:r w:rsidRPr="001B6D09" w:rsidR="00FC585F">
        <w:t>,</w:t>
      </w:r>
      <w:r w:rsidRPr="001B6D09" w:rsidR="008C21CB">
        <w:t xml:space="preserve"> the High Minor Offences Court </w:t>
      </w:r>
      <w:r w:rsidRPr="001B6D09" w:rsidR="00481870">
        <w:t xml:space="preserve">altered the legal </w:t>
      </w:r>
      <w:r w:rsidRPr="001B6D09" w:rsidR="00FE38E2">
        <w:t>characterisation</w:t>
      </w:r>
      <w:r w:rsidRPr="001B6D09" w:rsidR="00481870">
        <w:t xml:space="preserve"> of the offence and held that it was an offence under section 18(1) of the Protection against Domestic Violence Act</w:t>
      </w:r>
      <w:r w:rsidRPr="001B6D09" w:rsidR="006E610F">
        <w:t>,</w:t>
      </w:r>
      <w:r w:rsidRPr="001B6D09" w:rsidR="00481870">
        <w:t xml:space="preserve"> and not section 18(3) of that </w:t>
      </w:r>
      <w:r w:rsidRPr="001B6D09" w:rsidR="006E610F">
        <w:t>A</w:t>
      </w:r>
      <w:r w:rsidRPr="001B6D09" w:rsidR="00481870">
        <w:t>ct. Otherwise</w:t>
      </w:r>
      <w:r w:rsidRPr="001B6D09" w:rsidR="006E610F">
        <w:t>,</w:t>
      </w:r>
      <w:r w:rsidRPr="001B6D09" w:rsidR="00481870">
        <w:t xml:space="preserve"> it </w:t>
      </w:r>
      <w:r w:rsidRPr="001B6D09" w:rsidR="008C21CB">
        <w:t xml:space="preserve">dismissed </w:t>
      </w:r>
      <w:r w:rsidRPr="001B6D09" w:rsidR="00662078">
        <w:t xml:space="preserve">an </w:t>
      </w:r>
      <w:r w:rsidRPr="001B6D09" w:rsidR="008C21CB">
        <w:t>appeal by the applicant and upheld the first-instance judgment</w:t>
      </w:r>
      <w:r w:rsidRPr="001B6D09" w:rsidR="006E610F">
        <w:t>,</w:t>
      </w:r>
      <w:r w:rsidRPr="001B6D09" w:rsidR="00110130">
        <w:t xml:space="preserve"> which thus became final</w:t>
      </w:r>
      <w:r w:rsidRPr="001B6D09" w:rsidR="008C21CB">
        <w:t>.</w:t>
      </w:r>
    </w:p>
    <w:p w:rsidRPr="001B6D09" w:rsidR="008C21CB" w:rsidP="001B6D09" w:rsidRDefault="00B46142" w14:paraId="6C413491" w14:textId="0AA2A08B">
      <w:pPr>
        <w:pStyle w:val="JuHA"/>
      </w:pPr>
      <w:r w:rsidRPr="001B6D09">
        <w:t>The p</w:t>
      </w:r>
      <w:r w:rsidRPr="001B6D09" w:rsidR="008C21CB">
        <w:t>roceedings</w:t>
      </w:r>
      <w:r w:rsidRPr="001B6D09" w:rsidR="000762D1">
        <w:t xml:space="preserve"> on indictment</w:t>
      </w:r>
    </w:p>
    <w:p w:rsidRPr="001B6D09" w:rsidR="00110130" w:rsidP="001B6D09" w:rsidRDefault="00110130" w14:paraId="1C8A98D0" w14:textId="296548F7">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15</w:t>
      </w:r>
      <w:r w:rsidRPr="001B6D09">
        <w:fldChar w:fldCharType="end"/>
      </w:r>
      <w:r w:rsidRPr="001B6D09">
        <w:t xml:space="preserve">.  On 4 November 2008 Mi.G. lodged a criminal complaint against the applicant </w:t>
      </w:r>
      <w:r w:rsidRPr="001B6D09" w:rsidR="007E3A94">
        <w:t xml:space="preserve">with </w:t>
      </w:r>
      <w:r w:rsidRPr="001B6D09">
        <w:t>the Kutina police</w:t>
      </w:r>
      <w:r w:rsidRPr="001B6D09" w:rsidR="007E3A94">
        <w:t>,</w:t>
      </w:r>
      <w:r w:rsidRPr="001B6D09">
        <w:t xml:space="preserve"> </w:t>
      </w:r>
      <w:r w:rsidRPr="001B6D09" w:rsidR="009E6070">
        <w:t>concerning</w:t>
      </w:r>
      <w:r w:rsidRPr="001B6D09">
        <w:t xml:space="preserve"> the event</w:t>
      </w:r>
      <w:r w:rsidRPr="001B6D09" w:rsidR="007E3A94">
        <w:t>s</w:t>
      </w:r>
      <w:r w:rsidRPr="001B6D09">
        <w:t xml:space="preserve"> of 3 November 2008. On 2 December 2008 the police supplemented </w:t>
      </w:r>
      <w:r w:rsidRPr="001B6D09" w:rsidR="004734F2">
        <w:t>Mi.G.</w:t>
      </w:r>
      <w:r w:rsidRPr="001B6D09" w:rsidR="001B6D09">
        <w:t>’</w:t>
      </w:r>
      <w:r w:rsidRPr="001B6D09" w:rsidR="004734F2">
        <w:t xml:space="preserve">s criminal complaint </w:t>
      </w:r>
      <w:r w:rsidRPr="001B6D09">
        <w:t>with previ</w:t>
      </w:r>
      <w:r w:rsidRPr="001B6D09" w:rsidR="00005D55">
        <w:t>o</w:t>
      </w:r>
      <w:r w:rsidRPr="001B6D09">
        <w:t xml:space="preserve">us events covering the period between </w:t>
      </w:r>
      <w:r w:rsidRPr="001B6D09" w:rsidR="00005D55">
        <w:t>February 2005 and 4 November 2008</w:t>
      </w:r>
      <w:r w:rsidRPr="001B6D09" w:rsidR="00BE6028">
        <w:t xml:space="preserve"> and forwarded </w:t>
      </w:r>
      <w:r w:rsidRPr="001B6D09" w:rsidR="004734F2">
        <w:t xml:space="preserve">it </w:t>
      </w:r>
      <w:r w:rsidRPr="001B6D09" w:rsidR="00BE6028">
        <w:t>to the Zagreb Municipal State Attorney</w:t>
      </w:r>
      <w:r w:rsidRPr="001B6D09" w:rsidR="001B6D09">
        <w:t>’</w:t>
      </w:r>
      <w:r w:rsidRPr="001B6D09" w:rsidR="00BE6028">
        <w:t>s Office</w:t>
      </w:r>
      <w:r w:rsidRPr="001B6D09" w:rsidR="00005D55">
        <w:t>.</w:t>
      </w:r>
    </w:p>
    <w:p w:rsidRPr="001B6D09" w:rsidR="008C21CB" w:rsidP="001B6D09" w:rsidRDefault="00D57E19" w14:paraId="0C151A0A" w14:textId="6D6F1AE9">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16</w:t>
      </w:r>
      <w:r w:rsidRPr="001B6D09">
        <w:fldChar w:fldCharType="end"/>
      </w:r>
      <w:r w:rsidRPr="001B6D09">
        <w:t>.  </w:t>
      </w:r>
      <w:r w:rsidRPr="001B6D09" w:rsidR="008C21CB">
        <w:t xml:space="preserve">On 2 December 2008 the applicant was transferred from detention </w:t>
      </w:r>
      <w:r w:rsidRPr="001B6D09" w:rsidR="007E3A94">
        <w:t xml:space="preserve">for minor offences </w:t>
      </w:r>
      <w:r w:rsidRPr="001B6D09" w:rsidR="008C21CB">
        <w:t>to criminal detention</w:t>
      </w:r>
      <w:r w:rsidRPr="001B6D09" w:rsidR="007E3A94">
        <w:t>,</w:t>
      </w:r>
      <w:r w:rsidRPr="001B6D09" w:rsidR="008C21CB">
        <w:t xml:space="preserve"> </w:t>
      </w:r>
      <w:r w:rsidRPr="001B6D09" w:rsidR="007E3A94">
        <w:t xml:space="preserve">on </w:t>
      </w:r>
      <w:r w:rsidRPr="001B6D09" w:rsidR="008C21CB">
        <w:t>suspicion of having committed criminal offence</w:t>
      </w:r>
      <w:r w:rsidRPr="001B6D09" w:rsidR="00443B9A">
        <w:t xml:space="preserve">s: </w:t>
      </w:r>
      <w:r w:rsidRPr="001B6D09" w:rsidR="008C21CB">
        <w:t xml:space="preserve">domestic violence against his </w:t>
      </w:r>
      <w:r w:rsidRPr="001B6D09" w:rsidR="006B6298">
        <w:t>spouse</w:t>
      </w:r>
      <w:r w:rsidRPr="001B6D09" w:rsidR="008C21CB">
        <w:t xml:space="preserve">, his </w:t>
      </w:r>
      <w:r w:rsidRPr="001B6D09" w:rsidR="004734F2">
        <w:t>two</w:t>
      </w:r>
      <w:r w:rsidRPr="001B6D09" w:rsidR="008C21CB">
        <w:t xml:space="preserve"> daughter</w:t>
      </w:r>
      <w:r w:rsidRPr="001B6D09" w:rsidR="004734F2">
        <w:t>s</w:t>
      </w:r>
      <w:r w:rsidRPr="001B6D09" w:rsidR="008C21CB">
        <w:t xml:space="preserve"> and his son</w:t>
      </w:r>
      <w:r w:rsidRPr="001B6D09" w:rsidR="00443B9A">
        <w:t>;</w:t>
      </w:r>
      <w:r w:rsidRPr="001B6D09" w:rsidR="008C21CB">
        <w:t xml:space="preserve"> and child neglect and abuse against his younger daughter.</w:t>
      </w:r>
    </w:p>
    <w:bookmarkStart w:name="cooperation" w:id="14"/>
    <w:bookmarkStart w:name="instituted_crim_proc" w:id="15"/>
    <w:p w:rsidRPr="001B6D09" w:rsidR="00246411" w:rsidP="001B6D09" w:rsidRDefault="00D57E19" w14:paraId="2094A722" w14:textId="5FBBDABB">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17</w:t>
      </w:r>
      <w:r w:rsidRPr="001B6D09">
        <w:fldChar w:fldCharType="end"/>
      </w:r>
      <w:bookmarkEnd w:id="14"/>
      <w:bookmarkEnd w:id="15"/>
      <w:r w:rsidRPr="001B6D09">
        <w:t>.  </w:t>
      </w:r>
      <w:r w:rsidRPr="001B6D09" w:rsidR="00246411">
        <w:t>On 3 December 2008</w:t>
      </w:r>
      <w:r w:rsidRPr="001B6D09" w:rsidR="00507C48">
        <w:t>, referring among other things to documents on the basis of which the previous minor offence proceedin</w:t>
      </w:r>
      <w:r w:rsidRPr="001B6D09" w:rsidR="001456E2">
        <w:t>g</w:t>
      </w:r>
      <w:r w:rsidRPr="001B6D09" w:rsidR="00507C48">
        <w:t>s had been conducted,</w:t>
      </w:r>
      <w:r w:rsidRPr="001B6D09" w:rsidR="00246411">
        <w:t xml:space="preserve"> </w:t>
      </w:r>
      <w:r w:rsidRPr="001B6D09" w:rsidR="007E3A94">
        <w:t>the Zagreb Municipal State Attorney</w:t>
      </w:r>
      <w:r w:rsidRPr="001B6D09" w:rsidR="001B6D09">
        <w:t>’</w:t>
      </w:r>
      <w:r w:rsidRPr="001B6D09" w:rsidR="007E3A94">
        <w:t xml:space="preserve">s Office </w:t>
      </w:r>
      <w:r w:rsidRPr="001B6D09" w:rsidR="00507C48">
        <w:t xml:space="preserve">requested the investigating judge to conduct investigative activities </w:t>
      </w:r>
      <w:r w:rsidRPr="001B6D09" w:rsidR="00110130">
        <w:t>in respect of</w:t>
      </w:r>
      <w:r w:rsidRPr="001B6D09" w:rsidR="00246411">
        <w:t xml:space="preserve"> the applicant </w:t>
      </w:r>
      <w:r w:rsidRPr="001B6D09" w:rsidR="007E3A94">
        <w:t xml:space="preserve">in relation to </w:t>
      </w:r>
      <w:r w:rsidRPr="001B6D09" w:rsidR="00443B9A">
        <w:t xml:space="preserve">criminal offences: </w:t>
      </w:r>
      <w:r w:rsidRPr="001B6D09" w:rsidR="008F24EF">
        <w:t xml:space="preserve">four </w:t>
      </w:r>
      <w:r w:rsidRPr="001B6D09" w:rsidR="00246411">
        <w:t xml:space="preserve">counts of domestic violence </w:t>
      </w:r>
      <w:r w:rsidRPr="001B6D09" w:rsidR="00FD051F">
        <w:t xml:space="preserve">perpetrated against his former spouse, his two daughters and his son, </w:t>
      </w:r>
      <w:r w:rsidRPr="001B6D09" w:rsidR="00246411">
        <w:t>and one count of child neglect and abuse</w:t>
      </w:r>
      <w:r w:rsidRPr="001B6D09" w:rsidR="00A916CA">
        <w:t xml:space="preserve"> against his younger daughter</w:t>
      </w:r>
      <w:r w:rsidRPr="001B6D09" w:rsidR="00E712C7">
        <w:t xml:space="preserve"> Z.G</w:t>
      </w:r>
      <w:r w:rsidRPr="001B6D09" w:rsidR="00246411">
        <w:t>.</w:t>
      </w:r>
      <w:r w:rsidRPr="001B6D09" w:rsidR="00142FDF">
        <w:t xml:space="preserve"> On the same day the applicant was heard by an investigating judge of the same court, in the presence of E.H, a defence lawyer of his own choosing. He denied the charges against him. The investigating judge ordered </w:t>
      </w:r>
      <w:r w:rsidRPr="001B6D09" w:rsidR="006434B0">
        <w:t xml:space="preserve">that </w:t>
      </w:r>
      <w:r w:rsidRPr="001B6D09" w:rsidR="00142FDF">
        <w:t>the applicant</w:t>
      </w:r>
      <w:r w:rsidRPr="001B6D09" w:rsidR="006434B0">
        <w:t xml:space="preserve"> be</w:t>
      </w:r>
      <w:r w:rsidRPr="001B6D09" w:rsidR="00142FDF">
        <w:t xml:space="preserve"> </w:t>
      </w:r>
      <w:r w:rsidRPr="001B6D09" w:rsidR="006434B0">
        <w:t xml:space="preserve">detained </w:t>
      </w:r>
      <w:r w:rsidRPr="001B6D09" w:rsidR="00142FDF">
        <w:t xml:space="preserve">for forty-eight hours on the grounds </w:t>
      </w:r>
      <w:r w:rsidRPr="001B6D09" w:rsidR="006434B0">
        <w:t xml:space="preserve">that there was a </w:t>
      </w:r>
      <w:r w:rsidRPr="001B6D09" w:rsidR="00142FDF">
        <w:t xml:space="preserve">danger </w:t>
      </w:r>
      <w:r w:rsidRPr="001B6D09" w:rsidR="006434B0">
        <w:t xml:space="preserve">that he would </w:t>
      </w:r>
      <w:r w:rsidRPr="001B6D09" w:rsidR="00142FDF">
        <w:t>suborn witnesses.</w:t>
      </w:r>
    </w:p>
    <w:p w:rsidRPr="001B6D09" w:rsidR="00142FDF" w:rsidP="001B6D09" w:rsidRDefault="00D57E19" w14:paraId="01DC915B" w14:textId="0B2EA35D">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18</w:t>
      </w:r>
      <w:r w:rsidRPr="001B6D09">
        <w:fldChar w:fldCharType="end"/>
      </w:r>
      <w:r w:rsidRPr="001B6D09">
        <w:t>.  </w:t>
      </w:r>
      <w:r w:rsidRPr="001B6D09" w:rsidR="0092368D">
        <w:t>The applicant</w:t>
      </w:r>
      <w:r w:rsidRPr="001B6D09" w:rsidR="001B6D09">
        <w:t>’</w:t>
      </w:r>
      <w:r w:rsidRPr="001B6D09" w:rsidR="0092368D">
        <w:t xml:space="preserve">s detention was </w:t>
      </w:r>
      <w:r w:rsidRPr="001B6D09">
        <w:t>subsequently</w:t>
      </w:r>
      <w:r w:rsidRPr="001B6D09" w:rsidR="0092368D">
        <w:t xml:space="preserve"> extended</w:t>
      </w:r>
      <w:r w:rsidRPr="001B6D09">
        <w:t xml:space="preserve"> throughout the investigation and his trial</w:t>
      </w:r>
      <w:r w:rsidRPr="001B6D09" w:rsidR="0092368D">
        <w:t>.</w:t>
      </w:r>
    </w:p>
    <w:bookmarkStart w:name="defence1" w:id="16"/>
    <w:p w:rsidRPr="001B6D09" w:rsidR="0092368D" w:rsidP="001B6D09" w:rsidRDefault="00D57E19" w14:paraId="05C106E9" w14:textId="3C6E1255">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19</w:t>
      </w:r>
      <w:r w:rsidRPr="001B6D09">
        <w:fldChar w:fldCharType="end"/>
      </w:r>
      <w:bookmarkEnd w:id="16"/>
      <w:r w:rsidRPr="001B6D09">
        <w:t>.  </w:t>
      </w:r>
      <w:r w:rsidRPr="001B6D09" w:rsidR="0092368D">
        <w:t>On 12 December 2008 the applicant sent his written defence to the investigating judge.</w:t>
      </w:r>
    </w:p>
    <w:p w:rsidRPr="001B6D09" w:rsidR="0092368D" w:rsidP="001B6D09" w:rsidRDefault="00D57E19" w14:paraId="5932CA9F" w14:textId="3AC2CFD3">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20</w:t>
      </w:r>
      <w:r w:rsidRPr="001B6D09">
        <w:fldChar w:fldCharType="end"/>
      </w:r>
      <w:r w:rsidRPr="001B6D09">
        <w:t>.  </w:t>
      </w:r>
      <w:r w:rsidRPr="001B6D09" w:rsidR="0092368D">
        <w:t>On 15 December 2008 the investigating judge he</w:t>
      </w:r>
      <w:r w:rsidRPr="001B6D09">
        <w:t>ard</w:t>
      </w:r>
      <w:r w:rsidRPr="001B6D09" w:rsidR="0092368D">
        <w:t xml:space="preserve"> evidence from</w:t>
      </w:r>
      <w:r w:rsidRPr="001B6D09" w:rsidR="006434B0">
        <w:t>: an</w:t>
      </w:r>
      <w:r w:rsidRPr="001B6D09" w:rsidR="0092368D">
        <w:t xml:space="preserve"> expert witness in psychiatry who had carried out </w:t>
      </w:r>
      <w:r w:rsidRPr="001B6D09" w:rsidR="00400A6A">
        <w:t xml:space="preserve">a </w:t>
      </w:r>
      <w:r w:rsidRPr="001B6D09" w:rsidR="0092368D">
        <w:t>psychiatric examination of the applicant</w:t>
      </w:r>
      <w:r w:rsidRPr="001B6D09" w:rsidR="006434B0">
        <w:t xml:space="preserve"> in 2005,</w:t>
      </w:r>
      <w:r w:rsidRPr="001B6D09" w:rsidR="0092368D">
        <w:t xml:space="preserve"> a l</w:t>
      </w:r>
      <w:r w:rsidRPr="001B6D09">
        <w:t>a</w:t>
      </w:r>
      <w:r w:rsidRPr="001B6D09" w:rsidR="0092368D">
        <w:t xml:space="preserve">wyer </w:t>
      </w:r>
      <w:r w:rsidRPr="001B6D09" w:rsidR="006434B0">
        <w:t xml:space="preserve">from the </w:t>
      </w:r>
      <w:r w:rsidRPr="001B6D09" w:rsidR="0092368D">
        <w:t xml:space="preserve">Social Welfare </w:t>
      </w:r>
      <w:r w:rsidRPr="001B6D09" w:rsidR="006434B0">
        <w:t xml:space="preserve">Centre </w:t>
      </w:r>
      <w:r w:rsidRPr="001B6D09" w:rsidR="0092368D">
        <w:t xml:space="preserve">in charge </w:t>
      </w:r>
      <w:r w:rsidRPr="001B6D09">
        <w:t>of</w:t>
      </w:r>
      <w:r w:rsidRPr="001B6D09" w:rsidR="0092368D">
        <w:t xml:space="preserve"> the app</w:t>
      </w:r>
      <w:r w:rsidRPr="001B6D09">
        <w:t>licant</w:t>
      </w:r>
      <w:r w:rsidRPr="001B6D09" w:rsidR="0092368D">
        <w:t xml:space="preserve"> and his family</w:t>
      </w:r>
      <w:r w:rsidRPr="001B6D09" w:rsidR="006434B0">
        <w:t>,</w:t>
      </w:r>
      <w:r w:rsidRPr="001B6D09" w:rsidR="0092368D">
        <w:t xml:space="preserve"> and the applicant</w:t>
      </w:r>
      <w:r w:rsidRPr="001B6D09" w:rsidR="001B6D09">
        <w:t>’</w:t>
      </w:r>
      <w:r w:rsidRPr="001B6D09" w:rsidR="0092368D">
        <w:t xml:space="preserve">s former </w:t>
      </w:r>
      <w:r w:rsidRPr="001B6D09" w:rsidR="006B6298">
        <w:t>spouse</w:t>
      </w:r>
      <w:r w:rsidRPr="001B6D09" w:rsidR="00E712C7">
        <w:t xml:space="preserve"> Mi.G</w:t>
      </w:r>
      <w:r w:rsidRPr="001B6D09" w:rsidR="0092368D">
        <w:t xml:space="preserve">. </w:t>
      </w:r>
      <w:r w:rsidRPr="001B6D09" w:rsidR="006434B0">
        <w:t>Neither t</w:t>
      </w:r>
      <w:r w:rsidRPr="001B6D09" w:rsidR="0092368D">
        <w:t xml:space="preserve">he applicant </w:t>
      </w:r>
      <w:r w:rsidRPr="001B6D09" w:rsidR="006434B0">
        <w:t xml:space="preserve">nor </w:t>
      </w:r>
      <w:r w:rsidRPr="001B6D09" w:rsidR="0092368D">
        <w:t>his defence lawyer w</w:t>
      </w:r>
      <w:r w:rsidRPr="001B6D09" w:rsidR="00400A6A">
        <w:t>as</w:t>
      </w:r>
      <w:r w:rsidRPr="001B6D09" w:rsidR="0092368D">
        <w:t xml:space="preserve"> present.</w:t>
      </w:r>
    </w:p>
    <w:p w:rsidRPr="001B6D09" w:rsidR="0092368D" w:rsidP="001B6D09" w:rsidRDefault="00D57E19" w14:paraId="0C942C84" w14:textId="34DA906B">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21</w:t>
      </w:r>
      <w:r w:rsidRPr="001B6D09">
        <w:fldChar w:fldCharType="end"/>
      </w:r>
      <w:r w:rsidRPr="001B6D09">
        <w:t>.  </w:t>
      </w:r>
      <w:r w:rsidRPr="001B6D09" w:rsidR="0092368D">
        <w:t>On 20 Jan</w:t>
      </w:r>
      <w:r w:rsidRPr="001B6D09">
        <w:t>ua</w:t>
      </w:r>
      <w:r w:rsidRPr="001B6D09" w:rsidR="0092368D">
        <w:t>ry 2009 the investigating judge heard evidence from the applicant</w:t>
      </w:r>
      <w:r w:rsidRPr="001B6D09" w:rsidR="001B6D09">
        <w:t>’</w:t>
      </w:r>
      <w:r w:rsidRPr="001B6D09" w:rsidR="0092368D">
        <w:t>s son</w:t>
      </w:r>
      <w:r w:rsidRPr="001B6D09" w:rsidR="00E712C7">
        <w:t xml:space="preserve"> H.G</w:t>
      </w:r>
      <w:r w:rsidRPr="001B6D09" w:rsidR="00347171">
        <w:t xml:space="preserve"> and his older daughter M.G</w:t>
      </w:r>
      <w:r w:rsidRPr="001B6D09" w:rsidR="0092368D">
        <w:t>. The applicant</w:t>
      </w:r>
      <w:r w:rsidRPr="001B6D09" w:rsidR="001B6D09">
        <w:t>’</w:t>
      </w:r>
      <w:r w:rsidRPr="001B6D09" w:rsidR="0092368D">
        <w:t>s defence lawyer was present.</w:t>
      </w:r>
    </w:p>
    <w:p w:rsidRPr="001B6D09" w:rsidR="0092368D" w:rsidP="001B6D09" w:rsidRDefault="00D57E19" w14:paraId="2B7C8AB0" w14:textId="0848B6DF">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22</w:t>
      </w:r>
      <w:r w:rsidRPr="001B6D09">
        <w:fldChar w:fldCharType="end"/>
      </w:r>
      <w:r w:rsidRPr="001B6D09">
        <w:t>.  </w:t>
      </w:r>
      <w:r w:rsidRPr="001B6D09" w:rsidR="0092368D">
        <w:t>On 21 January 2009 the investigating judge heard evidence from the applicant</w:t>
      </w:r>
      <w:r w:rsidRPr="001B6D09" w:rsidR="001B6D09">
        <w:t>’</w:t>
      </w:r>
      <w:r w:rsidRPr="001B6D09" w:rsidR="0092368D">
        <w:t xml:space="preserve">s </w:t>
      </w:r>
      <w:r w:rsidRPr="001B6D09" w:rsidR="004734F2">
        <w:t xml:space="preserve">younger </w:t>
      </w:r>
      <w:r w:rsidRPr="001B6D09">
        <w:t>daughter</w:t>
      </w:r>
      <w:r w:rsidRPr="001B6D09" w:rsidR="004734F2">
        <w:t xml:space="preserve"> Z.G</w:t>
      </w:r>
      <w:r w:rsidRPr="001B6D09" w:rsidR="0092368D">
        <w:t xml:space="preserve">. </w:t>
      </w:r>
      <w:r w:rsidRPr="001B6D09" w:rsidR="00400A6A">
        <w:t>Neither t</w:t>
      </w:r>
      <w:r w:rsidRPr="001B6D09" w:rsidR="0092368D">
        <w:t xml:space="preserve">he applicant </w:t>
      </w:r>
      <w:r w:rsidRPr="001B6D09" w:rsidR="00400A6A">
        <w:t xml:space="preserve">nor </w:t>
      </w:r>
      <w:r w:rsidRPr="001B6D09" w:rsidR="0092368D">
        <w:t xml:space="preserve">his defence lawyer </w:t>
      </w:r>
      <w:r w:rsidRPr="001B6D09" w:rsidR="00400A6A">
        <w:t xml:space="preserve">was </w:t>
      </w:r>
      <w:r w:rsidRPr="001B6D09" w:rsidR="0092368D">
        <w:t>present.</w:t>
      </w:r>
    </w:p>
    <w:bookmarkStart w:name="criminal_indictment" w:id="17"/>
    <w:p w:rsidRPr="001B6D09" w:rsidR="008C21CB" w:rsidP="001B6D09" w:rsidRDefault="00D57E19" w14:paraId="63E14765" w14:textId="4FA6581A">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23</w:t>
      </w:r>
      <w:r w:rsidRPr="001B6D09">
        <w:fldChar w:fldCharType="end"/>
      </w:r>
      <w:bookmarkEnd w:id="17"/>
      <w:r w:rsidRPr="001B6D09">
        <w:t>.  </w:t>
      </w:r>
      <w:r w:rsidRPr="001B6D09" w:rsidR="008C21CB">
        <w:t>On 26 January 2009 the Zagreb State Attorney</w:t>
      </w:r>
      <w:r w:rsidRPr="001B6D09" w:rsidR="001B6D09">
        <w:t>’</w:t>
      </w:r>
      <w:r w:rsidRPr="001B6D09" w:rsidR="008C21CB">
        <w:t>s Office indicted the applicant before the Zagreb Municipal Criminal Court (</w:t>
      </w:r>
      <w:r w:rsidRPr="001B6D09" w:rsidR="008C21CB">
        <w:rPr>
          <w:i/>
        </w:rPr>
        <w:t>Općinski kazneni sud u Zagrebu</w:t>
      </w:r>
      <w:r w:rsidRPr="001B6D09" w:rsidR="002021FB">
        <w:t xml:space="preserve">, hereinafter </w:t>
      </w:r>
      <w:r w:rsidRPr="001B6D09" w:rsidR="00400A6A">
        <w:t>“</w:t>
      </w:r>
      <w:r w:rsidRPr="001B6D09" w:rsidR="002021FB">
        <w:t>the Municipal Court</w:t>
      </w:r>
      <w:r w:rsidRPr="001B6D09" w:rsidR="00400A6A">
        <w:t>”</w:t>
      </w:r>
      <w:r w:rsidRPr="001B6D09" w:rsidR="008C21CB">
        <w:t>)</w:t>
      </w:r>
      <w:r w:rsidRPr="001B6D09" w:rsidR="00B34F99">
        <w:t xml:space="preserve"> for criminal offences</w:t>
      </w:r>
      <w:r w:rsidRPr="001B6D09" w:rsidR="008C21CB">
        <w:t xml:space="preserve">: </w:t>
      </w:r>
      <w:r w:rsidRPr="001B6D09" w:rsidR="009F00FA">
        <w:t xml:space="preserve">four </w:t>
      </w:r>
      <w:r w:rsidRPr="001B6D09" w:rsidR="008C21CB">
        <w:t xml:space="preserve">counts of domestic violence </w:t>
      </w:r>
      <w:r w:rsidRPr="001B6D09" w:rsidR="00400A6A">
        <w:t xml:space="preserve">as </w:t>
      </w:r>
      <w:r w:rsidRPr="001B6D09" w:rsidR="008C21CB">
        <w:t>defined in Article 215a of the Criminal Code</w:t>
      </w:r>
      <w:r w:rsidRPr="001B6D09" w:rsidR="00400A6A">
        <w:t>,</w:t>
      </w:r>
      <w:r w:rsidRPr="001B6D09" w:rsidR="008C21CB">
        <w:t xml:space="preserve"> perpetrated against his former </w:t>
      </w:r>
      <w:r w:rsidRPr="001B6D09" w:rsidR="006B6298">
        <w:t>spouse</w:t>
      </w:r>
      <w:r w:rsidRPr="001B6D09" w:rsidR="008C21CB">
        <w:t xml:space="preserve">, his </w:t>
      </w:r>
      <w:r w:rsidRPr="001B6D09" w:rsidR="00E712C7">
        <w:t xml:space="preserve">two </w:t>
      </w:r>
      <w:r w:rsidRPr="001B6D09" w:rsidR="008C21CB">
        <w:t>daughter</w:t>
      </w:r>
      <w:r w:rsidRPr="001B6D09" w:rsidR="00E712C7">
        <w:t>s</w:t>
      </w:r>
      <w:r w:rsidRPr="001B6D09" w:rsidR="008C21CB">
        <w:t xml:space="preserve"> and his son</w:t>
      </w:r>
      <w:r w:rsidRPr="001B6D09" w:rsidR="00400A6A">
        <w:t>;</w:t>
      </w:r>
      <w:r w:rsidRPr="001B6D09" w:rsidR="008C21CB">
        <w:t xml:space="preserve"> and one count of child neglect and abuse </w:t>
      </w:r>
      <w:r w:rsidRPr="001B6D09" w:rsidR="00400A6A">
        <w:t xml:space="preserve">as </w:t>
      </w:r>
      <w:r w:rsidRPr="001B6D09" w:rsidR="008C21CB">
        <w:t>defined in Article 213 of the Criminal Code</w:t>
      </w:r>
      <w:r w:rsidRPr="001B6D09" w:rsidR="00400A6A">
        <w:t>,</w:t>
      </w:r>
      <w:r w:rsidRPr="001B6D09" w:rsidR="008C21CB">
        <w:t xml:space="preserve"> committed against his </w:t>
      </w:r>
      <w:r w:rsidRPr="001B6D09" w:rsidR="00040C5F">
        <w:t xml:space="preserve">minor </w:t>
      </w:r>
      <w:r w:rsidRPr="001B6D09" w:rsidR="008C21CB">
        <w:t>daughter</w:t>
      </w:r>
      <w:r w:rsidRPr="001B6D09" w:rsidR="009F00FA">
        <w:t xml:space="preserve"> Z.G</w:t>
      </w:r>
      <w:r w:rsidRPr="001B6D09" w:rsidR="008C21CB">
        <w:t>. According to the indictment</w:t>
      </w:r>
      <w:r w:rsidRPr="001B6D09" w:rsidR="00400A6A">
        <w:t>,</w:t>
      </w:r>
      <w:r w:rsidRPr="001B6D09" w:rsidR="008C21CB">
        <w:t xml:space="preserve"> these offences were perpetrated in the period between February 2005 and 3 November 2008.</w:t>
      </w:r>
    </w:p>
    <w:p w:rsidRPr="001B6D09" w:rsidR="00D57E19" w:rsidP="001B6D09" w:rsidRDefault="00D57E19" w14:paraId="547CD624" w14:textId="53E80B22">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24</w:t>
      </w:r>
      <w:r w:rsidRPr="001B6D09">
        <w:fldChar w:fldCharType="end"/>
      </w:r>
      <w:r w:rsidRPr="001B6D09">
        <w:t>.  </w:t>
      </w:r>
      <w:r w:rsidRPr="001B6D09" w:rsidR="002021FB">
        <w:t xml:space="preserve">On 10 </w:t>
      </w:r>
      <w:r w:rsidRPr="001B6D09" w:rsidR="00352494">
        <w:t>February</w:t>
      </w:r>
      <w:r w:rsidRPr="001B6D09" w:rsidR="002021FB">
        <w:t xml:space="preserve"> 2009 the Municipal Court ordered </w:t>
      </w:r>
      <w:r w:rsidRPr="001B6D09" w:rsidR="00400A6A">
        <w:t xml:space="preserve">a </w:t>
      </w:r>
      <w:r w:rsidRPr="001B6D09" w:rsidR="002021FB">
        <w:t xml:space="preserve">psychiatric </w:t>
      </w:r>
      <w:r w:rsidRPr="001B6D09" w:rsidR="00352494">
        <w:t>assessment</w:t>
      </w:r>
      <w:r w:rsidRPr="001B6D09" w:rsidR="002021FB">
        <w:t xml:space="preserve"> </w:t>
      </w:r>
      <w:r w:rsidRPr="001B6D09" w:rsidR="00352494">
        <w:t>of</w:t>
      </w:r>
      <w:r w:rsidRPr="001B6D09" w:rsidR="002021FB">
        <w:t xml:space="preserve"> the applicant.</w:t>
      </w:r>
    </w:p>
    <w:bookmarkStart w:name="defence2" w:id="18"/>
    <w:p w:rsidRPr="001B6D09" w:rsidR="001B3726" w:rsidP="001B6D09" w:rsidRDefault="002021FB" w14:paraId="30ED09C1" w14:textId="676C3663">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25</w:t>
      </w:r>
      <w:r w:rsidRPr="001B6D09">
        <w:fldChar w:fldCharType="end"/>
      </w:r>
      <w:bookmarkEnd w:id="18"/>
      <w:r w:rsidRPr="001B6D09">
        <w:t xml:space="preserve">.  On 23 </w:t>
      </w:r>
      <w:r w:rsidRPr="001B6D09" w:rsidR="00352494">
        <w:t>February</w:t>
      </w:r>
      <w:r w:rsidRPr="001B6D09">
        <w:t xml:space="preserve"> 2009 the applicant submitted </w:t>
      </w:r>
      <w:r w:rsidRPr="001B6D09" w:rsidR="00400A6A">
        <w:t xml:space="preserve">an </w:t>
      </w:r>
      <w:r w:rsidRPr="001B6D09">
        <w:t>additional written defence.</w:t>
      </w:r>
    </w:p>
    <w:p w:rsidRPr="001B6D09" w:rsidR="002021FB" w:rsidP="001B6D09" w:rsidRDefault="002021FB" w14:paraId="51374755" w14:textId="653BBA6E">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26</w:t>
      </w:r>
      <w:r w:rsidRPr="001B6D09">
        <w:fldChar w:fldCharType="end"/>
      </w:r>
      <w:r w:rsidRPr="001B6D09">
        <w:t>.  On 10 March 2009 a psychiatr</w:t>
      </w:r>
      <w:r w:rsidRPr="001B6D09" w:rsidR="00352494">
        <w:t>i</w:t>
      </w:r>
      <w:r w:rsidRPr="001B6D09">
        <w:t>st</w:t>
      </w:r>
      <w:r w:rsidRPr="001B6D09" w:rsidR="00FE38E2">
        <w:t xml:space="preserve"> </w:t>
      </w:r>
      <w:r w:rsidRPr="001B6D09">
        <w:t>s</w:t>
      </w:r>
      <w:r w:rsidRPr="001B6D09" w:rsidR="00FE38E2">
        <w:t>ubmitted a</w:t>
      </w:r>
      <w:r w:rsidRPr="001B6D09">
        <w:t xml:space="preserve"> report on the applicant</w:t>
      </w:r>
      <w:r w:rsidRPr="001B6D09" w:rsidR="00400A6A">
        <w:t>,</w:t>
      </w:r>
      <w:r w:rsidRPr="001B6D09">
        <w:t xml:space="preserve"> finding that </w:t>
      </w:r>
      <w:r w:rsidRPr="001B6D09" w:rsidR="00400A6A">
        <w:t xml:space="preserve">at the time of the alleged offences his </w:t>
      </w:r>
      <w:r w:rsidRPr="001B6D09">
        <w:t>capacity to understand his actions had been reduced</w:t>
      </w:r>
      <w:r w:rsidRPr="001B6D09" w:rsidR="00400A6A">
        <w:t>,</w:t>
      </w:r>
      <w:r w:rsidRPr="001B6D09">
        <w:t xml:space="preserve"> but not </w:t>
      </w:r>
      <w:r w:rsidRPr="001B6D09" w:rsidR="00352494">
        <w:t>significantly</w:t>
      </w:r>
      <w:r w:rsidRPr="001B6D09">
        <w:t>.</w:t>
      </w:r>
    </w:p>
    <w:bookmarkStart w:name="defence3" w:id="19"/>
    <w:p w:rsidRPr="001B6D09" w:rsidR="002021FB" w:rsidP="001B6D09" w:rsidRDefault="002021FB" w14:paraId="50B878CC" w14:textId="3EF1B52F">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27</w:t>
      </w:r>
      <w:r w:rsidRPr="001B6D09">
        <w:fldChar w:fldCharType="end"/>
      </w:r>
      <w:bookmarkEnd w:id="19"/>
      <w:r w:rsidRPr="001B6D09">
        <w:t xml:space="preserve">.  On 11 March 2009 the applicant </w:t>
      </w:r>
      <w:r w:rsidRPr="001B6D09" w:rsidR="00597BD3">
        <w:t>submitte</w:t>
      </w:r>
      <w:r w:rsidRPr="001B6D09">
        <w:t>d</w:t>
      </w:r>
      <w:r w:rsidRPr="001B6D09" w:rsidR="00597BD3">
        <w:t xml:space="preserve"> </w:t>
      </w:r>
      <w:r w:rsidRPr="001B6D09" w:rsidR="00B61530">
        <w:t xml:space="preserve">an </w:t>
      </w:r>
      <w:r w:rsidRPr="001B6D09">
        <w:t>additional written defence.</w:t>
      </w:r>
    </w:p>
    <w:bookmarkStart w:name="defence4" w:id="20"/>
    <w:p w:rsidRPr="001B6D09" w:rsidR="001B3726" w:rsidP="001B6D09" w:rsidRDefault="002021FB" w14:paraId="4A1B69D1" w14:textId="28AE4E13">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28</w:t>
      </w:r>
      <w:r w:rsidRPr="001B6D09">
        <w:fldChar w:fldCharType="end"/>
      </w:r>
      <w:bookmarkEnd w:id="20"/>
      <w:r w:rsidRPr="001B6D09">
        <w:t>.  On 17 March 2009 the applicant submitted his</w:t>
      </w:r>
      <w:r w:rsidRPr="001B6D09" w:rsidR="00510216">
        <w:t xml:space="preserve"> written</w:t>
      </w:r>
      <w:r w:rsidRPr="001B6D09">
        <w:t xml:space="preserve"> “closing arguments”.</w:t>
      </w:r>
    </w:p>
    <w:p w:rsidRPr="001B6D09" w:rsidR="001B3726" w:rsidP="001B6D09" w:rsidRDefault="002021FB" w14:paraId="4C713790" w14:textId="7615EF9A">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29</w:t>
      </w:r>
      <w:r w:rsidRPr="001B6D09">
        <w:fldChar w:fldCharType="end"/>
      </w:r>
      <w:r w:rsidRPr="001B6D09">
        <w:t>.  At a hearing held b</w:t>
      </w:r>
      <w:r w:rsidRPr="001B6D09" w:rsidR="00071D6F">
        <w:t>e</w:t>
      </w:r>
      <w:r w:rsidRPr="001B6D09">
        <w:t>fore the Municipal Court on 24 March 2009</w:t>
      </w:r>
      <w:r w:rsidRPr="001B6D09" w:rsidR="004734F2">
        <w:t>,</w:t>
      </w:r>
      <w:r w:rsidRPr="001B6D09">
        <w:t xml:space="preserve"> the applicant</w:t>
      </w:r>
      <w:r w:rsidRPr="001B6D09" w:rsidR="00071D6F">
        <w:t xml:space="preserve"> and three witnesses</w:t>
      </w:r>
      <w:r w:rsidRPr="001B6D09">
        <w:t xml:space="preserve"> gave evidence.</w:t>
      </w:r>
    </w:p>
    <w:bookmarkStart w:name="defence5" w:id="21"/>
    <w:p w:rsidRPr="001B6D09" w:rsidR="00F1645C" w:rsidP="001B6D09" w:rsidRDefault="00F1645C" w14:paraId="189762A6" w14:textId="46C445CE">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30</w:t>
      </w:r>
      <w:r w:rsidRPr="001B6D09">
        <w:fldChar w:fldCharType="end"/>
      </w:r>
      <w:bookmarkEnd w:id="21"/>
      <w:r w:rsidRPr="001B6D09">
        <w:t xml:space="preserve">.  On 19 May 2009 the applicant submitted </w:t>
      </w:r>
      <w:r w:rsidRPr="001B6D09" w:rsidR="00B61530">
        <w:t xml:space="preserve">an </w:t>
      </w:r>
      <w:r w:rsidRPr="001B6D09">
        <w:t>additional written defence.</w:t>
      </w:r>
    </w:p>
    <w:p w:rsidRPr="001B6D09" w:rsidR="004F481D" w:rsidP="001B6D09" w:rsidRDefault="00F1645C" w14:paraId="02B03B92" w14:textId="64745EC7">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31</w:t>
      </w:r>
      <w:r w:rsidRPr="001B6D09">
        <w:fldChar w:fldCharType="end"/>
      </w:r>
      <w:r w:rsidRPr="001B6D09">
        <w:t>.  </w:t>
      </w:r>
      <w:r w:rsidRPr="001B6D09" w:rsidR="004F481D">
        <w:t xml:space="preserve">Further hearings were held on </w:t>
      </w:r>
      <w:r w:rsidRPr="001B6D09">
        <w:t xml:space="preserve">2 </w:t>
      </w:r>
      <w:r w:rsidRPr="001B6D09" w:rsidR="004F481D">
        <w:t>and 23 June</w:t>
      </w:r>
      <w:r w:rsidRPr="001B6D09" w:rsidR="00B61530">
        <w:t>,</w:t>
      </w:r>
      <w:r w:rsidRPr="001B6D09" w:rsidR="004F481D">
        <w:t xml:space="preserve"> </w:t>
      </w:r>
      <w:r w:rsidRPr="001B6D09" w:rsidR="00FE38E2">
        <w:t>and</w:t>
      </w:r>
      <w:r w:rsidRPr="001B6D09" w:rsidR="00B61530">
        <w:t xml:space="preserve"> on</w:t>
      </w:r>
      <w:r w:rsidRPr="001B6D09" w:rsidR="004F481D">
        <w:t xml:space="preserve"> 7</w:t>
      </w:r>
      <w:r w:rsidRPr="001B6D09" w:rsidR="004D56AB">
        <w:t xml:space="preserve"> and 14 </w:t>
      </w:r>
      <w:r w:rsidRPr="001B6D09" w:rsidR="004F481D">
        <w:t>July</w:t>
      </w:r>
      <w:r w:rsidRPr="001B6D09">
        <w:t xml:space="preserve"> 2009</w:t>
      </w:r>
      <w:r w:rsidRPr="001B6D09" w:rsidR="004F481D">
        <w:t>. Several</w:t>
      </w:r>
      <w:r w:rsidRPr="001B6D09">
        <w:t xml:space="preserve"> witnesses </w:t>
      </w:r>
      <w:r w:rsidRPr="001B6D09" w:rsidR="004F481D">
        <w:t xml:space="preserve">and an expert in psychiatry </w:t>
      </w:r>
      <w:r w:rsidRPr="001B6D09">
        <w:t>gave evidence</w:t>
      </w:r>
      <w:r w:rsidRPr="001B6D09" w:rsidR="004F481D">
        <w:t>.</w:t>
      </w:r>
    </w:p>
    <w:p w:rsidRPr="001B6D09" w:rsidR="001B3726" w:rsidP="001B6D09" w:rsidRDefault="00F1645C" w14:paraId="554EEBF2" w14:textId="2A897B6D">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32</w:t>
      </w:r>
      <w:r w:rsidRPr="001B6D09">
        <w:fldChar w:fldCharType="end"/>
      </w:r>
      <w:r w:rsidRPr="001B6D09">
        <w:t xml:space="preserve">.  On 15 June 2009 the applicant asked </w:t>
      </w:r>
      <w:r w:rsidRPr="001B6D09" w:rsidR="00FE38E2">
        <w:t xml:space="preserve">the court to allow him </w:t>
      </w:r>
      <w:r w:rsidRPr="001B6D09">
        <w:t>to consu</w:t>
      </w:r>
      <w:r w:rsidRPr="001B6D09" w:rsidR="004F481D">
        <w:t>l</w:t>
      </w:r>
      <w:r w:rsidRPr="001B6D09">
        <w:t>t the case</w:t>
      </w:r>
      <w:r w:rsidRPr="001B6D09" w:rsidR="00B61530">
        <w:t xml:space="preserve"> </w:t>
      </w:r>
      <w:r w:rsidRPr="001B6D09">
        <w:t xml:space="preserve">file. </w:t>
      </w:r>
      <w:r w:rsidRPr="001B6D09" w:rsidR="00567A42">
        <w:t>His</w:t>
      </w:r>
      <w:r w:rsidRPr="001B6D09" w:rsidR="004F481D">
        <w:t xml:space="preserve"> request was </w:t>
      </w:r>
      <w:r w:rsidRPr="001B6D09" w:rsidR="00FE38E2">
        <w:t>granted</w:t>
      </w:r>
      <w:r w:rsidRPr="001B6D09" w:rsidR="004F481D">
        <w:t>.</w:t>
      </w:r>
    </w:p>
    <w:bookmarkStart w:name="criminal_judgment" w:id="22"/>
    <w:bookmarkStart w:name="second_criminal_judgment" w:id="23"/>
    <w:p w:rsidRPr="001B6D09" w:rsidR="008C21CB" w:rsidP="001B6D09" w:rsidRDefault="00071D6F" w14:paraId="56C942CA" w14:textId="6A3E6604">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33</w:t>
      </w:r>
      <w:r w:rsidRPr="001B6D09">
        <w:fldChar w:fldCharType="end"/>
      </w:r>
      <w:bookmarkEnd w:id="22"/>
      <w:bookmarkEnd w:id="23"/>
      <w:r w:rsidRPr="001B6D09">
        <w:t>.  </w:t>
      </w:r>
      <w:r w:rsidRPr="001B6D09" w:rsidR="008C21CB">
        <w:t xml:space="preserve">By a judgment of </w:t>
      </w:r>
      <w:r w:rsidRPr="001B6D09" w:rsidR="00597BD3">
        <w:t>1</w:t>
      </w:r>
      <w:r w:rsidRPr="001B6D09" w:rsidR="008C21CB">
        <w:t>4 July 2009</w:t>
      </w:r>
      <w:r w:rsidRPr="001B6D09" w:rsidR="003E3AA2">
        <w:t>,</w:t>
      </w:r>
      <w:r w:rsidRPr="001B6D09" w:rsidR="008C21CB">
        <w:t xml:space="preserve"> the Municipal Court found the applicant guilty </w:t>
      </w:r>
      <w:r w:rsidRPr="001B6D09" w:rsidR="00F60762">
        <w:t xml:space="preserve">of one count of child neglect and </w:t>
      </w:r>
      <w:r w:rsidRPr="001B6D09" w:rsidR="007666F9">
        <w:t xml:space="preserve">abuse in respect of his </w:t>
      </w:r>
      <w:r w:rsidRPr="001B6D09" w:rsidR="002D715F">
        <w:t xml:space="preserve">then minor </w:t>
      </w:r>
      <w:r w:rsidRPr="001B6D09" w:rsidR="007666F9">
        <w:t xml:space="preserve">daughter Z.G. and imposed </w:t>
      </w:r>
      <w:r w:rsidRPr="001B6D09" w:rsidR="00B61530">
        <w:t xml:space="preserve">a sentence of </w:t>
      </w:r>
      <w:r w:rsidRPr="001B6D09" w:rsidR="007666F9">
        <w:t>ten months</w:t>
      </w:r>
      <w:r w:rsidRPr="001B6D09" w:rsidR="001B6D09">
        <w:t>’</w:t>
      </w:r>
      <w:r w:rsidRPr="001B6D09" w:rsidR="007666F9">
        <w:t xml:space="preserve"> imprisonment. He was also found guilty of</w:t>
      </w:r>
      <w:r w:rsidRPr="001B6D09" w:rsidR="00F60762">
        <w:t xml:space="preserve"> </w:t>
      </w:r>
      <w:r w:rsidRPr="001B6D09" w:rsidR="007666F9">
        <w:t>four</w:t>
      </w:r>
      <w:r w:rsidRPr="001B6D09" w:rsidR="00F60762">
        <w:t xml:space="preserve"> counts of domestic violence </w:t>
      </w:r>
      <w:r w:rsidRPr="001B6D09" w:rsidR="00B61530">
        <w:t xml:space="preserve">in total </w:t>
      </w:r>
      <w:r w:rsidRPr="001B6D09" w:rsidR="00F60762">
        <w:t>in respect of</w:t>
      </w:r>
      <w:r w:rsidRPr="001B6D09" w:rsidR="00B61530">
        <w:t>:</w:t>
      </w:r>
      <w:r w:rsidRPr="001B6D09" w:rsidR="00F60762">
        <w:t xml:space="preserve"> </w:t>
      </w:r>
      <w:r w:rsidRPr="001B6D09" w:rsidR="007666F9">
        <w:t>his daughter Z.G.</w:t>
      </w:r>
      <w:r w:rsidRPr="001B6D09" w:rsidR="00B61530">
        <w:t>,</w:t>
      </w:r>
      <w:r w:rsidRPr="001B6D09" w:rsidR="007666F9">
        <w:t xml:space="preserve"> for which a prison term of six months was imposed; </w:t>
      </w:r>
      <w:r w:rsidRPr="001B6D09" w:rsidR="00F60762">
        <w:t>his daughter M.G.</w:t>
      </w:r>
      <w:r w:rsidRPr="001B6D09" w:rsidR="00B61530">
        <w:t>,</w:t>
      </w:r>
      <w:r w:rsidRPr="001B6D09" w:rsidR="007666F9">
        <w:t xml:space="preserve"> for which a prison term of nine months was imposed; </w:t>
      </w:r>
      <w:r w:rsidRPr="001B6D09" w:rsidR="00F60762">
        <w:t>his son H.G.</w:t>
      </w:r>
      <w:r w:rsidRPr="001B6D09" w:rsidR="00B61530">
        <w:t>,</w:t>
      </w:r>
      <w:r w:rsidRPr="001B6D09" w:rsidR="00F60762">
        <w:t xml:space="preserve"> </w:t>
      </w:r>
      <w:r w:rsidRPr="001B6D09" w:rsidR="007666F9">
        <w:t>for which a prison term of seven months was imposed</w:t>
      </w:r>
      <w:r w:rsidRPr="001B6D09" w:rsidR="00B61530">
        <w:t>;</w:t>
      </w:r>
      <w:r w:rsidRPr="001B6D09" w:rsidR="007666F9">
        <w:t xml:space="preserve"> </w:t>
      </w:r>
      <w:r w:rsidRPr="001B6D09" w:rsidR="00F60762">
        <w:t>and his former spouse Mi.G.</w:t>
      </w:r>
      <w:r w:rsidRPr="001B6D09" w:rsidR="00B61530">
        <w:t>,</w:t>
      </w:r>
      <w:r w:rsidRPr="001B6D09" w:rsidR="00F60762">
        <w:t xml:space="preserve"> </w:t>
      </w:r>
      <w:r w:rsidRPr="001B6D09" w:rsidR="007666F9">
        <w:t xml:space="preserve">for which a prison term of one year was imposed. </w:t>
      </w:r>
      <w:r w:rsidRPr="001B6D09" w:rsidR="00F60762">
        <w:t xml:space="preserve">At the same time his suspended sentence </w:t>
      </w:r>
      <w:r w:rsidRPr="001B6D09" w:rsidR="00896740">
        <w:t xml:space="preserve">of two years </w:t>
      </w:r>
      <w:r w:rsidRPr="001B6D09" w:rsidR="00B61530">
        <w:t xml:space="preserve">which had been imposed </w:t>
      </w:r>
      <w:r w:rsidRPr="001B6D09" w:rsidR="000D7F5B">
        <w:t xml:space="preserve">in </w:t>
      </w:r>
      <w:r w:rsidRPr="001B6D09" w:rsidR="00567A42">
        <w:t xml:space="preserve">a </w:t>
      </w:r>
      <w:r w:rsidRPr="001B6D09" w:rsidR="000D7F5B">
        <w:t xml:space="preserve">previous </w:t>
      </w:r>
      <w:r w:rsidRPr="001B6D09" w:rsidR="00567A42">
        <w:t xml:space="preserve">set of </w:t>
      </w:r>
      <w:r w:rsidRPr="001B6D09" w:rsidR="000D7F5B">
        <w:t xml:space="preserve">criminal proceedings </w:t>
      </w:r>
      <w:r w:rsidRPr="001B6D09" w:rsidR="00F60762">
        <w:t xml:space="preserve">was revoked (see paragraph </w:t>
      </w:r>
      <w:r w:rsidRPr="001B6D09" w:rsidR="000D7F5B">
        <w:fldChar w:fldCharType="begin"/>
      </w:r>
      <w:r w:rsidRPr="001B6D09" w:rsidR="000D7F5B">
        <w:instrText xml:space="preserve"> REF first_criminal_judgment_2002to2005 \h </w:instrText>
      </w:r>
      <w:r w:rsidRPr="001B6D09" w:rsidR="005B12FD">
        <w:instrText xml:space="preserve"> \* MERGEFORMAT </w:instrText>
      </w:r>
      <w:r w:rsidRPr="001B6D09" w:rsidR="000D7F5B">
        <w:fldChar w:fldCharType="separate"/>
      </w:r>
      <w:r w:rsidRPr="001B6D09" w:rsidR="001B6D09">
        <w:rPr>
          <w:noProof/>
        </w:rPr>
        <w:t>5</w:t>
      </w:r>
      <w:r w:rsidRPr="001B6D09" w:rsidR="000D7F5B">
        <w:fldChar w:fldCharType="end"/>
      </w:r>
      <w:r w:rsidRPr="001B6D09" w:rsidR="000D7F5B">
        <w:t xml:space="preserve"> </w:t>
      </w:r>
      <w:r w:rsidRPr="001B6D09" w:rsidR="00896740">
        <w:t>above)</w:t>
      </w:r>
      <w:r w:rsidRPr="001B6D09" w:rsidR="00B61530">
        <w:t>,</w:t>
      </w:r>
      <w:r w:rsidRPr="001B6D09" w:rsidR="00F60762">
        <w:t xml:space="preserve"> and he was </w:t>
      </w:r>
      <w:r w:rsidRPr="001B6D09" w:rsidR="008C21CB">
        <w:t xml:space="preserve">sentenced </w:t>
      </w:r>
      <w:r w:rsidRPr="001B6D09" w:rsidR="00FE38E2">
        <w:t xml:space="preserve">cumulatively </w:t>
      </w:r>
      <w:r w:rsidRPr="001B6D09" w:rsidR="008C21CB">
        <w:t>to five years</w:t>
      </w:r>
      <w:r w:rsidRPr="001B6D09" w:rsidR="001B6D09">
        <w:t>’</w:t>
      </w:r>
      <w:r w:rsidRPr="001B6D09" w:rsidR="008C21CB">
        <w:t xml:space="preserve"> imprisonment</w:t>
      </w:r>
      <w:r w:rsidRPr="001B6D09" w:rsidR="00B61530">
        <w:t>.</w:t>
      </w:r>
      <w:r w:rsidRPr="001B6D09" w:rsidR="008C21CB">
        <w:t xml:space="preserve"> </w:t>
      </w:r>
      <w:r w:rsidRPr="001B6D09" w:rsidR="00567A42">
        <w:t>A</w:t>
      </w:r>
      <w:r w:rsidRPr="001B6D09" w:rsidR="008C21CB">
        <w:t xml:space="preserve"> security measure of compulsory treatment </w:t>
      </w:r>
      <w:r w:rsidRPr="001B6D09" w:rsidR="00B61530">
        <w:t xml:space="preserve">for </w:t>
      </w:r>
      <w:r w:rsidRPr="001B6D09" w:rsidR="008C21CB">
        <w:t>alcohol addiction</w:t>
      </w:r>
      <w:r w:rsidRPr="001B6D09" w:rsidR="00B61530">
        <w:t xml:space="preserve"> was also imposed on him</w:t>
      </w:r>
      <w:r w:rsidRPr="001B6D09" w:rsidR="008C21CB">
        <w:t>.</w:t>
      </w:r>
      <w:r w:rsidRPr="001B6D09" w:rsidR="00807602">
        <w:t xml:space="preserve"> The relevant part of the judgment read:</w:t>
      </w:r>
    </w:p>
    <w:p w:rsidRPr="001B6D09" w:rsidR="00063FD6" w:rsidP="001B6D09" w:rsidRDefault="00807602" w14:paraId="02141CD3" w14:textId="5E477646">
      <w:pPr>
        <w:pStyle w:val="JuQuot"/>
        <w:jc w:val="both"/>
      </w:pPr>
      <w:r w:rsidRPr="001B6D09">
        <w:t>“</w:t>
      </w:r>
      <w:r w:rsidRPr="001B6D09" w:rsidR="0058569D">
        <w:t>The a</w:t>
      </w:r>
      <w:r w:rsidRPr="001B6D09">
        <w:t>ccused</w:t>
      </w:r>
      <w:r w:rsidRPr="001B6D09" w:rsidR="0058569D">
        <w:t>,</w:t>
      </w:r>
      <w:r w:rsidRPr="001B6D09">
        <w:t xml:space="preserve"> Miljenko Galovi</w:t>
      </w:r>
      <w:r w:rsidRPr="001B6D09">
        <w:rPr>
          <w:rFonts w:cstheme="minorHAnsi"/>
        </w:rPr>
        <w:t>ć</w:t>
      </w:r>
      <w:r w:rsidRPr="001B6D09" w:rsidR="0058569D">
        <w:rPr>
          <w:rFonts w:cstheme="minorHAnsi"/>
        </w:rPr>
        <w:t>,</w:t>
      </w:r>
      <w:r w:rsidRPr="001B6D09">
        <w:t xml:space="preserve"> </w:t>
      </w:r>
      <w:r w:rsidRPr="001B6D09" w:rsidR="001B3726">
        <w:t>...</w:t>
      </w:r>
      <w:r w:rsidRPr="001B6D09">
        <w:t xml:space="preserve"> is guilty in that in the period between </w:t>
      </w:r>
      <w:r w:rsidRPr="001B6D09" w:rsidR="00352494">
        <w:t>February</w:t>
      </w:r>
      <w:r w:rsidRPr="001B6D09">
        <w:t xml:space="preserve"> 2005 and 3 November 2008 in </w:t>
      </w:r>
      <w:r w:rsidRPr="001B6D09" w:rsidR="001B3726">
        <w:t>...</w:t>
      </w:r>
      <w:r w:rsidRPr="001B6D09" w:rsidR="00FE58C1">
        <w:t xml:space="preserve"> ,</w:t>
      </w:r>
      <w:r w:rsidRPr="001B6D09" w:rsidR="00893887">
        <w:t xml:space="preserve"> </w:t>
      </w:r>
      <w:r w:rsidRPr="001B6D09">
        <w:t>in the flat where he live</w:t>
      </w:r>
      <w:r w:rsidRPr="001B6D09" w:rsidR="0093198B">
        <w:t>d</w:t>
      </w:r>
      <w:r w:rsidRPr="001B6D09" w:rsidR="00F904F1">
        <w:t xml:space="preserve"> </w:t>
      </w:r>
      <w:r w:rsidRPr="001B6D09">
        <w:t>in the same household with his daughter Z.</w:t>
      </w:r>
      <w:r w:rsidRPr="001B6D09" w:rsidR="0058569D">
        <w:t>, a minor,</w:t>
      </w:r>
      <w:r w:rsidRPr="001B6D09">
        <w:t xml:space="preserve"> </w:t>
      </w:r>
      <w:r w:rsidRPr="001B6D09" w:rsidR="001B3726">
        <w:t>...</w:t>
      </w:r>
      <w:r w:rsidRPr="001B6D09" w:rsidR="00893887">
        <w:t>,</w:t>
      </w:r>
      <w:r w:rsidRPr="001B6D09">
        <w:t xml:space="preserve"> adult daughter M. </w:t>
      </w:r>
      <w:r w:rsidRPr="001B6D09" w:rsidR="001B3726">
        <w:t>...</w:t>
      </w:r>
      <w:r w:rsidRPr="001B6D09">
        <w:t xml:space="preserve"> and adult son H.</w:t>
      </w:r>
      <w:r w:rsidRPr="001B6D09" w:rsidR="0058569D">
        <w:t>,</w:t>
      </w:r>
      <w:r w:rsidRPr="001B6D09">
        <w:t xml:space="preserve"> as </w:t>
      </w:r>
      <w:r w:rsidRPr="001B6D09" w:rsidR="0058569D">
        <w:t xml:space="preserve">the </w:t>
      </w:r>
      <w:r w:rsidRPr="001B6D09">
        <w:t>common</w:t>
      </w:r>
      <w:r w:rsidRPr="001B6D09" w:rsidR="0058569D">
        <w:t>-</w:t>
      </w:r>
      <w:r w:rsidRPr="001B6D09">
        <w:t>law spouse of M</w:t>
      </w:r>
      <w:r w:rsidRPr="001B6D09" w:rsidR="00893887">
        <w:t xml:space="preserve">i.G., </w:t>
      </w:r>
      <w:r w:rsidRPr="001B6D09" w:rsidR="00E14C3D">
        <w:t xml:space="preserve">[while] </w:t>
      </w:r>
      <w:r w:rsidRPr="001B6D09">
        <w:t xml:space="preserve">frequently </w:t>
      </w:r>
      <w:r w:rsidRPr="001B6D09" w:rsidR="00F904F1">
        <w:t xml:space="preserve">under the influence of </w:t>
      </w:r>
      <w:r w:rsidRPr="001B6D09">
        <w:t>a</w:t>
      </w:r>
      <w:r w:rsidRPr="001B6D09" w:rsidR="00F904F1">
        <w:t>lcohol in th</w:t>
      </w:r>
      <w:r w:rsidRPr="001B6D09">
        <w:t>e</w:t>
      </w:r>
      <w:r w:rsidRPr="001B6D09" w:rsidR="00F904F1">
        <w:t xml:space="preserve"> </w:t>
      </w:r>
      <w:r w:rsidRPr="001B6D09">
        <w:t>presence of Z.</w:t>
      </w:r>
      <w:r w:rsidRPr="001B6D09" w:rsidR="0058569D">
        <w:t>, a minor</w:t>
      </w:r>
      <w:r w:rsidRPr="001B6D09">
        <w:t>, even</w:t>
      </w:r>
      <w:r w:rsidRPr="001B6D09" w:rsidR="00F904F1">
        <w:t xml:space="preserve"> </w:t>
      </w:r>
      <w:r w:rsidRPr="001B6D09">
        <w:t xml:space="preserve">though he knew that </w:t>
      </w:r>
      <w:r w:rsidRPr="001B6D09" w:rsidR="00893887">
        <w:t xml:space="preserve">he </w:t>
      </w:r>
      <w:r w:rsidRPr="001B6D09">
        <w:t>c</w:t>
      </w:r>
      <w:r w:rsidRPr="001B6D09" w:rsidR="00F904F1">
        <w:t>ould put her psycho-phy</w:t>
      </w:r>
      <w:r w:rsidRPr="001B6D09">
        <w:t>sical development</w:t>
      </w:r>
      <w:r w:rsidRPr="001B6D09" w:rsidR="0058569D">
        <w:t xml:space="preserve"> at risk</w:t>
      </w:r>
      <w:r w:rsidRPr="001B6D09" w:rsidR="00893887">
        <w:t>,</w:t>
      </w:r>
      <w:r w:rsidRPr="001B6D09">
        <w:t xml:space="preserve"> </w:t>
      </w:r>
      <w:r w:rsidRPr="001B6D09" w:rsidR="0058569D">
        <w:t xml:space="preserve">he </w:t>
      </w:r>
      <w:r w:rsidRPr="001B6D09" w:rsidR="002D715F">
        <w:t xml:space="preserve">was </w:t>
      </w:r>
      <w:r w:rsidRPr="001B6D09">
        <w:t>verbally and physically a</w:t>
      </w:r>
      <w:r w:rsidRPr="001B6D09" w:rsidR="00893887">
        <w:t>ssault</w:t>
      </w:r>
      <w:r w:rsidRPr="001B6D09" w:rsidR="002D715F">
        <w:t>ing</w:t>
      </w:r>
      <w:r w:rsidRPr="001B6D09">
        <w:t xml:space="preserve"> </w:t>
      </w:r>
      <w:r w:rsidRPr="001B6D09" w:rsidR="0058569D">
        <w:t xml:space="preserve">his </w:t>
      </w:r>
      <w:r w:rsidRPr="001B6D09">
        <w:t>spouse M</w:t>
      </w:r>
      <w:r w:rsidRPr="001B6D09" w:rsidR="00893887">
        <w:t>i</w:t>
      </w:r>
      <w:r w:rsidRPr="001B6D09">
        <w:t>. and adult children, in that he</w:t>
      </w:r>
      <w:r w:rsidRPr="001B6D09" w:rsidR="002D715F">
        <w:t xml:space="preserve"> was</w:t>
      </w:r>
      <w:r w:rsidRPr="001B6D09">
        <w:t xml:space="preserve"> </w:t>
      </w:r>
      <w:r w:rsidRPr="001B6D09" w:rsidR="00352494">
        <w:t>call</w:t>
      </w:r>
      <w:r w:rsidRPr="001B6D09" w:rsidR="002D715F">
        <w:t>ing</w:t>
      </w:r>
      <w:r w:rsidRPr="001B6D09">
        <w:t xml:space="preserve"> his common</w:t>
      </w:r>
      <w:r w:rsidRPr="001B6D09" w:rsidR="0058569D">
        <w:t>-</w:t>
      </w:r>
      <w:r w:rsidRPr="001B6D09">
        <w:t xml:space="preserve">law spouse </w:t>
      </w:r>
      <w:r w:rsidRPr="001B6D09" w:rsidR="00F904F1">
        <w:t xml:space="preserve">ugly </w:t>
      </w:r>
      <w:r w:rsidRPr="001B6D09">
        <w:t>names:</w:t>
      </w:r>
      <w:r w:rsidRPr="001B6D09" w:rsidR="00F904F1">
        <w:t xml:space="preserve"> </w:t>
      </w:r>
      <w:r w:rsidRPr="001B6D09" w:rsidR="001B6D09">
        <w:t>‘</w:t>
      </w:r>
      <w:r w:rsidRPr="001B6D09">
        <w:t xml:space="preserve">whore, </w:t>
      </w:r>
      <w:r w:rsidRPr="001B6D09" w:rsidR="00F904F1">
        <w:t>slut</w:t>
      </w:r>
      <w:r w:rsidRPr="001B6D09" w:rsidR="001B6D09">
        <w:t>’</w:t>
      </w:r>
      <w:r w:rsidRPr="001B6D09">
        <w:t>, and curs</w:t>
      </w:r>
      <w:r w:rsidRPr="001B6D09" w:rsidR="002D715F">
        <w:t>ing</w:t>
      </w:r>
      <w:r w:rsidRPr="001B6D09">
        <w:t xml:space="preserve"> her mother, threaten</w:t>
      </w:r>
      <w:r w:rsidRPr="001B6D09" w:rsidR="002D715F">
        <w:t>ing</w:t>
      </w:r>
      <w:r w:rsidRPr="001B6D09">
        <w:t xml:space="preserve"> to kill and sell her, and </w:t>
      </w:r>
      <w:r w:rsidRPr="001B6D09" w:rsidR="002D715F">
        <w:t xml:space="preserve">was </w:t>
      </w:r>
      <w:r w:rsidRPr="001B6D09">
        <w:t>physically attac</w:t>
      </w:r>
      <w:r w:rsidRPr="001B6D09" w:rsidR="00F904F1">
        <w:t>k</w:t>
      </w:r>
      <w:r w:rsidRPr="001B6D09" w:rsidR="002D715F">
        <w:t>ing</w:t>
      </w:r>
      <w:r w:rsidRPr="001B6D09">
        <w:t xml:space="preserve"> her by slapping</w:t>
      </w:r>
      <w:r w:rsidRPr="001B6D09" w:rsidR="00F904F1">
        <w:t xml:space="preserve"> </w:t>
      </w:r>
      <w:r w:rsidRPr="001B6D09">
        <w:t xml:space="preserve">her, pulling her hair and throwing her </w:t>
      </w:r>
      <w:r w:rsidRPr="001B6D09" w:rsidR="0058569D">
        <w:t xml:space="preserve">to </w:t>
      </w:r>
      <w:r w:rsidRPr="001B6D09">
        <w:t>t</w:t>
      </w:r>
      <w:r w:rsidRPr="001B6D09" w:rsidR="00F904F1">
        <w:t xml:space="preserve">he </w:t>
      </w:r>
      <w:r w:rsidRPr="001B6D09" w:rsidR="00352494">
        <w:t>ground</w:t>
      </w:r>
      <w:r w:rsidRPr="001B6D09" w:rsidR="00F904F1">
        <w:t xml:space="preserve">, all </w:t>
      </w:r>
      <w:r w:rsidRPr="001B6D09" w:rsidR="00FE38E2">
        <w:t xml:space="preserve">this </w:t>
      </w:r>
      <w:r w:rsidRPr="001B6D09" w:rsidR="00F904F1">
        <w:t>in the presence of</w:t>
      </w:r>
      <w:r w:rsidRPr="001B6D09">
        <w:t xml:space="preserve"> Z.</w:t>
      </w:r>
      <w:r w:rsidRPr="001B6D09" w:rsidR="0058569D">
        <w:t>, a minor,</w:t>
      </w:r>
      <w:r w:rsidRPr="001B6D09">
        <w:t xml:space="preserve"> and </w:t>
      </w:r>
      <w:r w:rsidRPr="001B6D09" w:rsidR="0058569D">
        <w:t xml:space="preserve">his </w:t>
      </w:r>
      <w:r w:rsidRPr="001B6D09" w:rsidR="00352494">
        <w:t>daughter</w:t>
      </w:r>
      <w:r w:rsidRPr="001B6D09">
        <w:t xml:space="preserve"> M. and son H., and [</w:t>
      </w:r>
      <w:r w:rsidRPr="001B6D09" w:rsidR="002D715F">
        <w:t xml:space="preserve">was threatening </w:t>
      </w:r>
      <w:r w:rsidRPr="001B6D09">
        <w:t>to] throw his common</w:t>
      </w:r>
      <w:r w:rsidRPr="001B6D09" w:rsidR="0058569D">
        <w:t>-</w:t>
      </w:r>
      <w:r w:rsidRPr="001B6D09">
        <w:t>law spouse M</w:t>
      </w:r>
      <w:r w:rsidRPr="001B6D09" w:rsidR="00893887">
        <w:t>i</w:t>
      </w:r>
      <w:r w:rsidRPr="001B6D09">
        <w:t>. and th</w:t>
      </w:r>
      <w:r w:rsidRPr="001B6D09" w:rsidR="00F904F1">
        <w:t>e</w:t>
      </w:r>
      <w:r w:rsidRPr="001B6D09">
        <w:t xml:space="preserve"> children out of the flat</w:t>
      </w:r>
      <w:r w:rsidRPr="001B6D09" w:rsidR="00E86C32">
        <w:t>,</w:t>
      </w:r>
      <w:r w:rsidRPr="001B6D09">
        <w:t xml:space="preserve"> and threaten</w:t>
      </w:r>
      <w:r w:rsidRPr="001B6D09" w:rsidR="002D715F">
        <w:t>ing</w:t>
      </w:r>
      <w:r w:rsidRPr="001B6D09">
        <w:t xml:space="preserve"> to kill them</w:t>
      </w:r>
      <w:r w:rsidRPr="001B6D09" w:rsidR="00E86C32">
        <w:t>,</w:t>
      </w:r>
      <w:r w:rsidRPr="001B6D09">
        <w:t xml:space="preserve"> and on one </w:t>
      </w:r>
      <w:r w:rsidRPr="001B6D09" w:rsidR="00F904F1">
        <w:t>o</w:t>
      </w:r>
      <w:r w:rsidRPr="001B6D09">
        <w:t>ccasion in December 2007 he took a kitchen</w:t>
      </w:r>
      <w:r w:rsidRPr="001B6D09" w:rsidR="00F904F1">
        <w:t xml:space="preserve"> </w:t>
      </w:r>
      <w:r w:rsidRPr="001B6D09">
        <w:t xml:space="preserve">knife and put it </w:t>
      </w:r>
      <w:r w:rsidRPr="001B6D09" w:rsidR="00E86C32">
        <w:t xml:space="preserve">to </w:t>
      </w:r>
      <w:r w:rsidRPr="001B6D09">
        <w:t>the thro</w:t>
      </w:r>
      <w:r w:rsidRPr="001B6D09" w:rsidR="00F904F1">
        <w:t>a</w:t>
      </w:r>
      <w:r w:rsidRPr="001B6D09">
        <w:t>t of his common</w:t>
      </w:r>
      <w:r w:rsidRPr="001B6D09" w:rsidR="0058569D">
        <w:t>-</w:t>
      </w:r>
      <w:r w:rsidRPr="001B6D09">
        <w:t>law spouse M</w:t>
      </w:r>
      <w:r w:rsidRPr="001B6D09" w:rsidR="00893887">
        <w:t>i.</w:t>
      </w:r>
      <w:r w:rsidRPr="001B6D09">
        <w:t xml:space="preserve"> and told her that she </w:t>
      </w:r>
      <w:r w:rsidRPr="001B6D09" w:rsidR="00893887">
        <w:t xml:space="preserve">had </w:t>
      </w:r>
      <w:r w:rsidRPr="001B6D09" w:rsidR="00E86C32">
        <w:t xml:space="preserve">to </w:t>
      </w:r>
      <w:r w:rsidRPr="001B6D09">
        <w:t xml:space="preserve">send the agents of the [prosecuting </w:t>
      </w:r>
      <w:r w:rsidRPr="001B6D09" w:rsidR="00352494">
        <w:t>authorities</w:t>
      </w:r>
      <w:r w:rsidRPr="001B6D09">
        <w:t xml:space="preserve"> for </w:t>
      </w:r>
      <w:r w:rsidRPr="001B6D09" w:rsidR="00352494">
        <w:t>organised</w:t>
      </w:r>
      <w:r w:rsidRPr="001B6D09">
        <w:t xml:space="preserve"> crime] to search </w:t>
      </w:r>
      <w:r w:rsidRPr="001B6D09" w:rsidR="00E86C32">
        <w:t xml:space="preserve">for </w:t>
      </w:r>
      <w:r w:rsidRPr="001B6D09">
        <w:t xml:space="preserve">him in bars, and he </w:t>
      </w:r>
      <w:r w:rsidRPr="001B6D09" w:rsidR="00F904F1">
        <w:t>charged</w:t>
      </w:r>
      <w:r w:rsidRPr="001B6D09">
        <w:t xml:space="preserve"> at [his common</w:t>
      </w:r>
      <w:r w:rsidRPr="001B6D09" w:rsidR="0058569D">
        <w:t>-</w:t>
      </w:r>
      <w:r w:rsidRPr="001B6D09">
        <w:t xml:space="preserve">law </w:t>
      </w:r>
      <w:r w:rsidRPr="001B6D09" w:rsidR="00F904F1">
        <w:t>sp</w:t>
      </w:r>
      <w:r w:rsidRPr="001B6D09">
        <w:t>ouse] while brandishing the knife</w:t>
      </w:r>
      <w:r w:rsidRPr="001B6D09" w:rsidR="00E86C32">
        <w:t>,</w:t>
      </w:r>
      <w:r w:rsidRPr="001B6D09">
        <w:t xml:space="preserve"> </w:t>
      </w:r>
      <w:r w:rsidRPr="001B6D09" w:rsidR="00E86C32">
        <w:t xml:space="preserve">while </w:t>
      </w:r>
      <w:r w:rsidRPr="001B6D09">
        <w:t>he insult</w:t>
      </w:r>
      <w:r w:rsidRPr="001B6D09" w:rsidR="00E86C32">
        <w:t>ed</w:t>
      </w:r>
      <w:r w:rsidRPr="001B6D09">
        <w:t xml:space="preserve"> his daughter M. by telling her that she was </w:t>
      </w:r>
      <w:r w:rsidRPr="001B6D09" w:rsidR="00E86C32">
        <w:t xml:space="preserve">a </w:t>
      </w:r>
      <w:r w:rsidRPr="001B6D09" w:rsidR="001B6D09">
        <w:t>‘</w:t>
      </w:r>
      <w:r w:rsidRPr="001B6D09">
        <w:t xml:space="preserve">whore, </w:t>
      </w:r>
      <w:r w:rsidRPr="001B6D09" w:rsidR="00F904F1">
        <w:t>slut</w:t>
      </w:r>
      <w:r w:rsidRPr="001B6D09">
        <w:t xml:space="preserve"> and a whore f</w:t>
      </w:r>
      <w:r w:rsidRPr="001B6D09" w:rsidR="00352494">
        <w:t>ro</w:t>
      </w:r>
      <w:r w:rsidRPr="001B6D09">
        <w:t>m Moslavina</w:t>
      </w:r>
      <w:r w:rsidRPr="001B6D09" w:rsidR="001B6D09">
        <w:t>’</w:t>
      </w:r>
      <w:r w:rsidRPr="001B6D09">
        <w:t>, and to go to her lover</w:t>
      </w:r>
      <w:r w:rsidRPr="001B6D09" w:rsidR="00E86C32">
        <w:t>,</w:t>
      </w:r>
      <w:r w:rsidRPr="001B6D09">
        <w:t xml:space="preserve"> and he also insult</w:t>
      </w:r>
      <w:r w:rsidRPr="001B6D09" w:rsidR="00E86C32">
        <w:t>ed</w:t>
      </w:r>
      <w:r w:rsidRPr="001B6D09">
        <w:t xml:space="preserve"> his son H. by telling</w:t>
      </w:r>
      <w:r w:rsidRPr="001B6D09" w:rsidR="00F904F1">
        <w:t xml:space="preserve"> </w:t>
      </w:r>
      <w:r w:rsidRPr="001B6D09">
        <w:t xml:space="preserve">him that he was </w:t>
      </w:r>
      <w:r w:rsidRPr="001B6D09" w:rsidR="001B6D09">
        <w:t>‘</w:t>
      </w:r>
      <w:r w:rsidRPr="001B6D09" w:rsidR="002D715F">
        <w:t xml:space="preserve">an </w:t>
      </w:r>
      <w:r w:rsidRPr="001B6D09">
        <w:t>imbec</w:t>
      </w:r>
      <w:r w:rsidRPr="001B6D09" w:rsidR="00063FD6">
        <w:t>il</w:t>
      </w:r>
      <w:r w:rsidRPr="001B6D09" w:rsidR="002D715F">
        <w:t>e</w:t>
      </w:r>
      <w:r w:rsidRPr="001B6D09">
        <w:t xml:space="preserve">, </w:t>
      </w:r>
      <w:r w:rsidRPr="001B6D09" w:rsidR="00352494">
        <w:t xml:space="preserve">an </w:t>
      </w:r>
      <w:r w:rsidRPr="001B6D09">
        <w:t>idiot</w:t>
      </w:r>
      <w:r w:rsidRPr="001B6D09" w:rsidR="001B6D09">
        <w:t>’</w:t>
      </w:r>
      <w:r w:rsidRPr="001B6D09">
        <w:t xml:space="preserve">, </w:t>
      </w:r>
      <w:r w:rsidRPr="001B6D09" w:rsidR="00E86C32">
        <w:t xml:space="preserve">and </w:t>
      </w:r>
      <w:r w:rsidRPr="001B6D09">
        <w:t>cursed his mother</w:t>
      </w:r>
      <w:r w:rsidRPr="001B6D09" w:rsidR="00BA661C">
        <w:t>,</w:t>
      </w:r>
      <w:r w:rsidRPr="001B6D09">
        <w:t xml:space="preserve"> and </w:t>
      </w:r>
      <w:r w:rsidRPr="001B6D09" w:rsidR="005B09C8">
        <w:t xml:space="preserve">said to him </w:t>
      </w:r>
      <w:r w:rsidRPr="001B6D09" w:rsidR="001B6D09">
        <w:t>‘</w:t>
      </w:r>
      <w:r w:rsidRPr="001B6D09">
        <w:t xml:space="preserve">give </w:t>
      </w:r>
      <w:r w:rsidRPr="001B6D09" w:rsidR="005B09C8">
        <w:t xml:space="preserve">me </w:t>
      </w:r>
      <w:r w:rsidRPr="001B6D09">
        <w:t>a blowjob</w:t>
      </w:r>
      <w:r w:rsidRPr="001B6D09" w:rsidR="001B6D09">
        <w:t>’</w:t>
      </w:r>
      <w:r w:rsidRPr="001B6D09" w:rsidR="00E86C32">
        <w:t>,</w:t>
      </w:r>
      <w:r w:rsidRPr="001B6D09">
        <w:t xml:space="preserve"> and at the s</w:t>
      </w:r>
      <w:r w:rsidRPr="001B6D09" w:rsidR="00F904F1">
        <w:t>a</w:t>
      </w:r>
      <w:r w:rsidRPr="001B6D09">
        <w:t>me time he push</w:t>
      </w:r>
      <w:r w:rsidRPr="001B6D09" w:rsidR="00E86C32">
        <w:t>ed</w:t>
      </w:r>
      <w:r w:rsidRPr="001B6D09">
        <w:t xml:space="preserve"> H. </w:t>
      </w:r>
      <w:r w:rsidRPr="001B6D09" w:rsidR="00E86C32">
        <w:t xml:space="preserve">This </w:t>
      </w:r>
      <w:r w:rsidRPr="001B6D09">
        <w:t>caused H. to move out of the flat at the beginning</w:t>
      </w:r>
      <w:r w:rsidRPr="001B6D09" w:rsidR="00F904F1">
        <w:t xml:space="preserve"> </w:t>
      </w:r>
      <w:r w:rsidRPr="001B6D09">
        <w:t>of 2007</w:t>
      </w:r>
      <w:r w:rsidRPr="001B6D09" w:rsidR="00E86C32">
        <w:t>. [The</w:t>
      </w:r>
      <w:r w:rsidRPr="001B6D09" w:rsidR="00EF7AD7">
        <w:t xml:space="preserve"> accused</w:t>
      </w:r>
      <w:r w:rsidRPr="001B6D09" w:rsidR="00E86C32">
        <w:t>]</w:t>
      </w:r>
      <w:r w:rsidRPr="001B6D09">
        <w:t xml:space="preserve"> </w:t>
      </w:r>
      <w:r w:rsidRPr="001B6D09" w:rsidR="002D715F">
        <w:t xml:space="preserve">was </w:t>
      </w:r>
      <w:r w:rsidRPr="001B6D09">
        <w:t xml:space="preserve">frequently </w:t>
      </w:r>
      <w:r w:rsidRPr="001B6D09" w:rsidR="002D715F">
        <w:t xml:space="preserve">telling </w:t>
      </w:r>
      <w:r w:rsidRPr="001B6D09">
        <w:t>Z.</w:t>
      </w:r>
      <w:r w:rsidRPr="001B6D09" w:rsidR="00E86C32">
        <w:t>, a minor,</w:t>
      </w:r>
      <w:r w:rsidRPr="001B6D09">
        <w:t xml:space="preserve"> that she was a </w:t>
      </w:r>
      <w:r w:rsidRPr="001B6D09" w:rsidR="001B6D09">
        <w:t>‘</w:t>
      </w:r>
      <w:r w:rsidRPr="001B6D09">
        <w:t>fat pig</w:t>
      </w:r>
      <w:r w:rsidRPr="001B6D09" w:rsidR="001B6D09">
        <w:t>’</w:t>
      </w:r>
      <w:r w:rsidRPr="001B6D09">
        <w:t xml:space="preserve">, that </w:t>
      </w:r>
      <w:r w:rsidRPr="001B6D09" w:rsidR="001B6D09">
        <w:t>‘</w:t>
      </w:r>
      <w:r w:rsidRPr="001B6D09">
        <w:t>nobody would fuck her</w:t>
      </w:r>
      <w:r w:rsidRPr="001B6D09" w:rsidR="001B6D09">
        <w:t>’</w:t>
      </w:r>
      <w:r w:rsidRPr="001B6D09">
        <w:t xml:space="preserve">, </w:t>
      </w:r>
      <w:r w:rsidRPr="001B6D09" w:rsidR="00E86C32">
        <w:t xml:space="preserve">and </w:t>
      </w:r>
      <w:r w:rsidRPr="001B6D09">
        <w:t xml:space="preserve">that she was </w:t>
      </w:r>
      <w:r w:rsidRPr="001B6D09" w:rsidR="001B6D09">
        <w:t>‘</w:t>
      </w:r>
      <w:r w:rsidRPr="001B6D09">
        <w:t xml:space="preserve">a fat </w:t>
      </w:r>
      <w:r w:rsidRPr="001B6D09" w:rsidR="00893887">
        <w:t>slut</w:t>
      </w:r>
      <w:r w:rsidRPr="001B6D09" w:rsidR="001B6D09">
        <w:t>’</w:t>
      </w:r>
      <w:r w:rsidRPr="001B6D09" w:rsidR="00E86C32">
        <w:t>. He</w:t>
      </w:r>
      <w:r w:rsidRPr="001B6D09">
        <w:t xml:space="preserve"> grabbed her by </w:t>
      </w:r>
      <w:r w:rsidRPr="001B6D09" w:rsidR="00E86C32">
        <w:t xml:space="preserve">the </w:t>
      </w:r>
      <w:r w:rsidRPr="001B6D09">
        <w:t>head and pushed her out of the flat, and continued to treat Z. in the same manner w</w:t>
      </w:r>
      <w:r w:rsidRPr="001B6D09" w:rsidR="002F43EC">
        <w:t>h</w:t>
      </w:r>
      <w:r w:rsidRPr="001B6D09">
        <w:t xml:space="preserve">en she became an adult </w:t>
      </w:r>
      <w:r w:rsidRPr="001B6D09" w:rsidR="001B3726">
        <w:t>...</w:t>
      </w:r>
      <w:r w:rsidRPr="001B6D09">
        <w:t xml:space="preserve"> </w:t>
      </w:r>
      <w:r w:rsidRPr="001B6D09" w:rsidR="00E86C32">
        <w:t xml:space="preserve">This </w:t>
      </w:r>
      <w:r w:rsidRPr="001B6D09">
        <w:t xml:space="preserve">behaviour culminated </w:t>
      </w:r>
      <w:r w:rsidRPr="001B6D09" w:rsidR="00EF7AD7">
        <w:t xml:space="preserve">in [the events] </w:t>
      </w:r>
      <w:r w:rsidRPr="001B6D09">
        <w:t>on 3</w:t>
      </w:r>
      <w:r w:rsidRPr="001B6D09" w:rsidR="003D2EA8">
        <w:t> </w:t>
      </w:r>
      <w:r w:rsidRPr="001B6D09">
        <w:t xml:space="preserve">November 2008 when the accused </w:t>
      </w:r>
      <w:r w:rsidRPr="001B6D09" w:rsidR="00F904F1">
        <w:t>verbally a</w:t>
      </w:r>
      <w:r w:rsidRPr="001B6D09" w:rsidR="00893887">
        <w:t>ssaulted</w:t>
      </w:r>
      <w:r w:rsidRPr="001B6D09" w:rsidR="00F904F1">
        <w:t xml:space="preserve"> his common</w:t>
      </w:r>
      <w:r w:rsidRPr="001B6D09" w:rsidR="0058569D">
        <w:t>-</w:t>
      </w:r>
      <w:r w:rsidRPr="001B6D09" w:rsidR="00F904F1">
        <w:t>law spouse M</w:t>
      </w:r>
      <w:r w:rsidRPr="001B6D09" w:rsidR="00893887">
        <w:t>i</w:t>
      </w:r>
      <w:r w:rsidRPr="001B6D09" w:rsidR="00F904F1">
        <w:t xml:space="preserve">. and daughter M. </w:t>
      </w:r>
      <w:r w:rsidRPr="001B6D09" w:rsidR="00893887">
        <w:t xml:space="preserve">by </w:t>
      </w:r>
      <w:r w:rsidRPr="001B6D09" w:rsidR="00F904F1">
        <w:t xml:space="preserve">telling them that they were </w:t>
      </w:r>
      <w:r w:rsidRPr="001B6D09" w:rsidR="001B6D09">
        <w:t>‘</w:t>
      </w:r>
      <w:r w:rsidRPr="001B6D09" w:rsidR="00F904F1">
        <w:t>whores and sluts</w:t>
      </w:r>
      <w:r w:rsidRPr="001B6D09" w:rsidR="001B6D09">
        <w:t>’</w:t>
      </w:r>
      <w:r w:rsidRPr="001B6D09" w:rsidR="00EF7AD7">
        <w:t>,</w:t>
      </w:r>
      <w:r w:rsidRPr="001B6D09" w:rsidR="00F904F1">
        <w:t xml:space="preserve"> and when his common</w:t>
      </w:r>
      <w:r w:rsidRPr="001B6D09" w:rsidR="0058569D">
        <w:t>-</w:t>
      </w:r>
      <w:r w:rsidRPr="001B6D09" w:rsidR="00F904F1">
        <w:t>law spouse M</w:t>
      </w:r>
      <w:r w:rsidRPr="001B6D09" w:rsidR="00893887">
        <w:t>i</w:t>
      </w:r>
      <w:r w:rsidRPr="001B6D09" w:rsidR="00F904F1">
        <w:t xml:space="preserve">. stayed in the flat with him </w:t>
      </w:r>
      <w:r w:rsidRPr="001B6D09" w:rsidR="00EF7AD7">
        <w:t xml:space="preserve">alone </w:t>
      </w:r>
      <w:r w:rsidRPr="001B6D09" w:rsidR="00893887">
        <w:t xml:space="preserve">he </w:t>
      </w:r>
      <w:r w:rsidRPr="001B6D09" w:rsidR="00F904F1">
        <w:t xml:space="preserve">verbally </w:t>
      </w:r>
      <w:r w:rsidRPr="001B6D09" w:rsidR="006D619F">
        <w:t>a</w:t>
      </w:r>
      <w:r w:rsidRPr="001B6D09" w:rsidR="00893887">
        <w:t>ssaulted</w:t>
      </w:r>
      <w:r w:rsidRPr="001B6D09" w:rsidR="00F904F1">
        <w:t xml:space="preserve"> her </w:t>
      </w:r>
      <w:r w:rsidRPr="001B6D09" w:rsidR="00EF7AD7">
        <w:t xml:space="preserve">again </w:t>
      </w:r>
      <w:r w:rsidRPr="001B6D09" w:rsidR="00893887">
        <w:t xml:space="preserve">by </w:t>
      </w:r>
      <w:r w:rsidRPr="001B6D09" w:rsidR="00F904F1">
        <w:t xml:space="preserve">telling her that </w:t>
      </w:r>
      <w:r w:rsidRPr="001B6D09" w:rsidR="006D619F">
        <w:t>she</w:t>
      </w:r>
      <w:r w:rsidRPr="001B6D09" w:rsidR="00F904F1">
        <w:t xml:space="preserve"> </w:t>
      </w:r>
      <w:r w:rsidRPr="001B6D09" w:rsidR="006D619F">
        <w:t xml:space="preserve">was a </w:t>
      </w:r>
      <w:r w:rsidRPr="001B6D09" w:rsidR="00F904F1">
        <w:t>whore and that he had been fired because of</w:t>
      </w:r>
      <w:r w:rsidRPr="001B6D09" w:rsidR="006D619F">
        <w:t xml:space="preserve"> </w:t>
      </w:r>
      <w:r w:rsidRPr="001B6D09" w:rsidR="00F904F1">
        <w:t xml:space="preserve">her, </w:t>
      </w:r>
      <w:r w:rsidRPr="001B6D09" w:rsidR="00EF7AD7">
        <w:t xml:space="preserve">[and] </w:t>
      </w:r>
      <w:r w:rsidRPr="001B6D09" w:rsidR="00F904F1">
        <w:t xml:space="preserve">that he </w:t>
      </w:r>
      <w:r w:rsidRPr="001B6D09" w:rsidR="006D619F">
        <w:t>would</w:t>
      </w:r>
      <w:r w:rsidRPr="001B6D09" w:rsidR="00F904F1">
        <w:t xml:space="preserve"> throw her out of the house and kill her</w:t>
      </w:r>
      <w:r w:rsidRPr="001B6D09" w:rsidR="00EF7AD7">
        <w:t>.</w:t>
      </w:r>
      <w:r w:rsidRPr="001B6D09" w:rsidR="00F904F1">
        <w:t xml:space="preserve"> </w:t>
      </w:r>
      <w:r w:rsidRPr="001B6D09" w:rsidR="00EF7AD7">
        <w:t>H</w:t>
      </w:r>
      <w:r w:rsidRPr="001B6D09" w:rsidR="00F904F1">
        <w:t xml:space="preserve">e </w:t>
      </w:r>
      <w:r w:rsidRPr="001B6D09" w:rsidR="00EF7AD7">
        <w:t xml:space="preserve">then </w:t>
      </w:r>
      <w:r w:rsidRPr="001B6D09" w:rsidR="00F904F1">
        <w:t>physically a</w:t>
      </w:r>
      <w:r w:rsidRPr="001B6D09" w:rsidR="00893887">
        <w:t>ssaulted</w:t>
      </w:r>
      <w:r w:rsidRPr="001B6D09" w:rsidR="00F904F1">
        <w:t xml:space="preserve"> her</w:t>
      </w:r>
      <w:r w:rsidRPr="001B6D09" w:rsidR="00EF7AD7">
        <w:t>,</w:t>
      </w:r>
      <w:r w:rsidRPr="001B6D09" w:rsidR="00F904F1">
        <w:t xml:space="preserve"> in that he grabbed her hair, threw her on</w:t>
      </w:r>
      <w:r w:rsidRPr="001B6D09" w:rsidR="00EF7AD7">
        <w:t>to</w:t>
      </w:r>
      <w:r w:rsidRPr="001B6D09" w:rsidR="00F904F1">
        <w:t xml:space="preserve"> a bed and hit her </w:t>
      </w:r>
      <w:r w:rsidRPr="001B6D09" w:rsidR="00EF7AD7">
        <w:t xml:space="preserve">on the </w:t>
      </w:r>
      <w:r w:rsidRPr="001B6D09" w:rsidR="00F904F1">
        <w:t xml:space="preserve">head, and </w:t>
      </w:r>
      <w:r w:rsidRPr="001B6D09" w:rsidR="006D619F">
        <w:t>continued</w:t>
      </w:r>
      <w:r w:rsidRPr="001B6D09" w:rsidR="00F904F1">
        <w:t xml:space="preserve"> to insult her by telling</w:t>
      </w:r>
      <w:r w:rsidRPr="001B6D09" w:rsidR="001961BD">
        <w:t xml:space="preserve"> </w:t>
      </w:r>
      <w:r w:rsidRPr="001B6D09" w:rsidR="00F904F1">
        <w:t xml:space="preserve">her that she was </w:t>
      </w:r>
      <w:r w:rsidRPr="001B6D09" w:rsidR="00EF7AD7">
        <w:t xml:space="preserve">a </w:t>
      </w:r>
      <w:r w:rsidRPr="001B6D09" w:rsidR="001B6D09">
        <w:t>‘</w:t>
      </w:r>
      <w:r w:rsidRPr="001B6D09" w:rsidR="00F904F1">
        <w:t>stupid whore f</w:t>
      </w:r>
      <w:r w:rsidRPr="001B6D09" w:rsidR="00893887">
        <w:t>ro</w:t>
      </w:r>
      <w:r w:rsidRPr="001B6D09" w:rsidR="00F904F1">
        <w:t xml:space="preserve">m Moslavina </w:t>
      </w:r>
      <w:r w:rsidRPr="001B6D09" w:rsidR="001961BD">
        <w:t>and Z</w:t>
      </w:r>
      <w:r w:rsidRPr="001B6D09" w:rsidR="00F904F1">
        <w:t>agorje</w:t>
      </w:r>
      <w:r w:rsidRPr="001B6D09" w:rsidR="001B6D09">
        <w:t>’</w:t>
      </w:r>
      <w:r w:rsidRPr="001B6D09" w:rsidR="00EF7AD7">
        <w:t>.</w:t>
      </w:r>
      <w:r w:rsidRPr="001B6D09" w:rsidR="00F904F1">
        <w:t xml:space="preserve"> </w:t>
      </w:r>
      <w:r w:rsidRPr="001B6D09" w:rsidR="00EF7AD7">
        <w:t xml:space="preserve">Those </w:t>
      </w:r>
      <w:r w:rsidRPr="001B6D09" w:rsidR="00F904F1">
        <w:t xml:space="preserve">blows </w:t>
      </w:r>
      <w:r w:rsidRPr="001B6D09" w:rsidR="00EF7AD7">
        <w:t xml:space="preserve">made </w:t>
      </w:r>
      <w:r w:rsidRPr="001B6D09" w:rsidR="00F904F1">
        <w:t xml:space="preserve">her ear bleed, </w:t>
      </w:r>
      <w:r w:rsidRPr="001B6D09" w:rsidR="00EF7AD7">
        <w:t xml:space="preserve">and [the accused] </w:t>
      </w:r>
      <w:r w:rsidRPr="001B6D09" w:rsidR="006D619F">
        <w:t>threatened</w:t>
      </w:r>
      <w:r w:rsidRPr="001B6D09" w:rsidR="00F904F1">
        <w:t xml:space="preserve"> her </w:t>
      </w:r>
      <w:r w:rsidRPr="001B6D09" w:rsidR="00EF7AD7">
        <w:t xml:space="preserve">by saying </w:t>
      </w:r>
      <w:r w:rsidRPr="001B6D09" w:rsidR="00F904F1">
        <w:t xml:space="preserve">that if she </w:t>
      </w:r>
      <w:r w:rsidRPr="001B6D09" w:rsidR="006D619F">
        <w:t>called</w:t>
      </w:r>
      <w:r w:rsidRPr="001B6D09" w:rsidR="00F904F1">
        <w:t xml:space="preserve"> the police </w:t>
      </w:r>
      <w:r w:rsidRPr="001B6D09" w:rsidR="00EF7AD7">
        <w:t xml:space="preserve">then </w:t>
      </w:r>
      <w:r w:rsidRPr="001B6D09" w:rsidR="00F904F1">
        <w:t xml:space="preserve">he </w:t>
      </w:r>
      <w:r w:rsidRPr="001B6D09" w:rsidR="006D619F">
        <w:t>would</w:t>
      </w:r>
      <w:r w:rsidRPr="001B6D09" w:rsidR="00F904F1">
        <w:t xml:space="preserve"> kill her</w:t>
      </w:r>
      <w:r w:rsidRPr="001B6D09" w:rsidR="00EF7AD7">
        <w:t>.</w:t>
      </w:r>
      <w:r w:rsidRPr="001B6D09" w:rsidR="00F904F1">
        <w:t xml:space="preserve"> </w:t>
      </w:r>
      <w:r w:rsidRPr="001B6D09" w:rsidR="00EF7AD7">
        <w:t>W</w:t>
      </w:r>
      <w:r w:rsidRPr="001B6D09" w:rsidR="00F904F1">
        <w:t>hen their daughter M. came hom</w:t>
      </w:r>
      <w:r w:rsidRPr="001B6D09" w:rsidR="001961BD">
        <w:t>e on the same day he entered he</w:t>
      </w:r>
      <w:r w:rsidRPr="001B6D09" w:rsidR="00F904F1">
        <w:t>r</w:t>
      </w:r>
      <w:r w:rsidRPr="001B6D09" w:rsidR="001961BD">
        <w:t xml:space="preserve"> </w:t>
      </w:r>
      <w:r w:rsidRPr="001B6D09" w:rsidR="00F904F1">
        <w:t xml:space="preserve">room and </w:t>
      </w:r>
      <w:r w:rsidRPr="001B6D09" w:rsidR="00EF7AD7">
        <w:t xml:space="preserve">said to </w:t>
      </w:r>
      <w:r w:rsidRPr="001B6D09" w:rsidR="00F904F1">
        <w:t xml:space="preserve">her </w:t>
      </w:r>
      <w:r w:rsidRPr="001B6D09" w:rsidR="001B6D09">
        <w:t>‘</w:t>
      </w:r>
      <w:r w:rsidRPr="001B6D09" w:rsidR="00F904F1">
        <w:t>slut, whore, I lost my job because of you, get out of the house</w:t>
      </w:r>
      <w:r w:rsidRPr="001B6D09" w:rsidR="001B6D09">
        <w:t>’</w:t>
      </w:r>
      <w:r w:rsidRPr="001B6D09" w:rsidR="00EF7AD7">
        <w:t>,</w:t>
      </w:r>
      <w:r w:rsidRPr="001B6D09" w:rsidR="00F904F1">
        <w:t xml:space="preserve"> after which he followed her </w:t>
      </w:r>
      <w:r w:rsidRPr="001B6D09" w:rsidR="00EF7AD7">
        <w:t xml:space="preserve">around </w:t>
      </w:r>
      <w:r w:rsidRPr="001B6D09" w:rsidR="00F904F1">
        <w:t>the house and continued to insult her</w:t>
      </w:r>
      <w:r w:rsidRPr="001B6D09" w:rsidR="00EF7AD7">
        <w:t>.</w:t>
      </w:r>
      <w:r w:rsidRPr="001B6D09" w:rsidR="00F904F1">
        <w:t xml:space="preserve"> </w:t>
      </w:r>
      <w:r w:rsidRPr="001B6D09" w:rsidR="00EF7AD7">
        <w:t xml:space="preserve">This </w:t>
      </w:r>
      <w:r w:rsidRPr="001B6D09" w:rsidR="00E77AF0">
        <w:t>behaviour cause</w:t>
      </w:r>
      <w:r w:rsidRPr="001B6D09" w:rsidR="00EF7AD7">
        <w:t>d</w:t>
      </w:r>
      <w:r w:rsidRPr="001B6D09" w:rsidR="00E77AF0">
        <w:t xml:space="preserve"> frequent police interventions and the accused</w:t>
      </w:r>
      <w:r w:rsidRPr="001B6D09" w:rsidR="00EF7AD7">
        <w:t>,</w:t>
      </w:r>
      <w:r w:rsidRPr="001B6D09" w:rsidR="00E77AF0">
        <w:t xml:space="preserve"> </w:t>
      </w:r>
      <w:r w:rsidRPr="001B6D09" w:rsidR="00EF7AD7">
        <w:t xml:space="preserve">through </w:t>
      </w:r>
      <w:r w:rsidRPr="001B6D09" w:rsidR="00E77AF0">
        <w:t>his behaviour</w:t>
      </w:r>
      <w:r w:rsidRPr="001B6D09" w:rsidR="00EF7AD7">
        <w:t>,</w:t>
      </w:r>
      <w:r w:rsidRPr="001B6D09" w:rsidR="00E77AF0">
        <w:t xml:space="preserve"> put the proper psycho-physic</w:t>
      </w:r>
      <w:r w:rsidRPr="001B6D09" w:rsidR="001961BD">
        <w:t>al</w:t>
      </w:r>
      <w:r w:rsidRPr="001B6D09" w:rsidR="00E77AF0">
        <w:t xml:space="preserve"> development of his minor daughter Z. </w:t>
      </w:r>
      <w:r w:rsidRPr="001B6D09" w:rsidR="00EF7AD7">
        <w:t>at risk</w:t>
      </w:r>
      <w:r w:rsidRPr="001B6D09" w:rsidR="007E1D8B">
        <w:t xml:space="preserve">. [Z.] is in psychiatric treatment </w:t>
      </w:r>
      <w:r w:rsidRPr="001B6D09" w:rsidR="00E77AF0">
        <w:t>owin</w:t>
      </w:r>
      <w:r w:rsidRPr="001B6D09" w:rsidR="001961BD">
        <w:t>g</w:t>
      </w:r>
      <w:r w:rsidRPr="001B6D09" w:rsidR="00E77AF0">
        <w:t xml:space="preserve"> to the accused</w:t>
      </w:r>
      <w:r w:rsidRPr="001B6D09" w:rsidR="001B6D09">
        <w:t>’</w:t>
      </w:r>
      <w:r w:rsidRPr="001B6D09" w:rsidR="00893887">
        <w:t>s</w:t>
      </w:r>
      <w:r w:rsidRPr="001B6D09" w:rsidR="00E77AF0">
        <w:t xml:space="preserve"> behaviour </w:t>
      </w:r>
      <w:r w:rsidRPr="001B6D09" w:rsidR="001B3726">
        <w:t>...</w:t>
      </w:r>
      <w:r w:rsidRPr="001B6D09" w:rsidR="00E77AF0">
        <w:t xml:space="preserve"> </w:t>
      </w:r>
      <w:r w:rsidRPr="001B6D09" w:rsidR="007E1D8B">
        <w:t xml:space="preserve">while </w:t>
      </w:r>
      <w:r w:rsidRPr="001B6D09" w:rsidR="001961BD">
        <w:t xml:space="preserve">[his behaviour] caused </w:t>
      </w:r>
      <w:r w:rsidRPr="001B6D09" w:rsidR="004F727B">
        <w:t>his daughter M., son H. and common-law spouse Mi</w:t>
      </w:r>
      <w:r w:rsidRPr="001B6D09" w:rsidR="00DF738C">
        <w:t>.</w:t>
      </w:r>
      <w:r w:rsidRPr="001B6D09" w:rsidR="004F727B">
        <w:t xml:space="preserve"> to </w:t>
      </w:r>
      <w:r w:rsidRPr="001B6D09" w:rsidR="001961BD">
        <w:t>fear</w:t>
      </w:r>
      <w:r w:rsidRPr="001B6D09" w:rsidR="007E1D8B">
        <w:t xml:space="preserve"> </w:t>
      </w:r>
      <w:r w:rsidRPr="001B6D09" w:rsidR="004F727B">
        <w:t xml:space="preserve">for their life and health </w:t>
      </w:r>
      <w:r w:rsidRPr="001B6D09" w:rsidR="007E1D8B">
        <w:t>[and]</w:t>
      </w:r>
      <w:r w:rsidRPr="001B6D09" w:rsidR="001961BD">
        <w:t xml:space="preserve"> </w:t>
      </w:r>
      <w:r w:rsidRPr="001B6D09" w:rsidR="006549D3">
        <w:t xml:space="preserve">to </w:t>
      </w:r>
      <w:r w:rsidRPr="001B6D09" w:rsidR="004F727B">
        <w:t xml:space="preserve">experience </w:t>
      </w:r>
      <w:r w:rsidRPr="001B6D09" w:rsidR="001961BD">
        <w:t xml:space="preserve">anxiety </w:t>
      </w:r>
      <w:r w:rsidRPr="001B6D09" w:rsidR="004F727B">
        <w:t>[in this respect]</w:t>
      </w:r>
      <w:r w:rsidRPr="001B6D09" w:rsidR="001961BD">
        <w:t>.</w:t>
      </w:r>
    </w:p>
    <w:p w:rsidRPr="001B6D09" w:rsidR="00063FD6" w:rsidP="001B6D09" w:rsidRDefault="001B3726" w14:paraId="58A26B2C" w14:textId="4EF964EA">
      <w:pPr>
        <w:pStyle w:val="JuQuot"/>
        <w:jc w:val="both"/>
      </w:pPr>
      <w:r w:rsidRPr="001B6D09">
        <w:t>...</w:t>
      </w:r>
    </w:p>
    <w:p w:rsidRPr="001B6D09" w:rsidR="00DF738C" w:rsidP="001B6D09" w:rsidRDefault="00DF738C" w14:paraId="69F64A61" w14:textId="5A682897">
      <w:pPr>
        <w:pStyle w:val="JuQuot"/>
        <w:jc w:val="both"/>
      </w:pPr>
      <w:r w:rsidRPr="001B6D09">
        <w:t xml:space="preserve">In the course of the proceedings, the court inspected </w:t>
      </w:r>
      <w:r w:rsidRPr="001B6D09" w:rsidR="001B3726">
        <w:t>...</w:t>
      </w:r>
      <w:r w:rsidRPr="001B6D09">
        <w:t xml:space="preserve"> record of examination of blood alcohol [of 4 November 2008]</w:t>
      </w:r>
      <w:r w:rsidRPr="001B6D09" w:rsidR="001B3726">
        <w:t>...</w:t>
      </w:r>
      <w:r w:rsidRPr="001B6D09">
        <w:t xml:space="preserve">, the Zagreb Minor Offences Court judgment [of 4 November 2008] </w:t>
      </w:r>
      <w:r w:rsidRPr="001B6D09" w:rsidR="001B3726">
        <w:t>...</w:t>
      </w:r>
      <w:r w:rsidRPr="001B6D09">
        <w:t>, medical documentation concerning Mi.G. [relating to the incident of 3 November 2008]</w:t>
      </w:r>
      <w:r w:rsidRPr="001B6D09" w:rsidR="001B3726">
        <w:t>...</w:t>
      </w:r>
    </w:p>
    <w:p w:rsidRPr="001B6D09" w:rsidR="00DF738C" w:rsidP="001B6D09" w:rsidRDefault="001B3726" w14:paraId="28906273" w14:textId="7467D8FB">
      <w:pPr>
        <w:pStyle w:val="JuQuot"/>
        <w:jc w:val="both"/>
      </w:pPr>
      <w:r w:rsidRPr="001B6D09">
        <w:t>...</w:t>
      </w:r>
    </w:p>
    <w:p w:rsidRPr="001B6D09" w:rsidR="00567A42" w:rsidP="001B6D09" w:rsidRDefault="00063FD6" w14:paraId="79C1D9EA" w14:textId="004A5BE6">
      <w:pPr>
        <w:pStyle w:val="JuQuot"/>
        <w:jc w:val="both"/>
      </w:pPr>
      <w:r w:rsidRPr="001B6D09">
        <w:t>In relation to the criminal offences of domestic violence from Article 215a of the Criminal Code committed against Z.G., M.G., Mi.G and H.G., the court has established that in the incriminating period the [applicant], through his extremely rude, aggressive and ruthless behaviour, put the members of his family in a humiliating position by verbally and p</w:t>
      </w:r>
      <w:r w:rsidRPr="001B6D09" w:rsidR="000163E5">
        <w:t>h</w:t>
      </w:r>
      <w:r w:rsidRPr="001B6D09">
        <w:t>ysically endangering them, attacking, threatening, which transpires from the statements of all heard witnesses and from the material evidence in the case file. The gravity of the [applicant</w:t>
      </w:r>
      <w:r w:rsidRPr="001B6D09" w:rsidR="001B6D09">
        <w:t>’</w:t>
      </w:r>
      <w:r w:rsidRPr="001B6D09">
        <w:t xml:space="preserve">s] behaviour is also visible from the fact that [his family members] have been suffering such behaviour since 1995, that his older daughter M.G. said that she thought that [his conduct] had not been punishable as long as he was not beating them, and the fact that the victims called the police only when </w:t>
      </w:r>
      <w:r w:rsidRPr="001B6D09" w:rsidR="001B6D09">
        <w:t>‘</w:t>
      </w:r>
      <w:r w:rsidRPr="001B6D09">
        <w:t>the water came to their neck</w:t>
      </w:r>
      <w:r w:rsidRPr="001B6D09" w:rsidR="001B6D09">
        <w:t>’</w:t>
      </w:r>
      <w:r w:rsidRPr="001B6D09">
        <w:t xml:space="preserve"> since they are in permanent fear due to the aggressive behaviour of the [applicant]. </w:t>
      </w:r>
      <w:r w:rsidRPr="001B6D09" w:rsidR="00852BA8">
        <w:t>Not even a whole series of minor offence convictions, nor a previous criminal conviction for the same criminal offences did not result in a change in the [applicant</w:t>
      </w:r>
      <w:r w:rsidRPr="001B6D09" w:rsidR="001B6D09">
        <w:t>’</w:t>
      </w:r>
      <w:r w:rsidRPr="001B6D09" w:rsidR="00852BA8">
        <w:t>s] behaviour, but instead it culminated on 3 November 2008 when Mi.G. left the family home in fear of her own life</w:t>
      </w:r>
      <w:r w:rsidRPr="001B6D09" w:rsidR="00567A42">
        <w:t>.</w:t>
      </w:r>
    </w:p>
    <w:p w:rsidRPr="001B6D09" w:rsidR="0083499D" w:rsidP="001B6D09" w:rsidRDefault="001B3726" w14:paraId="7CD7D353" w14:textId="3512C810">
      <w:pPr>
        <w:pStyle w:val="JuQuot"/>
        <w:jc w:val="both"/>
      </w:pPr>
      <w:r w:rsidRPr="001B6D09">
        <w:t>...</w:t>
      </w:r>
    </w:p>
    <w:p w:rsidRPr="001B6D09" w:rsidR="001B3726" w:rsidP="001B6D09" w:rsidRDefault="0083499D" w14:paraId="4D28463B" w14:textId="0139EA0A">
      <w:pPr>
        <w:pStyle w:val="JuQuot"/>
        <w:jc w:val="both"/>
      </w:pPr>
      <w:r w:rsidRPr="001B6D09">
        <w:t>The [above] prison penalty shall include the period [the applicant] had served on the basis of the Zagreb Minor Offences Court</w:t>
      </w:r>
      <w:r w:rsidRPr="001B6D09" w:rsidR="001B6D09">
        <w:t>’</w:t>
      </w:r>
      <w:r w:rsidRPr="001B6D09">
        <w:t>s decision [of 10 January 2008] between 11</w:t>
      </w:r>
      <w:r w:rsidRPr="001B6D09" w:rsidR="00A15A08">
        <w:t> </w:t>
      </w:r>
      <w:r w:rsidRPr="001B6D09">
        <w:t>and 16 January 2008 and [</w:t>
      </w:r>
      <w:r w:rsidRPr="001B6D09" w:rsidR="00567A42">
        <w:t xml:space="preserve">on the basis of </w:t>
      </w:r>
      <w:r w:rsidRPr="001B6D09">
        <w:t>its decision of 17 November 2008] between 5 November until 2 December 2008</w:t>
      </w:r>
      <w:r w:rsidRPr="001B6D09" w:rsidR="005B12FD">
        <w:t xml:space="preserve"> </w:t>
      </w:r>
      <w:r w:rsidRPr="001B6D09" w:rsidR="001B3726">
        <w:t>...</w:t>
      </w:r>
      <w:r w:rsidRPr="001B6D09" w:rsidR="001961BD">
        <w:t>”</w:t>
      </w:r>
    </w:p>
    <w:p w:rsidRPr="001B6D09" w:rsidR="00D80EC9" w:rsidP="001B6D09" w:rsidRDefault="00D80EC9" w14:paraId="7BD8B2B7" w14:textId="58B2E898">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34</w:t>
      </w:r>
      <w:r w:rsidRPr="001B6D09">
        <w:fldChar w:fldCharType="end"/>
      </w:r>
      <w:r w:rsidRPr="001B6D09">
        <w:t xml:space="preserve">.  The first-instance judgment was served </w:t>
      </w:r>
      <w:r w:rsidRPr="001B6D09" w:rsidR="007E1D8B">
        <w:t xml:space="preserve">on </w:t>
      </w:r>
      <w:r w:rsidRPr="001B6D09">
        <w:t>the applicant</w:t>
      </w:r>
      <w:r w:rsidRPr="001B6D09" w:rsidR="001B6D09">
        <w:t>’</w:t>
      </w:r>
      <w:r w:rsidRPr="001B6D09">
        <w:t>s lawyer E.H. on 13 August 2009.</w:t>
      </w:r>
    </w:p>
    <w:p w:rsidRPr="001B6D09" w:rsidR="00680587" w:rsidP="001B6D09" w:rsidRDefault="00680587" w14:paraId="434D047A" w14:textId="57FE7003">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35</w:t>
      </w:r>
      <w:r w:rsidRPr="001B6D09">
        <w:fldChar w:fldCharType="end"/>
      </w:r>
      <w:r w:rsidRPr="001B6D09">
        <w:t>.  The applicant remained in detention.</w:t>
      </w:r>
    </w:p>
    <w:bookmarkStart w:name="appeal_applicant" w:id="24"/>
    <w:p w:rsidRPr="001B6D09" w:rsidR="001B3726" w:rsidP="001B6D09" w:rsidRDefault="00071D6F" w14:paraId="373D7310" w14:textId="3A363F1B">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36</w:t>
      </w:r>
      <w:r w:rsidRPr="001B6D09">
        <w:fldChar w:fldCharType="end"/>
      </w:r>
      <w:bookmarkEnd w:id="24"/>
      <w:r w:rsidRPr="001B6D09">
        <w:t>.  </w:t>
      </w:r>
      <w:r w:rsidRPr="001B6D09" w:rsidR="008C21CB">
        <w:t xml:space="preserve">On </w:t>
      </w:r>
      <w:r w:rsidRPr="001B6D09" w:rsidR="00CE2ACB">
        <w:t>19</w:t>
      </w:r>
      <w:r w:rsidRPr="001B6D09" w:rsidR="008C21CB">
        <w:t xml:space="preserve"> August 2009 the applicant appealed against th</w:t>
      </w:r>
      <w:r w:rsidRPr="001B6D09" w:rsidR="00510216">
        <w:t>e first-instance</w:t>
      </w:r>
      <w:r w:rsidRPr="001B6D09" w:rsidR="008C21CB">
        <w:t xml:space="preserve"> judgment </w:t>
      </w:r>
      <w:r w:rsidRPr="001B6D09" w:rsidR="004C5756">
        <w:t>and asked</w:t>
      </w:r>
      <w:r w:rsidRPr="001B6D09" w:rsidR="008C21CB">
        <w:t xml:space="preserve"> that </w:t>
      </w:r>
      <w:r w:rsidRPr="001B6D09" w:rsidR="00510216">
        <w:t>a</w:t>
      </w:r>
      <w:r w:rsidRPr="001B6D09" w:rsidR="008C21CB">
        <w:t xml:space="preserve"> hearing be held. </w:t>
      </w:r>
      <w:r w:rsidRPr="001B6D09" w:rsidR="00FE58C1">
        <w:t>H</w:t>
      </w:r>
      <w:r w:rsidRPr="001B6D09" w:rsidR="004C5756">
        <w:t xml:space="preserve">e complained </w:t>
      </w:r>
      <w:r w:rsidRPr="001B6D09" w:rsidR="009D7F2F">
        <w:t xml:space="preserve">at length </w:t>
      </w:r>
      <w:r w:rsidRPr="001B6D09" w:rsidR="004C5756">
        <w:t xml:space="preserve">about </w:t>
      </w:r>
      <w:r w:rsidRPr="001B6D09" w:rsidR="00567A42">
        <w:t xml:space="preserve">the </w:t>
      </w:r>
      <w:r w:rsidRPr="001B6D09" w:rsidR="000163E5">
        <w:t>wrongful assessment of</w:t>
      </w:r>
      <w:r w:rsidRPr="001B6D09" w:rsidR="009D7F2F">
        <w:t xml:space="preserve"> the </w:t>
      </w:r>
      <w:r w:rsidRPr="001B6D09" w:rsidR="004C5756">
        <w:t xml:space="preserve">facts </w:t>
      </w:r>
      <w:r w:rsidRPr="001B6D09" w:rsidR="000163E5">
        <w:t>and application of</w:t>
      </w:r>
      <w:r w:rsidRPr="001B6D09" w:rsidR="009D7F2F">
        <w:t xml:space="preserve"> the </w:t>
      </w:r>
      <w:r w:rsidRPr="001B6D09" w:rsidR="004C5756">
        <w:t>domestic law</w:t>
      </w:r>
      <w:r w:rsidRPr="001B6D09" w:rsidR="00567A42">
        <w:t xml:space="preserve"> in his case</w:t>
      </w:r>
      <w:r w:rsidRPr="001B6D09" w:rsidR="004C5756">
        <w:t>.</w:t>
      </w:r>
    </w:p>
    <w:p w:rsidRPr="001B6D09" w:rsidR="001B3726" w:rsidP="001B6D09" w:rsidRDefault="007E2AC0" w14:paraId="3E60B8A2" w14:textId="7BFB30C6">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37</w:t>
      </w:r>
      <w:r w:rsidRPr="001B6D09">
        <w:fldChar w:fldCharType="end"/>
      </w:r>
      <w:r w:rsidRPr="001B6D09">
        <w:t>.  </w:t>
      </w:r>
      <w:r w:rsidRPr="001B6D09" w:rsidR="008C21CB">
        <w:t xml:space="preserve">By a letter of </w:t>
      </w:r>
      <w:r w:rsidRPr="001B6D09">
        <w:t>the same date</w:t>
      </w:r>
      <w:r w:rsidRPr="001B6D09" w:rsidR="00677071">
        <w:t>,</w:t>
      </w:r>
      <w:r w:rsidRPr="001B6D09">
        <w:t xml:space="preserve"> which was received </w:t>
      </w:r>
      <w:r w:rsidRPr="001B6D09" w:rsidR="00677071">
        <w:t xml:space="preserve">by </w:t>
      </w:r>
      <w:r w:rsidRPr="001B6D09">
        <w:t>the first</w:t>
      </w:r>
      <w:r w:rsidRPr="001B6D09" w:rsidR="000163E5">
        <w:t xml:space="preserve"> </w:t>
      </w:r>
      <w:r w:rsidRPr="001B6D09">
        <w:t xml:space="preserve">instance court a day later, </w:t>
      </w:r>
      <w:r w:rsidRPr="001B6D09" w:rsidR="008C21CB">
        <w:t xml:space="preserve">the applicant </w:t>
      </w:r>
      <w:r w:rsidRPr="001B6D09" w:rsidR="00071D6F">
        <w:t>revoked</w:t>
      </w:r>
      <w:r w:rsidRPr="001B6D09" w:rsidR="008C21CB">
        <w:t xml:space="preserve"> the power</w:t>
      </w:r>
      <w:r w:rsidRPr="001B6D09" w:rsidR="00677071">
        <w:t xml:space="preserve"> </w:t>
      </w:r>
      <w:r w:rsidRPr="001B6D09" w:rsidR="008C21CB">
        <w:t>of</w:t>
      </w:r>
      <w:r w:rsidRPr="001B6D09" w:rsidR="00677071">
        <w:t xml:space="preserve"> </w:t>
      </w:r>
      <w:r w:rsidRPr="001B6D09" w:rsidR="008C21CB">
        <w:t xml:space="preserve">attorney </w:t>
      </w:r>
      <w:r w:rsidRPr="001B6D09" w:rsidR="00677071">
        <w:t xml:space="preserve">which had been </w:t>
      </w:r>
      <w:r w:rsidRPr="001B6D09" w:rsidR="008C21CB">
        <w:t>issued to E.H.</w:t>
      </w:r>
      <w:r w:rsidRPr="001B6D09" w:rsidR="00677071">
        <w:t>, his lawyer.</w:t>
      </w:r>
    </w:p>
    <w:p w:rsidRPr="001B6D09" w:rsidR="001B3726" w:rsidP="001B6D09" w:rsidRDefault="00EC5D88" w14:paraId="21E20A5B" w14:textId="5879D620">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38</w:t>
      </w:r>
      <w:r w:rsidRPr="001B6D09">
        <w:fldChar w:fldCharType="end"/>
      </w:r>
      <w:r w:rsidRPr="001B6D09">
        <w:t>.  On 24 August 2009 the applicant sen</w:t>
      </w:r>
      <w:r w:rsidRPr="001B6D09" w:rsidR="005009D8">
        <w:t>t</w:t>
      </w:r>
      <w:r w:rsidRPr="001B6D09">
        <w:t xml:space="preserve"> a letter to the Municipal Court stating that he needed a new defence lawyer. He submitted a list of eight lawyers and asked to </w:t>
      </w:r>
      <w:r w:rsidRPr="001B6D09" w:rsidR="00677071">
        <w:t xml:space="preserve">be able </w:t>
      </w:r>
      <w:r w:rsidRPr="001B6D09" w:rsidR="00077E39">
        <w:t xml:space="preserve">to </w:t>
      </w:r>
      <w:r w:rsidRPr="001B6D09">
        <w:t xml:space="preserve">contact them by telephone. This letter was received </w:t>
      </w:r>
      <w:r w:rsidRPr="001B6D09" w:rsidR="00677071">
        <w:t xml:space="preserve">by </w:t>
      </w:r>
      <w:r w:rsidRPr="001B6D09">
        <w:t>the Municipal Court on 25 August 2009.</w:t>
      </w:r>
    </w:p>
    <w:p w:rsidRPr="001B6D09" w:rsidR="00EC5D88" w:rsidP="001B6D09" w:rsidRDefault="00EC5D88" w14:paraId="611D8DA5" w14:textId="5FA7D8CB">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39</w:t>
      </w:r>
      <w:r w:rsidRPr="001B6D09">
        <w:fldChar w:fldCharType="end"/>
      </w:r>
      <w:r w:rsidRPr="001B6D09">
        <w:t>.  By another letter of 25 August 2009</w:t>
      </w:r>
      <w:r w:rsidRPr="001B6D09" w:rsidR="000163E5">
        <w:t>,</w:t>
      </w:r>
      <w:r w:rsidRPr="001B6D09">
        <w:t xml:space="preserve"> the applicant informed the Municipal Court that he had revoke</w:t>
      </w:r>
      <w:r w:rsidRPr="001B6D09" w:rsidR="000046D1">
        <w:t>d</w:t>
      </w:r>
      <w:r w:rsidRPr="001B6D09">
        <w:t xml:space="preserve"> the power of attorney </w:t>
      </w:r>
      <w:r w:rsidRPr="001B6D09" w:rsidR="00677071">
        <w:t xml:space="preserve">given </w:t>
      </w:r>
      <w:r w:rsidRPr="001B6D09">
        <w:t>to E.H. and asked to be allowed to contact four other lawyers</w:t>
      </w:r>
      <w:r w:rsidRPr="001B6D09" w:rsidR="00677071">
        <w:t xml:space="preserve"> by telephone</w:t>
      </w:r>
      <w:r w:rsidRPr="001B6D09">
        <w:t xml:space="preserve">. That letter was received </w:t>
      </w:r>
      <w:r w:rsidRPr="001B6D09" w:rsidR="00677071">
        <w:t xml:space="preserve">by </w:t>
      </w:r>
      <w:r w:rsidRPr="001B6D09">
        <w:t>the Municipal Court on 26 August 2009. The applicant made the same request in a letter of 26 August 2009.</w:t>
      </w:r>
    </w:p>
    <w:bookmarkStart w:name="appeal_lawyer" w:id="25"/>
    <w:p w:rsidRPr="001B6D09" w:rsidR="001B3726" w:rsidP="001B6D09" w:rsidRDefault="00CE2ACB" w14:paraId="538275B1" w14:textId="14F84B61">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40</w:t>
      </w:r>
      <w:r w:rsidRPr="001B6D09">
        <w:fldChar w:fldCharType="end"/>
      </w:r>
      <w:bookmarkEnd w:id="25"/>
      <w:r w:rsidRPr="001B6D09">
        <w:t>.  On 31 August 2009 E.H. lodged an ap</w:t>
      </w:r>
      <w:r w:rsidRPr="001B6D09" w:rsidR="00252A34">
        <w:t>peal</w:t>
      </w:r>
      <w:r w:rsidRPr="001B6D09">
        <w:t xml:space="preserve"> </w:t>
      </w:r>
      <w:r w:rsidRPr="001B6D09" w:rsidR="00677071">
        <w:t xml:space="preserve">against the first-instance judgment </w:t>
      </w:r>
      <w:r w:rsidRPr="001B6D09">
        <w:t>on the app</w:t>
      </w:r>
      <w:r w:rsidRPr="001B6D09" w:rsidR="00252A34">
        <w:t>licant</w:t>
      </w:r>
      <w:r w:rsidRPr="001B6D09" w:rsidR="001B6D09">
        <w:t>’</w:t>
      </w:r>
      <w:r w:rsidRPr="001B6D09">
        <w:t xml:space="preserve">s </w:t>
      </w:r>
      <w:r w:rsidRPr="001B6D09" w:rsidR="00252A34">
        <w:t>behalf</w:t>
      </w:r>
      <w:r w:rsidRPr="001B6D09">
        <w:t>.</w:t>
      </w:r>
    </w:p>
    <w:p w:rsidRPr="001B6D09" w:rsidR="001B3726" w:rsidP="001B6D09" w:rsidRDefault="00EC5D88" w14:paraId="7F7FDBF3" w14:textId="3B53DA0C">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41</w:t>
      </w:r>
      <w:r w:rsidRPr="001B6D09">
        <w:fldChar w:fldCharType="end"/>
      </w:r>
      <w:r w:rsidRPr="001B6D09">
        <w:t xml:space="preserve">.  On 7 September 2009 the applicant asked </w:t>
      </w:r>
      <w:r w:rsidRPr="001B6D09" w:rsidR="00677071">
        <w:t xml:space="preserve">for </w:t>
      </w:r>
      <w:r w:rsidRPr="001B6D09">
        <w:t>permission to consu</w:t>
      </w:r>
      <w:r w:rsidRPr="001B6D09" w:rsidR="006247CA">
        <w:t>l</w:t>
      </w:r>
      <w:r w:rsidRPr="001B6D09">
        <w:t xml:space="preserve">t </w:t>
      </w:r>
      <w:r w:rsidRPr="001B6D09" w:rsidR="00672324">
        <w:t xml:space="preserve">part of </w:t>
      </w:r>
      <w:r w:rsidRPr="001B6D09">
        <w:t>the case</w:t>
      </w:r>
      <w:r w:rsidRPr="001B6D09" w:rsidR="00677071">
        <w:t xml:space="preserve"> </w:t>
      </w:r>
      <w:r w:rsidRPr="001B6D09">
        <w:t>file.</w:t>
      </w:r>
    </w:p>
    <w:bookmarkStart w:name="SA_appointed" w:id="26"/>
    <w:p w:rsidRPr="001B6D09" w:rsidR="008C21CB" w:rsidP="001B6D09" w:rsidRDefault="006247CA" w14:paraId="5523952F" w14:textId="0CE5634F">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42</w:t>
      </w:r>
      <w:r w:rsidRPr="001B6D09">
        <w:fldChar w:fldCharType="end"/>
      </w:r>
      <w:bookmarkEnd w:id="26"/>
      <w:r w:rsidRPr="001B6D09">
        <w:t>.  O</w:t>
      </w:r>
      <w:r w:rsidRPr="001B6D09" w:rsidR="008C21CB">
        <w:t xml:space="preserve">n 9 September 2009 the President of </w:t>
      </w:r>
      <w:r w:rsidRPr="001B6D09" w:rsidR="00677071">
        <w:t xml:space="preserve">the Municipal Court </w:t>
      </w:r>
      <w:r w:rsidRPr="001B6D09" w:rsidR="008C21CB">
        <w:t xml:space="preserve">appointed S.A. to act as a </w:t>
      </w:r>
      <w:r w:rsidRPr="001B6D09">
        <w:t xml:space="preserve">defence lawyer </w:t>
      </w:r>
      <w:r w:rsidRPr="001B6D09" w:rsidR="00FE38E2">
        <w:t>for</w:t>
      </w:r>
      <w:r w:rsidRPr="001B6D09" w:rsidR="008C21CB">
        <w:t xml:space="preserve"> the applicant</w:t>
      </w:r>
      <w:r w:rsidRPr="001B6D09" w:rsidR="00672324">
        <w:t xml:space="preserve"> and sent the applicant a copy of the part of the case</w:t>
      </w:r>
      <w:r w:rsidRPr="001B6D09" w:rsidR="00677071">
        <w:t xml:space="preserve"> </w:t>
      </w:r>
      <w:r w:rsidRPr="001B6D09" w:rsidR="00672324">
        <w:t xml:space="preserve">file </w:t>
      </w:r>
      <w:r w:rsidRPr="001B6D09" w:rsidR="00677071">
        <w:t xml:space="preserve">which </w:t>
      </w:r>
      <w:r w:rsidRPr="001B6D09" w:rsidR="00672324">
        <w:t xml:space="preserve">he </w:t>
      </w:r>
      <w:r w:rsidRPr="001B6D09" w:rsidR="00077E39">
        <w:t xml:space="preserve">had requested </w:t>
      </w:r>
      <w:r w:rsidRPr="001B6D09" w:rsidR="00672324">
        <w:t>to consult</w:t>
      </w:r>
      <w:r w:rsidRPr="001B6D09" w:rsidR="008C21CB">
        <w:t>.</w:t>
      </w:r>
    </w:p>
    <w:bookmarkStart w:name="asked_for_other_lawyer" w:id="27"/>
    <w:p w:rsidRPr="001B6D09" w:rsidR="00CE2ACB" w:rsidP="001B6D09" w:rsidRDefault="007E2AC0" w14:paraId="511F156C" w14:textId="0C754E0E">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43</w:t>
      </w:r>
      <w:r w:rsidRPr="001B6D09">
        <w:fldChar w:fldCharType="end"/>
      </w:r>
      <w:bookmarkEnd w:id="27"/>
      <w:r w:rsidRPr="001B6D09">
        <w:t>.  On 14 September the applicant informed the Municipal Court that he did not trust S.A.</w:t>
      </w:r>
      <w:r w:rsidRPr="001B6D09" w:rsidR="005009D8">
        <w:t>,</w:t>
      </w:r>
      <w:r w:rsidRPr="001B6D09">
        <w:t xml:space="preserve"> and</w:t>
      </w:r>
      <w:r w:rsidRPr="001B6D09" w:rsidR="00CE2ACB">
        <w:t xml:space="preserve"> </w:t>
      </w:r>
      <w:r w:rsidRPr="001B6D09" w:rsidR="005009D8">
        <w:t xml:space="preserve">he </w:t>
      </w:r>
      <w:r w:rsidRPr="001B6D09" w:rsidR="00CE2ACB">
        <w:t xml:space="preserve">complained that </w:t>
      </w:r>
      <w:r w:rsidRPr="001B6D09" w:rsidR="00677071">
        <w:t xml:space="preserve">a </w:t>
      </w:r>
      <w:r w:rsidRPr="001B6D09" w:rsidR="00CE2ACB">
        <w:t xml:space="preserve">request </w:t>
      </w:r>
      <w:r w:rsidRPr="001B6D09" w:rsidR="006812A0">
        <w:t xml:space="preserve">which he had made </w:t>
      </w:r>
      <w:r w:rsidRPr="001B6D09" w:rsidR="00CE2ACB">
        <w:t xml:space="preserve">to contact three lawyers </w:t>
      </w:r>
      <w:r w:rsidRPr="001B6D09" w:rsidR="00677071">
        <w:t xml:space="preserve">by telephone had </w:t>
      </w:r>
      <w:r w:rsidRPr="001B6D09" w:rsidR="00CE2ACB">
        <w:t xml:space="preserve">not </w:t>
      </w:r>
      <w:r w:rsidRPr="001B6D09" w:rsidR="00677071">
        <w:t xml:space="preserve">been </w:t>
      </w:r>
      <w:r w:rsidRPr="001B6D09" w:rsidR="00CE2ACB">
        <w:t xml:space="preserve">complied with properly. He explained that he had written to two lawyers and </w:t>
      </w:r>
      <w:r w:rsidRPr="001B6D09" w:rsidR="006D619F">
        <w:t>sent</w:t>
      </w:r>
      <w:r w:rsidRPr="001B6D09" w:rsidR="00CE2ACB">
        <w:t xml:space="preserve"> letter</w:t>
      </w:r>
      <w:r w:rsidRPr="001B6D09" w:rsidR="00510216">
        <w:t>s</w:t>
      </w:r>
      <w:r w:rsidRPr="001B6D09" w:rsidR="00CE2ACB">
        <w:t xml:space="preserve"> by registered mail but had not received any confirmation of receipt. As regards the third lawyer, the number on which he had been allowed to </w:t>
      </w:r>
      <w:r w:rsidRPr="001B6D09" w:rsidR="006D619F">
        <w:t>call</w:t>
      </w:r>
      <w:r w:rsidRPr="001B6D09" w:rsidR="00CE2ACB">
        <w:t xml:space="preserve"> him </w:t>
      </w:r>
      <w:r w:rsidRPr="001B6D09" w:rsidR="00077E39">
        <w:t>had been incorrect</w:t>
      </w:r>
      <w:r w:rsidRPr="001B6D09" w:rsidR="00CE2ACB">
        <w:t>.</w:t>
      </w:r>
    </w:p>
    <w:bookmarkStart w:name="lawyer1" w:id="28"/>
    <w:p w:rsidRPr="001B6D09" w:rsidR="001B3726" w:rsidP="001B6D09" w:rsidRDefault="00AB73ED" w14:paraId="4F7EEE0B" w14:textId="518916A0">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44</w:t>
      </w:r>
      <w:r w:rsidRPr="001B6D09">
        <w:fldChar w:fldCharType="end"/>
      </w:r>
      <w:bookmarkEnd w:id="28"/>
      <w:r w:rsidRPr="001B6D09">
        <w:t xml:space="preserve">.  On 16 September the applicant contacted E.H. </w:t>
      </w:r>
      <w:r w:rsidRPr="001B6D09" w:rsidR="00464280">
        <w:t xml:space="preserve">again. </w:t>
      </w:r>
      <w:r w:rsidRPr="001B6D09">
        <w:t>On the same day D.L.</w:t>
      </w:r>
      <w:r w:rsidRPr="001B6D09" w:rsidR="00464280">
        <w:t>, another lawyer,</w:t>
      </w:r>
      <w:r w:rsidRPr="001B6D09">
        <w:t xml:space="preserve"> visited the applicant in prison.</w:t>
      </w:r>
    </w:p>
    <w:bookmarkStart w:name="allowed_to_contact_lawyers" w:id="29"/>
    <w:p w:rsidRPr="001B6D09" w:rsidR="001B3726" w:rsidP="001B6D09" w:rsidRDefault="00CE2ACB" w14:paraId="64AF39EF" w14:textId="18FD18C3">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45</w:t>
      </w:r>
      <w:r w:rsidRPr="001B6D09">
        <w:fldChar w:fldCharType="end"/>
      </w:r>
      <w:bookmarkEnd w:id="29"/>
      <w:r w:rsidRPr="001B6D09">
        <w:t>.  On 23 September 2009 the presiding judge of the tri</w:t>
      </w:r>
      <w:r w:rsidRPr="001B6D09" w:rsidR="00510216">
        <w:t>a</w:t>
      </w:r>
      <w:r w:rsidRPr="001B6D09">
        <w:t>l panel allowed the applicant to contact two lawyers.</w:t>
      </w:r>
    </w:p>
    <w:p w:rsidRPr="001B6D09" w:rsidR="00CE2ACB" w:rsidP="001B6D09" w:rsidRDefault="00CE2ACB" w14:paraId="2AFA0325" w14:textId="553D166F">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46</w:t>
      </w:r>
      <w:r w:rsidRPr="001B6D09">
        <w:fldChar w:fldCharType="end"/>
      </w:r>
      <w:r w:rsidRPr="001B6D09">
        <w:t>.  On 2</w:t>
      </w:r>
      <w:r w:rsidRPr="001B6D09" w:rsidR="00672324">
        <w:t>7</w:t>
      </w:r>
      <w:r w:rsidRPr="001B6D09">
        <w:t xml:space="preserve"> September 2009 the applicant </w:t>
      </w:r>
      <w:r w:rsidRPr="001B6D09" w:rsidR="00B46142">
        <w:t xml:space="preserve">himself </w:t>
      </w:r>
      <w:r w:rsidRPr="001B6D09" w:rsidR="006D619F">
        <w:t>lodged</w:t>
      </w:r>
      <w:r w:rsidRPr="001B6D09">
        <w:t xml:space="preserve"> </w:t>
      </w:r>
      <w:r w:rsidRPr="001B6D09" w:rsidR="00510216">
        <w:t xml:space="preserve">an </w:t>
      </w:r>
      <w:r w:rsidRPr="001B6D09" w:rsidR="006D619F">
        <w:t>additional</w:t>
      </w:r>
      <w:r w:rsidRPr="001B6D09">
        <w:t xml:space="preserve"> appeal ag</w:t>
      </w:r>
      <w:r w:rsidRPr="001B6D09" w:rsidR="00510216">
        <w:t>a</w:t>
      </w:r>
      <w:r w:rsidRPr="001B6D09">
        <w:t>inst his conviction.</w:t>
      </w:r>
    </w:p>
    <w:bookmarkStart w:name="lawyer2" w:id="30"/>
    <w:p w:rsidRPr="001B6D09" w:rsidR="00AB73ED" w:rsidP="001B6D09" w:rsidRDefault="00AB73ED" w14:paraId="54576E1E" w14:textId="778E02C0">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47</w:t>
      </w:r>
      <w:r w:rsidRPr="001B6D09">
        <w:fldChar w:fldCharType="end"/>
      </w:r>
      <w:bookmarkEnd w:id="30"/>
      <w:r w:rsidRPr="001B6D09">
        <w:t xml:space="preserve">.  On 29 September 2009 the applicant contacted </w:t>
      </w:r>
      <w:r w:rsidRPr="001B6D09" w:rsidR="00077E39">
        <w:t xml:space="preserve">a lawyer </w:t>
      </w:r>
      <w:r w:rsidRPr="001B6D09">
        <w:t>J.M.</w:t>
      </w:r>
    </w:p>
    <w:bookmarkStart w:name="lawyer3" w:id="31"/>
    <w:p w:rsidRPr="001B6D09" w:rsidR="00AB73ED" w:rsidP="001B6D09" w:rsidRDefault="00AB73ED" w14:paraId="39286045" w14:textId="1749CBF1">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48</w:t>
      </w:r>
      <w:r w:rsidRPr="001B6D09">
        <w:fldChar w:fldCharType="end"/>
      </w:r>
      <w:bookmarkEnd w:id="31"/>
      <w:r w:rsidRPr="001B6D09">
        <w:t xml:space="preserve">.  On 7 October 2009 </w:t>
      </w:r>
      <w:r w:rsidRPr="001B6D09" w:rsidR="00FE38E2">
        <w:t xml:space="preserve">two lawyers, </w:t>
      </w:r>
      <w:r w:rsidRPr="001B6D09">
        <w:t>J.M. and A.D. visited the applicant in prison.</w:t>
      </w:r>
    </w:p>
    <w:p w:rsidRPr="001B6D09" w:rsidR="00CE2ACB" w:rsidP="001B6D09" w:rsidRDefault="00CE2ACB" w14:paraId="5D021C11" w14:textId="47F5457D">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49</w:t>
      </w:r>
      <w:r w:rsidRPr="001B6D09">
        <w:fldChar w:fldCharType="end"/>
      </w:r>
      <w:r w:rsidRPr="001B6D09">
        <w:t xml:space="preserve">.  On 23 October 2009 the president of the </w:t>
      </w:r>
      <w:r w:rsidRPr="001B6D09" w:rsidR="006D619F">
        <w:t>trial</w:t>
      </w:r>
      <w:r w:rsidRPr="001B6D09">
        <w:t xml:space="preserve"> panel of the </w:t>
      </w:r>
      <w:r w:rsidRPr="001B6D09" w:rsidR="006D619F">
        <w:t>Municipal</w:t>
      </w:r>
      <w:r w:rsidRPr="001B6D09">
        <w:t xml:space="preserve"> Court informed </w:t>
      </w:r>
      <w:r w:rsidRPr="001B6D09" w:rsidR="00507C48">
        <w:t>Zagreb County Court (</w:t>
      </w:r>
      <w:r w:rsidRPr="001B6D09" w:rsidR="00507C48">
        <w:rPr>
          <w:i/>
        </w:rPr>
        <w:t>Županijski sud u Zagrebu</w:t>
      </w:r>
      <w:r w:rsidRPr="001B6D09" w:rsidR="00507C48">
        <w:t xml:space="preserve">, hereinafter “the County Court”) </w:t>
      </w:r>
      <w:r w:rsidRPr="001B6D09">
        <w:t xml:space="preserve">that the applicant had </w:t>
      </w:r>
      <w:r w:rsidRPr="001B6D09" w:rsidR="00464280">
        <w:t xml:space="preserve">asked </w:t>
      </w:r>
      <w:r w:rsidRPr="001B6D09">
        <w:t>to consult the case</w:t>
      </w:r>
      <w:r w:rsidRPr="001B6D09" w:rsidR="00464280">
        <w:t xml:space="preserve"> </w:t>
      </w:r>
      <w:r w:rsidRPr="001B6D09">
        <w:t>file.</w:t>
      </w:r>
    </w:p>
    <w:p w:rsidRPr="001B6D09" w:rsidR="008C21CB" w:rsidP="001B6D09" w:rsidRDefault="00CE2ACB" w14:paraId="34FBB2AF" w14:textId="3E62FDD2">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50</w:t>
      </w:r>
      <w:r w:rsidRPr="001B6D09">
        <w:fldChar w:fldCharType="end"/>
      </w:r>
      <w:r w:rsidRPr="001B6D09">
        <w:t>.  </w:t>
      </w:r>
      <w:r w:rsidRPr="001B6D09" w:rsidR="00280323">
        <w:t>T</w:t>
      </w:r>
      <w:r w:rsidRPr="001B6D09" w:rsidR="008C21CB">
        <w:t>he County Court informed only the applicant</w:t>
      </w:r>
      <w:r w:rsidRPr="001B6D09" w:rsidR="001B6D09">
        <w:t>’</w:t>
      </w:r>
      <w:r w:rsidRPr="001B6D09" w:rsidR="008C21CB">
        <w:t xml:space="preserve">s former counsel E.H. of </w:t>
      </w:r>
      <w:r w:rsidRPr="001B6D09" w:rsidR="00464280">
        <w:t xml:space="preserve">a </w:t>
      </w:r>
      <w:r w:rsidRPr="001B6D09" w:rsidR="008C21CB">
        <w:t>session scheduled for 2 November 2009 at which the appeal was to be examined.</w:t>
      </w:r>
    </w:p>
    <w:bookmarkStart w:name="appeal_dismissed" w:id="32"/>
    <w:p w:rsidRPr="001B6D09" w:rsidR="008C21CB" w:rsidP="001B6D09" w:rsidRDefault="00CE2ACB" w14:paraId="3702BCBD" w14:textId="5FF64863">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51</w:t>
      </w:r>
      <w:r w:rsidRPr="001B6D09">
        <w:fldChar w:fldCharType="end"/>
      </w:r>
      <w:bookmarkEnd w:id="32"/>
      <w:r w:rsidRPr="001B6D09">
        <w:t>.  </w:t>
      </w:r>
      <w:r w:rsidRPr="001B6D09" w:rsidR="008C21CB">
        <w:t xml:space="preserve">By a judgment of 2 November 2009 </w:t>
      </w:r>
      <w:r w:rsidRPr="001B6D09" w:rsidR="00464280">
        <w:t xml:space="preserve">issued </w:t>
      </w:r>
      <w:r w:rsidRPr="001B6D09" w:rsidR="008C21CB">
        <w:t>at that session</w:t>
      </w:r>
      <w:r w:rsidRPr="001B6D09" w:rsidR="00464280">
        <w:t xml:space="preserve">, </w:t>
      </w:r>
      <w:r w:rsidRPr="001B6D09" w:rsidR="008C21CB">
        <w:t xml:space="preserve">the County Court </w:t>
      </w:r>
      <w:r w:rsidRPr="001B6D09" w:rsidR="00FE38E2">
        <w:t>examined</w:t>
      </w:r>
      <w:r w:rsidRPr="001B6D09" w:rsidR="00B46142">
        <w:t xml:space="preserve"> all appeals lodged </w:t>
      </w:r>
      <w:r w:rsidRPr="001B6D09" w:rsidR="00077E39">
        <w:t>both</w:t>
      </w:r>
      <w:r w:rsidRPr="001B6D09" w:rsidR="00B46142">
        <w:t xml:space="preserve"> by the applicant </w:t>
      </w:r>
      <w:r w:rsidRPr="001B6D09" w:rsidR="00077E39">
        <w:t xml:space="preserve">and </w:t>
      </w:r>
      <w:r w:rsidRPr="001B6D09" w:rsidR="00B46142">
        <w:t>his defence lawyer</w:t>
      </w:r>
      <w:r w:rsidRPr="001B6D09" w:rsidR="00077E39">
        <w:t xml:space="preserve"> E.H</w:t>
      </w:r>
      <w:r w:rsidRPr="001B6D09" w:rsidR="00B46142">
        <w:t xml:space="preserve">. It </w:t>
      </w:r>
      <w:r w:rsidRPr="001B6D09" w:rsidR="008C21CB">
        <w:t>accepted in part the</w:t>
      </w:r>
      <w:r w:rsidRPr="001B6D09" w:rsidR="00B46142">
        <w:t>ir arguments</w:t>
      </w:r>
      <w:r w:rsidRPr="001B6D09" w:rsidR="008C21CB">
        <w:t xml:space="preserve"> and reduced his sentence to four years and three month</w:t>
      </w:r>
      <w:r w:rsidRPr="001B6D09" w:rsidR="0064718E">
        <w:t>s</w:t>
      </w:r>
      <w:r w:rsidRPr="001B6D09" w:rsidR="001B6D09">
        <w:t>’</w:t>
      </w:r>
      <w:r w:rsidRPr="001B6D09" w:rsidR="008C21CB">
        <w:t xml:space="preserve"> imprisonment</w:t>
      </w:r>
      <w:r w:rsidRPr="001B6D09" w:rsidR="00F25F5F">
        <w:t xml:space="preserve">, without holding a hearing and in the absence of the applicant and </w:t>
      </w:r>
      <w:r w:rsidRPr="001B6D09" w:rsidR="00FE38E2">
        <w:t>the</w:t>
      </w:r>
      <w:r w:rsidRPr="001B6D09" w:rsidR="00F25F5F">
        <w:t xml:space="preserve"> lawyers</w:t>
      </w:r>
      <w:r w:rsidRPr="001B6D09" w:rsidR="00FE38E2">
        <w:t xml:space="preserve"> E.H. and S.A</w:t>
      </w:r>
      <w:r w:rsidRPr="001B6D09" w:rsidR="008C21CB">
        <w:t xml:space="preserve">. </w:t>
      </w:r>
      <w:r w:rsidRPr="001B6D09" w:rsidR="00672324">
        <w:t>The</w:t>
      </w:r>
      <w:r w:rsidRPr="001B6D09" w:rsidR="008C21CB">
        <w:t xml:space="preserve"> </w:t>
      </w:r>
      <w:r w:rsidRPr="001B6D09" w:rsidR="00FE38E2">
        <w:t>remainder</w:t>
      </w:r>
      <w:r w:rsidRPr="001B6D09" w:rsidR="00F25F5F">
        <w:t xml:space="preserve"> of the </w:t>
      </w:r>
      <w:r w:rsidRPr="001B6D09" w:rsidR="008C21CB">
        <w:t>appeal</w:t>
      </w:r>
      <w:r w:rsidRPr="001B6D09" w:rsidR="00672324">
        <w:t xml:space="preserve">s </w:t>
      </w:r>
      <w:r w:rsidRPr="001B6D09" w:rsidR="00FE38E2">
        <w:t>was</w:t>
      </w:r>
      <w:r w:rsidRPr="001B6D09" w:rsidR="008C21CB">
        <w:t xml:space="preserve"> dismissed</w:t>
      </w:r>
      <w:r w:rsidRPr="001B6D09" w:rsidR="0064339B">
        <w:t>,</w:t>
      </w:r>
      <w:r w:rsidRPr="001B6D09" w:rsidR="008C21CB">
        <w:t xml:space="preserve"> and </w:t>
      </w:r>
      <w:r w:rsidRPr="001B6D09" w:rsidR="00FE38E2">
        <w:t xml:space="preserve">in that part </w:t>
      </w:r>
      <w:r w:rsidRPr="001B6D09" w:rsidR="008C21CB">
        <w:t>the first</w:t>
      </w:r>
      <w:r w:rsidRPr="001B6D09" w:rsidR="003D2EA8">
        <w:noBreakHyphen/>
      </w:r>
      <w:r w:rsidRPr="001B6D09" w:rsidR="008C21CB">
        <w:t xml:space="preserve">instance judgment </w:t>
      </w:r>
      <w:r w:rsidRPr="001B6D09" w:rsidR="00F25F5F">
        <w:t xml:space="preserve">was </w:t>
      </w:r>
      <w:r w:rsidRPr="001B6D09" w:rsidR="008C21CB">
        <w:t>upheld.</w:t>
      </w:r>
    </w:p>
    <w:p w:rsidRPr="001B6D09" w:rsidR="00680587" w:rsidP="001B6D09" w:rsidRDefault="00680587" w14:paraId="7F0F7E57" w14:textId="11026581">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52</w:t>
      </w:r>
      <w:r w:rsidRPr="001B6D09">
        <w:fldChar w:fldCharType="end"/>
      </w:r>
      <w:r w:rsidRPr="001B6D09">
        <w:t xml:space="preserve">.  On 19 November 2009 the applicant was </w:t>
      </w:r>
      <w:r w:rsidRPr="001B6D09" w:rsidR="004868D4">
        <w:t xml:space="preserve">taken </w:t>
      </w:r>
      <w:r w:rsidRPr="001B6D09">
        <w:t xml:space="preserve">from </w:t>
      </w:r>
      <w:r w:rsidRPr="001B6D09" w:rsidR="004F0567">
        <w:t xml:space="preserve">the </w:t>
      </w:r>
      <w:r w:rsidRPr="001B6D09">
        <w:t xml:space="preserve">detention </w:t>
      </w:r>
      <w:r w:rsidRPr="001B6D09" w:rsidR="006D619F">
        <w:t>facility</w:t>
      </w:r>
      <w:r w:rsidRPr="001B6D09">
        <w:t xml:space="preserve"> to </w:t>
      </w:r>
      <w:r w:rsidRPr="001B6D09" w:rsidR="006D619F">
        <w:t>prison</w:t>
      </w:r>
      <w:r w:rsidRPr="001B6D09" w:rsidR="004868D4">
        <w:t>,</w:t>
      </w:r>
      <w:r w:rsidRPr="001B6D09">
        <w:t xml:space="preserve"> </w:t>
      </w:r>
      <w:r w:rsidRPr="001B6D09" w:rsidR="004868D4">
        <w:t xml:space="preserve">where he </w:t>
      </w:r>
      <w:r w:rsidRPr="001B6D09">
        <w:t>started to serve his sentence.</w:t>
      </w:r>
    </w:p>
    <w:p w:rsidRPr="001B6D09" w:rsidR="008C21CB" w:rsidP="001B6D09" w:rsidRDefault="00CE2ACB" w14:paraId="106ECE16" w14:textId="12286DE1">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53</w:t>
      </w:r>
      <w:r w:rsidRPr="001B6D09">
        <w:fldChar w:fldCharType="end"/>
      </w:r>
      <w:r w:rsidRPr="001B6D09">
        <w:t>.  </w:t>
      </w:r>
      <w:r w:rsidRPr="001B6D09" w:rsidR="008C21CB">
        <w:t>The applicant then lodged a request for extraordinary review of a final judgment (</w:t>
      </w:r>
      <w:r w:rsidRPr="001B6D09" w:rsidR="008C21CB">
        <w:rPr>
          <w:i/>
          <w:lang w:val="hr-HR"/>
        </w:rPr>
        <w:t>zahtjev za izvanredno preispitivanje pravomoćne presude</w:t>
      </w:r>
      <w:r w:rsidRPr="001B6D09" w:rsidR="008C21CB">
        <w:t>) with the Supreme Court (</w:t>
      </w:r>
      <w:r w:rsidRPr="001B6D09" w:rsidR="008C21CB">
        <w:rPr>
          <w:i/>
          <w:lang w:val="hr-HR"/>
        </w:rPr>
        <w:t>Vrhovni sud Republike Hrvatske</w:t>
      </w:r>
      <w:r w:rsidRPr="001B6D09" w:rsidR="008C21CB">
        <w:t xml:space="preserve">). He argued, </w:t>
      </w:r>
      <w:r w:rsidRPr="001B6D09" w:rsidR="008C21CB">
        <w:rPr>
          <w:i/>
        </w:rPr>
        <w:t>inter alia</w:t>
      </w:r>
      <w:r w:rsidRPr="001B6D09" w:rsidR="008C21CB">
        <w:t xml:space="preserve">, that he had not been notified of the session at which the County Court </w:t>
      </w:r>
      <w:r w:rsidRPr="001B6D09" w:rsidR="004F0567">
        <w:t xml:space="preserve">had </w:t>
      </w:r>
      <w:r w:rsidRPr="001B6D09" w:rsidR="008C21CB">
        <w:t xml:space="preserve">examined his appeal and </w:t>
      </w:r>
      <w:r w:rsidRPr="001B6D09" w:rsidR="004F0567">
        <w:t xml:space="preserve">issued </w:t>
      </w:r>
      <w:r w:rsidRPr="001B6D09" w:rsidR="008C21CB">
        <w:t>its judgment</w:t>
      </w:r>
      <w:r w:rsidRPr="001B6D09" w:rsidR="004F0567">
        <w:t>,</w:t>
      </w:r>
      <w:r w:rsidRPr="001B6D09" w:rsidR="008C21CB">
        <w:t xml:space="preserve"> even though under the rules of criminal procedure </w:t>
      </w:r>
      <w:r w:rsidRPr="001B6D09" w:rsidR="004F0567">
        <w:t xml:space="preserve">an </w:t>
      </w:r>
      <w:r w:rsidRPr="001B6D09" w:rsidR="008C21CB">
        <w:t xml:space="preserve">accused </w:t>
      </w:r>
      <w:r w:rsidRPr="001B6D09" w:rsidR="004F0567">
        <w:t xml:space="preserve">who </w:t>
      </w:r>
      <w:r w:rsidRPr="001B6D09" w:rsidR="008C21CB">
        <w:t xml:space="preserve">demanded a hearing before </w:t>
      </w:r>
      <w:r w:rsidRPr="001B6D09" w:rsidR="004F0567">
        <w:t xml:space="preserve">a </w:t>
      </w:r>
      <w:r w:rsidRPr="001B6D09" w:rsidR="008C21CB">
        <w:t xml:space="preserve">second-instance court had to be informed of such </w:t>
      </w:r>
      <w:r w:rsidRPr="001B6D09" w:rsidR="004F0567">
        <w:t xml:space="preserve">a </w:t>
      </w:r>
      <w:r w:rsidRPr="001B6D09" w:rsidR="008C21CB">
        <w:t>session. Only his former counsel E.H. had been notified</w:t>
      </w:r>
      <w:r w:rsidRPr="001B6D09" w:rsidR="004F0567">
        <w:t>,</w:t>
      </w:r>
      <w:r w:rsidRPr="001B6D09" w:rsidR="008C21CB">
        <w:t xml:space="preserve"> even though he had no longer represented him</w:t>
      </w:r>
      <w:r w:rsidRPr="001B6D09" w:rsidR="004F0567">
        <w:t xml:space="preserve"> at the time</w:t>
      </w:r>
      <w:r w:rsidRPr="001B6D09" w:rsidR="008C21CB">
        <w:t>.</w:t>
      </w:r>
    </w:p>
    <w:bookmarkStart w:name="SC_quashed" w:id="33"/>
    <w:p w:rsidRPr="001B6D09" w:rsidR="008C21CB" w:rsidP="001B6D09" w:rsidRDefault="00680587" w14:paraId="05E4ECD9" w14:textId="73F448EB">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54</w:t>
      </w:r>
      <w:r w:rsidRPr="001B6D09">
        <w:fldChar w:fldCharType="end"/>
      </w:r>
      <w:bookmarkEnd w:id="33"/>
      <w:r w:rsidRPr="001B6D09">
        <w:t>.  </w:t>
      </w:r>
      <w:r w:rsidRPr="001B6D09" w:rsidR="00455E00">
        <w:t>On</w:t>
      </w:r>
      <w:r w:rsidRPr="001B6D09" w:rsidR="008C21CB">
        <w:t xml:space="preserve"> 20 January 2010 the Supreme Court quashed the second-instance judgment and remitted the case. It held that the County Court had breached the rules of criminal procedure by informing the applicant</w:t>
      </w:r>
      <w:r w:rsidRPr="001B6D09" w:rsidR="001B6D09">
        <w:t>’</w:t>
      </w:r>
      <w:r w:rsidRPr="001B6D09" w:rsidR="008C21CB">
        <w:t xml:space="preserve">s former </w:t>
      </w:r>
      <w:r w:rsidRPr="001B6D09">
        <w:t>defence lawyer</w:t>
      </w:r>
      <w:r w:rsidRPr="001B6D09" w:rsidR="008C21CB">
        <w:t xml:space="preserve"> E.H. </w:t>
      </w:r>
      <w:r w:rsidRPr="001B6D09" w:rsidR="004F0567">
        <w:t xml:space="preserve">of the session of 2 November 2009, </w:t>
      </w:r>
      <w:r w:rsidRPr="001B6D09" w:rsidR="008C21CB">
        <w:t xml:space="preserve">rather than his current </w:t>
      </w:r>
      <w:r w:rsidRPr="001B6D09">
        <w:t>defence lawyer</w:t>
      </w:r>
      <w:r w:rsidRPr="001B6D09" w:rsidR="008C21CB">
        <w:t xml:space="preserve"> S.A.</w:t>
      </w:r>
      <w:r w:rsidRPr="001B6D09" w:rsidR="004F0567">
        <w:t>, who had been officially appointed</w:t>
      </w:r>
      <w:r w:rsidRPr="001B6D09" w:rsidR="008C21CB">
        <w:t>.</w:t>
      </w:r>
    </w:p>
    <w:p w:rsidRPr="001B6D09" w:rsidR="00680587" w:rsidP="001B6D09" w:rsidRDefault="00672324" w14:paraId="3A5F05EB" w14:textId="0760D514">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55</w:t>
      </w:r>
      <w:r w:rsidRPr="001B6D09">
        <w:fldChar w:fldCharType="end"/>
      </w:r>
      <w:r w:rsidRPr="001B6D09">
        <w:t>.  </w:t>
      </w:r>
      <w:r w:rsidRPr="001B6D09" w:rsidR="00680587">
        <w:t>On 5 February 2010 the applicant was transferred from prison to a detention facility in Zagreb.</w:t>
      </w:r>
      <w:r w:rsidRPr="001B6D09" w:rsidR="00455E00">
        <w:t xml:space="preserve"> On the same day</w:t>
      </w:r>
      <w:r w:rsidRPr="001B6D09" w:rsidR="00567A42">
        <w:t>,</w:t>
      </w:r>
      <w:r w:rsidRPr="001B6D09" w:rsidR="00455E00">
        <w:t xml:space="preserve"> the decision of the Supreme Court of 20 January 2010 was served on</w:t>
      </w:r>
      <w:r w:rsidRPr="001B6D09" w:rsidR="000D54B4">
        <w:t xml:space="preserve"> him</w:t>
      </w:r>
      <w:r w:rsidRPr="001B6D09" w:rsidR="00455E00">
        <w:t>.</w:t>
      </w:r>
    </w:p>
    <w:p w:rsidRPr="001B6D09" w:rsidR="00680587" w:rsidP="001B6D09" w:rsidRDefault="00680587" w14:paraId="6A72CDFA" w14:textId="1349387E">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56</w:t>
      </w:r>
      <w:r w:rsidRPr="001B6D09">
        <w:fldChar w:fldCharType="end"/>
      </w:r>
      <w:r w:rsidRPr="001B6D09">
        <w:t xml:space="preserve">.  On 9 February 2010 the applicant asked the County Court to be allowed to contact </w:t>
      </w:r>
      <w:r w:rsidRPr="001B6D09" w:rsidR="00C74782">
        <w:t>five</w:t>
      </w:r>
      <w:r w:rsidRPr="001B6D09">
        <w:t xml:space="preserve"> lawyers</w:t>
      </w:r>
      <w:r w:rsidRPr="001B6D09" w:rsidR="000D54B4">
        <w:t xml:space="preserve"> by telephone</w:t>
      </w:r>
      <w:r w:rsidRPr="001B6D09">
        <w:t>. Th</w:t>
      </w:r>
      <w:r w:rsidRPr="001B6D09" w:rsidR="000D54B4">
        <w:t>at</w:t>
      </w:r>
      <w:r w:rsidRPr="001B6D09">
        <w:t xml:space="preserve"> request was registered </w:t>
      </w:r>
      <w:r w:rsidRPr="001B6D09" w:rsidR="000D54B4">
        <w:t xml:space="preserve">with </w:t>
      </w:r>
      <w:r w:rsidRPr="001B6D09">
        <w:t>the County Court on 10 Februa</w:t>
      </w:r>
      <w:r w:rsidRPr="001B6D09" w:rsidR="00C74782">
        <w:t>ry</w:t>
      </w:r>
      <w:r w:rsidRPr="001B6D09">
        <w:t xml:space="preserve"> 2010 and forwarded to the Muni</w:t>
      </w:r>
      <w:r w:rsidRPr="001B6D09" w:rsidR="00C74782">
        <w:t>cipal Court</w:t>
      </w:r>
      <w:r w:rsidRPr="001B6D09" w:rsidR="000D54B4">
        <w:t>,</w:t>
      </w:r>
      <w:r w:rsidRPr="001B6D09" w:rsidR="00C74782">
        <w:t xml:space="preserve"> which receive</w:t>
      </w:r>
      <w:r w:rsidRPr="001B6D09">
        <w:t>d</w:t>
      </w:r>
      <w:r w:rsidRPr="001B6D09" w:rsidR="00C74782">
        <w:t xml:space="preserve"> </w:t>
      </w:r>
      <w:r w:rsidRPr="001B6D09">
        <w:t>it on 15 February 2015.</w:t>
      </w:r>
    </w:p>
    <w:p w:rsidRPr="001B6D09" w:rsidR="008C21CB" w:rsidP="001B6D09" w:rsidRDefault="00680587" w14:paraId="5154E635" w14:textId="3ED9A6C1">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57</w:t>
      </w:r>
      <w:r w:rsidRPr="001B6D09">
        <w:fldChar w:fldCharType="end"/>
      </w:r>
      <w:r w:rsidRPr="001B6D09">
        <w:t>.  </w:t>
      </w:r>
      <w:r w:rsidRPr="001B6D09" w:rsidR="008C21CB">
        <w:t xml:space="preserve">In the </w:t>
      </w:r>
      <w:r w:rsidRPr="001B6D09">
        <w:t xml:space="preserve">meantime, </w:t>
      </w:r>
      <w:r w:rsidRPr="001B6D09" w:rsidR="008C21CB">
        <w:t>on 12 February 2010</w:t>
      </w:r>
      <w:r w:rsidRPr="001B6D09" w:rsidR="005D020A">
        <w:t>,</w:t>
      </w:r>
      <w:r w:rsidRPr="001B6D09" w:rsidR="008C21CB">
        <w:t xml:space="preserve"> the County Court </w:t>
      </w:r>
      <w:r w:rsidRPr="001B6D09" w:rsidR="000D54B4">
        <w:t xml:space="preserve">had </w:t>
      </w:r>
      <w:r w:rsidRPr="001B6D09" w:rsidR="008C21CB">
        <w:t>notified the applicant and his officially</w:t>
      </w:r>
      <w:r w:rsidRPr="001B6D09" w:rsidR="000D54B4">
        <w:t xml:space="preserve"> </w:t>
      </w:r>
      <w:r w:rsidRPr="001B6D09" w:rsidR="008C21CB">
        <w:t xml:space="preserve">appointed </w:t>
      </w:r>
      <w:r w:rsidRPr="001B6D09">
        <w:t>defence lawyer S.A.</w:t>
      </w:r>
      <w:r w:rsidRPr="001B6D09" w:rsidR="008C21CB">
        <w:t xml:space="preserve"> that the session before that court</w:t>
      </w:r>
      <w:r w:rsidRPr="001B6D09" w:rsidR="00077E39">
        <w:t>,</w:t>
      </w:r>
      <w:r w:rsidRPr="001B6D09" w:rsidR="008C21CB">
        <w:t xml:space="preserve"> at which the applicant</w:t>
      </w:r>
      <w:r w:rsidRPr="001B6D09" w:rsidR="001B6D09">
        <w:t>’</w:t>
      </w:r>
      <w:r w:rsidRPr="001B6D09" w:rsidR="00510216">
        <w:t>s</w:t>
      </w:r>
      <w:r w:rsidRPr="001B6D09" w:rsidR="008C21CB">
        <w:t xml:space="preserve"> appeal was to be examined</w:t>
      </w:r>
      <w:r w:rsidRPr="001B6D09" w:rsidR="00077E39">
        <w:t>,</w:t>
      </w:r>
      <w:r w:rsidRPr="001B6D09" w:rsidR="008C21CB">
        <w:t xml:space="preserve"> was scheduled for 16 February 2010.</w:t>
      </w:r>
    </w:p>
    <w:p w:rsidRPr="001B6D09" w:rsidR="001B3726" w:rsidP="001B6D09" w:rsidRDefault="005F68CC" w14:paraId="2856BBCF" w14:textId="0EF08A9C">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58</w:t>
      </w:r>
      <w:r w:rsidRPr="001B6D09">
        <w:fldChar w:fldCharType="end"/>
      </w:r>
      <w:r w:rsidRPr="001B6D09">
        <w:t xml:space="preserve">.  By a letter received </w:t>
      </w:r>
      <w:r w:rsidRPr="001B6D09" w:rsidR="00CE52F9">
        <w:t xml:space="preserve">by </w:t>
      </w:r>
      <w:r w:rsidRPr="001B6D09">
        <w:t xml:space="preserve">the County Court a day before the session, the applicant asked the court to adjourn </w:t>
      </w:r>
      <w:r w:rsidRPr="001B6D09" w:rsidR="00CE52F9">
        <w:t xml:space="preserve">the session </w:t>
      </w:r>
      <w:r w:rsidRPr="001B6D09" w:rsidR="006B292B">
        <w:t>for a week and to grant</w:t>
      </w:r>
      <w:r w:rsidRPr="001B6D09" w:rsidR="00CE52F9">
        <w:t xml:space="preserve"> him</w:t>
      </w:r>
      <w:r w:rsidRPr="001B6D09" w:rsidR="006B292B">
        <w:t xml:space="preserve"> leave to represent himself</w:t>
      </w:r>
      <w:r w:rsidRPr="001B6D09">
        <w:t>. He explained that he had been informed of the session only four days in advance</w:t>
      </w:r>
      <w:r w:rsidRPr="001B6D09" w:rsidR="006B292B">
        <w:t xml:space="preserve">, on </w:t>
      </w:r>
      <w:r w:rsidRPr="001B6D09" w:rsidR="00CE52F9">
        <w:t xml:space="preserve">the afternoon of </w:t>
      </w:r>
      <w:r w:rsidRPr="001B6D09" w:rsidR="006B292B">
        <w:t>Friday</w:t>
      </w:r>
      <w:r w:rsidRPr="001B6D09" w:rsidR="00567A42">
        <w:t>,</w:t>
      </w:r>
      <w:r w:rsidRPr="001B6D09" w:rsidR="006B292B">
        <w:t xml:space="preserve"> 12</w:t>
      </w:r>
      <w:r w:rsidRPr="001B6D09" w:rsidR="00567A42">
        <w:t> </w:t>
      </w:r>
      <w:r w:rsidRPr="001B6D09" w:rsidR="006B292B">
        <w:t xml:space="preserve">February 2010, </w:t>
      </w:r>
      <w:r w:rsidRPr="001B6D09">
        <w:t>and thus had not had enough time to prepare his defence</w:t>
      </w:r>
      <w:r w:rsidRPr="001B6D09" w:rsidR="006B292B">
        <w:t xml:space="preserve"> or contact anyone. He stressed that while in </w:t>
      </w:r>
      <w:r w:rsidRPr="001B6D09" w:rsidR="006D619F">
        <w:t>prison</w:t>
      </w:r>
      <w:r w:rsidRPr="001B6D09" w:rsidR="00077E39">
        <w:t>,</w:t>
      </w:r>
      <w:r w:rsidRPr="001B6D09" w:rsidR="006B292B">
        <w:t xml:space="preserve"> he had written to three lawyers. At the same time</w:t>
      </w:r>
      <w:r w:rsidRPr="001B6D09" w:rsidR="0064339B">
        <w:t>,</w:t>
      </w:r>
      <w:r w:rsidRPr="001B6D09" w:rsidR="006B292B">
        <w:t xml:space="preserve"> he asked for leave to </w:t>
      </w:r>
      <w:r w:rsidRPr="001B6D09" w:rsidR="00CE52F9">
        <w:t>re</w:t>
      </w:r>
      <w:r w:rsidRPr="001B6D09" w:rsidR="006D619F">
        <w:t>present</w:t>
      </w:r>
      <w:r w:rsidRPr="001B6D09" w:rsidR="006B292B">
        <w:t xml:space="preserve"> himself</w:t>
      </w:r>
      <w:r w:rsidRPr="001B6D09" w:rsidR="00CE52F9">
        <w:t>,</w:t>
      </w:r>
      <w:r w:rsidRPr="001B6D09" w:rsidR="006B292B">
        <w:t xml:space="preserve"> </w:t>
      </w:r>
      <w:r w:rsidRPr="001B6D09" w:rsidR="006D619F">
        <w:t>since</w:t>
      </w:r>
      <w:r w:rsidRPr="001B6D09" w:rsidR="006B292B">
        <w:t xml:space="preserve"> he had “</w:t>
      </w:r>
      <w:r w:rsidRPr="001B6D09" w:rsidR="006D619F">
        <w:t>participated</w:t>
      </w:r>
      <w:r w:rsidRPr="001B6D09" w:rsidR="006B292B">
        <w:t xml:space="preserve"> in the events </w:t>
      </w:r>
      <w:r w:rsidRPr="001B6D09" w:rsidR="00927B37">
        <w:t xml:space="preserve">[in respect of which] </w:t>
      </w:r>
      <w:r w:rsidRPr="001B6D09" w:rsidR="006B292B">
        <w:t xml:space="preserve">he </w:t>
      </w:r>
      <w:r w:rsidRPr="001B6D09" w:rsidR="00927B37">
        <w:t xml:space="preserve">had been </w:t>
      </w:r>
      <w:r w:rsidRPr="001B6D09" w:rsidR="006B292B">
        <w:t xml:space="preserve">charged” and was an administrative lawyer by profession. As regards </w:t>
      </w:r>
      <w:r w:rsidRPr="001B6D09" w:rsidR="00927B37">
        <w:t xml:space="preserve">the </w:t>
      </w:r>
      <w:r w:rsidRPr="001B6D09" w:rsidR="006B292B">
        <w:t xml:space="preserve">lawyer S.A., the applicant said that he did </w:t>
      </w:r>
      <w:r w:rsidRPr="001B6D09" w:rsidR="006D619F">
        <w:t>not</w:t>
      </w:r>
      <w:r w:rsidRPr="001B6D09" w:rsidR="006B292B">
        <w:t xml:space="preserve"> know him and that he had never talked to him about his case. He reiterated that he had asked to be present at the session in order to </w:t>
      </w:r>
      <w:r w:rsidRPr="001B6D09" w:rsidR="00927B37">
        <w:t xml:space="preserve">give </w:t>
      </w:r>
      <w:r w:rsidRPr="001B6D09" w:rsidR="006B292B">
        <w:t>more detail</w:t>
      </w:r>
      <w:r w:rsidRPr="001B6D09" w:rsidR="001A6AFD">
        <w:t>s</w:t>
      </w:r>
      <w:r w:rsidRPr="001B6D09" w:rsidR="006B292B">
        <w:t xml:space="preserve"> </w:t>
      </w:r>
      <w:r w:rsidRPr="001B6D09" w:rsidR="00927B37">
        <w:t xml:space="preserve">about </w:t>
      </w:r>
      <w:r w:rsidRPr="001B6D09" w:rsidR="006B292B">
        <w:t xml:space="preserve">the relevant facts </w:t>
      </w:r>
      <w:r w:rsidRPr="001B6D09" w:rsidR="00927B37">
        <w:t>and his former spouse</w:t>
      </w:r>
      <w:r w:rsidRPr="001B6D09" w:rsidR="001B6D09">
        <w:t>’</w:t>
      </w:r>
      <w:r w:rsidRPr="001B6D09" w:rsidR="00927B37">
        <w:t xml:space="preserve">s </w:t>
      </w:r>
      <w:r w:rsidRPr="001B6D09" w:rsidR="006B292B">
        <w:t xml:space="preserve">motives for </w:t>
      </w:r>
      <w:r w:rsidRPr="001B6D09" w:rsidR="00567A42">
        <w:t xml:space="preserve">allegedly </w:t>
      </w:r>
      <w:r w:rsidRPr="001B6D09" w:rsidR="006B292B">
        <w:t xml:space="preserve">giving </w:t>
      </w:r>
      <w:r w:rsidRPr="001B6D09" w:rsidR="006D619F">
        <w:t>false</w:t>
      </w:r>
      <w:r w:rsidRPr="001B6D09" w:rsidR="006B292B">
        <w:t xml:space="preserve"> </w:t>
      </w:r>
      <w:r w:rsidRPr="001B6D09" w:rsidR="006D619F">
        <w:t>statements</w:t>
      </w:r>
      <w:r w:rsidRPr="001B6D09" w:rsidR="006B292B">
        <w:t xml:space="preserve"> </w:t>
      </w:r>
      <w:r w:rsidRPr="001B6D09" w:rsidR="006D619F">
        <w:t>and</w:t>
      </w:r>
      <w:r w:rsidRPr="001B6D09" w:rsidR="006B292B">
        <w:t xml:space="preserve"> </w:t>
      </w:r>
      <w:r w:rsidRPr="001B6D09" w:rsidR="006D619F">
        <w:t>manipulating</w:t>
      </w:r>
      <w:r w:rsidRPr="001B6D09" w:rsidR="006B292B">
        <w:t xml:space="preserve"> their children. He also enclosed submissions on the charges </w:t>
      </w:r>
      <w:r w:rsidRPr="001B6D09" w:rsidR="006D619F">
        <w:t>against</w:t>
      </w:r>
      <w:r w:rsidRPr="001B6D09" w:rsidR="006B292B">
        <w:t xml:space="preserve"> him.</w:t>
      </w:r>
    </w:p>
    <w:p w:rsidRPr="001B6D09" w:rsidR="001B3726" w:rsidP="001B6D09" w:rsidRDefault="00C74782" w14:paraId="337D071F" w14:textId="0BAF8322">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59</w:t>
      </w:r>
      <w:r w:rsidRPr="001B6D09">
        <w:fldChar w:fldCharType="end"/>
      </w:r>
      <w:r w:rsidRPr="001B6D09">
        <w:t xml:space="preserve">.  On 16 February 2010 the presiding judge of the trial panel of the Municipal Court allowed the applicant to contact the five lawyers mentioned in </w:t>
      </w:r>
      <w:r w:rsidRPr="001B6D09" w:rsidR="00C66CB0">
        <w:t xml:space="preserve">his </w:t>
      </w:r>
      <w:r w:rsidRPr="001B6D09">
        <w:t>request</w:t>
      </w:r>
      <w:r w:rsidRPr="001B6D09" w:rsidR="00C66CB0">
        <w:t xml:space="preserve"> by telephone</w:t>
      </w:r>
      <w:r w:rsidRPr="001B6D09">
        <w:t>.</w:t>
      </w:r>
    </w:p>
    <w:p w:rsidRPr="001B6D09" w:rsidR="008C21CB" w:rsidP="001B6D09" w:rsidRDefault="005F68CC" w14:paraId="353F9128" w14:textId="2E50B879">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60</w:t>
      </w:r>
      <w:r w:rsidRPr="001B6D09">
        <w:fldChar w:fldCharType="end"/>
      </w:r>
      <w:r w:rsidRPr="001B6D09">
        <w:t>.  </w:t>
      </w:r>
      <w:r w:rsidRPr="001B6D09" w:rsidR="008C21CB">
        <w:t xml:space="preserve">The session </w:t>
      </w:r>
      <w:r w:rsidRPr="001B6D09">
        <w:t xml:space="preserve">of the County Court </w:t>
      </w:r>
      <w:r w:rsidRPr="001B6D09" w:rsidR="008C21CB">
        <w:t>was held as scheduled on 16</w:t>
      </w:r>
      <w:r w:rsidRPr="001B6D09" w:rsidR="003D2EA8">
        <w:t> </w:t>
      </w:r>
      <w:r w:rsidRPr="001B6D09" w:rsidR="008C21CB">
        <w:t xml:space="preserve">February 2010. The </w:t>
      </w:r>
      <w:r w:rsidRPr="001B6D09" w:rsidR="00510216">
        <w:t>applicant</w:t>
      </w:r>
      <w:r w:rsidRPr="001B6D09" w:rsidR="00C66CB0">
        <w:t>,</w:t>
      </w:r>
      <w:r w:rsidRPr="001B6D09" w:rsidR="00510216">
        <w:t xml:space="preserve"> who was still in detention at the time</w:t>
      </w:r>
      <w:r w:rsidRPr="001B6D09" w:rsidR="00C66CB0">
        <w:t>,</w:t>
      </w:r>
      <w:r w:rsidRPr="001B6D09" w:rsidR="00510216">
        <w:t xml:space="preserve"> was not invited and his </w:t>
      </w:r>
      <w:r w:rsidRPr="001B6D09" w:rsidR="008C21CB">
        <w:t>officially</w:t>
      </w:r>
      <w:r w:rsidRPr="001B6D09" w:rsidR="00C66CB0">
        <w:t xml:space="preserve"> </w:t>
      </w:r>
      <w:r w:rsidRPr="001B6D09" w:rsidR="008C21CB">
        <w:t xml:space="preserve">appointed </w:t>
      </w:r>
      <w:r w:rsidRPr="001B6D09">
        <w:t>defence lawyer S.A.</w:t>
      </w:r>
      <w:r w:rsidRPr="001B6D09" w:rsidR="008C21CB">
        <w:t xml:space="preserve"> was not present. The competent State Attorney was not present at the session either.</w:t>
      </w:r>
    </w:p>
    <w:p w:rsidRPr="001B6D09" w:rsidR="008C21CB" w:rsidP="001B6D09" w:rsidRDefault="005F68CC" w14:paraId="62B07842" w14:textId="146200D5">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61</w:t>
      </w:r>
      <w:r w:rsidRPr="001B6D09">
        <w:fldChar w:fldCharType="end"/>
      </w:r>
      <w:r w:rsidRPr="001B6D09">
        <w:t>.  </w:t>
      </w:r>
      <w:r w:rsidRPr="001B6D09" w:rsidR="008C21CB">
        <w:t>After the session</w:t>
      </w:r>
      <w:r w:rsidRPr="001B6D09" w:rsidR="001A6AFD">
        <w:t>,</w:t>
      </w:r>
      <w:r w:rsidRPr="001B6D09" w:rsidR="008C21CB">
        <w:t xml:space="preserve"> the County Court </w:t>
      </w:r>
      <w:r w:rsidRPr="001B6D09" w:rsidR="00C66CB0">
        <w:t xml:space="preserve">issued </w:t>
      </w:r>
      <w:r w:rsidRPr="001B6D09" w:rsidR="008C21CB">
        <w:t>a judgment identical to its previous judgment of 2 November 2009</w:t>
      </w:r>
      <w:r w:rsidRPr="001B6D09" w:rsidR="00C66CB0">
        <w:t xml:space="preserve"> – it</w:t>
      </w:r>
      <w:r w:rsidRPr="001B6D09" w:rsidR="008C21CB">
        <w:t xml:space="preserve"> reduced the applicant</w:t>
      </w:r>
      <w:r w:rsidRPr="001B6D09" w:rsidR="001B6D09">
        <w:t>’</w:t>
      </w:r>
      <w:r w:rsidRPr="001B6D09" w:rsidR="008C21CB">
        <w:t>s sentence to four years and three months</w:t>
      </w:r>
      <w:r w:rsidRPr="001B6D09" w:rsidR="001B6D09">
        <w:t>’</w:t>
      </w:r>
      <w:r w:rsidRPr="001B6D09" w:rsidR="008C21CB">
        <w:t xml:space="preserve"> imprisonment and dismissed the remainder of his appeal. The relevant part of that judgment reads as follows:</w:t>
      </w:r>
    </w:p>
    <w:p w:rsidRPr="001B6D09" w:rsidR="008C21CB" w:rsidP="001B6D09" w:rsidRDefault="008C21CB" w14:paraId="270255D1" w14:textId="0697C2F8">
      <w:pPr>
        <w:pStyle w:val="JuQuot"/>
        <w:jc w:val="both"/>
      </w:pPr>
      <w:r w:rsidRPr="001B6D09">
        <w:t>“The presence of the accused</w:t>
      </w:r>
      <w:r w:rsidRPr="001B6D09" w:rsidR="00CC2BD0">
        <w:t xml:space="preserve"> –</w:t>
      </w:r>
      <w:r w:rsidRPr="001B6D09">
        <w:rPr>
          <w:lang w:val="hr-HR"/>
        </w:rPr>
        <w:t xml:space="preserve"> Miljenko Galović, </w:t>
      </w:r>
      <w:r w:rsidRPr="001B6D09">
        <w:t>who is in detention and is represented by counsel</w:t>
      </w:r>
      <w:r w:rsidRPr="001B6D09" w:rsidR="00C66CB0">
        <w:t xml:space="preserve"> –</w:t>
      </w:r>
      <w:r w:rsidRPr="001B6D09">
        <w:t xml:space="preserve"> at the session before the panel was not secured</w:t>
      </w:r>
      <w:r w:rsidRPr="001B6D09" w:rsidR="00C66CB0">
        <w:t>,</w:t>
      </w:r>
      <w:r w:rsidRPr="001B6D09">
        <w:t xml:space="preserve"> because the panel considered that his presence </w:t>
      </w:r>
      <w:r w:rsidRPr="001B6D09" w:rsidR="00567A42">
        <w:t>had</w:t>
      </w:r>
      <w:r w:rsidRPr="001B6D09">
        <w:t xml:space="preserve"> not </w:t>
      </w:r>
      <w:r w:rsidRPr="001B6D09" w:rsidR="00567A42">
        <w:t xml:space="preserve">been </w:t>
      </w:r>
      <w:r w:rsidRPr="001B6D09">
        <w:t>necessary.”</w:t>
      </w:r>
    </w:p>
    <w:p w:rsidRPr="001B6D09" w:rsidR="008C21CB" w:rsidP="001B6D09" w:rsidRDefault="005F68CC" w14:paraId="1FA3049A" w14:textId="78C85B30">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62</w:t>
      </w:r>
      <w:r w:rsidRPr="001B6D09">
        <w:fldChar w:fldCharType="end"/>
      </w:r>
      <w:r w:rsidRPr="001B6D09">
        <w:t>.  </w:t>
      </w:r>
      <w:r w:rsidRPr="001B6D09" w:rsidR="00C66CB0">
        <w:t>On 17 February 2010 t</w:t>
      </w:r>
      <w:r w:rsidRPr="001B6D09" w:rsidR="008C21CB">
        <w:t xml:space="preserve">he applicant </w:t>
      </w:r>
      <w:r w:rsidRPr="001B6D09" w:rsidR="0041114B">
        <w:t xml:space="preserve">himself </w:t>
      </w:r>
      <w:r w:rsidRPr="001B6D09" w:rsidR="008C21CB">
        <w:t>lodged a</w:t>
      </w:r>
      <w:r w:rsidRPr="001B6D09" w:rsidR="00C66CB0">
        <w:t>nother</w:t>
      </w:r>
      <w:r w:rsidRPr="001B6D09" w:rsidR="008C21CB">
        <w:t xml:space="preserve"> request for extraordinary review of a final judgment with the Supreme Court, which he supplemented on 30 March and on 18 and 22 April 2010. He argued, </w:t>
      </w:r>
      <w:r w:rsidRPr="001B6D09" w:rsidR="008C21CB">
        <w:rPr>
          <w:i/>
        </w:rPr>
        <w:t>inter alia</w:t>
      </w:r>
      <w:r w:rsidRPr="001B6D09" w:rsidR="008C21CB">
        <w:t xml:space="preserve">, that: (a) he </w:t>
      </w:r>
      <w:r w:rsidRPr="001B6D09" w:rsidR="00C66CB0">
        <w:t xml:space="preserve">had been </w:t>
      </w:r>
      <w:r w:rsidRPr="001B6D09" w:rsidR="008C21CB">
        <w:t>notified of the County Court</w:t>
      </w:r>
      <w:r w:rsidRPr="001B6D09" w:rsidR="001B6D09">
        <w:t>’</w:t>
      </w:r>
      <w:r w:rsidRPr="001B6D09" w:rsidR="008C21CB">
        <w:t>s session of 16 February 2010 only four days in advance</w:t>
      </w:r>
      <w:r w:rsidRPr="001B6D09" w:rsidR="00C66CB0">
        <w:t>,</w:t>
      </w:r>
      <w:r w:rsidRPr="001B6D09" w:rsidR="008C21CB">
        <w:t xml:space="preserve"> and thus had not had enough time to prepare his defence</w:t>
      </w:r>
      <w:r w:rsidRPr="001B6D09" w:rsidR="00C66CB0">
        <w:t>;</w:t>
      </w:r>
      <w:r w:rsidRPr="001B6D09" w:rsidR="008C21CB">
        <w:t xml:space="preserve"> (b) his officially appointed counsel had never contacted him and had not attended the session</w:t>
      </w:r>
      <w:r w:rsidRPr="001B6D09" w:rsidR="00C66CB0">
        <w:t>;</w:t>
      </w:r>
      <w:r w:rsidRPr="001B6D09" w:rsidR="008C21CB">
        <w:t xml:space="preserve"> (c) due to time constraints and transfers from prison to a</w:t>
      </w:r>
      <w:r w:rsidRPr="001B6D09" w:rsidR="006B292B">
        <w:t xml:space="preserve"> detention facility</w:t>
      </w:r>
      <w:r w:rsidRPr="001B6D09" w:rsidR="00C66CB0">
        <w:t>,</w:t>
      </w:r>
      <w:r w:rsidRPr="001B6D09" w:rsidR="008C21CB">
        <w:t xml:space="preserve"> he had not had enough time to hire counsel of his own choosing to represent him before the County Court</w:t>
      </w:r>
      <w:r w:rsidRPr="001B6D09" w:rsidR="00510216">
        <w:t xml:space="preserve">; </w:t>
      </w:r>
      <w:r w:rsidRPr="001B6D09" w:rsidR="00240BC5">
        <w:t xml:space="preserve">(d) he had not been invited to the session </w:t>
      </w:r>
      <w:r w:rsidRPr="001B6D09" w:rsidR="00C66CB0">
        <w:t xml:space="preserve">before </w:t>
      </w:r>
      <w:r w:rsidRPr="001B6D09" w:rsidR="00240BC5">
        <w:t>the appeal court; and (e)</w:t>
      </w:r>
      <w:r w:rsidRPr="001B6D09" w:rsidR="008C21CB">
        <w:t xml:space="preserve"> in view of his </w:t>
      </w:r>
      <w:r w:rsidRPr="001B6D09" w:rsidR="00481870">
        <w:t xml:space="preserve">previous </w:t>
      </w:r>
      <w:r w:rsidRPr="001B6D09" w:rsidR="008C21CB">
        <w:t>conviction</w:t>
      </w:r>
      <w:r w:rsidRPr="001B6D09" w:rsidR="00481870">
        <w:t xml:space="preserve">s </w:t>
      </w:r>
      <w:r w:rsidRPr="001B6D09" w:rsidR="00C66CB0">
        <w:t xml:space="preserve">for </w:t>
      </w:r>
      <w:r w:rsidRPr="001B6D09" w:rsidR="00481870">
        <w:t xml:space="preserve">domestic violence in proceedings </w:t>
      </w:r>
      <w:r w:rsidRPr="001B6D09" w:rsidR="0012672E">
        <w:t xml:space="preserve">on indictment </w:t>
      </w:r>
      <w:r w:rsidRPr="001B6D09" w:rsidR="00481870">
        <w:t>and in several sets of</w:t>
      </w:r>
      <w:r w:rsidRPr="001B6D09" w:rsidR="008C21CB">
        <w:t xml:space="preserve"> minor</w:t>
      </w:r>
      <w:r w:rsidRPr="001B6D09" w:rsidR="00C66CB0">
        <w:t>-</w:t>
      </w:r>
      <w:r w:rsidRPr="001B6D09" w:rsidR="008C21CB">
        <w:t>offence</w:t>
      </w:r>
      <w:r w:rsidRPr="001B6D09" w:rsidR="00481870">
        <w:t xml:space="preserve"> proceedings</w:t>
      </w:r>
      <w:r w:rsidRPr="001B6D09" w:rsidR="008C21CB">
        <w:t xml:space="preserve">, his criminal conviction </w:t>
      </w:r>
      <w:r w:rsidRPr="001B6D09" w:rsidR="00481870">
        <w:t xml:space="preserve">in the impugned judgment </w:t>
      </w:r>
      <w:r w:rsidRPr="001B6D09" w:rsidR="008C21CB">
        <w:t>constituted a second conviction for the same offence.</w:t>
      </w:r>
    </w:p>
    <w:p w:rsidRPr="001B6D09" w:rsidR="00B37306" w:rsidP="001B6D09" w:rsidRDefault="00E21CEF" w14:paraId="4BF43AF9" w14:textId="183B4E56">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63</w:t>
      </w:r>
      <w:r w:rsidRPr="001B6D09">
        <w:fldChar w:fldCharType="end"/>
      </w:r>
      <w:r w:rsidRPr="001B6D09">
        <w:t>.  </w:t>
      </w:r>
      <w:r w:rsidRPr="001B6D09" w:rsidR="008C21CB">
        <w:t>By a judgment of 27 April 2010</w:t>
      </w:r>
      <w:r w:rsidRPr="001B6D09" w:rsidR="0064339B">
        <w:t>,</w:t>
      </w:r>
      <w:r w:rsidRPr="001B6D09" w:rsidR="008C21CB">
        <w:t xml:space="preserve"> the Supreme Court dismissed the applicant</w:t>
      </w:r>
      <w:r w:rsidRPr="001B6D09" w:rsidR="001B6D09">
        <w:t>’</w:t>
      </w:r>
      <w:r w:rsidRPr="001B6D09" w:rsidR="008C21CB">
        <w:t>s request</w:t>
      </w:r>
      <w:r w:rsidRPr="001B6D09" w:rsidR="005B1052">
        <w:t xml:space="preserve">. </w:t>
      </w:r>
      <w:r w:rsidRPr="001B6D09" w:rsidR="00B37306">
        <w:t xml:space="preserve">It addressed only the issue of </w:t>
      </w:r>
      <w:r w:rsidRPr="001B6D09" w:rsidR="00B37306">
        <w:rPr>
          <w:i/>
        </w:rPr>
        <w:t>ne bis in idem</w:t>
      </w:r>
      <w:r w:rsidRPr="001B6D09" w:rsidR="00481870">
        <w:t xml:space="preserve"> in connection with </w:t>
      </w:r>
      <w:r w:rsidRPr="001B6D09" w:rsidR="00CC2BD0">
        <w:t xml:space="preserve">the </w:t>
      </w:r>
      <w:r w:rsidRPr="001B6D09" w:rsidR="00481870">
        <w:t>Zagreb Minor</w:t>
      </w:r>
      <w:r w:rsidRPr="001B6D09" w:rsidR="00AB5383">
        <w:t xml:space="preserve"> O</w:t>
      </w:r>
      <w:r w:rsidRPr="001B6D09" w:rsidR="00481870">
        <w:t>ffences Court</w:t>
      </w:r>
      <w:r w:rsidRPr="001B6D09" w:rsidR="001B6D09">
        <w:t>’</w:t>
      </w:r>
      <w:r w:rsidRPr="001B6D09" w:rsidR="00481870">
        <w:t>s judgment of 17</w:t>
      </w:r>
      <w:r w:rsidRPr="001B6D09" w:rsidR="003D2EA8">
        <w:t> </w:t>
      </w:r>
      <w:r w:rsidRPr="001B6D09" w:rsidR="00481870">
        <w:t>November 2008</w:t>
      </w:r>
      <w:r w:rsidRPr="001B6D09" w:rsidR="000E336F">
        <w:t xml:space="preserve"> (see paragraph </w:t>
      </w:r>
      <w:r w:rsidRPr="001B6D09" w:rsidR="000E336F">
        <w:fldChar w:fldCharType="begin"/>
      </w:r>
      <w:r w:rsidRPr="001B6D09" w:rsidR="000E336F">
        <w:instrText xml:space="preserve"> REF fifth_minor_offence_judgment \h </w:instrText>
      </w:r>
      <w:r w:rsidRPr="001B6D09" w:rsidR="005B12FD">
        <w:instrText xml:space="preserve"> \* MERGEFORMAT </w:instrText>
      </w:r>
      <w:r w:rsidRPr="001B6D09" w:rsidR="000E336F">
        <w:fldChar w:fldCharType="separate"/>
      </w:r>
      <w:r w:rsidRPr="001B6D09" w:rsidR="001B6D09">
        <w:rPr>
          <w:noProof/>
        </w:rPr>
        <w:t>13</w:t>
      </w:r>
      <w:r w:rsidRPr="001B6D09" w:rsidR="000E336F">
        <w:fldChar w:fldCharType="end"/>
      </w:r>
      <w:r w:rsidRPr="001B6D09" w:rsidR="000E336F">
        <w:t xml:space="preserve"> above)</w:t>
      </w:r>
      <w:r w:rsidRPr="001B6D09" w:rsidR="00481870">
        <w:t>.</w:t>
      </w:r>
      <w:r w:rsidRPr="001B6D09" w:rsidR="00B37306">
        <w:t xml:space="preserve"> The relevant part of the judgment reads:</w:t>
      </w:r>
    </w:p>
    <w:p w:rsidRPr="001B6D09" w:rsidR="008C21CB" w:rsidP="001B6D09" w:rsidRDefault="00B37306" w14:paraId="738730AE" w14:textId="0FA8F365">
      <w:pPr>
        <w:pStyle w:val="JuQuot"/>
        <w:jc w:val="both"/>
      </w:pPr>
      <w:r w:rsidRPr="001B6D09">
        <w:t>“</w:t>
      </w:r>
      <w:r w:rsidRPr="001B6D09" w:rsidR="000909BA">
        <w:t>T</w:t>
      </w:r>
      <w:r w:rsidRPr="001B6D09">
        <w:t>he factual background of the minor</w:t>
      </w:r>
      <w:r w:rsidRPr="001B6D09" w:rsidR="00AB5383">
        <w:t xml:space="preserve"> </w:t>
      </w:r>
      <w:r w:rsidRPr="001B6D09">
        <w:t xml:space="preserve">offence </w:t>
      </w:r>
      <w:r w:rsidRPr="001B6D09" w:rsidR="00AB5383">
        <w:t xml:space="preserve">of </w:t>
      </w:r>
      <w:r w:rsidRPr="001B6D09">
        <w:t xml:space="preserve">which </w:t>
      </w:r>
      <w:r w:rsidRPr="001B6D09" w:rsidR="000E336F">
        <w:t>[</w:t>
      </w:r>
      <w:r w:rsidRPr="001B6D09">
        <w:t xml:space="preserve">the </w:t>
      </w:r>
      <w:r w:rsidRPr="001B6D09" w:rsidR="000E336F">
        <w:t>applicant]</w:t>
      </w:r>
      <w:r w:rsidRPr="001B6D09">
        <w:t xml:space="preserve"> was found guilty</w:t>
      </w:r>
      <w:r w:rsidRPr="001B6D09" w:rsidR="000909BA">
        <w:t xml:space="preserve"> </w:t>
      </w:r>
      <w:r w:rsidRPr="001B6D09" w:rsidR="00AB5383">
        <w:t xml:space="preserve">by </w:t>
      </w:r>
      <w:r w:rsidRPr="001B6D09" w:rsidR="000909BA">
        <w:t>the judgment of the Minor</w:t>
      </w:r>
      <w:r w:rsidRPr="001B6D09" w:rsidR="00AB5383">
        <w:t xml:space="preserve"> </w:t>
      </w:r>
      <w:r w:rsidRPr="001B6D09" w:rsidR="000909BA">
        <w:t>Offences Court</w:t>
      </w:r>
      <w:r w:rsidRPr="001B6D09">
        <w:t xml:space="preserve"> is not the same as the factual background of the criminal offences </w:t>
      </w:r>
      <w:r w:rsidRPr="001B6D09" w:rsidR="00AB5383">
        <w:t xml:space="preserve">of </w:t>
      </w:r>
      <w:r w:rsidRPr="001B6D09">
        <w:t xml:space="preserve">which </w:t>
      </w:r>
      <w:r w:rsidRPr="001B6D09" w:rsidR="000E336F">
        <w:t>[</w:t>
      </w:r>
      <w:r w:rsidRPr="001B6D09">
        <w:t>he</w:t>
      </w:r>
      <w:r w:rsidRPr="001B6D09" w:rsidR="000E336F">
        <w:t>]</w:t>
      </w:r>
      <w:r w:rsidRPr="001B6D09">
        <w:t xml:space="preserve"> </w:t>
      </w:r>
      <w:r w:rsidRPr="001B6D09" w:rsidR="003D5040">
        <w:t>had</w:t>
      </w:r>
      <w:r w:rsidRPr="001B6D09">
        <w:t xml:space="preserve"> </w:t>
      </w:r>
      <w:r w:rsidRPr="001B6D09" w:rsidR="003D5040">
        <w:t xml:space="preserve">been </w:t>
      </w:r>
      <w:r w:rsidRPr="001B6D09">
        <w:t xml:space="preserve">found guilty by a final judgment of the Zagreb Municipal Criminal Court of 14 July 2009 </w:t>
      </w:r>
      <w:r w:rsidRPr="001B6D09" w:rsidR="001B3726">
        <w:t>...</w:t>
      </w:r>
      <w:r w:rsidRPr="001B6D09">
        <w:t xml:space="preserve"> Miljenko Galovi</w:t>
      </w:r>
      <w:r w:rsidRPr="001B6D09">
        <w:rPr>
          <w:rFonts w:cstheme="minorHAnsi"/>
        </w:rPr>
        <w:t>ć</w:t>
      </w:r>
      <w:r w:rsidRPr="001B6D09">
        <w:t xml:space="preserve"> h</w:t>
      </w:r>
      <w:r w:rsidRPr="001B6D09" w:rsidR="000909BA">
        <w:t>a</w:t>
      </w:r>
      <w:r w:rsidRPr="001B6D09">
        <w:t xml:space="preserve">s been found guilty </w:t>
      </w:r>
      <w:r w:rsidRPr="001B6D09" w:rsidR="00AB5383">
        <w:t xml:space="preserve">of </w:t>
      </w:r>
      <w:r w:rsidRPr="001B6D09">
        <w:t>one criminal offence under Article 213</w:t>
      </w:r>
      <w:r w:rsidRPr="001B6D09" w:rsidR="00D267AB">
        <w:t xml:space="preserve"> </w:t>
      </w:r>
      <w:r w:rsidRPr="001B6D09" w:rsidR="00D267AB">
        <w:rPr>
          <w:snapToGrid w:val="0"/>
        </w:rPr>
        <w:t>§§</w:t>
      </w:r>
      <w:r w:rsidRPr="001B6D09" w:rsidDel="00D267AB" w:rsidR="00D267AB">
        <w:t xml:space="preserve"> </w:t>
      </w:r>
      <w:r w:rsidRPr="001B6D09">
        <w:t xml:space="preserve">1 and 2 of the Criminal Code </w:t>
      </w:r>
      <w:r w:rsidRPr="001B6D09" w:rsidR="000909BA">
        <w:t xml:space="preserve">and four criminal offences under Article 215a of the Criminal Code committed in the period between February 2005 and 3 November 2008. The fact that </w:t>
      </w:r>
      <w:r w:rsidRPr="001B6D09" w:rsidR="003D5040">
        <w:t>[his]</w:t>
      </w:r>
      <w:r w:rsidRPr="001B6D09" w:rsidR="000909BA">
        <w:t xml:space="preserve"> </w:t>
      </w:r>
      <w:r w:rsidRPr="001B6D09" w:rsidR="007B666E">
        <w:t xml:space="preserve">behaviour also </w:t>
      </w:r>
      <w:r w:rsidRPr="001B6D09" w:rsidR="005B09C8">
        <w:t xml:space="preserve">constituted </w:t>
      </w:r>
      <w:r w:rsidRPr="001B6D09" w:rsidR="000909BA">
        <w:t xml:space="preserve">a minor offence under section 18(1) of the </w:t>
      </w:r>
      <w:r w:rsidRPr="001B6D09" w:rsidR="00CC2BD0">
        <w:t xml:space="preserve">Protection Against </w:t>
      </w:r>
      <w:r w:rsidRPr="001B6D09" w:rsidR="000909BA">
        <w:t>Domestic Violence Act in respect of the same victims</w:t>
      </w:r>
      <w:r w:rsidRPr="001B6D09" w:rsidR="00AB5383">
        <w:t xml:space="preserve"> during that same period –</w:t>
      </w:r>
      <w:r w:rsidRPr="001B6D09" w:rsidR="000909BA">
        <w:t xml:space="preserve"> </w:t>
      </w:r>
      <w:r w:rsidRPr="001B6D09" w:rsidR="00AB5383">
        <w:t>[a</w:t>
      </w:r>
      <w:r w:rsidRPr="001B6D09" w:rsidR="003D5040">
        <w:t xml:space="preserve"> minor</w:t>
      </w:r>
      <w:r w:rsidRPr="001B6D09" w:rsidR="00AB5383">
        <w:t xml:space="preserve"> offence] of </w:t>
      </w:r>
      <w:r w:rsidRPr="001B6D09" w:rsidR="000909BA">
        <w:t xml:space="preserve">which he </w:t>
      </w:r>
      <w:r w:rsidRPr="001B6D09" w:rsidR="003D5040">
        <w:t>had been</w:t>
      </w:r>
      <w:r w:rsidRPr="001B6D09" w:rsidR="000909BA">
        <w:t xml:space="preserve"> found guilty by </w:t>
      </w:r>
      <w:r w:rsidRPr="001B6D09" w:rsidR="00AB5383">
        <w:t xml:space="preserve">a </w:t>
      </w:r>
      <w:r w:rsidRPr="001B6D09" w:rsidR="000909BA">
        <w:t>judgment of the Minor</w:t>
      </w:r>
      <w:r w:rsidRPr="001B6D09" w:rsidR="00AB5383">
        <w:t xml:space="preserve"> </w:t>
      </w:r>
      <w:r w:rsidRPr="001B6D09" w:rsidR="000909BA">
        <w:t>Offences Court</w:t>
      </w:r>
      <w:r w:rsidRPr="001B6D09" w:rsidR="00AB5383">
        <w:t xml:space="preserve"> –</w:t>
      </w:r>
      <w:r w:rsidRPr="001B6D09" w:rsidR="000909BA">
        <w:t xml:space="preserve"> cannot be seen as a matter </w:t>
      </w:r>
      <w:r w:rsidRPr="001B6D09" w:rsidR="00AB5383">
        <w:t xml:space="preserve">which has </w:t>
      </w:r>
      <w:r w:rsidRPr="001B6D09" w:rsidR="000909BA">
        <w:t>already</w:t>
      </w:r>
      <w:r w:rsidRPr="001B6D09" w:rsidR="00AB5383">
        <w:t xml:space="preserve"> been</w:t>
      </w:r>
      <w:r w:rsidRPr="001B6D09" w:rsidR="000909BA">
        <w:t xml:space="preserve"> judged, and there has </w:t>
      </w:r>
      <w:r w:rsidRPr="001B6D09" w:rsidR="001A6AFD">
        <w:t xml:space="preserve">therefore </w:t>
      </w:r>
      <w:r w:rsidRPr="001B6D09" w:rsidR="000909BA">
        <w:t xml:space="preserve">been no violation of the </w:t>
      </w:r>
      <w:r w:rsidRPr="001B6D09" w:rsidR="00AB5383">
        <w:t>C</w:t>
      </w:r>
      <w:r w:rsidRPr="001B6D09" w:rsidR="000909BA">
        <w:t xml:space="preserve">riminal </w:t>
      </w:r>
      <w:r w:rsidRPr="001B6D09" w:rsidR="00AB5383">
        <w:t>C</w:t>
      </w:r>
      <w:r w:rsidRPr="001B6D09" w:rsidR="000909BA">
        <w:t>ode under Article 368</w:t>
      </w:r>
      <w:r w:rsidRPr="001B6D09" w:rsidR="00D267AB">
        <w:t xml:space="preserve"> </w:t>
      </w:r>
      <w:r w:rsidRPr="001B6D09" w:rsidR="00D267AB">
        <w:rPr>
          <w:snapToGrid w:val="0"/>
        </w:rPr>
        <w:t>§</w:t>
      </w:r>
      <w:r w:rsidRPr="001B6D09" w:rsidDel="00D267AB" w:rsidR="00D267AB">
        <w:t xml:space="preserve"> </w:t>
      </w:r>
      <w:r w:rsidRPr="001B6D09" w:rsidR="000909BA">
        <w:t>3 of the Code on Criminal Procedure.”</w:t>
      </w:r>
    </w:p>
    <w:p w:rsidRPr="001B6D09" w:rsidR="008C21CB" w:rsidP="001B6D09" w:rsidRDefault="00E21CEF" w14:paraId="24637554" w14:textId="442E1A5D">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64</w:t>
      </w:r>
      <w:r w:rsidRPr="001B6D09">
        <w:fldChar w:fldCharType="end"/>
      </w:r>
      <w:r w:rsidRPr="001B6D09">
        <w:t>.  </w:t>
      </w:r>
      <w:r w:rsidRPr="001B6D09" w:rsidR="008C21CB">
        <w:t>By a decision of 27 January 2011</w:t>
      </w:r>
      <w:r w:rsidRPr="001B6D09" w:rsidR="0064339B">
        <w:t>,</w:t>
      </w:r>
      <w:r w:rsidRPr="001B6D09" w:rsidR="008C21CB">
        <w:t xml:space="preserve"> the Constitutional Court (</w:t>
      </w:r>
      <w:r w:rsidRPr="001B6D09" w:rsidR="008C21CB">
        <w:rPr>
          <w:i/>
          <w:lang w:val="hr-HR"/>
        </w:rPr>
        <w:t>Ustavni sud Republike Hrvatske</w:t>
      </w:r>
      <w:r w:rsidRPr="001B6D09" w:rsidR="008C21CB">
        <w:t xml:space="preserve">) declared </w:t>
      </w:r>
      <w:r w:rsidRPr="001B6D09" w:rsidR="00B54240">
        <w:t xml:space="preserve">a </w:t>
      </w:r>
      <w:r w:rsidRPr="001B6D09" w:rsidR="008C21CB">
        <w:t>subsequent constitutional complaint</w:t>
      </w:r>
      <w:r w:rsidRPr="001B6D09" w:rsidR="00B54240">
        <w:t xml:space="preserve"> </w:t>
      </w:r>
      <w:r w:rsidRPr="001B6D09" w:rsidR="003D5040">
        <w:t xml:space="preserve">lodged </w:t>
      </w:r>
      <w:r w:rsidRPr="001B6D09" w:rsidR="00B54240">
        <w:t>by the applicant inadmissible</w:t>
      </w:r>
      <w:r w:rsidRPr="001B6D09" w:rsidR="008C21CB">
        <w:t>. It held that the Supreme Court</w:t>
      </w:r>
      <w:r w:rsidRPr="001B6D09" w:rsidR="001B6D09">
        <w:t>’</w:t>
      </w:r>
      <w:r w:rsidRPr="001B6D09" w:rsidR="008C21CB">
        <w:t xml:space="preserve">s decision following </w:t>
      </w:r>
      <w:r w:rsidRPr="001B6D09" w:rsidR="0064339B">
        <w:t xml:space="preserve">a </w:t>
      </w:r>
      <w:r w:rsidRPr="001B6D09" w:rsidR="008C21CB">
        <w:t xml:space="preserve">request for extraordinary review of a final judgment </w:t>
      </w:r>
      <w:r w:rsidRPr="001B6D09" w:rsidR="00082EBE">
        <w:t>w</w:t>
      </w:r>
      <w:r w:rsidRPr="001B6D09" w:rsidR="0064339B">
        <w:t>as</w:t>
      </w:r>
      <w:r w:rsidRPr="001B6D09" w:rsidR="00082EBE">
        <w:t xml:space="preserve"> </w:t>
      </w:r>
      <w:r w:rsidRPr="001B6D09" w:rsidR="008C21CB">
        <w:t>not susceptible to constitutional review.</w:t>
      </w:r>
    </w:p>
    <w:p w:rsidRPr="001B6D09" w:rsidR="008C21CB" w:rsidP="001B6D09" w:rsidRDefault="00E21CEF" w14:paraId="1698E392" w14:textId="2662D150">
      <w:pPr>
        <w:pStyle w:val="JuPara"/>
        <w:jc w:val="both"/>
      </w:pPr>
      <w:r w:rsidRPr="001B6D09">
        <w:rPr>
          <w:rFonts w:ascii="Times New Roman" w:hAnsi="Times New Roman" w:eastAsia="PMingLiU" w:cs="Times New Roman"/>
        </w:rPr>
        <w:fldChar w:fldCharType="begin"/>
      </w:r>
      <w:r w:rsidRPr="001B6D09">
        <w:rPr>
          <w:rFonts w:ascii="Times New Roman" w:hAnsi="Times New Roman" w:eastAsia="PMingLiU" w:cs="Times New Roman"/>
        </w:rPr>
        <w:instrText xml:space="preserve"> SEQ level0 \*arabic </w:instrText>
      </w:r>
      <w:r w:rsidRPr="001B6D09">
        <w:rPr>
          <w:rFonts w:ascii="Times New Roman" w:hAnsi="Times New Roman" w:eastAsia="PMingLiU" w:cs="Times New Roman"/>
        </w:rPr>
        <w:fldChar w:fldCharType="separate"/>
      </w:r>
      <w:r w:rsidRPr="001B6D09" w:rsidR="001B6D09">
        <w:rPr>
          <w:rFonts w:ascii="Times New Roman" w:hAnsi="Times New Roman" w:eastAsia="PMingLiU" w:cs="Times New Roman"/>
          <w:noProof/>
        </w:rPr>
        <w:t>65</w:t>
      </w:r>
      <w:r w:rsidRPr="001B6D09">
        <w:rPr>
          <w:rFonts w:ascii="Times New Roman" w:hAnsi="Times New Roman" w:eastAsia="PMingLiU" w:cs="Times New Roman"/>
        </w:rPr>
        <w:fldChar w:fldCharType="end"/>
      </w:r>
      <w:r w:rsidRPr="001B6D09">
        <w:rPr>
          <w:rFonts w:ascii="Times New Roman" w:hAnsi="Times New Roman" w:eastAsia="PMingLiU" w:cs="Times New Roman"/>
        </w:rPr>
        <w:t>.  </w:t>
      </w:r>
      <w:r w:rsidRPr="001B6D09" w:rsidR="008C21CB">
        <w:rPr>
          <w:rFonts w:ascii="Times New Roman" w:hAnsi="Times New Roman" w:eastAsia="PMingLiU" w:cs="Times New Roman"/>
        </w:rPr>
        <w:t>On 16 March 2012 the applicant was conditionally released from prison.</w:t>
      </w:r>
    </w:p>
    <w:p w:rsidRPr="001B6D09" w:rsidR="004A294E" w:rsidP="001B6D09" w:rsidRDefault="004A294E" w14:paraId="6D65381B" w14:textId="77777777">
      <w:pPr>
        <w:pStyle w:val="JuHHead"/>
      </w:pPr>
      <w:r w:rsidRPr="001B6D09">
        <w:t>RELEVANT LEGAL FRAMEWORK</w:t>
      </w:r>
    </w:p>
    <w:p w:rsidRPr="001B6D09" w:rsidR="009300AB" w:rsidP="001B6D09" w:rsidRDefault="009300AB" w14:paraId="5A3DB0BB" w14:textId="1767CC20">
      <w:pPr>
        <w:pStyle w:val="JuHIRoman"/>
      </w:pPr>
      <w:r w:rsidRPr="001B6D09">
        <w:t>DOMESTIC LAW</w:t>
      </w:r>
    </w:p>
    <w:p w:rsidRPr="001B6D09" w:rsidR="001B3726" w:rsidP="001B6D09" w:rsidRDefault="006374CD" w14:paraId="7A3CFFE9" w14:textId="4B22C4AE">
      <w:pPr>
        <w:pStyle w:val="JuPara"/>
        <w:jc w:val="both"/>
        <w:rPr>
          <w:rFonts w:eastAsia="Times New Roman"/>
          <w:lang w:eastAsia="fr-FR"/>
        </w:rPr>
      </w:pPr>
      <w:r w:rsidRPr="001B6D09">
        <w:fldChar w:fldCharType="begin"/>
      </w:r>
      <w:r w:rsidRPr="001B6D09">
        <w:instrText xml:space="preserve"> SEQ level0 \*arabic </w:instrText>
      </w:r>
      <w:r w:rsidRPr="001B6D09">
        <w:fldChar w:fldCharType="separate"/>
      </w:r>
      <w:r w:rsidRPr="001B6D09" w:rsidR="001B6D09">
        <w:rPr>
          <w:noProof/>
        </w:rPr>
        <w:t>66</w:t>
      </w:r>
      <w:r w:rsidRPr="001B6D09">
        <w:fldChar w:fldCharType="end"/>
      </w:r>
      <w:r w:rsidRPr="001B6D09" w:rsidR="0077175D">
        <w:t>.  </w:t>
      </w:r>
      <w:r w:rsidRPr="001B6D09" w:rsidR="0006023D">
        <w:rPr>
          <w:rFonts w:eastAsia="Times New Roman"/>
          <w:lang w:eastAsia="fr-FR"/>
        </w:rPr>
        <w:t xml:space="preserve">The relevant domestic law as regards the absence of an accused in criminal proceedings from </w:t>
      </w:r>
      <w:r w:rsidRPr="001B6D09" w:rsidR="00681184">
        <w:rPr>
          <w:rFonts w:eastAsia="Times New Roman"/>
          <w:lang w:eastAsia="fr-FR"/>
        </w:rPr>
        <w:t xml:space="preserve">the </w:t>
      </w:r>
      <w:r w:rsidRPr="001B6D09" w:rsidR="0006023D">
        <w:rPr>
          <w:rFonts w:eastAsia="Times New Roman"/>
          <w:lang w:eastAsia="fr-FR"/>
        </w:rPr>
        <w:t>sessions of an appeal panel is set out in the case of</w:t>
      </w:r>
      <w:r w:rsidRPr="001B6D09" w:rsidR="0006023D">
        <w:rPr>
          <w:lang w:val="en-US"/>
        </w:rPr>
        <w:t xml:space="preserve"> </w:t>
      </w:r>
      <w:r w:rsidRPr="001B6D09" w:rsidR="0006023D">
        <w:rPr>
          <w:i/>
          <w:lang w:val="en-US"/>
        </w:rPr>
        <w:t>Arps v. Croatia</w:t>
      </w:r>
      <w:r w:rsidRPr="001B6D09" w:rsidR="0006023D">
        <w:rPr>
          <w:lang w:val="en-US"/>
        </w:rPr>
        <w:t xml:space="preserve">, no. 23444/12, §§ 12-15, </w:t>
      </w:r>
      <w:r w:rsidRPr="001B6D09" w:rsidR="0006023D">
        <w:t>25 October 2016</w:t>
      </w:r>
      <w:r w:rsidRPr="001B6D09" w:rsidR="0006023D">
        <w:rPr>
          <w:rFonts w:eastAsia="Times New Roman"/>
          <w:lang w:eastAsia="fr-FR"/>
        </w:rPr>
        <w:t>.</w:t>
      </w:r>
    </w:p>
    <w:bookmarkStart w:name="Criminal_Code" w:id="34"/>
    <w:p w:rsidRPr="001B6D09" w:rsidR="001221E7" w:rsidP="001B6D09" w:rsidRDefault="001221E7" w14:paraId="16E06513" w14:textId="588C6D47">
      <w:pPr>
        <w:pStyle w:val="JuPara"/>
        <w:jc w:val="both"/>
      </w:pPr>
      <w:r w:rsidRPr="001B6D09">
        <w:rPr>
          <w:rFonts w:eastAsia="Times New Roman"/>
          <w:lang w:eastAsia="fr-FR"/>
        </w:rPr>
        <w:fldChar w:fldCharType="begin"/>
      </w:r>
      <w:r w:rsidRPr="001B6D09">
        <w:rPr>
          <w:rFonts w:eastAsia="Times New Roman"/>
          <w:lang w:eastAsia="fr-FR"/>
        </w:rPr>
        <w:instrText xml:space="preserve"> SEQ level0 \*arabic </w:instrText>
      </w:r>
      <w:r w:rsidRPr="001B6D09">
        <w:rPr>
          <w:rFonts w:eastAsia="Times New Roman"/>
          <w:lang w:eastAsia="fr-FR"/>
        </w:rPr>
        <w:fldChar w:fldCharType="separate"/>
      </w:r>
      <w:r w:rsidRPr="001B6D09" w:rsidR="001B6D09">
        <w:rPr>
          <w:rFonts w:eastAsia="Times New Roman"/>
          <w:noProof/>
          <w:lang w:eastAsia="fr-FR"/>
        </w:rPr>
        <w:t>67</w:t>
      </w:r>
      <w:r w:rsidRPr="001B6D09">
        <w:rPr>
          <w:rFonts w:eastAsia="Times New Roman"/>
          <w:lang w:eastAsia="fr-FR"/>
        </w:rPr>
        <w:fldChar w:fldCharType="end"/>
      </w:r>
      <w:bookmarkEnd w:id="34"/>
      <w:r w:rsidRPr="001B6D09">
        <w:rPr>
          <w:rFonts w:eastAsia="Times New Roman"/>
          <w:lang w:eastAsia="fr-FR"/>
        </w:rPr>
        <w:t>.  </w:t>
      </w:r>
      <w:r w:rsidRPr="001B6D09">
        <w:t xml:space="preserve">The relevant provisions of the </w:t>
      </w:r>
      <w:r w:rsidRPr="001B6D09" w:rsidR="00D90584">
        <w:t xml:space="preserve">Criminal </w:t>
      </w:r>
      <w:r w:rsidRPr="001B6D09">
        <w:t>Code (</w:t>
      </w:r>
      <w:r w:rsidRPr="001B6D09" w:rsidR="00D90584">
        <w:rPr>
          <w:i/>
        </w:rPr>
        <w:t>Kazneni zakon</w:t>
      </w:r>
      <w:r w:rsidRPr="001B6D09">
        <w:t>, Official Gazette nos. 110/1997</w:t>
      </w:r>
      <w:r w:rsidRPr="001B6D09" w:rsidR="005F7F5F">
        <w:t xml:space="preserve"> with subsequent amendments</w:t>
      </w:r>
      <w:r w:rsidRPr="001B6D09">
        <w:t>)</w:t>
      </w:r>
      <w:r w:rsidRPr="001B6D09" w:rsidR="005F7F5F">
        <w:t>, as in force at the material time,</w:t>
      </w:r>
      <w:r w:rsidRPr="001B6D09">
        <w:t xml:space="preserve"> read as follows:</w:t>
      </w:r>
    </w:p>
    <w:p w:rsidRPr="001B6D09" w:rsidR="0054217C" w:rsidP="001B6D09" w:rsidRDefault="0054217C" w14:paraId="39924219" w14:textId="77777777">
      <w:pPr>
        <w:pStyle w:val="JuHArticle"/>
      </w:pPr>
      <w:r w:rsidRPr="001B6D09">
        <w:t>Neglect or abuse of a child or a minor</w:t>
      </w:r>
    </w:p>
    <w:p w:rsidRPr="001B6D09" w:rsidR="0054217C" w:rsidP="001B6D09" w:rsidRDefault="0054217C" w14:paraId="3AFE9BC3" w14:textId="77777777">
      <w:pPr>
        <w:pStyle w:val="JuHArticle"/>
      </w:pPr>
      <w:r w:rsidRPr="001B6D09">
        <w:t>Article 213</w:t>
      </w:r>
    </w:p>
    <w:p w:rsidRPr="001B6D09" w:rsidR="0054217C" w:rsidP="001B6D09" w:rsidRDefault="00670865" w14:paraId="54AA6A25" w14:textId="77777777">
      <w:pPr>
        <w:pStyle w:val="JuQuot"/>
        <w:jc w:val="both"/>
      </w:pPr>
      <w:r w:rsidRPr="001B6D09">
        <w:t>“(1)  </w:t>
      </w:r>
      <w:r w:rsidRPr="001B6D09" w:rsidR="0054217C">
        <w:t xml:space="preserve">A parent, adoptive parent, guardian or other individual who grossly neglects </w:t>
      </w:r>
      <w:r w:rsidRPr="001B6D09" w:rsidR="00C0518F">
        <w:t xml:space="preserve">his or her </w:t>
      </w:r>
      <w:r w:rsidRPr="001B6D09" w:rsidR="0054217C">
        <w:t xml:space="preserve">duties to care for or raise a child or minor shall be punished by imprisonment </w:t>
      </w:r>
      <w:r w:rsidRPr="001B6D09" w:rsidR="00F634D7">
        <w:t xml:space="preserve">for </w:t>
      </w:r>
      <w:r w:rsidRPr="001B6D09" w:rsidR="0054217C">
        <w:t>six months to five years.</w:t>
      </w:r>
    </w:p>
    <w:p w:rsidRPr="001B6D09" w:rsidR="0054217C" w:rsidP="001B6D09" w:rsidRDefault="00670865" w14:paraId="28B6F345" w14:textId="77777777">
      <w:pPr>
        <w:pStyle w:val="JuQuot"/>
        <w:jc w:val="both"/>
      </w:pPr>
      <w:r w:rsidRPr="001B6D09">
        <w:t>(2)  </w:t>
      </w:r>
      <w:r w:rsidRPr="001B6D09" w:rsidR="0054217C">
        <w:t>The penalty referred to in paragraph 1 of this Article shall be imposed on a parent, adoptive parent, guardian or other individual who abuses a child or minor</w:t>
      </w:r>
      <w:r w:rsidRPr="001B6D09" w:rsidR="00F634D7">
        <w:t>;</w:t>
      </w:r>
      <w:r w:rsidRPr="001B6D09" w:rsidR="0054217C">
        <w:t xml:space="preserve"> </w:t>
      </w:r>
      <w:r w:rsidRPr="001B6D09" w:rsidR="00007D96">
        <w:t xml:space="preserve">[who] </w:t>
      </w:r>
      <w:r w:rsidRPr="001B6D09" w:rsidR="0054217C">
        <w:t>forces [the child] to perform work unsuitable for his or her age, or to work excessively, or to beg</w:t>
      </w:r>
      <w:r w:rsidRPr="001B6D09" w:rsidR="00F634D7">
        <w:t>;</w:t>
      </w:r>
      <w:r w:rsidRPr="001B6D09" w:rsidR="0054217C">
        <w:t xml:space="preserve"> </w:t>
      </w:r>
      <w:r w:rsidRPr="001B6D09" w:rsidR="00007D96">
        <w:t>[who]</w:t>
      </w:r>
      <w:r w:rsidRPr="001B6D09" w:rsidR="00F634D7">
        <w:t>,</w:t>
      </w:r>
      <w:r w:rsidRPr="001B6D09" w:rsidR="0054217C">
        <w:t xml:space="preserve"> out of greed</w:t>
      </w:r>
      <w:r w:rsidRPr="001B6D09" w:rsidR="00F634D7">
        <w:t>,</w:t>
      </w:r>
      <w:r w:rsidRPr="001B6D09" w:rsidR="0054217C">
        <w:t xml:space="preserve"> induces [the child] to behave in a manner harmful to his or her development</w:t>
      </w:r>
      <w:r w:rsidRPr="001B6D09" w:rsidR="00F634D7">
        <w:t>;</w:t>
      </w:r>
      <w:r w:rsidRPr="001B6D09" w:rsidR="0054217C">
        <w:t xml:space="preserve"> or </w:t>
      </w:r>
      <w:r w:rsidRPr="001B6D09" w:rsidR="00007D96">
        <w:t xml:space="preserve">[who] </w:t>
      </w:r>
      <w:r w:rsidRPr="001B6D09" w:rsidR="00F634D7">
        <w:t xml:space="preserve">puts [the child] in danger </w:t>
      </w:r>
      <w:r w:rsidRPr="001B6D09" w:rsidR="0054217C">
        <w:t>by [engaging in] dangerous activities or in some other way.”</w:t>
      </w:r>
    </w:p>
    <w:p w:rsidRPr="001B6D09" w:rsidR="00B64638" w:rsidP="001B6D09" w:rsidRDefault="00B64638" w14:paraId="0D9F7224" w14:textId="77777777">
      <w:pPr>
        <w:pStyle w:val="JuHArticle"/>
      </w:pPr>
      <w:r w:rsidRPr="001B6D09">
        <w:t>Domestic violence</w:t>
      </w:r>
    </w:p>
    <w:p w:rsidRPr="001B6D09" w:rsidR="00B64638" w:rsidP="001B6D09" w:rsidRDefault="00B64638" w14:paraId="38EA7AE9" w14:textId="77777777">
      <w:pPr>
        <w:pStyle w:val="JuHArticle"/>
      </w:pPr>
      <w:r w:rsidRPr="001B6D09">
        <w:t>Article 215a</w:t>
      </w:r>
    </w:p>
    <w:p w:rsidRPr="001B6D09" w:rsidR="00B64638" w:rsidP="001B6D09" w:rsidRDefault="00B64638" w14:paraId="167A2074" w14:textId="77777777">
      <w:pPr>
        <w:pStyle w:val="JuQuotSub"/>
        <w:keepNext/>
        <w:keepLines/>
        <w:jc w:val="both"/>
      </w:pPr>
      <w:r w:rsidRPr="001B6D09">
        <w:t>“A family member who</w:t>
      </w:r>
      <w:r w:rsidRPr="001B6D09" w:rsidR="00F634D7">
        <w:t>,</w:t>
      </w:r>
      <w:r w:rsidRPr="001B6D09">
        <w:t xml:space="preserve"> </w:t>
      </w:r>
      <w:r w:rsidRPr="001B6D09" w:rsidR="005F7F5F">
        <w:t>through</w:t>
      </w:r>
      <w:r w:rsidRPr="001B6D09">
        <w:t xml:space="preserve"> violence, ill-treatment or particularly contemptuous behaviour</w:t>
      </w:r>
      <w:r w:rsidRPr="001B6D09" w:rsidR="00F634D7">
        <w:t>,</w:t>
      </w:r>
      <w:r w:rsidRPr="001B6D09">
        <w:t xml:space="preserve"> places another family member in a humiliating position shall be sentenced to imprisonment for a term of between six months and five years.”</w:t>
      </w:r>
    </w:p>
    <w:bookmarkStart w:name="Domestic_Violence_Act" w:id="35"/>
    <w:p w:rsidRPr="001B6D09" w:rsidR="0054217C" w:rsidP="001B6D09" w:rsidRDefault="0054217C" w14:paraId="663BB384" w14:textId="63155FB6">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68</w:t>
      </w:r>
      <w:r w:rsidRPr="001B6D09">
        <w:fldChar w:fldCharType="end"/>
      </w:r>
      <w:bookmarkEnd w:id="35"/>
      <w:r w:rsidRPr="001B6D09">
        <w:t>.  The Protection against Domestic Violence Act (</w:t>
      </w:r>
      <w:r w:rsidRPr="001B6D09">
        <w:rPr>
          <w:i/>
        </w:rPr>
        <w:t>Zakon o zaštiti od nasilja u obitelji</w:t>
      </w:r>
      <w:r w:rsidRPr="001B6D09">
        <w:t>, Official Gazette no. 1</w:t>
      </w:r>
      <w:r w:rsidRPr="001B6D09" w:rsidR="00212F2C">
        <w:t>16/2013</w:t>
      </w:r>
      <w:r w:rsidRPr="001B6D09">
        <w:t xml:space="preserve">), </w:t>
      </w:r>
      <w:r w:rsidRPr="001B6D09">
        <w:rPr>
          <w:i/>
        </w:rPr>
        <w:t>inter alia</w:t>
      </w:r>
      <w:r w:rsidRPr="001B6D09">
        <w:t xml:space="preserve">, defines the minor offence of domestic violence and provides sanctions which may be imposed </w:t>
      </w:r>
      <w:r w:rsidRPr="001B6D09" w:rsidR="00F634D7">
        <w:t xml:space="preserve">on </w:t>
      </w:r>
      <w:r w:rsidRPr="001B6D09">
        <w:t>those convicted of that offence.</w:t>
      </w:r>
      <w:r w:rsidRPr="001B6D09" w:rsidR="00212F2C">
        <w:t xml:space="preserve"> The rel</w:t>
      </w:r>
      <w:r w:rsidRPr="001B6D09" w:rsidR="007666F9">
        <w:t>e</w:t>
      </w:r>
      <w:r w:rsidRPr="001B6D09" w:rsidR="00212F2C">
        <w:t>vant provisions read:</w:t>
      </w:r>
    </w:p>
    <w:p w:rsidRPr="001B6D09" w:rsidR="00212F2C" w:rsidP="001B6D09" w:rsidRDefault="00212F2C" w14:paraId="1B62C3B2" w14:textId="77777777">
      <w:pPr>
        <w:pStyle w:val="JuHArticle"/>
      </w:pPr>
      <w:r w:rsidRPr="001B6D09">
        <w:t>Section 4</w:t>
      </w:r>
    </w:p>
    <w:p w:rsidRPr="001B6D09" w:rsidR="00212F2C" w:rsidP="001B6D09" w:rsidRDefault="00172481" w14:paraId="36FA36FE" w14:textId="77777777">
      <w:pPr>
        <w:pStyle w:val="JuQuotSub"/>
        <w:jc w:val="both"/>
      </w:pPr>
      <w:r w:rsidRPr="001B6D09">
        <w:t>“</w:t>
      </w:r>
      <w:r w:rsidRPr="001B6D09" w:rsidR="00212F2C">
        <w:t>Domestic violence is:</w:t>
      </w:r>
    </w:p>
    <w:p w:rsidRPr="001B6D09" w:rsidR="00212F2C" w:rsidP="001B6D09" w:rsidRDefault="00670865" w14:paraId="381C7202" w14:textId="66D20702">
      <w:pPr>
        <w:pStyle w:val="JuQuotSub"/>
        <w:jc w:val="both"/>
      </w:pPr>
      <w:r w:rsidRPr="001B6D09">
        <w:t>-  </w:t>
      </w:r>
      <w:r w:rsidRPr="001B6D09" w:rsidR="00212F2C">
        <w:t xml:space="preserve">every application of physical or </w:t>
      </w:r>
      <w:r w:rsidRPr="001B6D09" w:rsidR="002047BD">
        <w:t xml:space="preserve">psychological </w:t>
      </w:r>
      <w:r w:rsidRPr="001B6D09" w:rsidR="00212F2C">
        <w:t>force a</w:t>
      </w:r>
      <w:r w:rsidRPr="001B6D09" w:rsidR="00D17E33">
        <w:t>gainst</w:t>
      </w:r>
      <w:r w:rsidRPr="001B6D09" w:rsidR="00212F2C">
        <w:t xml:space="preserve"> a person</w:t>
      </w:r>
      <w:r w:rsidRPr="001B6D09" w:rsidR="001B6D09">
        <w:t>’</w:t>
      </w:r>
      <w:r w:rsidRPr="001B6D09" w:rsidR="00212F2C">
        <w:t>s integrity;</w:t>
      </w:r>
    </w:p>
    <w:p w:rsidRPr="001B6D09" w:rsidR="00212F2C" w:rsidP="001B6D09" w:rsidRDefault="00670865" w14:paraId="364E985C" w14:textId="77777777">
      <w:pPr>
        <w:pStyle w:val="JuQuotSub"/>
        <w:jc w:val="both"/>
      </w:pPr>
      <w:r w:rsidRPr="001B6D09">
        <w:t>-  </w:t>
      </w:r>
      <w:r w:rsidRPr="001B6D09" w:rsidR="002047BD">
        <w:t xml:space="preserve">all </w:t>
      </w:r>
      <w:r w:rsidRPr="001B6D09" w:rsidR="00212F2C">
        <w:t xml:space="preserve">conduct </w:t>
      </w:r>
      <w:r w:rsidRPr="001B6D09" w:rsidR="002047BD">
        <w:t xml:space="preserve">by </w:t>
      </w:r>
      <w:r w:rsidRPr="001B6D09" w:rsidR="00212F2C">
        <w:t xml:space="preserve">a family member capable of causing fear of physical or </w:t>
      </w:r>
      <w:r w:rsidRPr="001B6D09" w:rsidR="002047BD">
        <w:t xml:space="preserve">psychological </w:t>
      </w:r>
      <w:r w:rsidRPr="001B6D09" w:rsidR="00212F2C">
        <w:t>pain;</w:t>
      </w:r>
    </w:p>
    <w:p w:rsidRPr="001B6D09" w:rsidR="00212F2C" w:rsidP="001B6D09" w:rsidRDefault="00670865" w14:paraId="0037CEE7" w14:textId="68CD54BF">
      <w:pPr>
        <w:pStyle w:val="JuQuotSub"/>
        <w:jc w:val="both"/>
      </w:pPr>
      <w:r w:rsidRPr="001B6D09">
        <w:t>-  </w:t>
      </w:r>
      <w:r w:rsidRPr="001B6D09" w:rsidR="00212F2C">
        <w:t xml:space="preserve">causing </w:t>
      </w:r>
      <w:r w:rsidRPr="001B6D09" w:rsidR="00007D96">
        <w:t xml:space="preserve">[a person to] </w:t>
      </w:r>
      <w:r w:rsidRPr="001B6D09" w:rsidR="00212F2C">
        <w:t>fe</w:t>
      </w:r>
      <w:r w:rsidRPr="001B6D09" w:rsidR="00C84EB8">
        <w:t>el scared</w:t>
      </w:r>
      <w:r w:rsidRPr="001B6D09" w:rsidR="00212F2C">
        <w:t xml:space="preserve"> or personal</w:t>
      </w:r>
      <w:r w:rsidRPr="001B6D09" w:rsidR="00C84EB8">
        <w:t>ly</w:t>
      </w:r>
      <w:r w:rsidRPr="001B6D09" w:rsidR="00212F2C">
        <w:t xml:space="preserve"> threat</w:t>
      </w:r>
      <w:r w:rsidRPr="001B6D09" w:rsidR="00C84EB8">
        <w:t>ened,</w:t>
      </w:r>
      <w:r w:rsidRPr="001B6D09" w:rsidR="00212F2C">
        <w:t xml:space="preserve"> or </w:t>
      </w:r>
      <w:r w:rsidRPr="001B6D09" w:rsidR="00C84EB8">
        <w:t xml:space="preserve">[causing] </w:t>
      </w:r>
      <w:r w:rsidRPr="001B6D09" w:rsidR="00212F2C">
        <w:t xml:space="preserve">injury to </w:t>
      </w:r>
      <w:r w:rsidRPr="001B6D09" w:rsidR="00C84EB8">
        <w:t>a person</w:t>
      </w:r>
      <w:r w:rsidRPr="001B6D09" w:rsidR="001B6D09">
        <w:t>’</w:t>
      </w:r>
      <w:r w:rsidRPr="001B6D09" w:rsidR="00C84EB8">
        <w:t xml:space="preserve">s </w:t>
      </w:r>
      <w:r w:rsidRPr="001B6D09" w:rsidR="00212F2C">
        <w:t>dignity;</w:t>
      </w:r>
    </w:p>
    <w:p w:rsidRPr="001B6D09" w:rsidR="00212F2C" w:rsidP="001B6D09" w:rsidRDefault="00670865" w14:paraId="78092059" w14:textId="77777777">
      <w:pPr>
        <w:pStyle w:val="JuQuotSub"/>
        <w:jc w:val="both"/>
      </w:pPr>
      <w:r w:rsidRPr="001B6D09">
        <w:t>-  </w:t>
      </w:r>
      <w:r w:rsidRPr="001B6D09" w:rsidR="00212F2C">
        <w:t>physical assault</w:t>
      </w:r>
      <w:r w:rsidRPr="001B6D09" w:rsidR="002047BD">
        <w:t>,</w:t>
      </w:r>
      <w:r w:rsidRPr="001B6D09" w:rsidR="00212F2C">
        <w:t xml:space="preserve"> </w:t>
      </w:r>
      <w:r w:rsidRPr="001B6D09" w:rsidR="00D17E33">
        <w:t>irrespective</w:t>
      </w:r>
      <w:r w:rsidRPr="001B6D09" w:rsidR="00212F2C">
        <w:t xml:space="preserve"> of </w:t>
      </w:r>
      <w:r w:rsidRPr="001B6D09" w:rsidR="00D17E33">
        <w:t>whether</w:t>
      </w:r>
      <w:r w:rsidRPr="001B6D09" w:rsidR="00212F2C">
        <w:t xml:space="preserve"> </w:t>
      </w:r>
      <w:r w:rsidRPr="001B6D09" w:rsidR="00D17E33">
        <w:t>it</w:t>
      </w:r>
      <w:r w:rsidRPr="001B6D09" w:rsidR="00212F2C">
        <w:t xml:space="preserve"> result</w:t>
      </w:r>
      <w:r w:rsidRPr="001B6D09" w:rsidR="002047BD">
        <w:t>s</w:t>
      </w:r>
      <w:r w:rsidRPr="001B6D09" w:rsidR="00212F2C">
        <w:t xml:space="preserve"> in bodily injury;</w:t>
      </w:r>
    </w:p>
    <w:p w:rsidRPr="001B6D09" w:rsidR="00212F2C" w:rsidP="001B6D09" w:rsidRDefault="00670865" w14:paraId="112AEB86" w14:textId="77777777">
      <w:pPr>
        <w:pStyle w:val="JuQuotSub"/>
        <w:jc w:val="both"/>
      </w:pPr>
      <w:r w:rsidRPr="001B6D09">
        <w:t>-  </w:t>
      </w:r>
      <w:r w:rsidRPr="001B6D09" w:rsidR="00212F2C">
        <w:t>verbal ass</w:t>
      </w:r>
      <w:r w:rsidRPr="001B6D09" w:rsidR="00D17E33">
        <w:t>a</w:t>
      </w:r>
      <w:r w:rsidRPr="001B6D09" w:rsidR="00212F2C">
        <w:t xml:space="preserve">ults, </w:t>
      </w:r>
      <w:r w:rsidRPr="001B6D09" w:rsidR="00D17E33">
        <w:t>insults</w:t>
      </w:r>
      <w:r w:rsidRPr="001B6D09" w:rsidR="00212F2C">
        <w:t>, swearing, name</w:t>
      </w:r>
      <w:r w:rsidRPr="001B6D09" w:rsidR="002047BD">
        <w:t>-calling</w:t>
      </w:r>
      <w:r w:rsidRPr="001B6D09" w:rsidR="00212F2C">
        <w:t xml:space="preserve"> or other forms of </w:t>
      </w:r>
      <w:r w:rsidRPr="001B6D09" w:rsidR="002047BD">
        <w:t xml:space="preserve">serious </w:t>
      </w:r>
      <w:r w:rsidRPr="001B6D09" w:rsidR="00D17E33">
        <w:t>harassment</w:t>
      </w:r>
      <w:r w:rsidRPr="001B6D09" w:rsidR="00212F2C">
        <w:t>;</w:t>
      </w:r>
    </w:p>
    <w:p w:rsidRPr="001B6D09" w:rsidR="00212F2C" w:rsidP="001B6D09" w:rsidRDefault="00670865" w14:paraId="369A38D7" w14:textId="77777777">
      <w:pPr>
        <w:pStyle w:val="JuQuotSub"/>
        <w:jc w:val="both"/>
      </w:pPr>
      <w:r w:rsidRPr="001B6D09">
        <w:t>-  </w:t>
      </w:r>
      <w:r w:rsidRPr="001B6D09" w:rsidR="00172481">
        <w:t>sexual harassment;</w:t>
      </w:r>
    </w:p>
    <w:p w:rsidRPr="001B6D09" w:rsidR="00172481" w:rsidP="001B6D09" w:rsidRDefault="00670865" w14:paraId="55835CAE" w14:textId="77777777">
      <w:pPr>
        <w:pStyle w:val="JuQuotSub"/>
        <w:jc w:val="both"/>
      </w:pPr>
      <w:r w:rsidRPr="001B6D09">
        <w:t>-  </w:t>
      </w:r>
      <w:r w:rsidRPr="001B6D09" w:rsidR="00172481">
        <w:t>stalking and all other forms of harassment;</w:t>
      </w:r>
    </w:p>
    <w:p w:rsidRPr="001B6D09" w:rsidR="00172481" w:rsidP="001B6D09" w:rsidRDefault="00670865" w14:paraId="2B87717A" w14:textId="30B8A4D1">
      <w:pPr>
        <w:pStyle w:val="JuQuotSub"/>
        <w:jc w:val="both"/>
      </w:pPr>
      <w:r w:rsidRPr="001B6D09">
        <w:t>-  </w:t>
      </w:r>
      <w:r w:rsidRPr="001B6D09" w:rsidR="00172481">
        <w:t>unlawful</w:t>
      </w:r>
      <w:r w:rsidRPr="001B6D09" w:rsidR="002047BD">
        <w:t>ly</w:t>
      </w:r>
      <w:r w:rsidRPr="001B6D09" w:rsidR="00172481">
        <w:t xml:space="preserve"> isolati</w:t>
      </w:r>
      <w:r w:rsidRPr="001B6D09" w:rsidR="002047BD">
        <w:t>ng</w:t>
      </w:r>
      <w:r w:rsidRPr="001B6D09" w:rsidR="00172481">
        <w:t xml:space="preserve"> </w:t>
      </w:r>
      <w:r w:rsidRPr="001B6D09" w:rsidR="002047BD">
        <w:t xml:space="preserve">[a person] </w:t>
      </w:r>
      <w:r w:rsidRPr="001B6D09" w:rsidR="00172481">
        <w:t xml:space="preserve">or restricting </w:t>
      </w:r>
      <w:r w:rsidRPr="001B6D09" w:rsidR="002047BD">
        <w:t>a person</w:t>
      </w:r>
      <w:r w:rsidRPr="001B6D09" w:rsidR="001B6D09">
        <w:t>’</w:t>
      </w:r>
      <w:r w:rsidRPr="001B6D09" w:rsidR="002047BD">
        <w:t xml:space="preserve">s freedom </w:t>
      </w:r>
      <w:r w:rsidRPr="001B6D09" w:rsidR="00172481">
        <w:t>of movement or communication with third</w:t>
      </w:r>
      <w:r w:rsidRPr="001B6D09" w:rsidR="002047BD">
        <w:t xml:space="preserve"> parties</w:t>
      </w:r>
      <w:r w:rsidRPr="001B6D09" w:rsidR="00172481">
        <w:t>;</w:t>
      </w:r>
    </w:p>
    <w:p w:rsidRPr="001B6D09" w:rsidR="00172481" w:rsidP="001B6D09" w:rsidRDefault="00670865" w14:paraId="06192F3D" w14:textId="510973DC">
      <w:pPr>
        <w:pStyle w:val="JuQuotSub"/>
        <w:jc w:val="both"/>
      </w:pPr>
      <w:r w:rsidRPr="001B6D09">
        <w:t>-  </w:t>
      </w:r>
      <w:r w:rsidRPr="001B6D09" w:rsidR="002047BD">
        <w:t xml:space="preserve">damaging </w:t>
      </w:r>
      <w:r w:rsidRPr="001B6D09" w:rsidR="00172481">
        <w:t>or destr</w:t>
      </w:r>
      <w:r w:rsidRPr="001B6D09" w:rsidR="002047BD">
        <w:t>oying</w:t>
      </w:r>
      <w:r w:rsidRPr="001B6D09" w:rsidR="00172481">
        <w:t xml:space="preserve"> assets or attempt</w:t>
      </w:r>
      <w:r w:rsidRPr="001B6D09" w:rsidR="002047BD">
        <w:t>ing</w:t>
      </w:r>
      <w:r w:rsidRPr="001B6D09" w:rsidR="00172481">
        <w:t xml:space="preserve"> to do </w:t>
      </w:r>
      <w:r w:rsidRPr="001B6D09" w:rsidR="002047BD">
        <w:t>this</w:t>
      </w:r>
      <w:r w:rsidRPr="001B6D09" w:rsidR="00172481">
        <w:t>.”</w:t>
      </w:r>
    </w:p>
    <w:p w:rsidRPr="001B6D09" w:rsidR="00172481" w:rsidP="001B6D09" w:rsidRDefault="00172481" w14:paraId="0F35E971" w14:textId="77777777">
      <w:pPr>
        <w:pStyle w:val="JuHArticle"/>
      </w:pPr>
      <w:r w:rsidRPr="001B6D09">
        <w:t>Section 18</w:t>
      </w:r>
    </w:p>
    <w:p w:rsidRPr="001B6D09" w:rsidR="00172481" w:rsidP="001B6D09" w:rsidRDefault="004D56AB" w14:paraId="224942F5" w14:textId="77777777">
      <w:pPr>
        <w:pStyle w:val="JuQuot"/>
        <w:jc w:val="both"/>
      </w:pPr>
      <w:r w:rsidRPr="001B6D09">
        <w:t>“(1)  </w:t>
      </w:r>
      <w:r w:rsidRPr="001B6D09" w:rsidR="00172481">
        <w:t>A family member who commits [an act of] domestic violence under section 4 of this Act shall be fined between 1,000 and 10,000 Croatian kuna</w:t>
      </w:r>
      <w:r w:rsidRPr="001B6D09" w:rsidR="00D17E33">
        <w:t>s</w:t>
      </w:r>
      <w:r w:rsidRPr="001B6D09" w:rsidR="00172481">
        <w:t xml:space="preserve"> (HRK) </w:t>
      </w:r>
      <w:r w:rsidRPr="001B6D09" w:rsidR="002047BD">
        <w:t xml:space="preserve">for a minor offence </w:t>
      </w:r>
      <w:r w:rsidRPr="001B6D09" w:rsidR="00172481">
        <w:t xml:space="preserve">or </w:t>
      </w:r>
      <w:r w:rsidRPr="001B6D09" w:rsidR="00D17E33">
        <w:t xml:space="preserve">punished </w:t>
      </w:r>
      <w:r w:rsidRPr="001B6D09" w:rsidR="00172481">
        <w:t xml:space="preserve">by imprisonment </w:t>
      </w:r>
      <w:r w:rsidRPr="001B6D09" w:rsidR="002047BD">
        <w:t xml:space="preserve">for </w:t>
      </w:r>
      <w:r w:rsidRPr="001B6D09" w:rsidR="00172481">
        <w:t>up to 60 days.</w:t>
      </w:r>
    </w:p>
    <w:p w:rsidRPr="001B6D09" w:rsidR="00172481" w:rsidP="001B6D09" w:rsidRDefault="004D56AB" w14:paraId="6F9A7F9A" w14:textId="77777777">
      <w:pPr>
        <w:pStyle w:val="JuQuot"/>
        <w:jc w:val="both"/>
      </w:pPr>
      <w:r w:rsidRPr="001B6D09">
        <w:t>(2)  </w:t>
      </w:r>
      <w:r w:rsidRPr="001B6D09" w:rsidR="00172481">
        <w:t xml:space="preserve">A family member who repeats [an act of] domestic violence shall be fined at least HRK 5,000 </w:t>
      </w:r>
      <w:r w:rsidRPr="001B6D09" w:rsidR="002047BD">
        <w:t xml:space="preserve">for a minor offence </w:t>
      </w:r>
      <w:r w:rsidRPr="001B6D09" w:rsidR="00172481">
        <w:t xml:space="preserve">or </w:t>
      </w:r>
      <w:r w:rsidRPr="001B6D09" w:rsidR="00D17E33">
        <w:t xml:space="preserve">punished </w:t>
      </w:r>
      <w:r w:rsidRPr="001B6D09" w:rsidR="00172481">
        <w:t xml:space="preserve">by imprisonment </w:t>
      </w:r>
      <w:r w:rsidRPr="001B6D09" w:rsidR="002047BD">
        <w:t xml:space="preserve">for </w:t>
      </w:r>
      <w:r w:rsidRPr="001B6D09" w:rsidR="00172481">
        <w:t>at least 15 days.</w:t>
      </w:r>
    </w:p>
    <w:p w:rsidRPr="001B6D09" w:rsidR="00172481" w:rsidP="001B6D09" w:rsidRDefault="004D56AB" w14:paraId="151E258B" w14:textId="77777777">
      <w:pPr>
        <w:pStyle w:val="JuQuot"/>
        <w:jc w:val="both"/>
      </w:pPr>
      <w:r w:rsidRPr="001B6D09">
        <w:t>(3)  </w:t>
      </w:r>
      <w:r w:rsidRPr="001B6D09" w:rsidR="00172481">
        <w:t xml:space="preserve">An adult family member who commits [an act of] domestic violence in the presence of a child or a minor shall be fined at least HRK 6,000 </w:t>
      </w:r>
      <w:r w:rsidRPr="001B6D09" w:rsidR="00542225">
        <w:t xml:space="preserve">for a minor offence </w:t>
      </w:r>
      <w:r w:rsidRPr="001B6D09" w:rsidR="00172481">
        <w:t xml:space="preserve">or </w:t>
      </w:r>
      <w:r w:rsidRPr="001B6D09" w:rsidR="00D17E33">
        <w:t xml:space="preserve">punished </w:t>
      </w:r>
      <w:r w:rsidRPr="001B6D09" w:rsidR="00172481">
        <w:t xml:space="preserve">by imprisonment </w:t>
      </w:r>
      <w:r w:rsidRPr="001B6D09" w:rsidR="00542225">
        <w:t xml:space="preserve">for </w:t>
      </w:r>
      <w:r w:rsidRPr="001B6D09" w:rsidR="00172481">
        <w:t>at least 30 days.</w:t>
      </w:r>
    </w:p>
    <w:p w:rsidRPr="001B6D09" w:rsidR="00172481" w:rsidP="001B6D09" w:rsidRDefault="00670865" w14:paraId="4092FCDE" w14:textId="77777777">
      <w:pPr>
        <w:pStyle w:val="JuQuot"/>
        <w:jc w:val="both"/>
      </w:pPr>
      <w:r w:rsidRPr="001B6D09">
        <w:t>(4)  </w:t>
      </w:r>
      <w:r w:rsidRPr="001B6D09" w:rsidR="00172481">
        <w:t xml:space="preserve">An adult family member who repeats [an act of] domestic violence under </w:t>
      </w:r>
      <w:r w:rsidRPr="001B6D09" w:rsidR="00542225">
        <w:t xml:space="preserve">subsection </w:t>
      </w:r>
      <w:r w:rsidRPr="001B6D09" w:rsidR="00172481">
        <w:t xml:space="preserve">3 of this section shall be fined at least HRK 7,000 </w:t>
      </w:r>
      <w:r w:rsidRPr="001B6D09" w:rsidR="00542225">
        <w:t xml:space="preserve">for a minor offence </w:t>
      </w:r>
      <w:r w:rsidRPr="001B6D09" w:rsidR="00172481">
        <w:t xml:space="preserve">or </w:t>
      </w:r>
      <w:r w:rsidRPr="001B6D09" w:rsidR="00D17E33">
        <w:t xml:space="preserve">punished </w:t>
      </w:r>
      <w:r w:rsidRPr="001B6D09" w:rsidR="00172481">
        <w:t xml:space="preserve">by imprisonment </w:t>
      </w:r>
      <w:r w:rsidRPr="001B6D09" w:rsidR="00542225">
        <w:t xml:space="preserve">for </w:t>
      </w:r>
      <w:r w:rsidRPr="001B6D09" w:rsidR="00172481">
        <w:t>at least 40 days.</w:t>
      </w:r>
    </w:p>
    <w:p w:rsidRPr="001B6D09" w:rsidR="00172481" w:rsidP="001B6D09" w:rsidRDefault="00670865" w14:paraId="61FBB367" w14:textId="77777777">
      <w:pPr>
        <w:pStyle w:val="JuQuot"/>
        <w:jc w:val="both"/>
      </w:pPr>
      <w:r w:rsidRPr="001B6D09">
        <w:t>(5)  </w:t>
      </w:r>
      <w:r w:rsidRPr="001B6D09" w:rsidR="00172481">
        <w:t xml:space="preserve">When violence under </w:t>
      </w:r>
      <w:r w:rsidRPr="001B6D09" w:rsidR="00542225">
        <w:t xml:space="preserve">subsection </w:t>
      </w:r>
      <w:r w:rsidRPr="001B6D09" w:rsidR="00172481">
        <w:t xml:space="preserve">3 of this section is committed </w:t>
      </w:r>
      <w:r w:rsidRPr="001B6D09" w:rsidR="00542225">
        <w:t xml:space="preserve">to </w:t>
      </w:r>
      <w:r w:rsidRPr="001B6D09" w:rsidR="00172481">
        <w:t>the detriment of a child or a minor</w:t>
      </w:r>
      <w:r w:rsidRPr="001B6D09" w:rsidR="00542225">
        <w:t>,</w:t>
      </w:r>
      <w:r w:rsidRPr="001B6D09" w:rsidR="00172481">
        <w:t xml:space="preserve"> the perpetrator shall be fined at least HRK 7,000 </w:t>
      </w:r>
      <w:r w:rsidRPr="001B6D09" w:rsidR="00542225">
        <w:t xml:space="preserve">for a minor offence </w:t>
      </w:r>
      <w:r w:rsidRPr="001B6D09" w:rsidR="00172481">
        <w:t xml:space="preserve">or </w:t>
      </w:r>
      <w:r w:rsidRPr="001B6D09" w:rsidR="00D17E33">
        <w:t xml:space="preserve">punished </w:t>
      </w:r>
      <w:r w:rsidRPr="001B6D09" w:rsidR="00172481">
        <w:t>by imprisonment of at least 40 days.”</w:t>
      </w:r>
    </w:p>
    <w:bookmarkStart w:name="Supreme_Court_judgment" w:id="36"/>
    <w:p w:rsidRPr="001B6D09" w:rsidR="00453B11" w:rsidP="001B6D09" w:rsidRDefault="00453B11" w14:paraId="101E5FB2" w14:textId="263C8653">
      <w:pPr>
        <w:pStyle w:val="JuPara"/>
        <w:jc w:val="both"/>
        <w:rPr>
          <w:color w:val="000000"/>
        </w:rPr>
      </w:pPr>
      <w:r w:rsidRPr="001B6D09">
        <w:fldChar w:fldCharType="begin"/>
      </w:r>
      <w:r w:rsidRPr="001B6D09">
        <w:instrText xml:space="preserve"> SEQ level0 \*arabic </w:instrText>
      </w:r>
      <w:r w:rsidRPr="001B6D09">
        <w:fldChar w:fldCharType="separate"/>
      </w:r>
      <w:r w:rsidRPr="001B6D09" w:rsidR="001B6D09">
        <w:rPr>
          <w:noProof/>
        </w:rPr>
        <w:t>69</w:t>
      </w:r>
      <w:r w:rsidRPr="001B6D09">
        <w:fldChar w:fldCharType="end"/>
      </w:r>
      <w:bookmarkEnd w:id="36"/>
      <w:r w:rsidRPr="001B6D09">
        <w:t xml:space="preserve">.  In its judgment </w:t>
      </w:r>
      <w:r w:rsidRPr="001B6D09">
        <w:rPr>
          <w:color w:val="000000"/>
        </w:rPr>
        <w:t>III Kr 50/11-4 of 17 January 2013, the Supreme Court held as follows:</w:t>
      </w:r>
    </w:p>
    <w:p w:rsidRPr="001B6D09" w:rsidR="00453B11" w:rsidP="001B6D09" w:rsidRDefault="00453B11" w14:paraId="7849EB01" w14:textId="6BD65736">
      <w:pPr>
        <w:pStyle w:val="JuQuot"/>
        <w:jc w:val="both"/>
        <w:rPr>
          <w:sz w:val="27"/>
          <w:szCs w:val="27"/>
        </w:rPr>
      </w:pPr>
      <w:r w:rsidRPr="001B6D09">
        <w:t>“The convict</w:t>
      </w:r>
      <w:r w:rsidRPr="001B6D09" w:rsidR="00976EBA">
        <w:t>ed person</w:t>
      </w:r>
      <w:r w:rsidRPr="001B6D09">
        <w:t xml:space="preserve"> is incorrect in claiming that the conditions for instituting criminal proceedings against him had not been met because he had </w:t>
      </w:r>
      <w:r w:rsidRPr="001B6D09" w:rsidR="00976EBA">
        <w:t>previously</w:t>
      </w:r>
      <w:r w:rsidRPr="001B6D09">
        <w:t xml:space="preserve"> been convicted for the same event in minor-offence proceedings</w:t>
      </w:r>
      <w:r w:rsidRPr="001B6D09" w:rsidR="001B3726">
        <w:t>...</w:t>
      </w:r>
    </w:p>
    <w:p w:rsidRPr="001B6D09" w:rsidR="001B3726" w:rsidP="001B6D09" w:rsidRDefault="00453B11" w14:paraId="0E6439FB" w14:textId="77777777">
      <w:pPr>
        <w:pStyle w:val="JuQuot"/>
        <w:jc w:val="both"/>
      </w:pPr>
      <w:r w:rsidRPr="001B6D09">
        <w:t xml:space="preserve">Contrary to what is claimed by the </w:t>
      </w:r>
      <w:r w:rsidRPr="001B6D09" w:rsidR="00976EBA">
        <w:t>convicted person</w:t>
      </w:r>
      <w:r w:rsidRPr="001B6D09">
        <w:t xml:space="preserve">, it is necessary to stress that he was found guilty of a </w:t>
      </w:r>
      <w:r w:rsidRPr="001B6D09" w:rsidR="001C04AB">
        <w:t>continu</w:t>
      </w:r>
      <w:r w:rsidRPr="001B6D09" w:rsidR="00096D7B">
        <w:t>ous</w:t>
      </w:r>
      <w:r w:rsidRPr="001B6D09">
        <w:t xml:space="preserve"> criminal offence of violent behaviour in the family as defined in Article 215a of the Criminal Code, the acts of which had been performed a number of times in that he verbally attacked the victim, as well as physically in the period between 26 March 2002 and 25 September 2004, so that he would hit her with his hands all over her body and head, push her [so that] she fell over, and she was otherwise disabled and walking with crutches, and two times he hit her with a chair on her head and body.</w:t>
      </w:r>
    </w:p>
    <w:p w:rsidRPr="001B6D09" w:rsidR="001B3726" w:rsidP="001B6D09" w:rsidRDefault="00453B11" w14:paraId="462CD4E7" w14:textId="77777777">
      <w:pPr>
        <w:pStyle w:val="JuQuot"/>
        <w:jc w:val="both"/>
      </w:pPr>
      <w:r w:rsidRPr="001B6D09">
        <w:t xml:space="preserve">In connection with such incrimination, it is necessary to stress that violent behaviour of the </w:t>
      </w:r>
      <w:r w:rsidRPr="001B6D09" w:rsidR="00976EBA">
        <w:t xml:space="preserve">convicted person </w:t>
      </w:r>
      <w:r w:rsidRPr="001B6D09">
        <w:t>has been performed throughout the criminalizing period and even outside the three instances in relation to which medical documentation has been obtained.</w:t>
      </w:r>
    </w:p>
    <w:p w:rsidRPr="001B6D09" w:rsidR="00453B11" w:rsidP="001B6D09" w:rsidRDefault="001B3726" w14:paraId="2A0E9077" w14:textId="36110656">
      <w:pPr>
        <w:pStyle w:val="JuQuot"/>
        <w:jc w:val="both"/>
      </w:pPr>
      <w:r w:rsidRPr="001B6D09">
        <w:t>...</w:t>
      </w:r>
    </w:p>
    <w:p w:rsidRPr="001B6D09" w:rsidR="00453B11" w:rsidP="001B6D09" w:rsidRDefault="001B3726" w14:paraId="0BC8FABA" w14:textId="4F13F166">
      <w:pPr>
        <w:pStyle w:val="JuQuot"/>
        <w:jc w:val="both"/>
      </w:pPr>
      <w:r w:rsidRPr="001B6D09">
        <w:t>...</w:t>
      </w:r>
      <w:r w:rsidRPr="001B6D09" w:rsidR="00453B11">
        <w:t xml:space="preserve">in relation to the event which represents the very end of the </w:t>
      </w:r>
      <w:r w:rsidRPr="001B6D09" w:rsidR="001C04AB">
        <w:t>continu</w:t>
      </w:r>
      <w:r w:rsidRPr="001B6D09" w:rsidR="00096D7B">
        <w:t>ous</w:t>
      </w:r>
      <w:r w:rsidRPr="001B6D09" w:rsidR="00453B11">
        <w:t xml:space="preserve"> criminal offence and relates to 25 September 2004, medical documentation has been obtained and the </w:t>
      </w:r>
      <w:r w:rsidRPr="001B6D09" w:rsidR="00976EBA">
        <w:t xml:space="preserve">convicted person </w:t>
      </w:r>
      <w:r w:rsidRPr="001B6D09" w:rsidR="00453B11">
        <w:t xml:space="preserve">was found guilty of domestic violence in minor-offence </w:t>
      </w:r>
      <w:r w:rsidRPr="001B6D09" w:rsidR="00976EBA">
        <w:t>proceedings</w:t>
      </w:r>
      <w:r w:rsidRPr="001B6D09">
        <w:t>...</w:t>
      </w:r>
    </w:p>
    <w:p w:rsidRPr="001B6D09" w:rsidR="00453B11" w:rsidP="001B6D09" w:rsidRDefault="00453B11" w14:paraId="38476EB6" w14:textId="65302B2A">
      <w:pPr>
        <w:pStyle w:val="JuQuot"/>
        <w:jc w:val="both"/>
      </w:pPr>
      <w:r w:rsidRPr="001B6D09">
        <w:t>In the Supreme Court</w:t>
      </w:r>
      <w:r w:rsidRPr="001B6D09" w:rsidR="001B6D09">
        <w:t>’</w:t>
      </w:r>
      <w:r w:rsidRPr="001B6D09">
        <w:t xml:space="preserve">s opinion, the present case concerns a </w:t>
      </w:r>
      <w:r w:rsidRPr="001B6D09" w:rsidR="00D86A75">
        <w:t>continu</w:t>
      </w:r>
      <w:r w:rsidRPr="001B6D09" w:rsidR="00096D7B">
        <w:t>ous</w:t>
      </w:r>
      <w:r w:rsidRPr="001B6D09">
        <w:t xml:space="preserve"> criminal offence as defined in Article 215a of the Criminal Code, which consists of several instances of domestic violence to which the victim had been exposed almost on a daily basis, thereby putting her in a humiliating position; therefore the K. Minor Offence Court</w:t>
      </w:r>
      <w:r w:rsidRPr="001B6D09" w:rsidR="001B6D09">
        <w:t>’</w:t>
      </w:r>
      <w:r w:rsidRPr="001B6D09">
        <w:t xml:space="preserve">s judgment relating to the event of 25 September 2004 by no means represents a court decision on the same matter which the criminal courts were called upon to decide in regular criminal proceedings. This is because the minor offence proceedings established the </w:t>
      </w:r>
      <w:r w:rsidRPr="001B6D09" w:rsidR="00976EBA">
        <w:t>convicted person</w:t>
      </w:r>
      <w:r w:rsidRPr="001B6D09" w:rsidR="001B6D09">
        <w:t>’</w:t>
      </w:r>
      <w:r w:rsidRPr="001B6D09" w:rsidR="00976EBA">
        <w:t xml:space="preserve">s </w:t>
      </w:r>
      <w:r w:rsidRPr="001B6D09">
        <w:t xml:space="preserve">guilt only in relation to one single act of domestic violence committed only on 24 September 2004, whereas the remaining acts [of domestic violence] and the forms [thereof] </w:t>
      </w:r>
      <w:r w:rsidRPr="001B6D09" w:rsidR="001B3726">
        <w:t>...</w:t>
      </w:r>
      <w:r w:rsidRPr="001B6D09">
        <w:t xml:space="preserve"> are not even mentioned in the description of the minor offence, so already for that reasons this [case] cannot concern a </w:t>
      </w:r>
      <w:r w:rsidRPr="001B6D09">
        <w:rPr>
          <w:i/>
        </w:rPr>
        <w:t>res judicata</w:t>
      </w:r>
      <w:r w:rsidRPr="001B6D09">
        <w:t xml:space="preserve">, as wrongly argued by the </w:t>
      </w:r>
      <w:r w:rsidRPr="001B6D09" w:rsidR="00976EBA">
        <w:t>convicted person</w:t>
      </w:r>
      <w:r w:rsidRPr="001B6D09">
        <w:t>...”</w:t>
      </w:r>
    </w:p>
    <w:p w:rsidRPr="001B6D09" w:rsidR="009300AB" w:rsidP="001B6D09" w:rsidRDefault="009300AB" w14:paraId="3B1327AE" w14:textId="7E15A2FB">
      <w:pPr>
        <w:pStyle w:val="JuHIRoman"/>
      </w:pPr>
      <w:r w:rsidRPr="001B6D09">
        <w:t>EUROPEAN UNION LAW</w:t>
      </w:r>
    </w:p>
    <w:bookmarkStart w:name="CJEU" w:id="37"/>
    <w:p w:rsidRPr="001B6D09" w:rsidR="001B3726" w:rsidP="001B6D09" w:rsidRDefault="00F628E4" w14:paraId="64E831B9" w14:textId="68901DC7">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70</w:t>
      </w:r>
      <w:r w:rsidRPr="001B6D09">
        <w:fldChar w:fldCharType="end"/>
      </w:r>
      <w:bookmarkEnd w:id="37"/>
      <w:r w:rsidRPr="001B6D09">
        <w:t>.  </w:t>
      </w:r>
      <w:r w:rsidRPr="001B6D09" w:rsidR="00977071">
        <w:t xml:space="preserve">The relevant case-law of the Court of Justice of the European Union (CJEU) has been cited in </w:t>
      </w:r>
      <w:r w:rsidRPr="001B6D09" w:rsidR="00977071">
        <w:rPr>
          <w:i/>
          <w:iCs/>
        </w:rPr>
        <w:t>Bajčić v. Croatia</w:t>
      </w:r>
      <w:r w:rsidRPr="001B6D09" w:rsidR="00977071">
        <w:t>, no. 67334/13, § 15, 8 October 2020. See also CJEU judgment in Joined cases C</w:t>
      </w:r>
      <w:r w:rsidRPr="001B6D09" w:rsidR="00977071">
        <w:noBreakHyphen/>
        <w:t xml:space="preserve">596/16 </w:t>
      </w:r>
      <w:r w:rsidRPr="001B6D09" w:rsidR="00977071">
        <w:rPr>
          <w:i/>
          <w:iCs/>
        </w:rPr>
        <w:t>Enzo di Puma</w:t>
      </w:r>
      <w:r w:rsidRPr="001B6D09" w:rsidR="00977071">
        <w:t xml:space="preserve"> and</w:t>
      </w:r>
      <w:r w:rsidRPr="001B6D09" w:rsidR="00B809F5">
        <w:t> </w:t>
      </w:r>
      <w:r w:rsidRPr="001B6D09" w:rsidR="00977071">
        <w:t>C</w:t>
      </w:r>
      <w:r w:rsidRPr="001B6D09" w:rsidR="00977071">
        <w:noBreakHyphen/>
        <w:t xml:space="preserve">597/16 </w:t>
      </w:r>
      <w:r w:rsidRPr="001B6D09" w:rsidR="00977071">
        <w:rPr>
          <w:i/>
          <w:iCs/>
        </w:rPr>
        <w:t>Anotnio Zecca</w:t>
      </w:r>
      <w:r w:rsidRPr="001B6D09" w:rsidR="00977071">
        <w:t xml:space="preserve"> adopted on 20 March 2018.</w:t>
      </w:r>
    </w:p>
    <w:p w:rsidRPr="001B6D09" w:rsidR="009300AB" w:rsidP="001B6D09" w:rsidRDefault="009300AB" w14:paraId="16167CF6" w14:textId="4D949CC0">
      <w:pPr>
        <w:pStyle w:val="JuHIRoman"/>
      </w:pPr>
      <w:r w:rsidRPr="001B6D09">
        <w:t>INTERNATIONAL LAW</w:t>
      </w:r>
    </w:p>
    <w:bookmarkStart w:name="istanbul_convention" w:id="38"/>
    <w:p w:rsidRPr="001B6D09" w:rsidR="00161F1C" w:rsidP="001B6D09" w:rsidRDefault="00161F1C" w14:paraId="2EFE11A9" w14:textId="39BDAF80">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71</w:t>
      </w:r>
      <w:r w:rsidRPr="001B6D09">
        <w:fldChar w:fldCharType="end"/>
      </w:r>
      <w:bookmarkEnd w:id="38"/>
      <w:r w:rsidRPr="001B6D09">
        <w:t>.  </w:t>
      </w:r>
      <w:r w:rsidRPr="001B6D09" w:rsidR="009300AB">
        <w:t>The Council of Europe Convention on Preventing and Combating Violence against Women and Domestic Violence (“Istanbul Convention”), which came into force in respect of Croatia on 1 October 2018, insofar as relevant, provides as follows:</w:t>
      </w:r>
    </w:p>
    <w:p w:rsidRPr="001B6D09" w:rsidR="007C35B5" w:rsidP="001B6D09" w:rsidRDefault="007C35B5" w14:paraId="29F6D17F" w14:textId="77777777">
      <w:pPr>
        <w:pStyle w:val="JuHArticle"/>
      </w:pPr>
      <w:r w:rsidRPr="001B6D09">
        <w:t xml:space="preserve">Article 18 </w:t>
      </w:r>
      <w:r w:rsidRPr="001B6D09">
        <w:rPr>
          <w:rFonts w:cstheme="minorHAnsi"/>
        </w:rPr>
        <w:t>§</w:t>
      </w:r>
      <w:r w:rsidRPr="001B6D09">
        <w:t xml:space="preserve"> 1</w:t>
      </w:r>
    </w:p>
    <w:p w:rsidRPr="001B6D09" w:rsidR="007C35B5" w:rsidP="001B6D09" w:rsidRDefault="007C35B5" w14:paraId="7CCFC2D5" w14:textId="77777777">
      <w:pPr>
        <w:pStyle w:val="JuQuot"/>
        <w:jc w:val="both"/>
      </w:pPr>
      <w:r w:rsidRPr="001B6D09">
        <w:t>“Parties shall take the necessary legislative or other measures to protect all victims from any further acts of violence.”</w:t>
      </w:r>
    </w:p>
    <w:p w:rsidRPr="001B6D09" w:rsidR="007C35B5" w:rsidP="001B6D09" w:rsidRDefault="007C35B5" w14:paraId="2E560B44" w14:textId="0981EA97">
      <w:pPr>
        <w:pStyle w:val="JuHArticle"/>
      </w:pPr>
      <w:r w:rsidRPr="001B6D09">
        <w:t xml:space="preserve">Article 45 </w:t>
      </w:r>
      <w:r w:rsidRPr="001B6D09">
        <w:rPr>
          <w:rFonts w:cstheme="minorHAnsi"/>
        </w:rPr>
        <w:t>§</w:t>
      </w:r>
      <w:r w:rsidRPr="001B6D09">
        <w:t xml:space="preserve"> 1</w:t>
      </w:r>
    </w:p>
    <w:p w:rsidRPr="001B6D09" w:rsidR="007C35B5" w:rsidP="001B6D09" w:rsidRDefault="007C35B5" w14:paraId="5E308B8D" w14:textId="5D033134">
      <w:pPr>
        <w:pStyle w:val="JuQuot"/>
        <w:jc w:val="both"/>
      </w:pPr>
      <w:r w:rsidRPr="001B6D09">
        <w:t>“Parties shall take the necessary legislative or other measures to ensure that the offences established in accordance with this Convention are punishable by effective, proportionate and dissuasive sanctions, taking into account their seriousness.”</w:t>
      </w:r>
    </w:p>
    <w:p w:rsidRPr="001B6D09" w:rsidR="00D420F3" w:rsidP="001B6D09" w:rsidRDefault="0077175D" w14:paraId="276F1E5A" w14:textId="77777777">
      <w:pPr>
        <w:pStyle w:val="JuHHead"/>
      </w:pPr>
      <w:r w:rsidRPr="001B6D09">
        <w:t>THE LAW</w:t>
      </w:r>
    </w:p>
    <w:p w:rsidRPr="001B6D09" w:rsidR="00D420F3" w:rsidP="001B6D09" w:rsidRDefault="0077175D" w14:paraId="6CEC1B30" w14:textId="469456EF">
      <w:pPr>
        <w:pStyle w:val="JuHIRoman"/>
      </w:pPr>
      <w:r w:rsidRPr="001B6D09">
        <w:t>ALLEGED VIOLATION</w:t>
      </w:r>
      <w:r w:rsidRPr="001B6D09" w:rsidR="00FB1020">
        <w:t>S</w:t>
      </w:r>
      <w:r w:rsidRPr="001B6D09">
        <w:t xml:space="preserve"> OF ARTICLE </w:t>
      </w:r>
      <w:r w:rsidRPr="001B6D09" w:rsidR="008C21CB">
        <w:t xml:space="preserve">6 </w:t>
      </w:r>
      <w:r w:rsidRPr="001B6D09" w:rsidR="008C21CB">
        <w:rPr>
          <w:rFonts w:cstheme="majorHAnsi"/>
        </w:rPr>
        <w:t>§§</w:t>
      </w:r>
      <w:r w:rsidRPr="001B6D09" w:rsidR="008C21CB">
        <w:t xml:space="preserve"> 1 </w:t>
      </w:r>
      <w:r w:rsidRPr="001B6D09" w:rsidR="004D56AB">
        <w:t>AND</w:t>
      </w:r>
      <w:r w:rsidRPr="001B6D09" w:rsidR="008C21CB">
        <w:t xml:space="preserve"> 3</w:t>
      </w:r>
      <w:r w:rsidRPr="001B6D09" w:rsidR="00670865">
        <w:t xml:space="preserve"> </w:t>
      </w:r>
      <w:r w:rsidRPr="001B6D09" w:rsidR="008C21CB">
        <w:t>(</w:t>
      </w:r>
      <w:r w:rsidRPr="001B6D09" w:rsidR="00682280">
        <w:t>B</w:t>
      </w:r>
      <w:r w:rsidRPr="001B6D09" w:rsidR="008C21CB">
        <w:t>) AND (</w:t>
      </w:r>
      <w:r w:rsidRPr="001B6D09" w:rsidR="00682280">
        <w:t>C</w:t>
      </w:r>
      <w:r w:rsidRPr="001B6D09" w:rsidR="008C21CB">
        <w:t>)</w:t>
      </w:r>
      <w:r w:rsidRPr="001B6D09">
        <w:t xml:space="preserve"> OF THE CONVENTION</w:t>
      </w:r>
    </w:p>
    <w:p w:rsidRPr="001B6D09" w:rsidR="00D420F3" w:rsidP="001B6D09" w:rsidRDefault="00136BFB" w14:paraId="38DBFEFE" w14:textId="7F01F85A">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72</w:t>
      </w:r>
      <w:r w:rsidRPr="001B6D09">
        <w:fldChar w:fldCharType="end"/>
      </w:r>
      <w:r w:rsidRPr="001B6D09">
        <w:t>.  </w:t>
      </w:r>
      <w:r w:rsidRPr="001B6D09" w:rsidR="0077175D">
        <w:t xml:space="preserve">The applicant complained that </w:t>
      </w:r>
      <w:r w:rsidRPr="001B6D09" w:rsidR="008C21CB">
        <w:t xml:space="preserve">in the proceedings before the County Court </w:t>
      </w:r>
      <w:r w:rsidRPr="001B6D09" w:rsidR="008C21CB">
        <w:rPr>
          <w:rFonts w:ascii="Times New Roman" w:hAnsi="Times New Roman" w:eastAsia="PMingLiU" w:cs="Times New Roman"/>
        </w:rPr>
        <w:t>he had not had adequate time for the preparation of his defence</w:t>
      </w:r>
      <w:r w:rsidRPr="001B6D09" w:rsidR="00542225">
        <w:rPr>
          <w:rFonts w:ascii="Times New Roman" w:hAnsi="Times New Roman" w:eastAsia="PMingLiU" w:cs="Times New Roman"/>
        </w:rPr>
        <w:t>,</w:t>
      </w:r>
      <w:r w:rsidRPr="001B6D09" w:rsidR="008C21CB">
        <w:rPr>
          <w:rFonts w:ascii="Times New Roman" w:hAnsi="Times New Roman" w:eastAsia="PMingLiU" w:cs="Times New Roman"/>
        </w:rPr>
        <w:t xml:space="preserve"> and could not defend himself either in person or </w:t>
      </w:r>
      <w:r w:rsidRPr="001B6D09" w:rsidR="00542225">
        <w:rPr>
          <w:rFonts w:ascii="Times New Roman" w:hAnsi="Times New Roman" w:eastAsia="PMingLiU" w:cs="Times New Roman"/>
        </w:rPr>
        <w:t xml:space="preserve">with </w:t>
      </w:r>
      <w:r w:rsidRPr="001B6D09" w:rsidR="008C21CB">
        <w:rPr>
          <w:rFonts w:ascii="Times New Roman" w:hAnsi="Times New Roman" w:eastAsia="PMingLiU" w:cs="Times New Roman"/>
        </w:rPr>
        <w:t xml:space="preserve">the assistance of a lawyer because he had been informed of </w:t>
      </w:r>
      <w:r w:rsidRPr="001B6D09" w:rsidR="00542225">
        <w:rPr>
          <w:rFonts w:ascii="Times New Roman" w:hAnsi="Times New Roman" w:eastAsia="PMingLiU" w:cs="Times New Roman"/>
        </w:rPr>
        <w:t xml:space="preserve">the </w:t>
      </w:r>
      <w:r w:rsidRPr="001B6D09" w:rsidR="008C21CB">
        <w:rPr>
          <w:rFonts w:ascii="Times New Roman" w:hAnsi="Times New Roman" w:eastAsia="PMingLiU" w:cs="Times New Roman"/>
        </w:rPr>
        <w:t xml:space="preserve">session of </w:t>
      </w:r>
      <w:r w:rsidRPr="001B6D09" w:rsidR="004D56AB">
        <w:t>16 </w:t>
      </w:r>
      <w:r w:rsidRPr="001B6D09" w:rsidR="008C21CB">
        <w:t xml:space="preserve">February 2010 only four days in advance. </w:t>
      </w:r>
      <w:r w:rsidRPr="001B6D09" w:rsidR="00240BC5">
        <w:t>Also, he ha</w:t>
      </w:r>
      <w:r w:rsidRPr="001B6D09" w:rsidR="00A255AF">
        <w:t>d not</w:t>
      </w:r>
      <w:r w:rsidRPr="001B6D09" w:rsidR="00240BC5">
        <w:t xml:space="preserve"> been </w:t>
      </w:r>
      <w:r w:rsidRPr="001B6D09" w:rsidR="00A255AF">
        <w:t>given an opportunity to attend that session.</w:t>
      </w:r>
      <w:r w:rsidRPr="001B6D09" w:rsidR="00240BC5">
        <w:t xml:space="preserve"> </w:t>
      </w:r>
      <w:r w:rsidRPr="001B6D09" w:rsidR="008C21CB">
        <w:t>He relied on</w:t>
      </w:r>
      <w:r w:rsidRPr="001B6D09" w:rsidR="0077175D">
        <w:t xml:space="preserve"> Article </w:t>
      </w:r>
      <w:r w:rsidRPr="001B6D09" w:rsidR="008C21CB">
        <w:t xml:space="preserve">6 </w:t>
      </w:r>
      <w:r w:rsidRPr="001B6D09" w:rsidR="008C21CB">
        <w:rPr>
          <w:rFonts w:cstheme="majorHAnsi"/>
        </w:rPr>
        <w:t>§§</w:t>
      </w:r>
      <w:r w:rsidRPr="001B6D09" w:rsidR="008C21CB">
        <w:t xml:space="preserve"> 1 and 3</w:t>
      </w:r>
      <w:r w:rsidRPr="001B6D09" w:rsidR="00670865">
        <w:t xml:space="preserve"> </w:t>
      </w:r>
      <w:r w:rsidRPr="001B6D09" w:rsidR="008C21CB">
        <w:t>(b) and (c)</w:t>
      </w:r>
      <w:r w:rsidRPr="001B6D09" w:rsidR="0077175D">
        <w:t xml:space="preserve"> of the Convention, </w:t>
      </w:r>
      <w:r w:rsidRPr="001B6D09" w:rsidR="008C21CB">
        <w:t xml:space="preserve">the relevant part of </w:t>
      </w:r>
      <w:r w:rsidRPr="001B6D09" w:rsidR="0077175D">
        <w:t>which reads as follows:</w:t>
      </w:r>
    </w:p>
    <w:p w:rsidRPr="001B6D09" w:rsidR="008C21CB" w:rsidP="001B6D09" w:rsidRDefault="008C21CB" w14:paraId="6AD2282B" w14:textId="77777777">
      <w:pPr>
        <w:pStyle w:val="JuQuot"/>
        <w:jc w:val="both"/>
      </w:pPr>
      <w:r w:rsidRPr="001B6D09">
        <w:t>“1.  In the determination of ... any criminal charge against him, everyone is entitled to a fair ... hearing ... by [a] ... tribunal ...</w:t>
      </w:r>
    </w:p>
    <w:p w:rsidRPr="001B6D09" w:rsidR="008C21CB" w:rsidP="001B6D09" w:rsidRDefault="008C21CB" w14:paraId="1B5BE7EB" w14:textId="77777777">
      <w:pPr>
        <w:pStyle w:val="JuQuot"/>
        <w:jc w:val="both"/>
      </w:pPr>
      <w:r w:rsidRPr="001B6D09">
        <w:t>3.  Everyone charged with a criminal offence has the following minimum rights:</w:t>
      </w:r>
    </w:p>
    <w:p w:rsidRPr="001B6D09" w:rsidR="008C21CB" w:rsidP="001B6D09" w:rsidRDefault="008C21CB" w14:paraId="2FDCE43C" w14:textId="77777777">
      <w:pPr>
        <w:pStyle w:val="JuQuot"/>
        <w:jc w:val="both"/>
      </w:pPr>
      <w:r w:rsidRPr="001B6D09">
        <w:t>...</w:t>
      </w:r>
    </w:p>
    <w:p w:rsidRPr="001B6D09" w:rsidR="001D7575" w:rsidP="001B6D09" w:rsidRDefault="001D7575" w14:paraId="482C9EAC" w14:textId="77777777">
      <w:pPr>
        <w:pStyle w:val="JuQuot"/>
        <w:jc w:val="both"/>
      </w:pPr>
      <w:r w:rsidRPr="001B6D09">
        <w:t>(b)  to have adequate time and facilities for the preparation of his defence;</w:t>
      </w:r>
    </w:p>
    <w:p w:rsidRPr="001B6D09" w:rsidR="008C21CB" w:rsidP="001B6D09" w:rsidRDefault="008C21CB" w14:paraId="72D01442" w14:textId="77777777">
      <w:pPr>
        <w:pStyle w:val="JuQuot"/>
        <w:jc w:val="both"/>
      </w:pPr>
      <w:r w:rsidRPr="001B6D09">
        <w:t>(c)  to defend himself in person or through legal assistance of his own choosing or, if he has not sufficient means to pay for legal assistance, to be given it free when the interests of justice so require;</w:t>
      </w:r>
    </w:p>
    <w:p w:rsidRPr="001B6D09" w:rsidR="008C21CB" w:rsidP="001B6D09" w:rsidRDefault="008C21CB" w14:paraId="33A617C5" w14:textId="77777777">
      <w:pPr>
        <w:pStyle w:val="JuQuot"/>
        <w:jc w:val="both"/>
      </w:pPr>
      <w:r w:rsidRPr="001B6D09">
        <w:t>...”</w:t>
      </w:r>
    </w:p>
    <w:p w:rsidRPr="001B6D09" w:rsidR="00D420F3" w:rsidP="001B6D09" w:rsidRDefault="0077175D" w14:paraId="05EABAB6" w14:textId="4E7E9974">
      <w:pPr>
        <w:pStyle w:val="JuHA"/>
      </w:pPr>
      <w:r w:rsidRPr="001B6D09">
        <w:t>Admissibility</w:t>
      </w:r>
    </w:p>
    <w:p w:rsidRPr="001B6D09" w:rsidR="00D420F3" w:rsidP="001B6D09" w:rsidRDefault="006374CD" w14:paraId="190978F0" w14:textId="4671ED24">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73</w:t>
      </w:r>
      <w:r w:rsidRPr="001B6D09">
        <w:fldChar w:fldCharType="end"/>
      </w:r>
      <w:r w:rsidRPr="001B6D09" w:rsidR="0077175D">
        <w:t>.  The Court notes that th</w:t>
      </w:r>
      <w:r w:rsidRPr="001B6D09" w:rsidR="001221E7">
        <w:t>is part of th</w:t>
      </w:r>
      <w:r w:rsidRPr="001B6D09" w:rsidR="0077175D">
        <w:t>e ap</w:t>
      </w:r>
      <w:r w:rsidRPr="001B6D09" w:rsidR="004D56AB">
        <w:t>plication is not manifestly ill</w:t>
      </w:r>
      <w:r w:rsidRPr="001B6D09" w:rsidR="004D56AB">
        <w:noBreakHyphen/>
      </w:r>
      <w:r w:rsidRPr="001B6D09" w:rsidR="0077175D">
        <w:t>founded within the meaning of Article 35 § 3 (a) of the Convention</w:t>
      </w:r>
      <w:r w:rsidRPr="001B6D09" w:rsidR="007C35B5">
        <w:t xml:space="preserve"> or</w:t>
      </w:r>
      <w:r w:rsidRPr="001B6D09" w:rsidR="0077175D">
        <w:t xml:space="preserve"> inadmissible on any other grounds. It must therefore be declared admissible.</w:t>
      </w:r>
    </w:p>
    <w:p w:rsidRPr="001B6D09" w:rsidR="00D420F3" w:rsidP="001B6D09" w:rsidRDefault="0077175D" w14:paraId="1B715818" w14:textId="2BA08D05">
      <w:pPr>
        <w:pStyle w:val="JuHA"/>
      </w:pPr>
      <w:r w:rsidRPr="001B6D09">
        <w:t>Merits</w:t>
      </w:r>
    </w:p>
    <w:p w:rsidRPr="001B6D09" w:rsidR="00B60368" w:rsidP="001B6D09" w:rsidRDefault="00B60368" w14:paraId="664D6071" w14:textId="68FFBA14">
      <w:pPr>
        <w:pStyle w:val="JuH1"/>
      </w:pPr>
      <w:r w:rsidRPr="001B6D09">
        <w:t xml:space="preserve">Article 6 </w:t>
      </w:r>
      <w:r w:rsidRPr="001B6D09">
        <w:rPr>
          <w:rFonts w:cstheme="minorHAnsi"/>
        </w:rPr>
        <w:t>§</w:t>
      </w:r>
      <w:r w:rsidRPr="001B6D09">
        <w:t xml:space="preserve"> 3(b)</w:t>
      </w:r>
      <w:r w:rsidRPr="001B6D09" w:rsidR="007A53A3">
        <w:t xml:space="preserve"> </w:t>
      </w:r>
      <w:r w:rsidRPr="001B6D09" w:rsidR="00577F9D">
        <w:t>and (c)</w:t>
      </w:r>
      <w:r w:rsidRPr="001B6D09">
        <w:t xml:space="preserve"> – </w:t>
      </w:r>
      <w:r w:rsidRPr="001B6D09" w:rsidR="00C46F4C">
        <w:t xml:space="preserve">legal representation in the appeal proceedings and </w:t>
      </w:r>
      <w:r w:rsidRPr="001B6D09">
        <w:t xml:space="preserve">adequate time and facilities </w:t>
      </w:r>
      <w:r w:rsidRPr="001B6D09" w:rsidR="00542225">
        <w:t xml:space="preserve">to </w:t>
      </w:r>
      <w:r w:rsidRPr="001B6D09">
        <w:t>prepar</w:t>
      </w:r>
      <w:r w:rsidRPr="001B6D09" w:rsidR="00542225">
        <w:t>e</w:t>
      </w:r>
      <w:r w:rsidRPr="001B6D09">
        <w:t xml:space="preserve"> </w:t>
      </w:r>
      <w:r w:rsidRPr="001B6D09" w:rsidR="00C46F4C">
        <w:t xml:space="preserve">a </w:t>
      </w:r>
      <w:r w:rsidRPr="001B6D09">
        <w:t>defence</w:t>
      </w:r>
    </w:p>
    <w:p w:rsidRPr="001B6D09" w:rsidR="00986B7A" w:rsidP="001B6D09" w:rsidRDefault="00986B7A" w14:paraId="4179B315" w14:textId="6546A8E0">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74</w:t>
      </w:r>
      <w:r w:rsidRPr="001B6D09">
        <w:fldChar w:fldCharType="end"/>
      </w:r>
      <w:r w:rsidRPr="001B6D09">
        <w:t>.  The Court considers that the applican</w:t>
      </w:r>
      <w:r w:rsidRPr="001B6D09" w:rsidR="004D56AB">
        <w:t>t</w:t>
      </w:r>
      <w:r w:rsidRPr="001B6D09" w:rsidR="001B6D09">
        <w:t>’</w:t>
      </w:r>
      <w:r w:rsidRPr="001B6D09" w:rsidR="004D56AB">
        <w:t>s complaint under Article 6 § </w:t>
      </w:r>
      <w:r w:rsidRPr="001B6D09">
        <w:t xml:space="preserve">3 (b) of the Convention is closely related to his complaint </w:t>
      </w:r>
      <w:r w:rsidRPr="001B6D09" w:rsidR="00542225">
        <w:t xml:space="preserve">concerning </w:t>
      </w:r>
      <w:r w:rsidRPr="001B6D09">
        <w:t>his right to be represented by a lawyer at the appeal stage of proceedings</w:t>
      </w:r>
      <w:r w:rsidRPr="001B6D09" w:rsidR="000929EF">
        <w:t>. Consequently, the issues of whether</w:t>
      </w:r>
      <w:r w:rsidRPr="001B6D09">
        <w:t xml:space="preserve"> </w:t>
      </w:r>
      <w:r w:rsidRPr="001B6D09" w:rsidR="00F00618">
        <w:t xml:space="preserve">his </w:t>
      </w:r>
      <w:r w:rsidRPr="001B6D09">
        <w:t xml:space="preserve">right to adequate time and facilities to prepare his defence </w:t>
      </w:r>
      <w:r w:rsidRPr="001B6D09" w:rsidR="00517BAD">
        <w:t>and</w:t>
      </w:r>
      <w:r w:rsidRPr="001B6D09">
        <w:t xml:space="preserve"> his right to be represented by a lawyer</w:t>
      </w:r>
      <w:r w:rsidRPr="001B6D09" w:rsidR="00517BAD">
        <w:t xml:space="preserve"> </w:t>
      </w:r>
      <w:r w:rsidRPr="001B6D09" w:rsidR="000929EF">
        <w:t xml:space="preserve">were respected </w:t>
      </w:r>
      <w:r w:rsidRPr="001B6D09" w:rsidR="00517BAD">
        <w:t xml:space="preserve">need to be </w:t>
      </w:r>
      <w:r w:rsidRPr="001B6D09" w:rsidR="000929EF">
        <w:t>examined</w:t>
      </w:r>
      <w:r w:rsidRPr="001B6D09" w:rsidR="00517BAD">
        <w:t xml:space="preserve"> together</w:t>
      </w:r>
      <w:r w:rsidRPr="001B6D09">
        <w:t>.</w:t>
      </w:r>
    </w:p>
    <w:p w:rsidRPr="001B6D09" w:rsidR="00240BC5" w:rsidP="001B6D09" w:rsidRDefault="00240BC5" w14:paraId="74D7F2E9" w14:textId="66C8A5F8">
      <w:pPr>
        <w:pStyle w:val="JuHa0"/>
      </w:pPr>
      <w:r w:rsidRPr="001B6D09">
        <w:t>The parties</w:t>
      </w:r>
      <w:r w:rsidRPr="001B6D09" w:rsidR="001B6D09">
        <w:t>’</w:t>
      </w:r>
      <w:r w:rsidRPr="001B6D09">
        <w:t xml:space="preserve"> arguments</w:t>
      </w:r>
    </w:p>
    <w:p w:rsidRPr="001B6D09" w:rsidR="00240BC5" w:rsidP="001B6D09" w:rsidRDefault="005A5D2F" w14:paraId="1B8EBD06" w14:textId="25F3359D">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75</w:t>
      </w:r>
      <w:r w:rsidRPr="001B6D09">
        <w:fldChar w:fldCharType="end"/>
      </w:r>
      <w:r w:rsidRPr="001B6D09">
        <w:t>.  </w:t>
      </w:r>
      <w:r w:rsidRPr="001B6D09" w:rsidR="00240BC5">
        <w:t>The applicant</w:t>
      </w:r>
      <w:r w:rsidRPr="001B6D09" w:rsidR="00577F9D">
        <w:t xml:space="preserve"> argued that</w:t>
      </w:r>
      <w:r w:rsidRPr="001B6D09" w:rsidR="007C35B5">
        <w:t>,</w:t>
      </w:r>
      <w:r w:rsidRPr="001B6D09" w:rsidR="00577F9D">
        <w:t xml:space="preserve"> owing to </w:t>
      </w:r>
      <w:r w:rsidRPr="001B6D09" w:rsidR="00F00618">
        <w:t xml:space="preserve">the </w:t>
      </w:r>
      <w:r w:rsidRPr="001B6D09" w:rsidR="001F5B8A">
        <w:t>brevity of the</w:t>
      </w:r>
      <w:r w:rsidRPr="001B6D09" w:rsidR="00577F9D">
        <w:t xml:space="preserve"> period between </w:t>
      </w:r>
      <w:r w:rsidRPr="001B6D09" w:rsidR="00955967">
        <w:t xml:space="preserve">his being </w:t>
      </w:r>
      <w:r w:rsidRPr="001B6D09" w:rsidR="00577F9D">
        <w:t>informed of the appeal session and that session</w:t>
      </w:r>
      <w:r w:rsidRPr="001B6D09" w:rsidR="00955967">
        <w:t xml:space="preserve"> actually taking place</w:t>
      </w:r>
      <w:r w:rsidRPr="001B6D09" w:rsidR="00F00618">
        <w:t>,</w:t>
      </w:r>
      <w:r w:rsidRPr="001B6D09" w:rsidR="00577F9D">
        <w:t xml:space="preserve"> he had not been able to hire a lawyer and adequately prepare his defence.</w:t>
      </w:r>
    </w:p>
    <w:p w:rsidRPr="001B6D09" w:rsidR="001B3726" w:rsidP="001B6D09" w:rsidRDefault="005A5D2F" w14:paraId="38BCA89F" w14:textId="0461B9DB">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76</w:t>
      </w:r>
      <w:r w:rsidRPr="001B6D09">
        <w:fldChar w:fldCharType="end"/>
      </w:r>
      <w:r w:rsidRPr="001B6D09">
        <w:t>.  </w:t>
      </w:r>
      <w:r w:rsidRPr="001B6D09" w:rsidR="00240BC5">
        <w:t>The Government</w:t>
      </w:r>
      <w:r w:rsidRPr="001B6D09" w:rsidR="00577F9D">
        <w:t xml:space="preserve"> maintained that </w:t>
      </w:r>
      <w:r w:rsidRPr="001B6D09" w:rsidR="00D80EC9">
        <w:t xml:space="preserve">the applicant had </w:t>
      </w:r>
      <w:r w:rsidRPr="001B6D09" w:rsidR="00F00618">
        <w:t xml:space="preserve">had </w:t>
      </w:r>
      <w:r w:rsidRPr="001B6D09" w:rsidR="00D80EC9">
        <w:t xml:space="preserve">sufficient time and facilities to </w:t>
      </w:r>
      <w:r w:rsidRPr="001B6D09" w:rsidR="004C5756">
        <w:t>prepare</w:t>
      </w:r>
      <w:r w:rsidRPr="001B6D09" w:rsidR="00D80EC9">
        <w:t xml:space="preserve"> his defence in the appeal proceedings</w:t>
      </w:r>
      <w:r w:rsidRPr="001B6D09" w:rsidR="00F00618">
        <w:t>,</w:t>
      </w:r>
      <w:r w:rsidRPr="001B6D09" w:rsidR="00D80EC9">
        <w:t xml:space="preserve"> since his chosen lawyer</w:t>
      </w:r>
      <w:r w:rsidRPr="001B6D09" w:rsidR="004C5756">
        <w:t>, E.H.</w:t>
      </w:r>
      <w:r w:rsidRPr="001B6D09" w:rsidR="00D80EC9">
        <w:t>,</w:t>
      </w:r>
      <w:r w:rsidRPr="001B6D09" w:rsidR="004C5756">
        <w:t xml:space="preserve"> </w:t>
      </w:r>
      <w:r w:rsidRPr="001B6D09" w:rsidR="00D80EC9">
        <w:t>had rec</w:t>
      </w:r>
      <w:r w:rsidRPr="001B6D09" w:rsidR="004C5756">
        <w:t>eived the firs</w:t>
      </w:r>
      <w:r w:rsidRPr="001B6D09" w:rsidR="00D80EC9">
        <w:t>t</w:t>
      </w:r>
      <w:r w:rsidRPr="001B6D09" w:rsidR="004C5756">
        <w:t xml:space="preserve">-instance </w:t>
      </w:r>
      <w:r w:rsidRPr="001B6D09" w:rsidR="00D80EC9">
        <w:t>j</w:t>
      </w:r>
      <w:r w:rsidRPr="001B6D09" w:rsidR="004C5756">
        <w:t>ud</w:t>
      </w:r>
      <w:r w:rsidRPr="001B6D09" w:rsidR="00D80EC9">
        <w:t>gment on 13 August 2009</w:t>
      </w:r>
      <w:r w:rsidRPr="001B6D09" w:rsidR="004C5756">
        <w:t xml:space="preserve"> and both the applicant and E.H. </w:t>
      </w:r>
      <w:r w:rsidRPr="001B6D09" w:rsidR="00F00618">
        <w:t xml:space="preserve">had </w:t>
      </w:r>
      <w:r w:rsidRPr="001B6D09" w:rsidR="004C5756">
        <w:t>lodged</w:t>
      </w:r>
      <w:r w:rsidRPr="001B6D09" w:rsidR="00455E00">
        <w:t xml:space="preserve"> appeals against that judgment. Once the applicant </w:t>
      </w:r>
      <w:r w:rsidRPr="001B6D09" w:rsidR="00F00618">
        <w:t xml:space="preserve">had </w:t>
      </w:r>
      <w:r w:rsidRPr="001B6D09" w:rsidR="00455E00">
        <w:t xml:space="preserve">revoked </w:t>
      </w:r>
      <w:r w:rsidRPr="001B6D09" w:rsidR="00F00618">
        <w:t xml:space="preserve">the </w:t>
      </w:r>
      <w:r w:rsidRPr="001B6D09" w:rsidR="00455E00">
        <w:t xml:space="preserve">power of attorney </w:t>
      </w:r>
      <w:r w:rsidRPr="001B6D09" w:rsidR="00F00618">
        <w:t xml:space="preserve">in respect of </w:t>
      </w:r>
      <w:r w:rsidRPr="001B6D09" w:rsidR="00455E00">
        <w:t>E.H.</w:t>
      </w:r>
      <w:r w:rsidRPr="001B6D09" w:rsidR="00FA1397">
        <w:t>,</w:t>
      </w:r>
      <w:r w:rsidRPr="001B6D09" w:rsidR="00455E00">
        <w:t xml:space="preserve"> the national courts </w:t>
      </w:r>
      <w:r w:rsidRPr="001B6D09" w:rsidR="00FA1397">
        <w:t xml:space="preserve">had </w:t>
      </w:r>
      <w:r w:rsidRPr="001B6D09" w:rsidR="00455E00">
        <w:t xml:space="preserve">appointed a State-funded lawyer </w:t>
      </w:r>
      <w:r w:rsidRPr="001B6D09" w:rsidR="00FA1397">
        <w:t xml:space="preserve">for </w:t>
      </w:r>
      <w:r w:rsidRPr="001B6D09" w:rsidR="00455E00">
        <w:t xml:space="preserve">the applicant and </w:t>
      </w:r>
      <w:r w:rsidRPr="001B6D09" w:rsidR="00FA1397">
        <w:t xml:space="preserve">had </w:t>
      </w:r>
      <w:r w:rsidRPr="001B6D09" w:rsidR="00455E00">
        <w:t xml:space="preserve">also </w:t>
      </w:r>
      <w:r w:rsidRPr="001B6D09" w:rsidR="00FA1397">
        <w:t xml:space="preserve">granted </w:t>
      </w:r>
      <w:r w:rsidRPr="001B6D09" w:rsidR="00455E00">
        <w:t xml:space="preserve">his requests to contact other lawyers. When the Supreme Court </w:t>
      </w:r>
      <w:r w:rsidRPr="001B6D09" w:rsidR="00FA1397">
        <w:t xml:space="preserve">had </w:t>
      </w:r>
      <w:r w:rsidRPr="001B6D09" w:rsidR="00455E00">
        <w:t xml:space="preserve">quashed the second-instance judgment and remitted the case to the appeal court, the appeal court had </w:t>
      </w:r>
      <w:r w:rsidRPr="001B6D09" w:rsidR="000C00FD">
        <w:t xml:space="preserve">had </w:t>
      </w:r>
      <w:r w:rsidRPr="001B6D09" w:rsidR="00455E00">
        <w:t>to decide on the same appeals it had already examined, that is to say the applicant</w:t>
      </w:r>
      <w:r w:rsidRPr="001B6D09" w:rsidR="001B6D09">
        <w:t>’</w:t>
      </w:r>
      <w:r w:rsidRPr="001B6D09" w:rsidR="00455E00">
        <w:t>s and E.H.</w:t>
      </w:r>
      <w:r w:rsidRPr="001B6D09" w:rsidR="001B6D09">
        <w:t>’</w:t>
      </w:r>
      <w:r w:rsidRPr="001B6D09" w:rsidR="00455E00">
        <w:t>s appeals lodged in August 2009.</w:t>
      </w:r>
    </w:p>
    <w:p w:rsidRPr="001B6D09" w:rsidR="00C762BD" w:rsidP="001B6D09" w:rsidRDefault="00C762BD" w14:paraId="7B9036E4" w14:textId="5C6ABCFF">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77</w:t>
      </w:r>
      <w:r w:rsidRPr="001B6D09">
        <w:fldChar w:fldCharType="end"/>
      </w:r>
      <w:r w:rsidRPr="001B6D09">
        <w:t xml:space="preserve">.  The national courts </w:t>
      </w:r>
      <w:r w:rsidRPr="001B6D09" w:rsidR="000C00FD">
        <w:t xml:space="preserve">had </w:t>
      </w:r>
      <w:r w:rsidRPr="001B6D09">
        <w:t xml:space="preserve">also </w:t>
      </w:r>
      <w:r w:rsidRPr="001B6D09" w:rsidR="000C00FD">
        <w:t xml:space="preserve">granted </w:t>
      </w:r>
      <w:r w:rsidRPr="001B6D09">
        <w:t>the applicant</w:t>
      </w:r>
      <w:r w:rsidRPr="001B6D09" w:rsidR="001B6D09">
        <w:t>’</w:t>
      </w:r>
      <w:r w:rsidRPr="001B6D09">
        <w:t xml:space="preserve">s repeated requests to contact other lawyers and </w:t>
      </w:r>
      <w:r w:rsidRPr="001B6D09" w:rsidR="000C00FD">
        <w:t xml:space="preserve">had </w:t>
      </w:r>
      <w:r w:rsidRPr="001B6D09">
        <w:t xml:space="preserve">allowed three lawyers to visit </w:t>
      </w:r>
      <w:r w:rsidRPr="001B6D09" w:rsidR="00A21E7F">
        <w:t xml:space="preserve">him </w:t>
      </w:r>
      <w:r w:rsidRPr="001B6D09">
        <w:t xml:space="preserve">in prison. The </w:t>
      </w:r>
      <w:r w:rsidRPr="001B6D09" w:rsidR="00A21E7F">
        <w:t xml:space="preserve">applicant </w:t>
      </w:r>
      <w:r w:rsidRPr="001B6D09" w:rsidR="00F67744">
        <w:t xml:space="preserve">was </w:t>
      </w:r>
      <w:r w:rsidRPr="001B6D09" w:rsidR="00A21E7F">
        <w:t xml:space="preserve">responsible for the </w:t>
      </w:r>
      <w:r w:rsidRPr="001B6D09">
        <w:t xml:space="preserve">fact that </w:t>
      </w:r>
      <w:r w:rsidRPr="001B6D09" w:rsidR="00A21E7F">
        <w:t xml:space="preserve">he </w:t>
      </w:r>
      <w:r w:rsidRPr="001B6D09">
        <w:t>had not hired any other lawyer.</w:t>
      </w:r>
    </w:p>
    <w:p w:rsidRPr="001B6D09" w:rsidR="00240BC5" w:rsidP="001B6D09" w:rsidRDefault="00455E00" w14:paraId="6696B53F" w14:textId="74D6593A">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78</w:t>
      </w:r>
      <w:r w:rsidRPr="001B6D09">
        <w:fldChar w:fldCharType="end"/>
      </w:r>
      <w:r w:rsidRPr="001B6D09" w:rsidR="00670865">
        <w:t>.  </w:t>
      </w:r>
      <w:r w:rsidRPr="001B6D09">
        <w:t xml:space="preserve">The applicant </w:t>
      </w:r>
      <w:r w:rsidRPr="001B6D09" w:rsidR="00512F21">
        <w:t xml:space="preserve">had been </w:t>
      </w:r>
      <w:r w:rsidRPr="001B6D09">
        <w:t>informed of the appeal court</w:t>
      </w:r>
      <w:r w:rsidRPr="001B6D09" w:rsidR="001B6D09">
        <w:t>’</w:t>
      </w:r>
      <w:r w:rsidRPr="001B6D09">
        <w:t>s session four days in advance</w:t>
      </w:r>
      <w:r w:rsidRPr="001B6D09" w:rsidR="00512F21">
        <w:t>,</w:t>
      </w:r>
      <w:r w:rsidRPr="001B6D09">
        <w:t xml:space="preserve"> and given the fact that the appeal court had </w:t>
      </w:r>
      <w:r w:rsidRPr="001B6D09" w:rsidR="00512F21">
        <w:t xml:space="preserve">had </w:t>
      </w:r>
      <w:r w:rsidRPr="001B6D09">
        <w:t xml:space="preserve">to decide on the appeals lodged in August 2009, that period could not be regarded as insufficient for </w:t>
      </w:r>
      <w:r w:rsidRPr="001B6D09" w:rsidR="00512F21">
        <w:t xml:space="preserve">him </w:t>
      </w:r>
      <w:r w:rsidRPr="001B6D09">
        <w:t>to prepare his defence. Moreover, when the applicant had asked for the appeal court</w:t>
      </w:r>
      <w:r w:rsidRPr="001B6D09" w:rsidR="001B6D09">
        <w:t>’</w:t>
      </w:r>
      <w:r w:rsidRPr="001B6D09">
        <w:t xml:space="preserve">s session </w:t>
      </w:r>
      <w:r w:rsidRPr="001B6D09" w:rsidR="00512F21">
        <w:t xml:space="preserve">to be adjourned </w:t>
      </w:r>
      <w:r w:rsidRPr="001B6D09">
        <w:t>for seven days</w:t>
      </w:r>
      <w:r w:rsidRPr="001B6D09" w:rsidR="00F67744">
        <w:t>,</w:t>
      </w:r>
      <w:r w:rsidRPr="001B6D09">
        <w:t xml:space="preserve"> he had not explained </w:t>
      </w:r>
      <w:r w:rsidRPr="001B6D09" w:rsidR="00F67744">
        <w:t xml:space="preserve">what </w:t>
      </w:r>
      <w:r w:rsidRPr="001B6D09" w:rsidR="00DA56D4">
        <w:t>the purpose of that adjournment</w:t>
      </w:r>
      <w:r w:rsidRPr="001B6D09" w:rsidR="00F67744">
        <w:t xml:space="preserve"> was</w:t>
      </w:r>
      <w:r w:rsidRPr="001B6D09">
        <w:t>.</w:t>
      </w:r>
    </w:p>
    <w:p w:rsidRPr="001B6D09" w:rsidR="00240BC5" w:rsidP="001B6D09" w:rsidRDefault="00240BC5" w14:paraId="3EB42BCC" w14:textId="08E70F28">
      <w:pPr>
        <w:pStyle w:val="JuHa0"/>
      </w:pPr>
      <w:r w:rsidRPr="001B6D09">
        <w:t>The Court</w:t>
      </w:r>
      <w:r w:rsidRPr="001B6D09" w:rsidR="001B6D09">
        <w:t>’</w:t>
      </w:r>
      <w:r w:rsidRPr="001B6D09">
        <w:t>s assessment</w:t>
      </w:r>
    </w:p>
    <w:p w:rsidRPr="001B6D09" w:rsidR="00D0790C" w:rsidP="001B6D09" w:rsidRDefault="00D0790C" w14:paraId="2100F8E5" w14:textId="3A0ED049">
      <w:pPr>
        <w:pStyle w:val="JuHi"/>
      </w:pPr>
      <w:r w:rsidRPr="001B6D09">
        <w:t>General principles</w:t>
      </w:r>
    </w:p>
    <w:p w:rsidRPr="001B6D09" w:rsidR="00BE4856" w:rsidP="001B6D09" w:rsidRDefault="00BE4856" w14:paraId="3D591D1E" w14:textId="793ACC7E">
      <w:pPr>
        <w:pStyle w:val="JuPara"/>
        <w:jc w:val="both"/>
        <w:rPr>
          <w:snapToGrid w:val="0"/>
        </w:rPr>
      </w:pPr>
      <w:r w:rsidRPr="001B6D09">
        <w:fldChar w:fldCharType="begin"/>
      </w:r>
      <w:r w:rsidRPr="001B6D09">
        <w:instrText xml:space="preserve"> SEQ level0 \*arabic </w:instrText>
      </w:r>
      <w:r w:rsidRPr="001B6D09">
        <w:fldChar w:fldCharType="separate"/>
      </w:r>
      <w:r w:rsidRPr="001B6D09" w:rsidR="001B6D09">
        <w:rPr>
          <w:noProof/>
        </w:rPr>
        <w:t>79</w:t>
      </w:r>
      <w:r w:rsidRPr="001B6D09">
        <w:fldChar w:fldCharType="end"/>
      </w:r>
      <w:r w:rsidRPr="001B6D09">
        <w:t>.  The right to a fair trial under Article 6 § 1 is an unqualified right. However, what constitutes a fair trial cannot be the subject of a single unvarying rule</w:t>
      </w:r>
      <w:r w:rsidRPr="001B6D09" w:rsidR="00DA56D4">
        <w:t>,</w:t>
      </w:r>
      <w:r w:rsidRPr="001B6D09">
        <w:t xml:space="preserve"> but must depend on the circumstances of the particular case. The Court</w:t>
      </w:r>
      <w:r w:rsidRPr="001B6D09" w:rsidR="001B6D09">
        <w:t>’</w:t>
      </w:r>
      <w:r w:rsidRPr="001B6D09">
        <w:t xml:space="preserve">s primary concern under Article 6 § 1 is to evaluate the overall fairness of the criminal proceedings (see, among many other authorities, </w:t>
      </w:r>
      <w:r w:rsidRPr="001B6D09">
        <w:rPr>
          <w:i/>
        </w:rPr>
        <w:t xml:space="preserve">Ibrahim and Others v. the United Kingdom </w:t>
      </w:r>
      <w:r w:rsidRPr="001B6D09">
        <w:rPr>
          <w:snapToGrid w:val="0"/>
        </w:rPr>
        <w:t xml:space="preserve">[GC], nos. 50541/08 </w:t>
      </w:r>
      <w:r w:rsidRPr="001B6D09" w:rsidR="004D56AB">
        <w:t>and 3 </w:t>
      </w:r>
      <w:r w:rsidRPr="001B6D09">
        <w:t>others</w:t>
      </w:r>
      <w:r w:rsidRPr="001B6D09">
        <w:rPr>
          <w:snapToGrid w:val="0"/>
        </w:rPr>
        <w:t xml:space="preserve">, § 250, </w:t>
      </w:r>
      <w:r w:rsidRPr="001B6D09">
        <w:t>13 September</w:t>
      </w:r>
      <w:r w:rsidRPr="001B6D09">
        <w:rPr>
          <w:snapToGrid w:val="0"/>
        </w:rPr>
        <w:t xml:space="preserve"> 2016).</w:t>
      </w:r>
    </w:p>
    <w:p w:rsidRPr="001B6D09" w:rsidR="00BE4856" w:rsidP="001B6D09" w:rsidRDefault="00BE4856" w14:paraId="1EBEDD05" w14:textId="5E509B90">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80</w:t>
      </w:r>
      <w:r w:rsidRPr="001B6D09">
        <w:fldChar w:fldCharType="end"/>
      </w:r>
      <w:r w:rsidRPr="001B6D09">
        <w:t>.  Compliance with the requirements of a fair trial must be examined in each case</w:t>
      </w:r>
      <w:r w:rsidRPr="001B6D09" w:rsidR="00DA56D4">
        <w:t>,</w:t>
      </w:r>
      <w:r w:rsidRPr="001B6D09">
        <w:t xml:space="preserve"> having regard to the development of the proceedings as a whole</w:t>
      </w:r>
      <w:r w:rsidRPr="001B6D09" w:rsidR="00DA56D4">
        <w:t>,</w:t>
      </w:r>
      <w:r w:rsidRPr="001B6D09">
        <w:t xml:space="preserve"> and not on the basis of an isolated consideration of one particular aspect or one particular incident, although it cannot be excluded that a specific factor may be so decisive as to enable the fairness of the trial to be assessed at an earlier stage in the proceedings. In evaluating the overall fairness of the proceedings, the Court will take into account, if appropriate, the minimum rights listed in Article 6 § 3, which exemplify the requirements of a fair trial in respect of typical procedural situations which arise in criminal cases. They can </w:t>
      </w:r>
      <w:r w:rsidRPr="001B6D09" w:rsidR="00DA56D4">
        <w:t xml:space="preserve">therefore </w:t>
      </w:r>
      <w:r w:rsidRPr="001B6D09">
        <w:t>be viewed as specific aspects of the concept of a fair trial in criminal proceedings in Article 6 § 1. However, those minimum rights are not aims in themselves: their intrinsic aim is always to contribute to ensuring the fairness of the criminal proceedings as a whole (ibid</w:t>
      </w:r>
      <w:r w:rsidRPr="001B6D09" w:rsidR="00283B56">
        <w:t>.</w:t>
      </w:r>
      <w:r w:rsidRPr="001B6D09">
        <w:t xml:space="preserve">, </w:t>
      </w:r>
      <w:r w:rsidRPr="001B6D09">
        <w:rPr>
          <w:rFonts w:cstheme="minorHAnsi"/>
        </w:rPr>
        <w:t>§</w:t>
      </w:r>
      <w:r w:rsidRPr="001B6D09" w:rsidR="004D56AB">
        <w:t> </w:t>
      </w:r>
      <w:r w:rsidRPr="001B6D09">
        <w:t>251).</w:t>
      </w:r>
    </w:p>
    <w:p w:rsidRPr="001B6D09" w:rsidR="001B3726" w:rsidP="001B6D09" w:rsidRDefault="00797AB5" w14:paraId="1321DF95" w14:textId="1289938A">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81</w:t>
      </w:r>
      <w:r w:rsidRPr="001B6D09">
        <w:fldChar w:fldCharType="end"/>
      </w:r>
      <w:r w:rsidRPr="001B6D09">
        <w:t>.  </w:t>
      </w:r>
      <w:bookmarkStart w:name="_100001B" w:id="39"/>
      <w:bookmarkEnd w:id="39"/>
      <w:r w:rsidRPr="001B6D09" w:rsidR="008F07A4">
        <w:t xml:space="preserve">Article </w:t>
      </w:r>
      <w:bookmarkStart w:name="_100001C" w:id="40"/>
      <w:bookmarkEnd w:id="40"/>
      <w:r w:rsidRPr="001B6D09" w:rsidR="008F07A4">
        <w:t xml:space="preserve">6 § </w:t>
      </w:r>
      <w:bookmarkStart w:name="_100001D" w:id="41"/>
      <w:bookmarkEnd w:id="41"/>
      <w:r w:rsidRPr="001B6D09" w:rsidR="008F07A4">
        <w:t>3 (</w:t>
      </w:r>
      <w:bookmarkStart w:name="_100001E" w:id="42"/>
      <w:bookmarkEnd w:id="42"/>
      <w:r w:rsidRPr="001B6D09" w:rsidR="008F07A4">
        <w:t>b) guarantees the accused “adequate time and facilities for the preparation of his defence”</w:t>
      </w:r>
      <w:r w:rsidRPr="001B6D09" w:rsidR="00F7140E">
        <w:t>,</w:t>
      </w:r>
      <w:r w:rsidRPr="001B6D09" w:rsidR="008F07A4">
        <w:t xml:space="preserve"> and therefore implies that the substantive defence activity on his behalf may comprise everything which is “necessary” to prepare the main trial. The accused must have the opportunity to organise his defence in an appropriate way and without restriction as to the ability to put all relevant defence arguments before the trial court and thus to influence the outcome of the proceedings (see </w:t>
      </w:r>
      <w:r w:rsidRPr="001B6D09" w:rsidR="008F07A4">
        <w:rPr>
          <w:i/>
        </w:rPr>
        <w:t>Mayzit v. Russia</w:t>
      </w:r>
      <w:r w:rsidRPr="001B6D09" w:rsidR="008F07A4">
        <w:t xml:space="preserve">, no. 63378/00, § 78, 20 January 2005; </w:t>
      </w:r>
      <w:r w:rsidRPr="001B6D09" w:rsidR="008F07A4">
        <w:rPr>
          <w:i/>
        </w:rPr>
        <w:t>Moiseyev v. Russia</w:t>
      </w:r>
      <w:r w:rsidRPr="001B6D09" w:rsidR="008F07A4">
        <w:t>, no.</w:t>
      </w:r>
      <w:r w:rsidRPr="001B6D09" w:rsidR="003D2EA8">
        <w:t> </w:t>
      </w:r>
      <w:r w:rsidRPr="001B6D09" w:rsidR="008F07A4">
        <w:t>62936/00, § 220, 9 October 2008</w:t>
      </w:r>
      <w:r w:rsidRPr="001B6D09" w:rsidR="00F7140E">
        <w:t>;</w:t>
      </w:r>
      <w:r w:rsidRPr="001B6D09" w:rsidR="008F07A4">
        <w:t xml:space="preserve"> </w:t>
      </w:r>
      <w:r w:rsidRPr="001B6D09" w:rsidR="008F07A4">
        <w:rPr>
          <w:i/>
        </w:rPr>
        <w:t>Gregačević v. Croatia</w:t>
      </w:r>
      <w:r w:rsidRPr="001B6D09" w:rsidR="004D56AB">
        <w:t>, no. 58331/09, § </w:t>
      </w:r>
      <w:r w:rsidRPr="001B6D09" w:rsidR="008F07A4">
        <w:t xml:space="preserve">51, 10 July 2012; and </w:t>
      </w:r>
      <w:r w:rsidRPr="001B6D09" w:rsidR="008F07A4">
        <w:rPr>
          <w:i/>
        </w:rPr>
        <w:t>Chorniy v. Ukraine</w:t>
      </w:r>
      <w:r w:rsidRPr="001B6D09" w:rsidR="008F07A4">
        <w:t>, no. 35227/06, § 37, 16 May 2013).</w:t>
      </w:r>
    </w:p>
    <w:p w:rsidRPr="001B6D09" w:rsidR="001B3726" w:rsidP="001B6D09" w:rsidRDefault="00FE58C1" w14:paraId="1087A07A" w14:textId="192DA64D">
      <w:pPr>
        <w:pStyle w:val="JuPara"/>
        <w:jc w:val="both"/>
        <w:rPr>
          <w:rFonts w:eastAsiaTheme="majorEastAsia"/>
        </w:rPr>
      </w:pPr>
      <w:r w:rsidRPr="001B6D09">
        <w:fldChar w:fldCharType="begin"/>
      </w:r>
      <w:r w:rsidRPr="001B6D09">
        <w:instrText xml:space="preserve"> SEQ level0 \*arabic </w:instrText>
      </w:r>
      <w:r w:rsidRPr="001B6D09">
        <w:fldChar w:fldCharType="separate"/>
      </w:r>
      <w:r w:rsidRPr="001B6D09" w:rsidR="001B6D09">
        <w:rPr>
          <w:noProof/>
        </w:rPr>
        <w:t>82</w:t>
      </w:r>
      <w:r w:rsidRPr="001B6D09">
        <w:fldChar w:fldCharType="end"/>
      </w:r>
      <w:r w:rsidRPr="001B6D09">
        <w:t>.  </w:t>
      </w:r>
      <w:r w:rsidRPr="001B6D09" w:rsidR="008F07A4">
        <w:t xml:space="preserve">When assessing whether the accused had adequate time for the preparation of his defence, particular regard has to be had to the nature of the proceedings, as well as the complexity of the case and </w:t>
      </w:r>
      <w:r w:rsidRPr="001B6D09" w:rsidR="00E43A39">
        <w:t xml:space="preserve">the </w:t>
      </w:r>
      <w:r w:rsidRPr="001B6D09" w:rsidR="008F07A4">
        <w:t xml:space="preserve">stage of the proceedings (see </w:t>
      </w:r>
      <w:r w:rsidRPr="001B6D09" w:rsidR="008F07A4">
        <w:rPr>
          <w:i/>
        </w:rPr>
        <w:t>Gregačević</w:t>
      </w:r>
      <w:r w:rsidRPr="001B6D09" w:rsidR="008F07A4">
        <w:t>, cited above, § 51</w:t>
      </w:r>
      <w:r w:rsidRPr="001B6D09" w:rsidR="00E43A39">
        <w:t>,</w:t>
      </w:r>
      <w:r w:rsidRPr="001B6D09" w:rsidR="008F07A4">
        <w:t xml:space="preserve"> and </w:t>
      </w:r>
      <w:r w:rsidRPr="001B6D09" w:rsidR="008F07A4">
        <w:rPr>
          <w:i/>
        </w:rPr>
        <w:t>Albert and Le Compte v. Belgium</w:t>
      </w:r>
      <w:r w:rsidRPr="001B6D09" w:rsidR="008F07A4">
        <w:t>, 10 February 1983, § 41, Series A no. 58).</w:t>
      </w:r>
      <w:r w:rsidRPr="001B6D09">
        <w:t xml:space="preserve"> In this connection, the Court notes that the guarantees of Article 6 § 3 (b) go beyond trials, and extend to all stages of court proceedings (see </w:t>
      </w:r>
      <w:r w:rsidRPr="001B6D09">
        <w:rPr>
          <w:i/>
        </w:rPr>
        <w:t>D.M.T. and D.K.I. v. Bulgaria</w:t>
      </w:r>
      <w:r w:rsidRPr="001B6D09">
        <w:t xml:space="preserve">, no. 29476/06, § </w:t>
      </w:r>
      <w:r w:rsidRPr="001B6D09">
        <w:rPr>
          <w:rFonts w:eastAsiaTheme="majorEastAsia"/>
        </w:rPr>
        <w:t xml:space="preserve">81, 24 July 2012, and </w:t>
      </w:r>
      <w:r w:rsidRPr="001B6D09">
        <w:rPr>
          <w:i/>
        </w:rPr>
        <w:t>Chorniy</w:t>
      </w:r>
      <w:r w:rsidRPr="001B6D09">
        <w:t>, cited above, § 38</w:t>
      </w:r>
      <w:r w:rsidRPr="001B6D09">
        <w:rPr>
          <w:rFonts w:eastAsiaTheme="majorEastAsia"/>
        </w:rPr>
        <w:t>).</w:t>
      </w:r>
    </w:p>
    <w:p w:rsidRPr="001B6D09" w:rsidR="00BE4856" w:rsidP="001B6D09" w:rsidRDefault="008F07A4" w14:paraId="2B428F85" w14:textId="69BD8321">
      <w:pPr>
        <w:pStyle w:val="JuPara"/>
        <w:jc w:val="both"/>
        <w:rPr>
          <w:lang w:val="en-US"/>
        </w:rPr>
      </w:pPr>
      <w:r w:rsidRPr="001B6D09">
        <w:fldChar w:fldCharType="begin"/>
      </w:r>
      <w:r w:rsidRPr="001B6D09">
        <w:instrText xml:space="preserve"> SEQ level0 \*arabic </w:instrText>
      </w:r>
      <w:r w:rsidRPr="001B6D09">
        <w:fldChar w:fldCharType="separate"/>
      </w:r>
      <w:r w:rsidRPr="001B6D09" w:rsidR="001B6D09">
        <w:rPr>
          <w:noProof/>
        </w:rPr>
        <w:t>83</w:t>
      </w:r>
      <w:r w:rsidRPr="001B6D09">
        <w:fldChar w:fldCharType="end"/>
      </w:r>
      <w:r w:rsidRPr="001B6D09">
        <w:t>.  As regards the right to a l</w:t>
      </w:r>
      <w:r w:rsidRPr="001B6D09" w:rsidR="00BE4856">
        <w:t>a</w:t>
      </w:r>
      <w:r w:rsidRPr="001B6D09">
        <w:t>wyer</w:t>
      </w:r>
      <w:r w:rsidRPr="001B6D09" w:rsidR="00E43A39">
        <w:t>,</w:t>
      </w:r>
      <w:r w:rsidRPr="001B6D09">
        <w:t xml:space="preserve"> the Court reiterates that </w:t>
      </w:r>
      <w:r w:rsidRPr="001B6D09" w:rsidR="00BE4856">
        <w:t xml:space="preserve">the right of everyone charged with a criminal offence to be effectively defended by a lawyer, assigned officially if need be, as guaranteed by Article 6 § 3 (c), is one of the fundamental features of a fair trial (see </w:t>
      </w:r>
      <w:r w:rsidRPr="001B6D09" w:rsidR="00283B56">
        <w:rPr>
          <w:i/>
          <w:lang w:val="en-US"/>
        </w:rPr>
        <w:t xml:space="preserve">Salduz v. Turkey </w:t>
      </w:r>
      <w:r w:rsidRPr="001B6D09" w:rsidR="00283B56">
        <w:rPr>
          <w:lang w:val="en-US"/>
        </w:rPr>
        <w:t>[GC], no. 36391/02, § 51, ECHR 2008;</w:t>
      </w:r>
      <w:r w:rsidRPr="001B6D09" w:rsidR="00BE4856">
        <w:t xml:space="preserve"> </w:t>
      </w:r>
      <w:r w:rsidRPr="001B6D09" w:rsidR="00BE4856">
        <w:rPr>
          <w:i/>
        </w:rPr>
        <w:t>Dvorski v. Croatia</w:t>
      </w:r>
      <w:r w:rsidRPr="001B6D09" w:rsidR="00BE4856">
        <w:t xml:space="preserve"> [GC], </w:t>
      </w:r>
      <w:r w:rsidRPr="001B6D09" w:rsidR="004D56AB">
        <w:t>no. 25703/11, § </w:t>
      </w:r>
      <w:r w:rsidRPr="001B6D09" w:rsidR="00BE4856">
        <w:t xml:space="preserve">76, ECHR 2015; and </w:t>
      </w:r>
      <w:r w:rsidRPr="001B6D09" w:rsidR="00BE4856">
        <w:rPr>
          <w:i/>
        </w:rPr>
        <w:t>Simeonovi v. Bulgaria</w:t>
      </w:r>
      <w:r w:rsidRPr="001B6D09" w:rsidR="004D56AB">
        <w:t xml:space="preserve"> [GC], no. 21980/04, § 112, 12 </w:t>
      </w:r>
      <w:r w:rsidRPr="001B6D09" w:rsidR="00BE4856">
        <w:t xml:space="preserve">May 2017 (extracts)). However, assigning counsel does not in itself ensure the effectiveness of the assistance counsel may provide to his client. </w:t>
      </w:r>
      <w:r w:rsidRPr="001B6D09" w:rsidR="00BE4856">
        <w:rPr>
          <w:rFonts w:ascii="Times New Roman" w:hAnsi="Times New Roman" w:eastAsia="Times New Roman" w:cs="Times New Roman"/>
          <w:lang w:eastAsia="en-GB"/>
        </w:rPr>
        <w:t>Nevertheless, a State cannot be held responsible for every shortcoming on the part of a lawyer appointed for legal-aid purposes. It follows from the independence of the legal profession from the State that the conduct of the defence is essentially a matter between a defendant and his counsel, whether appointed under a legal-aid scheme or privately financed. The competent national authorities are required under Article 6 § 3 (c) to intervene only if a failure by legal-aid counsel to provide effective legal assistance is manifest or sufficiently brought to their attention in another way (</w:t>
      </w:r>
      <w:r w:rsidRPr="001B6D09" w:rsidR="00B66182">
        <w:t xml:space="preserve">see </w:t>
      </w:r>
      <w:r w:rsidRPr="001B6D09" w:rsidR="00B66182">
        <w:rPr>
          <w:i/>
        </w:rPr>
        <w:t>Czekalla v.</w:t>
      </w:r>
      <w:r w:rsidRPr="001B6D09" w:rsidR="003D2EA8">
        <w:rPr>
          <w:i/>
        </w:rPr>
        <w:t> </w:t>
      </w:r>
      <w:r w:rsidRPr="001B6D09" w:rsidR="00B66182">
        <w:rPr>
          <w:i/>
        </w:rPr>
        <w:t>Portugal</w:t>
      </w:r>
      <w:r w:rsidRPr="001B6D09" w:rsidR="00B66182">
        <w:t>, no. 38830/97, § 60, ECHR 2002-VIII</w:t>
      </w:r>
      <w:r w:rsidRPr="001B6D09" w:rsidR="00FE58C1">
        <w:t>,</w:t>
      </w:r>
      <w:r w:rsidRPr="001B6D09" w:rsidR="00B66182">
        <w:t xml:space="preserve"> and</w:t>
      </w:r>
      <w:r w:rsidRPr="001B6D09" w:rsidR="00BE4856">
        <w:rPr>
          <w:rFonts w:ascii="Times New Roman" w:hAnsi="Times New Roman" w:eastAsia="Times New Roman" w:cs="Times New Roman"/>
          <w:lang w:eastAsia="en-GB"/>
        </w:rPr>
        <w:t xml:space="preserve"> </w:t>
      </w:r>
      <w:r w:rsidRPr="001B6D09" w:rsidR="00BE4856">
        <w:rPr>
          <w:i/>
        </w:rPr>
        <w:t>Orlov v. Russia</w:t>
      </w:r>
      <w:r w:rsidRPr="001B6D09" w:rsidR="004D56AB">
        <w:t>, no. </w:t>
      </w:r>
      <w:r w:rsidRPr="001B6D09" w:rsidR="00BE4856">
        <w:t>29652/04, § 108, 21 June 2011</w:t>
      </w:r>
      <w:r w:rsidRPr="001B6D09" w:rsidR="00BE4856">
        <w:rPr>
          <w:rFonts w:ascii="Times New Roman" w:hAnsi="Times New Roman" w:eastAsia="Times New Roman" w:cs="Times New Roman"/>
          <w:lang w:eastAsia="en-GB"/>
        </w:rPr>
        <w:t>).</w:t>
      </w:r>
    </w:p>
    <w:p w:rsidRPr="001B6D09" w:rsidR="00797AB5" w:rsidP="001B6D09" w:rsidRDefault="00797AB5" w14:paraId="3388A4C1" w14:textId="50DA2FA4">
      <w:pPr>
        <w:pStyle w:val="JuHi"/>
      </w:pPr>
      <w:r w:rsidRPr="001B6D09">
        <w:t xml:space="preserve">Application of these principles </w:t>
      </w:r>
      <w:r w:rsidRPr="001B6D09" w:rsidR="00E43A39">
        <w:t xml:space="preserve">to </w:t>
      </w:r>
      <w:r w:rsidRPr="001B6D09">
        <w:t>the present case</w:t>
      </w:r>
    </w:p>
    <w:p w:rsidRPr="001B6D09" w:rsidR="000046D1" w:rsidP="001B6D09" w:rsidRDefault="00BE4856" w14:paraId="1C2545E0" w14:textId="6B9FE20E">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84</w:t>
      </w:r>
      <w:r w:rsidRPr="001B6D09">
        <w:fldChar w:fldCharType="end"/>
      </w:r>
      <w:r w:rsidRPr="001B6D09">
        <w:t>.  </w:t>
      </w:r>
      <w:r w:rsidRPr="001B6D09" w:rsidR="000046D1">
        <w:t>The applicant</w:t>
      </w:r>
      <w:r w:rsidRPr="001B6D09" w:rsidR="001B6D09">
        <w:t>’</w:t>
      </w:r>
      <w:r w:rsidRPr="001B6D09" w:rsidR="000046D1">
        <w:t>s complaint</w:t>
      </w:r>
      <w:r w:rsidRPr="001B6D09" w:rsidR="00517BAD">
        <w:t>s</w:t>
      </w:r>
      <w:r w:rsidRPr="001B6D09" w:rsidR="000046D1">
        <w:t xml:space="preserve"> concern the appeal stage of the </w:t>
      </w:r>
      <w:r w:rsidRPr="001B6D09" w:rsidR="004D6144">
        <w:t>proceedings</w:t>
      </w:r>
      <w:r w:rsidRPr="001B6D09" w:rsidR="000046D1">
        <w:t xml:space="preserve"> and refer to his alleged inability to prepare his defence and hire a l</w:t>
      </w:r>
      <w:r w:rsidRPr="001B6D09" w:rsidR="00627334">
        <w:t>a</w:t>
      </w:r>
      <w:r w:rsidRPr="001B6D09" w:rsidR="000046D1">
        <w:t xml:space="preserve">wyer in the short period between </w:t>
      </w:r>
      <w:r w:rsidRPr="001B6D09" w:rsidR="00955967">
        <w:t xml:space="preserve">his </w:t>
      </w:r>
      <w:r w:rsidRPr="001B6D09" w:rsidR="00E43A39">
        <w:t xml:space="preserve">being </w:t>
      </w:r>
      <w:r w:rsidRPr="001B6D09" w:rsidR="000046D1">
        <w:t xml:space="preserve">informed of the </w:t>
      </w:r>
      <w:r w:rsidRPr="001B6D09" w:rsidR="00E43A39">
        <w:t>appeal court</w:t>
      </w:r>
      <w:r w:rsidRPr="001B6D09" w:rsidR="001B6D09">
        <w:t>’</w:t>
      </w:r>
      <w:r w:rsidRPr="001B6D09" w:rsidR="00E43A39">
        <w:t xml:space="preserve">s </w:t>
      </w:r>
      <w:r w:rsidRPr="001B6D09" w:rsidR="000046D1">
        <w:t xml:space="preserve">session and the </w:t>
      </w:r>
      <w:r w:rsidRPr="001B6D09" w:rsidR="00E43A39">
        <w:t xml:space="preserve">session </w:t>
      </w:r>
      <w:r w:rsidRPr="001B6D09" w:rsidR="000046D1">
        <w:t>actual</w:t>
      </w:r>
      <w:r w:rsidRPr="001B6D09" w:rsidR="00E43A39">
        <w:t>ly taking place</w:t>
      </w:r>
      <w:r w:rsidRPr="001B6D09" w:rsidR="000046D1">
        <w:t>. The Court notes that the first</w:t>
      </w:r>
      <w:r w:rsidRPr="001B6D09" w:rsidR="00E43A39">
        <w:t>-</w:t>
      </w:r>
      <w:r w:rsidRPr="001B6D09" w:rsidR="000046D1">
        <w:t xml:space="preserve">instance judgment was </w:t>
      </w:r>
      <w:r w:rsidRPr="001B6D09" w:rsidR="00E43A39">
        <w:t xml:space="preserve">issued </w:t>
      </w:r>
      <w:r w:rsidRPr="001B6D09" w:rsidR="000046D1">
        <w:t xml:space="preserve">on 14 July 2009 (see paragraph </w:t>
      </w:r>
      <w:r w:rsidRPr="001B6D09" w:rsidR="007C35B5">
        <w:fldChar w:fldCharType="begin"/>
      </w:r>
      <w:r w:rsidRPr="001B6D09" w:rsidR="007C35B5">
        <w:instrText xml:space="preserve"> REF second_criminal_judgment \h </w:instrText>
      </w:r>
      <w:r w:rsidRPr="001B6D09" w:rsidR="00B809F5">
        <w:instrText xml:space="preserve"> \* MERGEFORMAT </w:instrText>
      </w:r>
      <w:r w:rsidRPr="001B6D09" w:rsidR="007C35B5">
        <w:fldChar w:fldCharType="separate"/>
      </w:r>
      <w:r w:rsidRPr="001B6D09" w:rsidR="001B6D09">
        <w:rPr>
          <w:noProof/>
        </w:rPr>
        <w:t>33</w:t>
      </w:r>
      <w:r w:rsidRPr="001B6D09" w:rsidR="007C35B5">
        <w:fldChar w:fldCharType="end"/>
      </w:r>
      <w:r w:rsidRPr="001B6D09" w:rsidR="000929EF">
        <w:t xml:space="preserve"> </w:t>
      </w:r>
      <w:r w:rsidRPr="001B6D09" w:rsidR="000046D1">
        <w:t xml:space="preserve">above) and it was served on </w:t>
      </w:r>
      <w:r w:rsidRPr="001B6D09" w:rsidR="00AD1B58">
        <w:t xml:space="preserve">E.H., </w:t>
      </w:r>
      <w:r w:rsidRPr="001B6D09" w:rsidR="000046D1">
        <w:t>the defence counsel chosen by the applicant</w:t>
      </w:r>
      <w:r w:rsidRPr="001B6D09" w:rsidR="006B08EB">
        <w:t xml:space="preserve"> (contrast </w:t>
      </w:r>
      <w:r w:rsidRPr="001B6D09" w:rsidR="00AD1B58">
        <w:t xml:space="preserve">with </w:t>
      </w:r>
      <w:r w:rsidRPr="001B6D09" w:rsidR="006B08EB">
        <w:rPr>
          <w:i/>
        </w:rPr>
        <w:t>Chorniy</w:t>
      </w:r>
      <w:r w:rsidRPr="001B6D09" w:rsidR="006B08EB">
        <w:rPr>
          <w:snapToGrid w:val="0"/>
        </w:rPr>
        <w:t>,</w:t>
      </w:r>
      <w:r w:rsidRPr="001B6D09" w:rsidR="00903E10">
        <w:rPr>
          <w:snapToGrid w:val="0"/>
        </w:rPr>
        <w:t xml:space="preserve"> cited above,</w:t>
      </w:r>
      <w:r w:rsidRPr="001B6D09" w:rsidR="006B08EB">
        <w:rPr>
          <w:snapToGrid w:val="0"/>
        </w:rPr>
        <w:t xml:space="preserve"> § 41)</w:t>
      </w:r>
      <w:r w:rsidRPr="001B6D09" w:rsidR="00D80EC9">
        <w:rPr>
          <w:snapToGrid w:val="0"/>
        </w:rPr>
        <w:t>, on 13 August 2009</w:t>
      </w:r>
      <w:r w:rsidRPr="001B6D09" w:rsidR="000046D1">
        <w:t xml:space="preserve">. Both the applicant </w:t>
      </w:r>
      <w:r w:rsidRPr="001B6D09" w:rsidR="000B17E0">
        <w:t xml:space="preserve">and E.H. </w:t>
      </w:r>
      <w:r w:rsidRPr="001B6D09" w:rsidR="004D6144">
        <w:t>lodged</w:t>
      </w:r>
      <w:r w:rsidRPr="001B6D09" w:rsidR="000046D1">
        <w:t xml:space="preserve"> appeals (see </w:t>
      </w:r>
      <w:r w:rsidRPr="001B6D09" w:rsidR="004D6144">
        <w:t>paragraphs</w:t>
      </w:r>
      <w:r w:rsidRPr="001B6D09" w:rsidR="000046D1">
        <w:t xml:space="preserve"> </w:t>
      </w:r>
      <w:r w:rsidRPr="001B6D09" w:rsidR="000B17E0">
        <w:fldChar w:fldCharType="begin"/>
      </w:r>
      <w:r w:rsidRPr="001B6D09" w:rsidR="000B17E0">
        <w:instrText xml:space="preserve"> REF appeal_applicant \h  \* MERGEFORMAT </w:instrText>
      </w:r>
      <w:r w:rsidRPr="001B6D09" w:rsidR="000B17E0">
        <w:fldChar w:fldCharType="separate"/>
      </w:r>
      <w:r w:rsidRPr="001B6D09" w:rsidR="001B6D09">
        <w:rPr>
          <w:noProof/>
        </w:rPr>
        <w:t>36</w:t>
      </w:r>
      <w:r w:rsidRPr="001B6D09" w:rsidR="000B17E0">
        <w:fldChar w:fldCharType="end"/>
      </w:r>
      <w:r w:rsidRPr="001B6D09" w:rsidR="000B17E0">
        <w:t xml:space="preserve"> </w:t>
      </w:r>
      <w:r w:rsidRPr="001B6D09" w:rsidR="00337ABD">
        <w:t xml:space="preserve">and </w:t>
      </w:r>
      <w:r w:rsidRPr="001B6D09" w:rsidR="000B17E0">
        <w:fldChar w:fldCharType="begin"/>
      </w:r>
      <w:r w:rsidRPr="001B6D09" w:rsidR="000B17E0">
        <w:instrText xml:space="preserve"> REF appeal_lawyer \h  \* MERGEFORMAT </w:instrText>
      </w:r>
      <w:r w:rsidRPr="001B6D09" w:rsidR="000B17E0">
        <w:fldChar w:fldCharType="separate"/>
      </w:r>
      <w:r w:rsidRPr="001B6D09" w:rsidR="001B6D09">
        <w:rPr>
          <w:noProof/>
        </w:rPr>
        <w:t>40</w:t>
      </w:r>
      <w:r w:rsidRPr="001B6D09" w:rsidR="000B17E0">
        <w:fldChar w:fldCharType="end"/>
      </w:r>
      <w:r w:rsidRPr="001B6D09" w:rsidR="000B17E0">
        <w:t xml:space="preserve"> </w:t>
      </w:r>
      <w:r w:rsidRPr="001B6D09" w:rsidR="000046D1">
        <w:t xml:space="preserve">above). </w:t>
      </w:r>
      <w:r w:rsidRPr="001B6D09" w:rsidR="00224DCB">
        <w:t>T</w:t>
      </w:r>
      <w:r w:rsidRPr="001B6D09" w:rsidR="000046D1">
        <w:t xml:space="preserve">he applicant also revoked </w:t>
      </w:r>
      <w:r w:rsidRPr="001B6D09" w:rsidR="009D4114">
        <w:t xml:space="preserve">his </w:t>
      </w:r>
      <w:r w:rsidRPr="001B6D09" w:rsidR="000046D1">
        <w:t xml:space="preserve">power of attorney </w:t>
      </w:r>
      <w:r w:rsidRPr="001B6D09" w:rsidR="00AD1B58">
        <w:t xml:space="preserve">in respect of </w:t>
      </w:r>
      <w:r w:rsidRPr="001B6D09" w:rsidR="000046D1">
        <w:t>E.H. Subsequently</w:t>
      </w:r>
      <w:r w:rsidRPr="001B6D09" w:rsidR="00AD1B58">
        <w:t>,</w:t>
      </w:r>
      <w:r w:rsidRPr="001B6D09" w:rsidR="000046D1">
        <w:t xml:space="preserve"> he made several requests to contact other lawyers.</w:t>
      </w:r>
    </w:p>
    <w:p w:rsidRPr="001B6D09" w:rsidR="00517BAD" w:rsidP="001B6D09" w:rsidRDefault="00517BAD" w14:paraId="5CF659F8" w14:textId="6A2E391A">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85</w:t>
      </w:r>
      <w:r w:rsidRPr="001B6D09">
        <w:fldChar w:fldCharType="end"/>
      </w:r>
      <w:r w:rsidRPr="001B6D09">
        <w:t xml:space="preserve">.  The Court notes that the national courts appointed a State-funded lawyer, S.A., </w:t>
      </w:r>
      <w:r w:rsidRPr="001B6D09" w:rsidR="0090146A">
        <w:t xml:space="preserve">for </w:t>
      </w:r>
      <w:r w:rsidRPr="001B6D09">
        <w:t xml:space="preserve">the applicant on 9 September 2009 (see paragraph </w:t>
      </w:r>
      <w:r w:rsidRPr="001B6D09" w:rsidR="0073516B">
        <w:fldChar w:fldCharType="begin"/>
      </w:r>
      <w:r w:rsidRPr="001B6D09" w:rsidR="0073516B">
        <w:instrText xml:space="preserve"> REF SA_appointed \h </w:instrText>
      </w:r>
      <w:r w:rsidRPr="001B6D09" w:rsidR="00E727A6">
        <w:instrText xml:space="preserve"> \* MERGEFORMAT </w:instrText>
      </w:r>
      <w:r w:rsidRPr="001B6D09" w:rsidR="0073516B">
        <w:fldChar w:fldCharType="separate"/>
      </w:r>
      <w:r w:rsidRPr="001B6D09" w:rsidR="001B6D09">
        <w:rPr>
          <w:noProof/>
        </w:rPr>
        <w:t>42</w:t>
      </w:r>
      <w:r w:rsidRPr="001B6D09" w:rsidR="0073516B">
        <w:fldChar w:fldCharType="end"/>
      </w:r>
      <w:r w:rsidRPr="001B6D09" w:rsidR="0073516B">
        <w:t xml:space="preserve"> </w:t>
      </w:r>
      <w:r w:rsidRPr="001B6D09">
        <w:t>above)</w:t>
      </w:r>
      <w:r w:rsidRPr="001B6D09" w:rsidR="0090146A">
        <w:t xml:space="preserve">, </w:t>
      </w:r>
      <w:r w:rsidRPr="001B6D09" w:rsidR="000929EF">
        <w:t>after</w:t>
      </w:r>
      <w:r w:rsidRPr="001B6D09" w:rsidR="0090146A">
        <w:t xml:space="preserve"> the applicant </w:t>
      </w:r>
      <w:r w:rsidRPr="001B6D09" w:rsidR="000929EF">
        <w:t xml:space="preserve">had </w:t>
      </w:r>
      <w:r w:rsidRPr="001B6D09" w:rsidR="0090146A">
        <w:t>revok</w:t>
      </w:r>
      <w:r w:rsidRPr="001B6D09" w:rsidR="000929EF">
        <w:t>ed</w:t>
      </w:r>
      <w:r w:rsidRPr="001B6D09" w:rsidR="0090146A">
        <w:t xml:space="preserve"> the power </w:t>
      </w:r>
      <w:r w:rsidRPr="001B6D09" w:rsidR="00955967">
        <w:t xml:space="preserve">of </w:t>
      </w:r>
      <w:r w:rsidRPr="001B6D09" w:rsidR="0090146A">
        <w:t>attorney in respect of E.H</w:t>
      </w:r>
      <w:r w:rsidRPr="001B6D09">
        <w:t xml:space="preserve">. The applicant </w:t>
      </w:r>
      <w:r w:rsidRPr="001B6D09" w:rsidR="00AB73ED">
        <w:t>complained</w:t>
      </w:r>
      <w:r w:rsidRPr="001B6D09" w:rsidR="00672324">
        <w:t xml:space="preserve"> that he </w:t>
      </w:r>
      <w:r w:rsidRPr="001B6D09" w:rsidR="006A2404">
        <w:t xml:space="preserve">did </w:t>
      </w:r>
      <w:r w:rsidRPr="001B6D09" w:rsidR="00672324">
        <w:t xml:space="preserve">not trust S.A. and asked </w:t>
      </w:r>
      <w:r w:rsidRPr="001B6D09" w:rsidR="000929EF">
        <w:t xml:space="preserve">the court to allow him </w:t>
      </w:r>
      <w:r w:rsidRPr="001B6D09" w:rsidR="00672324">
        <w:t>to contact other lawyers</w:t>
      </w:r>
      <w:r w:rsidRPr="001B6D09" w:rsidR="00224DCB">
        <w:t xml:space="preserve"> (see paragraph </w:t>
      </w:r>
      <w:r w:rsidRPr="001B6D09" w:rsidR="00E727A6">
        <w:fldChar w:fldCharType="begin"/>
      </w:r>
      <w:r w:rsidRPr="001B6D09" w:rsidR="00E727A6">
        <w:instrText xml:space="preserve"> REF asked_for_other_lawyer \h  \* MERGEFORMAT </w:instrText>
      </w:r>
      <w:r w:rsidRPr="001B6D09" w:rsidR="00E727A6">
        <w:fldChar w:fldCharType="separate"/>
      </w:r>
      <w:r w:rsidRPr="001B6D09" w:rsidR="001B6D09">
        <w:rPr>
          <w:noProof/>
        </w:rPr>
        <w:t>43</w:t>
      </w:r>
      <w:r w:rsidRPr="001B6D09" w:rsidR="00E727A6">
        <w:fldChar w:fldCharType="end"/>
      </w:r>
      <w:r w:rsidRPr="001B6D09" w:rsidR="00E727A6">
        <w:t xml:space="preserve"> </w:t>
      </w:r>
      <w:r w:rsidRPr="001B6D09" w:rsidR="00224DCB">
        <w:t>above)</w:t>
      </w:r>
      <w:r w:rsidRPr="001B6D09" w:rsidR="00672324">
        <w:t>. His request w</w:t>
      </w:r>
      <w:r w:rsidRPr="001B6D09" w:rsidR="0056415A">
        <w:t>as</w:t>
      </w:r>
      <w:r w:rsidRPr="001B6D09" w:rsidR="006A2404">
        <w:t xml:space="preserve"> granted –</w:t>
      </w:r>
      <w:r w:rsidRPr="001B6D09" w:rsidR="00955967">
        <w:t xml:space="preserve"> he </w:t>
      </w:r>
      <w:r w:rsidRPr="001B6D09" w:rsidR="00AB73ED">
        <w:t>contacted several other lawyers and three lawyers visited him in prison</w:t>
      </w:r>
      <w:r w:rsidRPr="001B6D09" w:rsidR="00224DCB">
        <w:t xml:space="preserve"> (see paragraphs </w:t>
      </w:r>
      <w:r w:rsidRPr="001B6D09" w:rsidR="0073516B">
        <w:fldChar w:fldCharType="begin"/>
      </w:r>
      <w:r w:rsidRPr="001B6D09" w:rsidR="0073516B">
        <w:instrText xml:space="preserve"> REF lawyer1 \h </w:instrText>
      </w:r>
      <w:r w:rsidRPr="001B6D09" w:rsidR="00E727A6">
        <w:instrText xml:space="preserve"> \* MERGEFORMAT </w:instrText>
      </w:r>
      <w:r w:rsidRPr="001B6D09" w:rsidR="0073516B">
        <w:fldChar w:fldCharType="separate"/>
      </w:r>
      <w:r w:rsidRPr="001B6D09" w:rsidR="001B6D09">
        <w:rPr>
          <w:noProof/>
        </w:rPr>
        <w:t>44</w:t>
      </w:r>
      <w:r w:rsidRPr="001B6D09" w:rsidR="0073516B">
        <w:fldChar w:fldCharType="end"/>
      </w:r>
      <w:r w:rsidRPr="001B6D09" w:rsidR="0073516B">
        <w:t xml:space="preserve">, </w:t>
      </w:r>
      <w:r w:rsidRPr="001B6D09" w:rsidR="0073516B">
        <w:fldChar w:fldCharType="begin"/>
      </w:r>
      <w:r w:rsidRPr="001B6D09" w:rsidR="0073516B">
        <w:instrText xml:space="preserve"> REF lawyer2 \h </w:instrText>
      </w:r>
      <w:r w:rsidRPr="001B6D09" w:rsidR="00E727A6">
        <w:instrText xml:space="preserve"> \* MERGEFORMAT </w:instrText>
      </w:r>
      <w:r w:rsidRPr="001B6D09" w:rsidR="0073516B">
        <w:fldChar w:fldCharType="separate"/>
      </w:r>
      <w:r w:rsidRPr="001B6D09" w:rsidR="001B6D09">
        <w:rPr>
          <w:noProof/>
        </w:rPr>
        <w:t>47</w:t>
      </w:r>
      <w:r w:rsidRPr="001B6D09" w:rsidR="0073516B">
        <w:fldChar w:fldCharType="end"/>
      </w:r>
      <w:r w:rsidRPr="001B6D09" w:rsidR="0073516B">
        <w:t xml:space="preserve"> and </w:t>
      </w:r>
      <w:r w:rsidRPr="001B6D09" w:rsidR="0073516B">
        <w:fldChar w:fldCharType="begin"/>
      </w:r>
      <w:r w:rsidRPr="001B6D09" w:rsidR="0073516B">
        <w:instrText xml:space="preserve"> REF lawyer3 \h </w:instrText>
      </w:r>
      <w:r w:rsidRPr="001B6D09" w:rsidR="00E727A6">
        <w:instrText xml:space="preserve"> \* MERGEFORMAT </w:instrText>
      </w:r>
      <w:r w:rsidRPr="001B6D09" w:rsidR="0073516B">
        <w:fldChar w:fldCharType="separate"/>
      </w:r>
      <w:r w:rsidRPr="001B6D09" w:rsidR="001B6D09">
        <w:rPr>
          <w:noProof/>
        </w:rPr>
        <w:t>48</w:t>
      </w:r>
      <w:r w:rsidRPr="001B6D09" w:rsidR="0073516B">
        <w:fldChar w:fldCharType="end"/>
      </w:r>
      <w:r w:rsidRPr="001B6D09" w:rsidR="00224DCB">
        <w:t xml:space="preserve"> above)</w:t>
      </w:r>
      <w:r w:rsidRPr="001B6D09" w:rsidR="00AB73ED">
        <w:t xml:space="preserve">. However, </w:t>
      </w:r>
      <w:r w:rsidRPr="001B6D09" w:rsidR="00672324">
        <w:t xml:space="preserve">the applicant </w:t>
      </w:r>
      <w:r w:rsidRPr="001B6D09" w:rsidR="0056415A">
        <w:t>did</w:t>
      </w:r>
      <w:r w:rsidRPr="001B6D09" w:rsidR="00672324">
        <w:t xml:space="preserve"> not hire another lawyer.</w:t>
      </w:r>
    </w:p>
    <w:p w:rsidRPr="001B6D09" w:rsidR="001B3726" w:rsidP="001B6D09" w:rsidRDefault="005D2379" w14:paraId="0C4DBBA3" w14:textId="53288C99">
      <w:pPr>
        <w:pStyle w:val="JuPara"/>
        <w:jc w:val="both"/>
        <w:rPr>
          <w:rFonts w:ascii="Times New Roman" w:hAnsi="Times New Roman" w:eastAsia="Times New Roman" w:cs="Times New Roman"/>
          <w:lang w:eastAsia="en-GB"/>
        </w:rPr>
      </w:pPr>
      <w:r w:rsidRPr="001B6D09">
        <w:fldChar w:fldCharType="begin"/>
      </w:r>
      <w:r w:rsidRPr="001B6D09">
        <w:instrText xml:space="preserve"> SEQ level0 \*arabic </w:instrText>
      </w:r>
      <w:r w:rsidRPr="001B6D09">
        <w:fldChar w:fldCharType="separate"/>
      </w:r>
      <w:r w:rsidRPr="001B6D09" w:rsidR="001B6D09">
        <w:rPr>
          <w:noProof/>
        </w:rPr>
        <w:t>86</w:t>
      </w:r>
      <w:r w:rsidRPr="001B6D09">
        <w:fldChar w:fldCharType="end"/>
      </w:r>
      <w:r w:rsidRPr="001B6D09">
        <w:t>.  </w:t>
      </w:r>
      <w:r w:rsidRPr="001B6D09" w:rsidR="000046D1">
        <w:t xml:space="preserve">On </w:t>
      </w:r>
      <w:r w:rsidRPr="001B6D09">
        <w:t xml:space="preserve">2 November 2009 </w:t>
      </w:r>
      <w:r w:rsidRPr="001B6D09" w:rsidR="000046D1">
        <w:t xml:space="preserve">the appeal court </w:t>
      </w:r>
      <w:r w:rsidRPr="001B6D09" w:rsidR="00517BAD">
        <w:t xml:space="preserve">dismissed the appeals lodged by the applicant and E.H. and </w:t>
      </w:r>
      <w:r w:rsidRPr="001B6D09" w:rsidR="000046D1">
        <w:t>upheld the first-instance judgment</w:t>
      </w:r>
      <w:r w:rsidRPr="001B6D09">
        <w:t xml:space="preserve"> (see paragraph </w:t>
      </w:r>
      <w:r w:rsidRPr="001B6D09" w:rsidR="00E727A6">
        <w:fldChar w:fldCharType="begin"/>
      </w:r>
      <w:r w:rsidRPr="001B6D09" w:rsidR="00E727A6">
        <w:instrText xml:space="preserve"> REF appeal_dismissed \h  \* MERGEFORMAT </w:instrText>
      </w:r>
      <w:r w:rsidRPr="001B6D09" w:rsidR="00E727A6">
        <w:fldChar w:fldCharType="separate"/>
      </w:r>
      <w:r w:rsidRPr="001B6D09" w:rsidR="001B6D09">
        <w:rPr>
          <w:noProof/>
        </w:rPr>
        <w:t>51</w:t>
      </w:r>
      <w:r w:rsidRPr="001B6D09" w:rsidR="00E727A6">
        <w:fldChar w:fldCharType="end"/>
      </w:r>
      <w:r w:rsidRPr="001B6D09" w:rsidR="00E727A6">
        <w:t xml:space="preserve"> </w:t>
      </w:r>
      <w:r w:rsidRPr="001B6D09">
        <w:t>above)</w:t>
      </w:r>
      <w:r w:rsidRPr="001B6D09" w:rsidR="00517BAD">
        <w:t>. O</w:t>
      </w:r>
      <w:r w:rsidRPr="001B6D09" w:rsidR="000046D1">
        <w:t>n 20 January 2010 the Supreme Court quashed the appeal court</w:t>
      </w:r>
      <w:r w:rsidRPr="001B6D09" w:rsidR="001B6D09">
        <w:t>’</w:t>
      </w:r>
      <w:r w:rsidRPr="001B6D09" w:rsidR="000046D1">
        <w:t xml:space="preserve">s </w:t>
      </w:r>
      <w:r w:rsidRPr="001B6D09">
        <w:t xml:space="preserve">judgment </w:t>
      </w:r>
      <w:r w:rsidRPr="001B6D09" w:rsidR="000046D1">
        <w:t xml:space="preserve">and remitted the case. It is to </w:t>
      </w:r>
      <w:r w:rsidRPr="001B6D09" w:rsidR="000929EF">
        <w:t xml:space="preserve">be </w:t>
      </w:r>
      <w:r w:rsidRPr="001B6D09" w:rsidR="000046D1">
        <w:t>stress</w:t>
      </w:r>
      <w:r w:rsidRPr="001B6D09" w:rsidR="000929EF">
        <w:t>ed</w:t>
      </w:r>
      <w:r w:rsidRPr="001B6D09" w:rsidR="000046D1">
        <w:t xml:space="preserve"> that the appeal court was to decide on the appeals </w:t>
      </w:r>
      <w:r w:rsidRPr="001B6D09">
        <w:t>lodged</w:t>
      </w:r>
      <w:r w:rsidRPr="001B6D09" w:rsidR="000046D1">
        <w:t xml:space="preserve"> by the applicant and E.H.</w:t>
      </w:r>
      <w:r w:rsidRPr="001B6D09" w:rsidR="00D80EC9">
        <w:t xml:space="preserve"> on 19 and 31 August 2009 respectively,</w:t>
      </w:r>
      <w:r w:rsidRPr="001B6D09" w:rsidR="000046D1">
        <w:t xml:space="preserve"> and that at th</w:t>
      </w:r>
      <w:r w:rsidRPr="001B6D09" w:rsidR="00D80EC9">
        <w:t xml:space="preserve">e time </w:t>
      </w:r>
      <w:r w:rsidRPr="001B6D09" w:rsidR="000929EF">
        <w:t xml:space="preserve">when </w:t>
      </w:r>
      <w:r w:rsidRPr="001B6D09" w:rsidR="00D80EC9">
        <w:t>the Supreme Court remitted the case to the appeal court</w:t>
      </w:r>
      <w:r w:rsidRPr="001B6D09" w:rsidR="000046D1">
        <w:t xml:space="preserve"> the applicant was not allowed to </w:t>
      </w:r>
      <w:r w:rsidRPr="001B6D09">
        <w:t>lodge</w:t>
      </w:r>
      <w:r w:rsidRPr="001B6D09" w:rsidR="000046D1">
        <w:t xml:space="preserve"> further appeals or supplement his </w:t>
      </w:r>
      <w:r w:rsidRPr="001B6D09">
        <w:t>p</w:t>
      </w:r>
      <w:r w:rsidRPr="001B6D09" w:rsidR="008C296C">
        <w:t>re</w:t>
      </w:r>
      <w:r w:rsidRPr="001B6D09">
        <w:t>vious</w:t>
      </w:r>
      <w:r w:rsidRPr="001B6D09" w:rsidR="00517BAD">
        <w:t xml:space="preserve"> appeals. </w:t>
      </w:r>
      <w:r w:rsidRPr="001B6D09" w:rsidR="00627334">
        <w:t>There is no indication</w:t>
      </w:r>
      <w:r w:rsidRPr="001B6D09" w:rsidR="004B6A3F">
        <w:t>,</w:t>
      </w:r>
      <w:r w:rsidRPr="001B6D09" w:rsidR="00627334">
        <w:t xml:space="preserve"> and t</w:t>
      </w:r>
      <w:r w:rsidRPr="001B6D09" w:rsidR="000046D1">
        <w:t xml:space="preserve">he applicant has never </w:t>
      </w:r>
      <w:r w:rsidRPr="001B6D09" w:rsidR="000929EF">
        <w:t>made any allegations to that effect</w:t>
      </w:r>
      <w:r w:rsidRPr="001B6D09" w:rsidR="004B6A3F">
        <w:t>,</w:t>
      </w:r>
      <w:r w:rsidRPr="001B6D09" w:rsidR="000046D1">
        <w:t xml:space="preserve"> that he </w:t>
      </w:r>
      <w:r w:rsidRPr="001B6D09" w:rsidR="004B6A3F">
        <w:t xml:space="preserve">did </w:t>
      </w:r>
      <w:r w:rsidRPr="001B6D09">
        <w:t>not</w:t>
      </w:r>
      <w:r w:rsidRPr="001B6D09" w:rsidR="000046D1">
        <w:t xml:space="preserve"> </w:t>
      </w:r>
      <w:r w:rsidRPr="001B6D09" w:rsidR="004B6A3F">
        <w:t xml:space="preserve">have </w:t>
      </w:r>
      <w:r w:rsidRPr="001B6D09" w:rsidR="000046D1">
        <w:t xml:space="preserve">sufficient time and </w:t>
      </w:r>
      <w:r w:rsidRPr="001B6D09">
        <w:t>facilities</w:t>
      </w:r>
      <w:r w:rsidRPr="001B6D09" w:rsidR="000046D1">
        <w:t xml:space="preserve"> </w:t>
      </w:r>
      <w:r w:rsidRPr="001B6D09" w:rsidR="004B6A3F">
        <w:t xml:space="preserve">to prepare </w:t>
      </w:r>
      <w:r w:rsidRPr="001B6D09" w:rsidR="00627334">
        <w:t>his appeal</w:t>
      </w:r>
      <w:r w:rsidRPr="001B6D09" w:rsidR="00955967">
        <w:t>,</w:t>
      </w:r>
      <w:r w:rsidRPr="001B6D09" w:rsidR="00627334">
        <w:t xml:space="preserve"> or that he </w:t>
      </w:r>
      <w:r w:rsidRPr="001B6D09" w:rsidR="004B6A3F">
        <w:t xml:space="preserve">did </w:t>
      </w:r>
      <w:r w:rsidRPr="001B6D09">
        <w:t>not</w:t>
      </w:r>
      <w:r w:rsidRPr="001B6D09" w:rsidR="006A54E2">
        <w:t xml:space="preserve"> </w:t>
      </w:r>
      <w:r w:rsidRPr="001B6D09" w:rsidR="004B6A3F">
        <w:t xml:space="preserve">have </w:t>
      </w:r>
      <w:r w:rsidRPr="001B6D09" w:rsidR="006A54E2">
        <w:t>the services of a lawyer in connection with the appeal</w:t>
      </w:r>
      <w:r w:rsidRPr="001B6D09" w:rsidR="004B6A3F">
        <w:t>,</w:t>
      </w:r>
      <w:r w:rsidRPr="001B6D09" w:rsidR="006B08EB">
        <w:t xml:space="preserve"> or that he </w:t>
      </w:r>
      <w:r w:rsidRPr="001B6D09" w:rsidR="004B6A3F">
        <w:t xml:space="preserve">was </w:t>
      </w:r>
      <w:r w:rsidRPr="001B6D09" w:rsidR="006B08EB">
        <w:t xml:space="preserve">hindered in </w:t>
      </w:r>
      <w:r w:rsidRPr="001B6D09">
        <w:t>preparing</w:t>
      </w:r>
      <w:r w:rsidRPr="001B6D09" w:rsidR="006B08EB">
        <w:t xml:space="preserve"> his appeal in any other respect (compare </w:t>
      </w:r>
      <w:r w:rsidRPr="001B6D09" w:rsidR="006B08EB">
        <w:rPr>
          <w:i/>
        </w:rPr>
        <w:t>Chorniy</w:t>
      </w:r>
      <w:r w:rsidRPr="001B6D09" w:rsidR="006B08EB">
        <w:t xml:space="preserve">, cited above, </w:t>
      </w:r>
      <w:r w:rsidRPr="001B6D09" w:rsidR="00903E10">
        <w:rPr>
          <w:rFonts w:cstheme="minorHAnsi"/>
        </w:rPr>
        <w:t>§</w:t>
      </w:r>
      <w:r w:rsidRPr="001B6D09" w:rsidR="00903E10">
        <w:t xml:space="preserve"> </w:t>
      </w:r>
      <w:r w:rsidRPr="001B6D09" w:rsidR="006B08EB">
        <w:rPr>
          <w:snapToGrid w:val="0"/>
        </w:rPr>
        <w:t>40)</w:t>
      </w:r>
      <w:r w:rsidRPr="001B6D09" w:rsidR="006A54E2">
        <w:t>.</w:t>
      </w:r>
    </w:p>
    <w:p w:rsidRPr="001B6D09" w:rsidR="006A54E2" w:rsidP="001B6D09" w:rsidRDefault="005D2379" w14:paraId="3166A707" w14:textId="2FDE84AA">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87</w:t>
      </w:r>
      <w:r w:rsidRPr="001B6D09">
        <w:fldChar w:fldCharType="end"/>
      </w:r>
      <w:r w:rsidRPr="001B6D09">
        <w:t>.  </w:t>
      </w:r>
      <w:r w:rsidRPr="001B6D09" w:rsidR="006A54E2">
        <w:t xml:space="preserve">The Court </w:t>
      </w:r>
      <w:r w:rsidRPr="001B6D09" w:rsidR="000929EF">
        <w:t xml:space="preserve">would </w:t>
      </w:r>
      <w:r w:rsidRPr="001B6D09" w:rsidR="006A54E2">
        <w:t>also stress that during the entire trial before the first-instance court</w:t>
      </w:r>
      <w:r w:rsidRPr="001B6D09" w:rsidR="007C35B5">
        <w:t>,</w:t>
      </w:r>
      <w:r w:rsidRPr="001B6D09" w:rsidR="006A54E2">
        <w:t xml:space="preserve"> the applicant was represented by E.H., a l</w:t>
      </w:r>
      <w:r w:rsidRPr="001B6D09" w:rsidR="00BC30B1">
        <w:t>a</w:t>
      </w:r>
      <w:r w:rsidRPr="001B6D09" w:rsidR="006A54E2">
        <w:t xml:space="preserve">wyer of his own </w:t>
      </w:r>
      <w:r w:rsidRPr="001B6D09" w:rsidR="00AA4493">
        <w:t xml:space="preserve">choosing, </w:t>
      </w:r>
      <w:r w:rsidRPr="001B6D09" w:rsidR="006A54E2">
        <w:t>and had ample time and opportunity to co</w:t>
      </w:r>
      <w:r w:rsidRPr="001B6D09" w:rsidR="00BC30B1">
        <w:t>n</w:t>
      </w:r>
      <w:r w:rsidRPr="001B6D09" w:rsidR="006A54E2">
        <w:t>fer with that lawyer and prepare his defence</w:t>
      </w:r>
      <w:r w:rsidRPr="001B6D09" w:rsidR="00BC30B1">
        <w:t xml:space="preserve"> (contrast </w:t>
      </w:r>
      <w:r w:rsidRPr="001B6D09" w:rsidR="00BC30B1">
        <w:rPr>
          <w:i/>
        </w:rPr>
        <w:t>Falcão dos Santos v. Portugal</w:t>
      </w:r>
      <w:r w:rsidRPr="001B6D09" w:rsidR="00BC30B1">
        <w:t>, no.</w:t>
      </w:r>
      <w:r w:rsidRPr="001B6D09" w:rsidR="003D2EA8">
        <w:t> </w:t>
      </w:r>
      <w:r w:rsidRPr="001B6D09" w:rsidR="00BC30B1">
        <w:t>50002/08</w:t>
      </w:r>
      <w:r w:rsidRPr="001B6D09" w:rsidR="00BC30B1">
        <w:rPr>
          <w:snapToGrid w:val="0"/>
        </w:rPr>
        <w:t>, § 44, 3 July 2012)</w:t>
      </w:r>
      <w:r w:rsidRPr="001B6D09" w:rsidR="006A54E2">
        <w:t xml:space="preserve">. </w:t>
      </w:r>
      <w:r w:rsidRPr="001B6D09" w:rsidR="00517BAD">
        <w:rPr>
          <w:rFonts w:ascii="Times New Roman" w:hAnsi="Times New Roman" w:eastAsia="Times New Roman" w:cs="Times New Roman"/>
          <w:lang w:eastAsia="en-GB"/>
        </w:rPr>
        <w:t xml:space="preserve">There is also no indication that the applicant was limited in </w:t>
      </w:r>
      <w:r w:rsidRPr="001B6D09" w:rsidR="00AA4493">
        <w:rPr>
          <w:rFonts w:ascii="Times New Roman" w:hAnsi="Times New Roman" w:eastAsia="Times New Roman" w:cs="Times New Roman"/>
          <w:lang w:eastAsia="en-GB"/>
        </w:rPr>
        <w:t xml:space="preserve">terms of how many </w:t>
      </w:r>
      <w:r w:rsidRPr="001B6D09" w:rsidR="00517BAD">
        <w:rPr>
          <w:rFonts w:ascii="Times New Roman" w:hAnsi="Times New Roman" w:eastAsia="Times New Roman" w:cs="Times New Roman"/>
          <w:lang w:eastAsia="en-GB"/>
        </w:rPr>
        <w:t xml:space="preserve">meetings </w:t>
      </w:r>
      <w:r w:rsidRPr="001B6D09" w:rsidR="00AA4493">
        <w:rPr>
          <w:rFonts w:ascii="Times New Roman" w:hAnsi="Times New Roman" w:eastAsia="Times New Roman" w:cs="Times New Roman"/>
          <w:lang w:eastAsia="en-GB"/>
        </w:rPr>
        <w:t xml:space="preserve">he had </w:t>
      </w:r>
      <w:r w:rsidRPr="001B6D09" w:rsidR="00517BAD">
        <w:rPr>
          <w:rFonts w:ascii="Times New Roman" w:hAnsi="Times New Roman" w:eastAsia="Times New Roman" w:cs="Times New Roman"/>
          <w:lang w:eastAsia="en-GB"/>
        </w:rPr>
        <w:t>with his chosen lawyer E.H. at any stage of the proceedings</w:t>
      </w:r>
      <w:r w:rsidRPr="001B6D09" w:rsidR="00AA4493">
        <w:rPr>
          <w:rFonts w:ascii="Times New Roman" w:hAnsi="Times New Roman" w:eastAsia="Times New Roman" w:cs="Times New Roman"/>
          <w:lang w:eastAsia="en-GB"/>
        </w:rPr>
        <w:t xml:space="preserve"> or how long those meetings were</w:t>
      </w:r>
      <w:r w:rsidRPr="001B6D09" w:rsidR="00517BAD">
        <w:rPr>
          <w:rFonts w:ascii="Times New Roman" w:hAnsi="Times New Roman" w:eastAsia="Times New Roman" w:cs="Times New Roman"/>
          <w:lang w:eastAsia="en-GB"/>
        </w:rPr>
        <w:t xml:space="preserve"> (compare </w:t>
      </w:r>
      <w:r w:rsidRPr="001B6D09" w:rsidR="00517BAD">
        <w:rPr>
          <w:i/>
          <w:iCs/>
        </w:rPr>
        <w:t>Lambin v. Russia</w:t>
      </w:r>
      <w:r w:rsidRPr="001B6D09" w:rsidR="00517BAD">
        <w:rPr>
          <w:lang w:eastAsia="en-GB"/>
        </w:rPr>
        <w:t xml:space="preserve">, no. </w:t>
      </w:r>
      <w:r w:rsidRPr="001B6D09" w:rsidR="00517BAD">
        <w:t>12668/08</w:t>
      </w:r>
      <w:r w:rsidRPr="001B6D09" w:rsidR="00517BAD">
        <w:rPr>
          <w:lang w:eastAsia="en-GB"/>
        </w:rPr>
        <w:t xml:space="preserve">, </w:t>
      </w:r>
      <w:r w:rsidRPr="001B6D09" w:rsidR="004D56AB">
        <w:t>§ </w:t>
      </w:r>
      <w:r w:rsidRPr="001B6D09" w:rsidR="00517BAD">
        <w:t>45, 21</w:t>
      </w:r>
      <w:r w:rsidRPr="001B6D09" w:rsidR="003D2EA8">
        <w:t> </w:t>
      </w:r>
      <w:r w:rsidRPr="001B6D09" w:rsidR="00517BAD">
        <w:t>November 2017)</w:t>
      </w:r>
      <w:r w:rsidRPr="001B6D09" w:rsidR="00517BAD">
        <w:rPr>
          <w:rFonts w:ascii="Times New Roman" w:hAnsi="Times New Roman" w:eastAsia="Times New Roman" w:cs="Times New Roman"/>
          <w:lang w:eastAsia="en-GB"/>
        </w:rPr>
        <w:t>.</w:t>
      </w:r>
    </w:p>
    <w:p w:rsidRPr="001B6D09" w:rsidR="006A54E2" w:rsidP="001B6D09" w:rsidRDefault="005D2379" w14:paraId="4A227403" w14:textId="7FE4651D">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88</w:t>
      </w:r>
      <w:r w:rsidRPr="001B6D09">
        <w:fldChar w:fldCharType="end"/>
      </w:r>
      <w:r w:rsidRPr="001B6D09">
        <w:t>.  </w:t>
      </w:r>
      <w:r w:rsidRPr="001B6D09" w:rsidR="006A54E2">
        <w:t>Therefore, at the stage when the Suprem</w:t>
      </w:r>
      <w:r w:rsidRPr="001B6D09" w:rsidR="00627334">
        <w:t>e</w:t>
      </w:r>
      <w:r w:rsidRPr="001B6D09" w:rsidR="006A54E2">
        <w:t xml:space="preserve"> Court </w:t>
      </w:r>
      <w:r w:rsidRPr="001B6D09" w:rsidR="00AA4493">
        <w:t xml:space="preserve">remitted the case </w:t>
      </w:r>
      <w:r w:rsidRPr="001B6D09" w:rsidR="006A54E2">
        <w:t xml:space="preserve">to the appeal court for fresh </w:t>
      </w:r>
      <w:r w:rsidRPr="001B6D09" w:rsidR="009E6070">
        <w:t>examination</w:t>
      </w:r>
      <w:r w:rsidRPr="001B6D09" w:rsidR="006A54E2">
        <w:t xml:space="preserve"> of the applicant</w:t>
      </w:r>
      <w:r w:rsidRPr="001B6D09" w:rsidR="001B6D09">
        <w:t>’</w:t>
      </w:r>
      <w:r w:rsidRPr="001B6D09" w:rsidR="006A54E2">
        <w:t>s and E.H.</w:t>
      </w:r>
      <w:r w:rsidRPr="001B6D09" w:rsidR="001B6D09">
        <w:t>’</w:t>
      </w:r>
      <w:r w:rsidRPr="001B6D09" w:rsidR="006A54E2">
        <w:t>s appeals</w:t>
      </w:r>
      <w:r w:rsidRPr="001B6D09" w:rsidR="00A52104">
        <w:t xml:space="preserve"> (see paragraph </w:t>
      </w:r>
      <w:r w:rsidRPr="001B6D09" w:rsidR="00A52104">
        <w:fldChar w:fldCharType="begin"/>
      </w:r>
      <w:r w:rsidRPr="001B6D09" w:rsidR="00A52104">
        <w:instrText xml:space="preserve"> REF SC_quashed \h </w:instrText>
      </w:r>
      <w:r w:rsidRPr="001B6D09" w:rsidR="00B809F5">
        <w:instrText xml:space="preserve"> \* MERGEFORMAT </w:instrText>
      </w:r>
      <w:r w:rsidRPr="001B6D09" w:rsidR="00A52104">
        <w:fldChar w:fldCharType="separate"/>
      </w:r>
      <w:r w:rsidRPr="001B6D09" w:rsidR="001B6D09">
        <w:rPr>
          <w:noProof/>
        </w:rPr>
        <w:t>54</w:t>
      </w:r>
      <w:r w:rsidRPr="001B6D09" w:rsidR="00A52104">
        <w:fldChar w:fldCharType="end"/>
      </w:r>
      <w:r w:rsidRPr="001B6D09" w:rsidR="00A52104">
        <w:t xml:space="preserve"> above)</w:t>
      </w:r>
      <w:r w:rsidRPr="001B6D09" w:rsidR="006A54E2">
        <w:t xml:space="preserve">, the applicant had already </w:t>
      </w:r>
      <w:r w:rsidRPr="001B6D09" w:rsidR="00AA4493">
        <w:t xml:space="preserve">benefitted </w:t>
      </w:r>
      <w:r w:rsidRPr="001B6D09" w:rsidR="006A54E2">
        <w:t>f</w:t>
      </w:r>
      <w:r w:rsidRPr="001B6D09" w:rsidR="00A255AF">
        <w:t>ro</w:t>
      </w:r>
      <w:r w:rsidRPr="001B6D09" w:rsidR="006A54E2">
        <w:t xml:space="preserve">m </w:t>
      </w:r>
      <w:r w:rsidRPr="001B6D09" w:rsidR="00AA4493">
        <w:t xml:space="preserve">the </w:t>
      </w:r>
      <w:r w:rsidRPr="001B6D09" w:rsidR="006A54E2">
        <w:t xml:space="preserve">services </w:t>
      </w:r>
      <w:r w:rsidRPr="001B6D09">
        <w:t>of</w:t>
      </w:r>
      <w:r w:rsidRPr="001B6D09" w:rsidR="006A54E2">
        <w:t xml:space="preserve"> his chosen lawyer and had had sufficient time to prepare his defence. In this connection</w:t>
      </w:r>
      <w:r w:rsidRPr="001B6D09" w:rsidR="00AA4493">
        <w:t>,</w:t>
      </w:r>
      <w:r w:rsidRPr="001B6D09" w:rsidR="006A54E2">
        <w:t xml:space="preserve"> the Court notes that the applicant, with the assistance of his lawyer, </w:t>
      </w:r>
      <w:r w:rsidRPr="001B6D09" w:rsidR="00AA4493">
        <w:t xml:space="preserve">put forward </w:t>
      </w:r>
      <w:r w:rsidRPr="001B6D09" w:rsidR="006A54E2">
        <w:t>his defence before the investigating judge (see parag</w:t>
      </w:r>
      <w:r w:rsidRPr="001B6D09">
        <w:t>raph</w:t>
      </w:r>
      <w:r w:rsidRPr="001B6D09" w:rsidR="006A54E2">
        <w:t xml:space="preserve"> </w:t>
      </w:r>
      <w:r w:rsidRPr="001B6D09" w:rsidR="009B2BC2">
        <w:fldChar w:fldCharType="begin"/>
      </w:r>
      <w:r w:rsidRPr="001B6D09" w:rsidR="009B2BC2">
        <w:instrText xml:space="preserve"> REF defence1 \h </w:instrText>
      </w:r>
      <w:r w:rsidRPr="001B6D09" w:rsidR="000B17E0">
        <w:instrText xml:space="preserve"> \* MERGEFORMAT </w:instrText>
      </w:r>
      <w:r w:rsidRPr="001B6D09" w:rsidR="009B2BC2">
        <w:fldChar w:fldCharType="separate"/>
      </w:r>
      <w:r w:rsidRPr="001B6D09" w:rsidR="001B6D09">
        <w:rPr>
          <w:noProof/>
        </w:rPr>
        <w:t>19</w:t>
      </w:r>
      <w:r w:rsidRPr="001B6D09" w:rsidR="009B2BC2">
        <w:fldChar w:fldCharType="end"/>
      </w:r>
      <w:r w:rsidRPr="001B6D09" w:rsidR="009B2BC2">
        <w:t xml:space="preserve"> </w:t>
      </w:r>
      <w:r w:rsidRPr="001B6D09" w:rsidR="006A54E2">
        <w:t>above)</w:t>
      </w:r>
      <w:r w:rsidRPr="001B6D09" w:rsidR="001D55B3">
        <w:t>,</w:t>
      </w:r>
      <w:r w:rsidRPr="001B6D09" w:rsidR="006A54E2">
        <w:t xml:space="preserve"> at the trial before the first</w:t>
      </w:r>
      <w:r w:rsidRPr="001B6D09" w:rsidR="00AA4493">
        <w:t>-</w:t>
      </w:r>
      <w:r w:rsidRPr="001B6D09" w:rsidR="006A54E2">
        <w:t>instance</w:t>
      </w:r>
      <w:r w:rsidRPr="001B6D09" w:rsidR="00AA4493">
        <w:t xml:space="preserve"> </w:t>
      </w:r>
      <w:r w:rsidRPr="001B6D09" w:rsidR="006A54E2">
        <w:t>court (see par</w:t>
      </w:r>
      <w:r w:rsidRPr="001B6D09" w:rsidR="00627334">
        <w:t>a</w:t>
      </w:r>
      <w:r w:rsidRPr="001B6D09" w:rsidR="006A54E2">
        <w:t>gr</w:t>
      </w:r>
      <w:r w:rsidRPr="001B6D09" w:rsidR="00627334">
        <w:t>a</w:t>
      </w:r>
      <w:r w:rsidRPr="001B6D09" w:rsidR="006A54E2">
        <w:t xml:space="preserve">ph </w:t>
      </w:r>
      <w:r w:rsidRPr="001B6D09" w:rsidR="009B2BC2">
        <w:fldChar w:fldCharType="begin"/>
      </w:r>
      <w:r w:rsidRPr="001B6D09" w:rsidR="009B2BC2">
        <w:instrText xml:space="preserve"> REF defence5 \h </w:instrText>
      </w:r>
      <w:r w:rsidRPr="001B6D09" w:rsidR="000B17E0">
        <w:instrText xml:space="preserve"> \* MERGEFORMAT </w:instrText>
      </w:r>
      <w:r w:rsidRPr="001B6D09" w:rsidR="009B2BC2">
        <w:fldChar w:fldCharType="separate"/>
      </w:r>
      <w:r w:rsidRPr="001B6D09" w:rsidR="001B6D09">
        <w:rPr>
          <w:noProof/>
        </w:rPr>
        <w:t>30</w:t>
      </w:r>
      <w:r w:rsidRPr="001B6D09" w:rsidR="009B2BC2">
        <w:fldChar w:fldCharType="end"/>
      </w:r>
      <w:r w:rsidRPr="001B6D09" w:rsidR="009B2BC2">
        <w:t xml:space="preserve"> </w:t>
      </w:r>
      <w:r w:rsidRPr="001B6D09">
        <w:t>above</w:t>
      </w:r>
      <w:r w:rsidRPr="001B6D09" w:rsidR="006A54E2">
        <w:t>)</w:t>
      </w:r>
      <w:r w:rsidRPr="001B6D09" w:rsidR="00AA4493">
        <w:t>,</w:t>
      </w:r>
      <w:r w:rsidRPr="001B6D09" w:rsidR="006A54E2">
        <w:t xml:space="preserve"> and on three occasions submitted </w:t>
      </w:r>
      <w:r w:rsidRPr="001B6D09" w:rsidR="00FE56A3">
        <w:t xml:space="preserve">an </w:t>
      </w:r>
      <w:r w:rsidRPr="001B6D09" w:rsidR="006A54E2">
        <w:t>additional written defence</w:t>
      </w:r>
      <w:r w:rsidRPr="001B6D09" w:rsidR="007C35B5">
        <w:t xml:space="preserve"> arguments </w:t>
      </w:r>
      <w:r w:rsidRPr="001B6D09" w:rsidR="006A54E2">
        <w:t xml:space="preserve">(see </w:t>
      </w:r>
      <w:r w:rsidRPr="001B6D09">
        <w:t>paragraphs</w:t>
      </w:r>
      <w:r w:rsidRPr="001B6D09" w:rsidR="006A54E2">
        <w:t xml:space="preserve"> </w:t>
      </w:r>
      <w:r w:rsidRPr="001B6D09" w:rsidR="009B2BC2">
        <w:fldChar w:fldCharType="begin"/>
      </w:r>
      <w:r w:rsidRPr="001B6D09" w:rsidR="009B2BC2">
        <w:instrText xml:space="preserve"> REF defence2 \h </w:instrText>
      </w:r>
      <w:r w:rsidRPr="001B6D09" w:rsidR="000B17E0">
        <w:instrText xml:space="preserve"> \* MERGEFORMAT </w:instrText>
      </w:r>
      <w:r w:rsidRPr="001B6D09" w:rsidR="009B2BC2">
        <w:fldChar w:fldCharType="separate"/>
      </w:r>
      <w:r w:rsidRPr="001B6D09" w:rsidR="001B6D09">
        <w:rPr>
          <w:noProof/>
        </w:rPr>
        <w:t>25</w:t>
      </w:r>
      <w:r w:rsidRPr="001B6D09" w:rsidR="009B2BC2">
        <w:fldChar w:fldCharType="end"/>
      </w:r>
      <w:r w:rsidRPr="001B6D09" w:rsidR="00CC45DE">
        <w:t xml:space="preserve">, </w:t>
      </w:r>
      <w:r w:rsidRPr="001B6D09" w:rsidR="009B2BC2">
        <w:fldChar w:fldCharType="begin"/>
      </w:r>
      <w:r w:rsidRPr="001B6D09" w:rsidR="009B2BC2">
        <w:instrText xml:space="preserve"> REF defence3 \h </w:instrText>
      </w:r>
      <w:r w:rsidRPr="001B6D09" w:rsidR="000B17E0">
        <w:instrText xml:space="preserve"> \* MERGEFORMAT </w:instrText>
      </w:r>
      <w:r w:rsidRPr="001B6D09" w:rsidR="009B2BC2">
        <w:fldChar w:fldCharType="separate"/>
      </w:r>
      <w:r w:rsidRPr="001B6D09" w:rsidR="001B6D09">
        <w:rPr>
          <w:noProof/>
        </w:rPr>
        <w:t>27</w:t>
      </w:r>
      <w:r w:rsidRPr="001B6D09" w:rsidR="009B2BC2">
        <w:fldChar w:fldCharType="end"/>
      </w:r>
      <w:r w:rsidRPr="001B6D09" w:rsidR="009B2BC2">
        <w:t xml:space="preserve"> </w:t>
      </w:r>
      <w:r w:rsidRPr="001B6D09" w:rsidR="00CC45DE">
        <w:t xml:space="preserve">and </w:t>
      </w:r>
      <w:r w:rsidRPr="001B6D09" w:rsidR="009B2BC2">
        <w:fldChar w:fldCharType="begin"/>
      </w:r>
      <w:r w:rsidRPr="001B6D09" w:rsidR="009B2BC2">
        <w:instrText xml:space="preserve"> REF defence4 \h </w:instrText>
      </w:r>
      <w:r w:rsidRPr="001B6D09" w:rsidR="000B17E0">
        <w:instrText xml:space="preserve"> \* MERGEFORMAT </w:instrText>
      </w:r>
      <w:r w:rsidRPr="001B6D09" w:rsidR="009B2BC2">
        <w:fldChar w:fldCharType="separate"/>
      </w:r>
      <w:r w:rsidRPr="001B6D09" w:rsidR="001B6D09">
        <w:rPr>
          <w:noProof/>
        </w:rPr>
        <w:t>28</w:t>
      </w:r>
      <w:r w:rsidRPr="001B6D09" w:rsidR="009B2BC2">
        <w:fldChar w:fldCharType="end"/>
      </w:r>
      <w:r w:rsidRPr="001B6D09" w:rsidR="009B2BC2">
        <w:t xml:space="preserve"> </w:t>
      </w:r>
      <w:r w:rsidRPr="001B6D09" w:rsidR="006A54E2">
        <w:t xml:space="preserve">above). </w:t>
      </w:r>
      <w:r w:rsidRPr="001B6D09" w:rsidR="00F347C3">
        <w:t xml:space="preserve">The national courts gave the applicant </w:t>
      </w:r>
      <w:r w:rsidRPr="001B6D09" w:rsidR="006A29AF">
        <w:t>sufficient</w:t>
      </w:r>
      <w:r w:rsidRPr="001B6D09" w:rsidR="00F347C3">
        <w:t xml:space="preserve"> opportunity to hire another lawyer</w:t>
      </w:r>
      <w:r w:rsidRPr="001B6D09" w:rsidR="00FE56A3">
        <w:t>,</w:t>
      </w:r>
      <w:r w:rsidRPr="001B6D09" w:rsidR="00F347C3">
        <w:t xml:space="preserve"> but </w:t>
      </w:r>
      <w:r w:rsidRPr="001B6D09" w:rsidR="00FE56A3">
        <w:t xml:space="preserve">he </w:t>
      </w:r>
      <w:r w:rsidRPr="001B6D09" w:rsidR="00F347C3">
        <w:t>failed to do so.</w:t>
      </w:r>
    </w:p>
    <w:p w:rsidRPr="001B6D09" w:rsidR="00627334" w:rsidP="001B6D09" w:rsidRDefault="005D2379" w14:paraId="26C960F9" w14:textId="1842E867">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89</w:t>
      </w:r>
      <w:r w:rsidRPr="001B6D09">
        <w:fldChar w:fldCharType="end"/>
      </w:r>
      <w:r w:rsidRPr="001B6D09">
        <w:t>.  </w:t>
      </w:r>
      <w:r w:rsidRPr="001B6D09" w:rsidR="00627334">
        <w:t>In his oral and written defence</w:t>
      </w:r>
      <w:r w:rsidRPr="001B6D09" w:rsidR="00FE56A3">
        <w:t>,</w:t>
      </w:r>
      <w:r w:rsidRPr="001B6D09" w:rsidR="00627334">
        <w:t xml:space="preserve"> as well as in his appeals</w:t>
      </w:r>
      <w:r w:rsidRPr="001B6D09" w:rsidR="00FE56A3">
        <w:t>,</w:t>
      </w:r>
      <w:r w:rsidRPr="001B6D09" w:rsidR="00627334">
        <w:t xml:space="preserve"> the applicant </w:t>
      </w:r>
      <w:r w:rsidRPr="001B6D09">
        <w:t>analysed</w:t>
      </w:r>
      <w:r w:rsidRPr="001B6D09" w:rsidR="00627334">
        <w:t xml:space="preserve"> the case in </w:t>
      </w:r>
      <w:r w:rsidRPr="001B6D09">
        <w:t>detail</w:t>
      </w:r>
      <w:r w:rsidRPr="001B6D09" w:rsidR="00FE56A3">
        <w:t xml:space="preserve"> and</w:t>
      </w:r>
      <w:r w:rsidRPr="001B6D09" w:rsidR="00627334">
        <w:t xml:space="preserve"> </w:t>
      </w:r>
      <w:r w:rsidRPr="001B6D09" w:rsidR="00627334">
        <w:rPr>
          <w:rFonts w:ascii="Times New Roman" w:hAnsi="Times New Roman" w:eastAsia="Times New Roman" w:cs="Times New Roman"/>
          <w:lang w:eastAsia="en-GB"/>
        </w:rPr>
        <w:t>referred extensively to all the main items of evidence, including expert opinion</w:t>
      </w:r>
      <w:r w:rsidRPr="001B6D09" w:rsidR="008F0FE3">
        <w:rPr>
          <w:rFonts w:ascii="Times New Roman" w:hAnsi="Times New Roman" w:eastAsia="Times New Roman" w:cs="Times New Roman"/>
          <w:lang w:eastAsia="en-GB"/>
        </w:rPr>
        <w:t>s</w:t>
      </w:r>
      <w:r w:rsidRPr="001B6D09" w:rsidR="00627334">
        <w:rPr>
          <w:rFonts w:ascii="Times New Roman" w:hAnsi="Times New Roman" w:eastAsia="Times New Roman" w:cs="Times New Roman"/>
          <w:lang w:eastAsia="en-GB"/>
        </w:rPr>
        <w:t xml:space="preserve"> and witness testimon</w:t>
      </w:r>
      <w:r w:rsidRPr="001B6D09" w:rsidR="008F0FE3">
        <w:rPr>
          <w:rFonts w:ascii="Times New Roman" w:hAnsi="Times New Roman" w:eastAsia="Times New Roman" w:cs="Times New Roman"/>
          <w:lang w:eastAsia="en-GB"/>
        </w:rPr>
        <w:t>ies</w:t>
      </w:r>
      <w:r w:rsidRPr="001B6D09" w:rsidR="00627334">
        <w:rPr>
          <w:rFonts w:ascii="Times New Roman" w:hAnsi="Times New Roman" w:eastAsia="Times New Roman" w:cs="Times New Roman"/>
          <w:lang w:eastAsia="en-GB"/>
        </w:rPr>
        <w:t xml:space="preserve"> (</w:t>
      </w:r>
      <w:r w:rsidRPr="001B6D09" w:rsidR="00CD09D9">
        <w:rPr>
          <w:rFonts w:ascii="Times New Roman" w:hAnsi="Times New Roman" w:eastAsia="Times New Roman" w:cs="Times New Roman"/>
          <w:lang w:eastAsia="en-GB"/>
        </w:rPr>
        <w:t xml:space="preserve">see paragraphs </w:t>
      </w:r>
      <w:r w:rsidRPr="001B6D09" w:rsidR="008F0FE3">
        <w:rPr>
          <w:rFonts w:ascii="Times New Roman" w:hAnsi="Times New Roman" w:eastAsia="Times New Roman" w:cs="Times New Roman"/>
          <w:lang w:eastAsia="en-GB"/>
        </w:rPr>
        <w:t>19, 25, 27-30</w:t>
      </w:r>
      <w:r w:rsidRPr="001B6D09" w:rsidR="00CD09D9">
        <w:rPr>
          <w:rFonts w:ascii="Times New Roman" w:hAnsi="Times New Roman" w:eastAsia="Times New Roman" w:cs="Times New Roman"/>
          <w:lang w:eastAsia="en-GB"/>
        </w:rPr>
        <w:t xml:space="preserve"> and </w:t>
      </w:r>
      <w:r w:rsidRPr="001B6D09" w:rsidR="008F0FE3">
        <w:rPr>
          <w:rFonts w:ascii="Times New Roman" w:hAnsi="Times New Roman" w:eastAsia="Times New Roman" w:cs="Times New Roman"/>
          <w:lang w:eastAsia="en-GB"/>
        </w:rPr>
        <w:t>36</w:t>
      </w:r>
      <w:r w:rsidRPr="001B6D09" w:rsidR="00CD09D9">
        <w:rPr>
          <w:rFonts w:ascii="Times New Roman" w:hAnsi="Times New Roman" w:eastAsia="Times New Roman" w:cs="Times New Roman"/>
          <w:lang w:eastAsia="en-GB"/>
        </w:rPr>
        <w:t xml:space="preserve"> above; </w:t>
      </w:r>
      <w:r w:rsidRPr="001B6D09" w:rsidR="008F0FE3">
        <w:rPr>
          <w:rFonts w:ascii="Times New Roman" w:hAnsi="Times New Roman" w:eastAsia="Times New Roman" w:cs="Times New Roman"/>
          <w:lang w:eastAsia="en-GB"/>
        </w:rPr>
        <w:t xml:space="preserve">also </w:t>
      </w:r>
      <w:r w:rsidRPr="001B6D09" w:rsidR="00627334">
        <w:rPr>
          <w:rFonts w:ascii="Times New Roman" w:hAnsi="Times New Roman" w:eastAsia="Times New Roman" w:cs="Times New Roman"/>
          <w:lang w:eastAsia="en-GB"/>
        </w:rPr>
        <w:t xml:space="preserve">compare </w:t>
      </w:r>
      <w:r w:rsidRPr="001B6D09" w:rsidR="00627334">
        <w:rPr>
          <w:rFonts w:ascii="Times New Roman" w:hAnsi="Times New Roman" w:eastAsia="Times New Roman" w:cs="Times New Roman"/>
          <w:i/>
          <w:lang w:eastAsia="en-GB"/>
        </w:rPr>
        <w:t>Lambin</w:t>
      </w:r>
      <w:r w:rsidRPr="001B6D09" w:rsidR="00627334">
        <w:rPr>
          <w:rFonts w:ascii="Times New Roman" w:hAnsi="Times New Roman" w:eastAsia="Times New Roman" w:cs="Times New Roman"/>
          <w:lang w:eastAsia="en-GB"/>
        </w:rPr>
        <w:t>, cited above, §</w:t>
      </w:r>
      <w:r w:rsidRPr="001B6D09" w:rsidR="008F0FE3">
        <w:rPr>
          <w:rFonts w:ascii="Times New Roman" w:hAnsi="Times New Roman" w:eastAsia="Times New Roman" w:cs="Times New Roman"/>
          <w:lang w:eastAsia="en-GB"/>
        </w:rPr>
        <w:t> </w:t>
      </w:r>
      <w:r w:rsidRPr="001B6D09" w:rsidR="00627334">
        <w:rPr>
          <w:rFonts w:ascii="Times New Roman" w:hAnsi="Times New Roman" w:eastAsia="Times New Roman" w:cs="Times New Roman"/>
          <w:lang w:eastAsia="en-GB"/>
        </w:rPr>
        <w:t>44).</w:t>
      </w:r>
    </w:p>
    <w:p w:rsidRPr="001B6D09" w:rsidR="006A54E2" w:rsidP="001B6D09" w:rsidRDefault="005D2379" w14:paraId="1699E7AF" w14:textId="75B9D74E">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90</w:t>
      </w:r>
      <w:r w:rsidRPr="001B6D09">
        <w:fldChar w:fldCharType="end"/>
      </w:r>
      <w:r w:rsidRPr="001B6D09">
        <w:t>.  </w:t>
      </w:r>
      <w:r w:rsidRPr="001B6D09" w:rsidR="006A54E2">
        <w:t xml:space="preserve">Given the </w:t>
      </w:r>
      <w:r w:rsidRPr="001B6D09">
        <w:t>particular</w:t>
      </w:r>
      <w:r w:rsidRPr="001B6D09" w:rsidR="006A54E2">
        <w:t xml:space="preserve"> circumstances of the case</w:t>
      </w:r>
      <w:r w:rsidRPr="001B6D09" w:rsidR="00FE56A3">
        <w:t>,</w:t>
      </w:r>
      <w:r w:rsidRPr="001B6D09" w:rsidR="006A54E2">
        <w:t xml:space="preserve"> the Court consider</w:t>
      </w:r>
      <w:r w:rsidRPr="001B6D09" w:rsidR="006B08EB">
        <w:t>s</w:t>
      </w:r>
      <w:r w:rsidRPr="001B6D09" w:rsidR="006A54E2">
        <w:t xml:space="preserve"> that the brevity of the </w:t>
      </w:r>
      <w:r w:rsidRPr="001B6D09">
        <w:t>period</w:t>
      </w:r>
      <w:r w:rsidRPr="001B6D09" w:rsidR="006A54E2">
        <w:t xml:space="preserve"> between the applicant </w:t>
      </w:r>
      <w:r w:rsidRPr="001B6D09" w:rsidR="00955967">
        <w:t xml:space="preserve">being </w:t>
      </w:r>
      <w:r w:rsidRPr="001B6D09" w:rsidR="006A54E2">
        <w:t xml:space="preserve">informed of the appeal </w:t>
      </w:r>
      <w:r w:rsidRPr="001B6D09" w:rsidR="007C35B5">
        <w:t xml:space="preserve">court </w:t>
      </w:r>
      <w:r w:rsidRPr="001B6D09" w:rsidR="006A54E2">
        <w:t>session and that session</w:t>
      </w:r>
      <w:r w:rsidRPr="001B6D09" w:rsidR="00955967">
        <w:t xml:space="preserve"> actually taking place</w:t>
      </w:r>
      <w:r w:rsidRPr="001B6D09" w:rsidR="006A54E2">
        <w:t xml:space="preserve"> </w:t>
      </w:r>
      <w:r w:rsidRPr="001B6D09" w:rsidR="006B08EB">
        <w:t>did not restrict</w:t>
      </w:r>
      <w:r w:rsidRPr="001B6D09" w:rsidR="006A54E2">
        <w:t xml:space="preserve"> </w:t>
      </w:r>
      <w:r w:rsidRPr="001B6D09" w:rsidR="00EB6FDD">
        <w:t xml:space="preserve">his </w:t>
      </w:r>
      <w:r w:rsidRPr="001B6D09" w:rsidR="006A54E2">
        <w:t xml:space="preserve">right to adequate time and facilities to prepare his defence or his right to be legally represented in the </w:t>
      </w:r>
      <w:r w:rsidRPr="001B6D09">
        <w:t>criminal</w:t>
      </w:r>
      <w:r w:rsidRPr="001B6D09" w:rsidR="006A54E2">
        <w:t xml:space="preserve"> </w:t>
      </w:r>
      <w:r w:rsidRPr="001B6D09">
        <w:t>proceedings</w:t>
      </w:r>
      <w:r w:rsidRPr="001B6D09" w:rsidR="006A54E2">
        <w:t xml:space="preserve"> </w:t>
      </w:r>
      <w:r w:rsidRPr="001B6D09">
        <w:t>against</w:t>
      </w:r>
      <w:r w:rsidRPr="001B6D09" w:rsidR="006A54E2">
        <w:t xml:space="preserve"> him to such an extent that </w:t>
      </w:r>
      <w:r w:rsidRPr="001B6D09" w:rsidR="006B08EB">
        <w:t xml:space="preserve">it could be said that </w:t>
      </w:r>
      <w:r w:rsidRPr="001B6D09" w:rsidR="00EB6FDD">
        <w:t xml:space="preserve">he </w:t>
      </w:r>
      <w:r w:rsidRPr="001B6D09" w:rsidR="006B08EB">
        <w:rPr>
          <w:rFonts w:eastAsiaTheme="majorEastAsia"/>
        </w:rPr>
        <w:t>did not have the benefit of a fair trial.</w:t>
      </w:r>
    </w:p>
    <w:p w:rsidRPr="001B6D09" w:rsidR="006A54E2" w:rsidP="001B6D09" w:rsidRDefault="005D2379" w14:paraId="2959D308" w14:textId="40B78623">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91</w:t>
      </w:r>
      <w:r w:rsidRPr="001B6D09">
        <w:fldChar w:fldCharType="end"/>
      </w:r>
      <w:r w:rsidRPr="001B6D09">
        <w:t>.  </w:t>
      </w:r>
      <w:r w:rsidRPr="001B6D09" w:rsidR="006A54E2">
        <w:t xml:space="preserve">There has accordingly been no violation of Article 6 </w:t>
      </w:r>
      <w:r w:rsidRPr="001B6D09" w:rsidR="006A54E2">
        <w:rPr>
          <w:rFonts w:cstheme="minorHAnsi"/>
        </w:rPr>
        <w:t>§§</w:t>
      </w:r>
      <w:r w:rsidRPr="001B6D09" w:rsidR="006A54E2">
        <w:t xml:space="preserve"> 1 and 3 (b) and (c) of the </w:t>
      </w:r>
      <w:r w:rsidRPr="001B6D09">
        <w:t>Convention</w:t>
      </w:r>
      <w:r w:rsidRPr="001B6D09" w:rsidR="006A54E2">
        <w:t xml:space="preserve"> in that respect.</w:t>
      </w:r>
    </w:p>
    <w:p w:rsidRPr="001B6D09" w:rsidR="00240BC5" w:rsidP="001B6D09" w:rsidRDefault="007A53A3" w14:paraId="7601A50E" w14:textId="664256A7">
      <w:pPr>
        <w:pStyle w:val="JuH1"/>
      </w:pPr>
      <w:r w:rsidRPr="001B6D09">
        <w:t xml:space="preserve">Article 6 </w:t>
      </w:r>
      <w:r w:rsidRPr="001B6D09">
        <w:rPr>
          <w:rFonts w:cstheme="majorHAnsi"/>
        </w:rPr>
        <w:t>§</w:t>
      </w:r>
      <w:r w:rsidRPr="001B6D09">
        <w:t xml:space="preserve"> 3</w:t>
      </w:r>
      <w:r w:rsidRPr="001B6D09" w:rsidR="004D56AB">
        <w:t xml:space="preserve"> </w:t>
      </w:r>
      <w:r w:rsidRPr="001B6D09">
        <w:t xml:space="preserve">(c) </w:t>
      </w:r>
      <w:r w:rsidRPr="001B6D09" w:rsidR="00EB6FDD">
        <w:t>–</w:t>
      </w:r>
      <w:r w:rsidRPr="001B6D09">
        <w:t xml:space="preserve"> t</w:t>
      </w:r>
      <w:r w:rsidRPr="001B6D09" w:rsidR="00240BC5">
        <w:t>he applicant</w:t>
      </w:r>
      <w:r w:rsidRPr="001B6D09" w:rsidR="001B6D09">
        <w:t>’</w:t>
      </w:r>
      <w:r w:rsidRPr="001B6D09" w:rsidR="00240BC5">
        <w:t xml:space="preserve">s absence from the session </w:t>
      </w:r>
      <w:r w:rsidRPr="001B6D09" w:rsidR="00EB6FDD">
        <w:t xml:space="preserve">before </w:t>
      </w:r>
      <w:r w:rsidRPr="001B6D09" w:rsidR="005A5D2F">
        <w:t xml:space="preserve">the </w:t>
      </w:r>
      <w:r w:rsidRPr="001B6D09" w:rsidR="00240BC5">
        <w:t xml:space="preserve">appeal </w:t>
      </w:r>
      <w:r w:rsidRPr="001B6D09" w:rsidR="008F0FE3">
        <w:t>court</w:t>
      </w:r>
    </w:p>
    <w:p w:rsidRPr="001B6D09" w:rsidR="005A5D2F" w:rsidP="001B6D09" w:rsidRDefault="005A5D2F" w14:paraId="38261168" w14:textId="0506AF48">
      <w:pPr>
        <w:pStyle w:val="JuHa0"/>
      </w:pPr>
      <w:r w:rsidRPr="001B6D09">
        <w:t>The parties</w:t>
      </w:r>
      <w:r w:rsidRPr="001B6D09" w:rsidR="001B6D09">
        <w:t>’</w:t>
      </w:r>
      <w:r w:rsidRPr="001B6D09">
        <w:t xml:space="preserve"> arguments</w:t>
      </w:r>
    </w:p>
    <w:p w:rsidRPr="001B6D09" w:rsidR="005A5D2F" w:rsidP="001B6D09" w:rsidRDefault="005A5D2F" w14:paraId="27769E6C" w14:textId="619129D1">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92</w:t>
      </w:r>
      <w:r w:rsidRPr="001B6D09">
        <w:fldChar w:fldCharType="end"/>
      </w:r>
      <w:r w:rsidRPr="001B6D09">
        <w:t>.  The applicant</w:t>
      </w:r>
      <w:r w:rsidRPr="001B6D09" w:rsidR="00AB73ED">
        <w:t xml:space="preserve"> argued that his absence from the appeal court</w:t>
      </w:r>
      <w:r w:rsidRPr="001B6D09" w:rsidR="001B6D09">
        <w:t>’</w:t>
      </w:r>
      <w:r w:rsidRPr="001B6D09" w:rsidR="00AB73ED">
        <w:t xml:space="preserve">s session </w:t>
      </w:r>
      <w:r w:rsidRPr="001B6D09" w:rsidR="008F0FE3">
        <w:t>held on</w:t>
      </w:r>
      <w:r w:rsidRPr="001B6D09" w:rsidR="00AB73ED">
        <w:t xml:space="preserve"> 16 February 2010 </w:t>
      </w:r>
      <w:r w:rsidRPr="001B6D09" w:rsidR="008F0FE3">
        <w:t>was in breach of</w:t>
      </w:r>
      <w:r w:rsidRPr="001B6D09" w:rsidR="00AB73ED">
        <w:t xml:space="preserve"> his right to defend himself in person.</w:t>
      </w:r>
    </w:p>
    <w:p w:rsidRPr="001B6D09" w:rsidR="0098277A" w:rsidP="001B6D09" w:rsidRDefault="005A5D2F" w14:paraId="0CA84E55" w14:textId="6631FCBC">
      <w:pPr>
        <w:pStyle w:val="JuPara"/>
        <w:jc w:val="both"/>
        <w:rPr>
          <w:snapToGrid w:val="0"/>
        </w:rPr>
      </w:pPr>
      <w:r w:rsidRPr="001B6D09">
        <w:fldChar w:fldCharType="begin"/>
      </w:r>
      <w:r w:rsidRPr="001B6D09">
        <w:instrText xml:space="preserve"> SEQ level0 \*arabic </w:instrText>
      </w:r>
      <w:r w:rsidRPr="001B6D09">
        <w:fldChar w:fldCharType="separate"/>
      </w:r>
      <w:r w:rsidRPr="001B6D09" w:rsidR="001B6D09">
        <w:rPr>
          <w:noProof/>
        </w:rPr>
        <w:t>93</w:t>
      </w:r>
      <w:r w:rsidRPr="001B6D09">
        <w:fldChar w:fldCharType="end"/>
      </w:r>
      <w:r w:rsidRPr="001B6D09">
        <w:t>.  The Government</w:t>
      </w:r>
      <w:r w:rsidRPr="001B6D09" w:rsidR="0098277A">
        <w:t xml:space="preserve"> argued that under the relevant domestic law the appellate court had </w:t>
      </w:r>
      <w:r w:rsidRPr="001B6D09" w:rsidR="00EB6FDD">
        <w:t xml:space="preserve">had </w:t>
      </w:r>
      <w:r w:rsidRPr="001B6D09" w:rsidR="0098277A">
        <w:t xml:space="preserve">the discretion to decide whether to allow the defendant to attend the session of the appeal panel. Furthermore, since the prosecution had not appealed against the first-instance judgment and had not been summoned to the session of the appeal panel, the Government </w:t>
      </w:r>
      <w:r w:rsidRPr="001B6D09" w:rsidR="00EB6FDD">
        <w:t xml:space="preserve">were of the opinion </w:t>
      </w:r>
      <w:r w:rsidRPr="001B6D09" w:rsidR="0098277A">
        <w:t xml:space="preserve">that the applicant had not been placed in a disadvantageous position </w:t>
      </w:r>
      <w:r w:rsidRPr="001B6D09" w:rsidR="0098277A">
        <w:rPr>
          <w:i/>
        </w:rPr>
        <w:t>vis-à-vis</w:t>
      </w:r>
      <w:r w:rsidRPr="001B6D09" w:rsidR="0098277A">
        <w:t xml:space="preserve"> the prosecution. Moreover, the applicant</w:t>
      </w:r>
      <w:r w:rsidRPr="001B6D09" w:rsidR="001B6D09">
        <w:t>’</w:t>
      </w:r>
      <w:r w:rsidRPr="001B6D09" w:rsidR="0098277A">
        <w:t xml:space="preserve">s appeal had been very detailed and </w:t>
      </w:r>
      <w:r w:rsidRPr="001B6D09" w:rsidR="00EB6FDD">
        <w:t xml:space="preserve">had </w:t>
      </w:r>
      <w:r w:rsidRPr="001B6D09" w:rsidR="0098277A">
        <w:t xml:space="preserve">mainly concerned the assessment of </w:t>
      </w:r>
      <w:r w:rsidRPr="001B6D09" w:rsidR="00463C4E">
        <w:t xml:space="preserve">the </w:t>
      </w:r>
      <w:r w:rsidRPr="001B6D09" w:rsidR="0098277A">
        <w:t xml:space="preserve">facts. Given all these circumstances, </w:t>
      </w:r>
      <w:r w:rsidRPr="001B6D09" w:rsidR="0098277A">
        <w:rPr>
          <w:snapToGrid w:val="0"/>
        </w:rPr>
        <w:t>the County Court had had no reason to hear him in person.</w:t>
      </w:r>
    </w:p>
    <w:p w:rsidRPr="001B6D09" w:rsidR="005A5D2F" w:rsidP="001B6D09" w:rsidRDefault="005A5D2F" w14:paraId="2FD1D617" w14:textId="3B52B5EB">
      <w:pPr>
        <w:pStyle w:val="JuHa0"/>
      </w:pPr>
      <w:r w:rsidRPr="001B6D09">
        <w:t>The Court</w:t>
      </w:r>
      <w:r w:rsidRPr="001B6D09" w:rsidR="001B6D09">
        <w:t>’</w:t>
      </w:r>
      <w:r w:rsidRPr="001B6D09">
        <w:t>s assessment</w:t>
      </w:r>
    </w:p>
    <w:p w:rsidRPr="001B6D09" w:rsidR="0006023D" w:rsidP="001B6D09" w:rsidRDefault="00302139" w14:paraId="200F0793" w14:textId="719A6AB6">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94</w:t>
      </w:r>
      <w:r w:rsidRPr="001B6D09">
        <w:fldChar w:fldCharType="end"/>
      </w:r>
      <w:r w:rsidRPr="001B6D09">
        <w:t>.  </w:t>
      </w:r>
      <w:r w:rsidRPr="001B6D09" w:rsidR="0006023D">
        <w:t xml:space="preserve">The Court notes that it has already found a violation of Article 6 §§ 1 and 3 (c) of the Convention in cases </w:t>
      </w:r>
      <w:r w:rsidRPr="001B6D09" w:rsidR="007A53A3">
        <w:t xml:space="preserve">against Croatia </w:t>
      </w:r>
      <w:r w:rsidRPr="001B6D09" w:rsidR="0006023D">
        <w:t xml:space="preserve">raising a similar issue </w:t>
      </w:r>
      <w:r w:rsidRPr="001B6D09" w:rsidR="00463C4E">
        <w:t xml:space="preserve">to that in </w:t>
      </w:r>
      <w:r w:rsidRPr="001B6D09" w:rsidR="0006023D">
        <w:t>the present case (see</w:t>
      </w:r>
      <w:r w:rsidRPr="001B6D09" w:rsidR="0006023D">
        <w:rPr>
          <w:i/>
        </w:rPr>
        <w:t xml:space="preserve"> Zahirović v. Croatia</w:t>
      </w:r>
      <w:r w:rsidRPr="001B6D09" w:rsidR="004D56AB">
        <w:t>, no. 58590/11, §§ 58-64, 25 </w:t>
      </w:r>
      <w:r w:rsidRPr="001B6D09" w:rsidR="0006023D">
        <w:t xml:space="preserve">April 2013; </w:t>
      </w:r>
      <w:r w:rsidRPr="001B6D09" w:rsidR="0006023D">
        <w:rPr>
          <w:i/>
        </w:rPr>
        <w:t>Lonić v. Croatia</w:t>
      </w:r>
      <w:r w:rsidRPr="001B6D09" w:rsidR="0006023D">
        <w:t>, no. 8067/12, §§ 94-102, 4 December 2014</w:t>
      </w:r>
      <w:r w:rsidRPr="001B6D09" w:rsidR="00463C4E">
        <w:t>;</w:t>
      </w:r>
      <w:r w:rsidRPr="001B6D09" w:rsidR="0006023D">
        <w:t xml:space="preserve"> and </w:t>
      </w:r>
      <w:r w:rsidRPr="001B6D09" w:rsidR="0006023D">
        <w:rPr>
          <w:i/>
        </w:rPr>
        <w:t>Arps v. Croatia</w:t>
      </w:r>
      <w:r w:rsidRPr="001B6D09" w:rsidR="0006023D">
        <w:t>, no. 23444/12, §§ 24-29, 25 October 2016).</w:t>
      </w:r>
    </w:p>
    <w:p w:rsidRPr="001B6D09" w:rsidR="0006023D" w:rsidP="001B6D09" w:rsidRDefault="0006023D" w14:paraId="7BA2565C" w14:textId="62B957FC">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95</w:t>
      </w:r>
      <w:r w:rsidRPr="001B6D09">
        <w:fldChar w:fldCharType="end"/>
      </w:r>
      <w:r w:rsidRPr="001B6D09">
        <w:t xml:space="preserve">. In </w:t>
      </w:r>
      <w:r w:rsidRPr="001B6D09" w:rsidR="00200B4B">
        <w:t xml:space="preserve">the </w:t>
      </w:r>
      <w:r w:rsidRPr="001B6D09" w:rsidR="00644748">
        <w:t xml:space="preserve">above-cited </w:t>
      </w:r>
      <w:r w:rsidRPr="001B6D09">
        <w:t>cases</w:t>
      </w:r>
      <w:r w:rsidRPr="001B6D09" w:rsidR="00463C4E">
        <w:t>,</w:t>
      </w:r>
      <w:r w:rsidRPr="001B6D09">
        <w:t xml:space="preserve"> the Court addressed the </w:t>
      </w:r>
      <w:r w:rsidRPr="001B6D09" w:rsidR="00621587">
        <w:t xml:space="preserve">same </w:t>
      </w:r>
      <w:r w:rsidRPr="001B6D09">
        <w:t xml:space="preserve">arguments </w:t>
      </w:r>
      <w:r w:rsidRPr="001B6D09" w:rsidR="00621587">
        <w:t xml:space="preserve">as those </w:t>
      </w:r>
      <w:r w:rsidRPr="001B6D09">
        <w:t>put forward by the Government in the present case. Having examined all the material submitted to it, the</w:t>
      </w:r>
      <w:r w:rsidRPr="001B6D09" w:rsidR="00463C4E">
        <w:t xml:space="preserve"> Court considers that the</w:t>
      </w:r>
      <w:r w:rsidRPr="001B6D09">
        <w:t xml:space="preserve"> Government have not put forward any fact or argument capable of persuading </w:t>
      </w:r>
      <w:r w:rsidRPr="001B6D09" w:rsidR="00463C4E">
        <w:t xml:space="preserve">it </w:t>
      </w:r>
      <w:r w:rsidRPr="001B6D09">
        <w:t>to reach a different conclusion in the present case.</w:t>
      </w:r>
    </w:p>
    <w:p w:rsidRPr="001B6D09" w:rsidR="001B3726" w:rsidP="001B6D09" w:rsidRDefault="0006023D" w14:paraId="0A193AE2" w14:textId="7FD92826">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96</w:t>
      </w:r>
      <w:r w:rsidRPr="001B6D09">
        <w:fldChar w:fldCharType="end"/>
      </w:r>
      <w:r w:rsidRPr="001B6D09">
        <w:t>.  There has accordingly been a violation of Article 6 §§ 1 and 3 (c) of the Convention.</w:t>
      </w:r>
    </w:p>
    <w:p w:rsidRPr="001B6D09" w:rsidR="00D420F3" w:rsidP="001B6D09" w:rsidRDefault="0077175D" w14:paraId="023687A2" w14:textId="431D688F">
      <w:pPr>
        <w:pStyle w:val="JuHIRoman"/>
      </w:pPr>
      <w:r w:rsidRPr="001B6D09">
        <w:t xml:space="preserve">ALLEGED VIOLATION OF ARTICLE </w:t>
      </w:r>
      <w:r w:rsidRPr="001B6D09" w:rsidR="006A0651">
        <w:t>4 OF PROTOCOL N</w:t>
      </w:r>
      <w:r w:rsidRPr="001B6D09" w:rsidR="00670865">
        <w:t>o</w:t>
      </w:r>
      <w:r w:rsidRPr="001B6D09" w:rsidR="004D56AB">
        <w:t>.</w:t>
      </w:r>
      <w:r w:rsidRPr="001B6D09" w:rsidR="006A0651">
        <w:t xml:space="preserve"> 7 TO</w:t>
      </w:r>
      <w:r w:rsidRPr="001B6D09">
        <w:t xml:space="preserve"> THE CONVENTION</w:t>
      </w:r>
    </w:p>
    <w:p w:rsidRPr="001B6D09" w:rsidR="007A53A3" w:rsidP="001B6D09" w:rsidRDefault="006374CD" w14:paraId="00FE0D59" w14:textId="380BD440">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97</w:t>
      </w:r>
      <w:r w:rsidRPr="001B6D09">
        <w:fldChar w:fldCharType="end"/>
      </w:r>
      <w:r w:rsidRPr="001B6D09" w:rsidR="0077175D">
        <w:t xml:space="preserve">.  The applicant complained </w:t>
      </w:r>
      <w:r w:rsidRPr="001B6D09" w:rsidR="001221E7">
        <w:t>that he had been tried twice for the same offence.</w:t>
      </w:r>
      <w:r w:rsidRPr="001B6D09" w:rsidR="0077175D">
        <w:t xml:space="preserve"> </w:t>
      </w:r>
      <w:r w:rsidRPr="001B6D09">
        <w:t>He</w:t>
      </w:r>
      <w:r w:rsidRPr="001B6D09" w:rsidR="0077175D">
        <w:t xml:space="preserve"> relied on Article </w:t>
      </w:r>
      <w:r w:rsidRPr="001B6D09" w:rsidR="007A53A3">
        <w:t>4 of Protocol No. 7 to the Convention, which reads as follows:</w:t>
      </w:r>
    </w:p>
    <w:p w:rsidRPr="001B6D09" w:rsidR="007A53A3" w:rsidP="001B6D09" w:rsidRDefault="007A53A3" w14:paraId="2D52CB5A" w14:textId="77777777">
      <w:pPr>
        <w:pStyle w:val="JuQuot"/>
        <w:jc w:val="both"/>
      </w:pPr>
      <w:r w:rsidRPr="001B6D09">
        <w:t>“1.  No one shall be liable to be tried or punished again in criminal proceedings under the jurisdiction of the same State for an offence for which he has already been finally acquitted or convicted in accordance with the law and penal procedure of that State.</w:t>
      </w:r>
    </w:p>
    <w:p w:rsidRPr="001B6D09" w:rsidR="007A53A3" w:rsidP="001B6D09" w:rsidRDefault="007A53A3" w14:paraId="5C501920" w14:textId="77777777">
      <w:pPr>
        <w:pStyle w:val="JuQuot"/>
        <w:jc w:val="both"/>
      </w:pPr>
      <w:r w:rsidRPr="001B6D09">
        <w:t>2.  The provisions of the preceding paragraph shall not prevent the reopening of the case in accordance with the law and penal procedure of the State concerned, if there is evidence of new or newly discovered facts, or if there has been a fundamental defect in the previous proceedings, which could affect the outcome of the case.</w:t>
      </w:r>
    </w:p>
    <w:p w:rsidRPr="001B6D09" w:rsidR="007A53A3" w:rsidP="001B6D09" w:rsidRDefault="007A53A3" w14:paraId="07E0BABB" w14:textId="77777777">
      <w:pPr>
        <w:pStyle w:val="JuQuot"/>
        <w:jc w:val="both"/>
      </w:pPr>
      <w:r w:rsidRPr="001B6D09">
        <w:t>3.  No derogation from this Article shall be made under Article 15 of the Convention.”</w:t>
      </w:r>
    </w:p>
    <w:p w:rsidRPr="001B6D09" w:rsidR="007A53A3" w:rsidP="001B6D09" w:rsidRDefault="007A53A3" w14:paraId="5368487C" w14:textId="2F2926B6">
      <w:pPr>
        <w:pStyle w:val="JuHA"/>
      </w:pPr>
      <w:r w:rsidRPr="001B6D09">
        <w:t>Admissibility</w:t>
      </w:r>
    </w:p>
    <w:p w:rsidRPr="001B6D09" w:rsidR="007A53A3" w:rsidP="001B6D09" w:rsidRDefault="007A53A3" w14:paraId="62B1B1DC" w14:textId="2A26C51B">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98</w:t>
      </w:r>
      <w:r w:rsidRPr="001B6D09">
        <w:fldChar w:fldCharType="end"/>
      </w:r>
      <w:r w:rsidRPr="001B6D09">
        <w:t>.  The Court notes that this complaint is not manifestly ill-founded within the meaning of Article 35 § 3 (a) of the Convention</w:t>
      </w:r>
      <w:r w:rsidRPr="001B6D09" w:rsidR="009D792F">
        <w:t xml:space="preserve"> or </w:t>
      </w:r>
      <w:r w:rsidRPr="001B6D09">
        <w:t>inadmissible on any other grounds. It must therefore be declared admissible.</w:t>
      </w:r>
    </w:p>
    <w:p w:rsidRPr="001B6D09" w:rsidR="007A53A3" w:rsidP="001B6D09" w:rsidRDefault="007A53A3" w14:paraId="56012594" w14:textId="2BD2565D">
      <w:pPr>
        <w:pStyle w:val="JuHA"/>
      </w:pPr>
      <w:r w:rsidRPr="001B6D09">
        <w:t>Merits</w:t>
      </w:r>
    </w:p>
    <w:p w:rsidRPr="001B6D09" w:rsidR="007A53A3" w:rsidP="001B6D09" w:rsidRDefault="007A53A3" w14:paraId="050B84BF" w14:textId="4AE1C777">
      <w:pPr>
        <w:pStyle w:val="JuH1"/>
      </w:pPr>
      <w:r w:rsidRPr="001B6D09">
        <w:t>The parties</w:t>
      </w:r>
      <w:r w:rsidRPr="001B6D09" w:rsidR="001B6D09">
        <w:t>’</w:t>
      </w:r>
      <w:r w:rsidRPr="001B6D09">
        <w:t xml:space="preserve"> arguments</w:t>
      </w:r>
    </w:p>
    <w:p w:rsidRPr="001B6D09" w:rsidR="007A53A3" w:rsidP="001B6D09" w:rsidRDefault="007A53A3" w14:paraId="25F04F08" w14:textId="3949DEB3">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99</w:t>
      </w:r>
      <w:r w:rsidRPr="001B6D09">
        <w:fldChar w:fldCharType="end"/>
      </w:r>
      <w:r w:rsidRPr="001B6D09">
        <w:t xml:space="preserve">.  The applicant </w:t>
      </w:r>
      <w:r w:rsidRPr="001B6D09" w:rsidR="00C30319">
        <w:t>maintained</w:t>
      </w:r>
      <w:r w:rsidRPr="001B6D09">
        <w:t xml:space="preserve"> that </w:t>
      </w:r>
      <w:r w:rsidRPr="001B6D09" w:rsidR="00200B4B">
        <w:t xml:space="preserve">he had been punished twice for the same offence </w:t>
      </w:r>
      <w:r w:rsidRPr="001B6D09" w:rsidR="00734017">
        <w:t xml:space="preserve">by </w:t>
      </w:r>
      <w:r w:rsidRPr="001B6D09" w:rsidR="00C30319">
        <w:t>two</w:t>
      </w:r>
      <w:r w:rsidRPr="001B6D09" w:rsidR="00734017">
        <w:t xml:space="preserve"> judgments of the Zagreb Minor</w:t>
      </w:r>
      <w:r w:rsidRPr="001B6D09" w:rsidR="00200B4B">
        <w:t xml:space="preserve"> O</w:t>
      </w:r>
      <w:r w:rsidRPr="001B6D09" w:rsidR="00734017">
        <w:t xml:space="preserve">ffences Court </w:t>
      </w:r>
      <w:r w:rsidRPr="001B6D09" w:rsidR="00903E10">
        <w:t xml:space="preserve">(see paragraphs </w:t>
      </w:r>
      <w:r w:rsidRPr="001B6D09" w:rsidR="002B758B">
        <w:fldChar w:fldCharType="begin"/>
      </w:r>
      <w:r w:rsidRPr="001B6D09" w:rsidR="002B758B">
        <w:instrText xml:space="preserve"> REF fourth_minor_offence_judgment \h </w:instrText>
      </w:r>
      <w:r w:rsidRPr="001B6D09" w:rsidR="00B809F5">
        <w:instrText xml:space="preserve"> \* MERGEFORMAT </w:instrText>
      </w:r>
      <w:r w:rsidRPr="001B6D09" w:rsidR="002B758B">
        <w:fldChar w:fldCharType="separate"/>
      </w:r>
      <w:r w:rsidRPr="001B6D09" w:rsidR="001B6D09">
        <w:rPr>
          <w:noProof/>
        </w:rPr>
        <w:t>9</w:t>
      </w:r>
      <w:r w:rsidRPr="001B6D09" w:rsidR="002B758B">
        <w:fldChar w:fldCharType="end"/>
      </w:r>
      <w:r w:rsidRPr="001B6D09" w:rsidR="002B758B">
        <w:t xml:space="preserve"> </w:t>
      </w:r>
      <w:r w:rsidRPr="001B6D09" w:rsidR="00903E10">
        <w:t xml:space="preserve">and </w:t>
      </w:r>
      <w:r w:rsidRPr="001B6D09" w:rsidR="007C35B5">
        <w:fldChar w:fldCharType="begin"/>
      </w:r>
      <w:r w:rsidRPr="001B6D09" w:rsidR="007C35B5">
        <w:instrText xml:space="preserve"> REF fifth_minor_offence_judgment \h </w:instrText>
      </w:r>
      <w:r w:rsidRPr="001B6D09" w:rsidR="00B809F5">
        <w:instrText xml:space="preserve"> \* MERGEFORMAT </w:instrText>
      </w:r>
      <w:r w:rsidRPr="001B6D09" w:rsidR="007C35B5">
        <w:fldChar w:fldCharType="separate"/>
      </w:r>
      <w:r w:rsidRPr="001B6D09" w:rsidR="001B6D09">
        <w:rPr>
          <w:noProof/>
        </w:rPr>
        <w:t>13</w:t>
      </w:r>
      <w:r w:rsidRPr="001B6D09" w:rsidR="007C35B5">
        <w:fldChar w:fldCharType="end"/>
      </w:r>
      <w:r w:rsidRPr="001B6D09" w:rsidR="00F628E4">
        <w:t xml:space="preserve"> </w:t>
      </w:r>
      <w:r w:rsidRPr="001B6D09" w:rsidR="00903E10">
        <w:t xml:space="preserve">above) </w:t>
      </w:r>
      <w:r w:rsidRPr="001B6D09" w:rsidR="00734017">
        <w:t xml:space="preserve">and </w:t>
      </w:r>
      <w:r w:rsidRPr="001B6D09" w:rsidR="00200B4B">
        <w:t xml:space="preserve">the </w:t>
      </w:r>
      <w:r w:rsidRPr="001B6D09" w:rsidR="00734017">
        <w:t xml:space="preserve">judgment of the </w:t>
      </w:r>
      <w:r w:rsidRPr="001B6D09" w:rsidR="004D56AB">
        <w:t xml:space="preserve">Municipal Court of </w:t>
      </w:r>
      <w:r w:rsidRPr="001B6D09" w:rsidR="00200B4B">
        <w:t>1</w:t>
      </w:r>
      <w:r w:rsidRPr="001B6D09" w:rsidR="004D56AB">
        <w:t>4 </w:t>
      </w:r>
      <w:r w:rsidRPr="001B6D09" w:rsidR="00734017">
        <w:t>July 200</w:t>
      </w:r>
      <w:r w:rsidRPr="001B6D09" w:rsidR="00A0505F">
        <w:t>9</w:t>
      </w:r>
      <w:r w:rsidRPr="001B6D09" w:rsidR="00903E10">
        <w:t xml:space="preserve"> (see paragraph </w:t>
      </w:r>
      <w:r w:rsidRPr="001B6D09" w:rsidR="00903E10">
        <w:fldChar w:fldCharType="begin"/>
      </w:r>
      <w:r w:rsidRPr="001B6D09" w:rsidR="00903E10">
        <w:instrText xml:space="preserve"> REF criminal_judgment \h </w:instrText>
      </w:r>
      <w:r w:rsidRPr="001B6D09" w:rsidR="00B809F5">
        <w:instrText xml:space="preserve"> \* MERGEFORMAT </w:instrText>
      </w:r>
      <w:r w:rsidRPr="001B6D09" w:rsidR="00903E10">
        <w:fldChar w:fldCharType="separate"/>
      </w:r>
      <w:r w:rsidRPr="001B6D09" w:rsidR="001B6D09">
        <w:rPr>
          <w:noProof/>
        </w:rPr>
        <w:t>33</w:t>
      </w:r>
      <w:r w:rsidRPr="001B6D09" w:rsidR="00903E10">
        <w:fldChar w:fldCharType="end"/>
      </w:r>
      <w:r w:rsidRPr="001B6D09" w:rsidR="00903E10">
        <w:t xml:space="preserve"> above)</w:t>
      </w:r>
      <w:r w:rsidRPr="001B6D09" w:rsidR="00734017">
        <w:t xml:space="preserve">. </w:t>
      </w:r>
      <w:r w:rsidRPr="001B6D09" w:rsidR="00C30319">
        <w:t>He argued that the minor-offence proceedings and the proceedings on indictment had had the same purpose</w:t>
      </w:r>
      <w:r w:rsidRPr="001B6D09" w:rsidR="00200B4B">
        <w:t>,</w:t>
      </w:r>
      <w:r w:rsidRPr="001B6D09" w:rsidR="00C30319">
        <w:t xml:space="preserve"> because the minor offence under section 4 of the Protection against Domestic Violence Act</w:t>
      </w:r>
      <w:r w:rsidRPr="001B6D09" w:rsidR="00C30319">
        <w:rPr>
          <w:lang w:eastAsia="en-GB"/>
        </w:rPr>
        <w:t xml:space="preserve"> </w:t>
      </w:r>
      <w:r w:rsidRPr="001B6D09" w:rsidR="00C30319">
        <w:t>and the criminal offences under Article 215a of the Criminal Code both concern</w:t>
      </w:r>
      <w:r w:rsidRPr="001B6D09" w:rsidR="00200B4B">
        <w:t>ed</w:t>
      </w:r>
      <w:r w:rsidRPr="001B6D09" w:rsidR="00C30319">
        <w:t xml:space="preserve"> violent behaviour </w:t>
      </w:r>
      <w:r w:rsidRPr="001B6D09" w:rsidR="00121C94">
        <w:t>with</w:t>
      </w:r>
      <w:r w:rsidRPr="001B6D09" w:rsidR="00C30319">
        <w:t xml:space="preserve">in </w:t>
      </w:r>
      <w:r w:rsidRPr="001B6D09" w:rsidR="00200B4B">
        <w:t xml:space="preserve">the </w:t>
      </w:r>
      <w:r w:rsidRPr="001B6D09" w:rsidR="00C30319">
        <w:t xml:space="preserve">family covering the same forms of violence and harassment. The purpose of both offences </w:t>
      </w:r>
      <w:r w:rsidRPr="001B6D09" w:rsidR="009275E7">
        <w:t>wa</w:t>
      </w:r>
      <w:r w:rsidRPr="001B6D09" w:rsidR="00C30319">
        <w:t>s to establish that violent behaviour was unacceptable, unlawful and banned.</w:t>
      </w:r>
    </w:p>
    <w:p w:rsidRPr="001B6D09" w:rsidR="001B3726" w:rsidP="001B6D09" w:rsidRDefault="00C30319" w14:paraId="395C491E" w14:textId="4A41EF2C">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100</w:t>
      </w:r>
      <w:r w:rsidRPr="001B6D09">
        <w:fldChar w:fldCharType="end"/>
      </w:r>
      <w:r w:rsidRPr="001B6D09" w:rsidR="004D56AB">
        <w:t>.  </w:t>
      </w:r>
      <w:r w:rsidRPr="001B6D09">
        <w:t>The applicant also contended that the evidence had been presented and assessed separately in each set of proceedings</w:t>
      </w:r>
      <w:r w:rsidRPr="001B6D09" w:rsidR="00200B4B">
        <w:t>,</w:t>
      </w:r>
      <w:r w:rsidRPr="001B6D09">
        <w:t xml:space="preserve"> and that the san</w:t>
      </w:r>
      <w:r w:rsidRPr="001B6D09" w:rsidR="001C3C57">
        <w:t>c</w:t>
      </w:r>
      <w:r w:rsidRPr="001B6D09">
        <w:t xml:space="preserve">tions imposed </w:t>
      </w:r>
      <w:r w:rsidRPr="001B6D09" w:rsidR="00903E10">
        <w:t xml:space="preserve">on him </w:t>
      </w:r>
      <w:r w:rsidRPr="001B6D09">
        <w:t xml:space="preserve">in </w:t>
      </w:r>
      <w:r w:rsidRPr="001B6D09" w:rsidR="00200B4B">
        <w:t xml:space="preserve">the </w:t>
      </w:r>
      <w:r w:rsidRPr="001B6D09">
        <w:t>minor-offence proceedings had not b</w:t>
      </w:r>
      <w:r w:rsidRPr="001B6D09" w:rsidR="001C3C57">
        <w:t xml:space="preserve">een deducted from the </w:t>
      </w:r>
      <w:r w:rsidRPr="001B6D09" w:rsidR="0061712A">
        <w:t xml:space="preserve">penalty </w:t>
      </w:r>
      <w:r w:rsidRPr="001B6D09" w:rsidR="00903E10">
        <w:t xml:space="preserve">ultimately </w:t>
      </w:r>
      <w:r w:rsidRPr="001B6D09" w:rsidR="001C3C57">
        <w:t>impose</w:t>
      </w:r>
      <w:r w:rsidRPr="001B6D09">
        <w:t>d</w:t>
      </w:r>
      <w:r w:rsidRPr="001B6D09" w:rsidR="001C3C57">
        <w:t xml:space="preserve"> </w:t>
      </w:r>
      <w:r w:rsidRPr="001B6D09" w:rsidR="00903E10">
        <w:t xml:space="preserve">on him </w:t>
      </w:r>
      <w:r w:rsidRPr="001B6D09">
        <w:t xml:space="preserve">in </w:t>
      </w:r>
      <w:r w:rsidRPr="001B6D09" w:rsidR="00200B4B">
        <w:t xml:space="preserve">the </w:t>
      </w:r>
      <w:r w:rsidRPr="001B6D09">
        <w:t>proceedings on indictment.</w:t>
      </w:r>
    </w:p>
    <w:p w:rsidRPr="001B6D09" w:rsidR="007A53A3" w:rsidP="001B6D09" w:rsidRDefault="007A53A3" w14:paraId="27AB6F7A" w14:textId="75EF66C3">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101</w:t>
      </w:r>
      <w:r w:rsidRPr="001B6D09">
        <w:fldChar w:fldCharType="end"/>
      </w:r>
      <w:r w:rsidRPr="001B6D09">
        <w:t xml:space="preserve">.  The Government </w:t>
      </w:r>
      <w:r w:rsidRPr="001B6D09" w:rsidR="00DD0DFA">
        <w:t>concentrated their arguments on the applicant</w:t>
      </w:r>
      <w:r w:rsidRPr="001B6D09" w:rsidR="001B6D09">
        <w:t>’</w:t>
      </w:r>
      <w:r w:rsidRPr="001B6D09" w:rsidR="00DD0DFA">
        <w:t xml:space="preserve">s conviction in </w:t>
      </w:r>
      <w:r w:rsidRPr="001B6D09" w:rsidR="008F0FE3">
        <w:t xml:space="preserve">the </w:t>
      </w:r>
      <w:r w:rsidRPr="001B6D09" w:rsidR="00DD0DFA">
        <w:t>minor-offence proceedings o</w:t>
      </w:r>
      <w:r w:rsidRPr="001B6D09" w:rsidR="00903E10">
        <w:t>f</w:t>
      </w:r>
      <w:r w:rsidRPr="001B6D09" w:rsidR="00DD0DFA">
        <w:t xml:space="preserve"> 17 November 2008</w:t>
      </w:r>
      <w:r w:rsidRPr="001B6D09" w:rsidR="00903E10">
        <w:t xml:space="preserve"> (see paragraph </w:t>
      </w:r>
      <w:r w:rsidRPr="001B6D09" w:rsidR="00F628E4">
        <w:fldChar w:fldCharType="begin"/>
      </w:r>
      <w:r w:rsidRPr="001B6D09" w:rsidR="00F628E4">
        <w:instrText xml:space="preserve"> REF fourth_minor_offence_judgment \h </w:instrText>
      </w:r>
      <w:r w:rsidRPr="001B6D09" w:rsidR="00B809F5">
        <w:instrText xml:space="preserve"> \* MERGEFORMAT </w:instrText>
      </w:r>
      <w:r w:rsidRPr="001B6D09" w:rsidR="00F628E4">
        <w:fldChar w:fldCharType="separate"/>
      </w:r>
      <w:r w:rsidRPr="001B6D09" w:rsidR="001B6D09">
        <w:rPr>
          <w:noProof/>
        </w:rPr>
        <w:t>9</w:t>
      </w:r>
      <w:r w:rsidRPr="001B6D09" w:rsidR="00F628E4">
        <w:fldChar w:fldCharType="end"/>
      </w:r>
      <w:r w:rsidRPr="001B6D09" w:rsidR="00F628E4">
        <w:t xml:space="preserve"> </w:t>
      </w:r>
      <w:r w:rsidRPr="001B6D09" w:rsidR="00903E10">
        <w:t>above)</w:t>
      </w:r>
      <w:r w:rsidRPr="001B6D09" w:rsidR="00DD0DFA">
        <w:t xml:space="preserve">. They </w:t>
      </w:r>
      <w:r w:rsidRPr="001B6D09">
        <w:t xml:space="preserve">maintained that </w:t>
      </w:r>
      <w:r w:rsidRPr="001B6D09" w:rsidR="0061712A">
        <w:t xml:space="preserve">his </w:t>
      </w:r>
      <w:r w:rsidRPr="001B6D09" w:rsidR="00926853">
        <w:t xml:space="preserve">conviction </w:t>
      </w:r>
      <w:r w:rsidRPr="001B6D09" w:rsidR="009275E7">
        <w:t xml:space="preserve">in the proceedings on indictment </w:t>
      </w:r>
      <w:r w:rsidRPr="001B6D09" w:rsidR="00926853">
        <w:t xml:space="preserve">for four counts of domestic violence and one count of child neglect and abuse </w:t>
      </w:r>
      <w:r w:rsidRPr="001B6D09" w:rsidR="003E20F4">
        <w:t xml:space="preserve">over </w:t>
      </w:r>
      <w:r w:rsidRPr="001B6D09" w:rsidR="0061712A">
        <w:t xml:space="preserve">a </w:t>
      </w:r>
      <w:r w:rsidRPr="001B6D09" w:rsidR="00926853">
        <w:t xml:space="preserve">period </w:t>
      </w:r>
      <w:r w:rsidRPr="001B6D09" w:rsidR="0061712A">
        <w:t xml:space="preserve">of </w:t>
      </w:r>
      <w:r w:rsidRPr="001B6D09" w:rsidR="00926853">
        <w:t xml:space="preserve">almost </w:t>
      </w:r>
      <w:r w:rsidRPr="001B6D09" w:rsidR="004D56AB">
        <w:t>three years (</w:t>
      </w:r>
      <w:r w:rsidRPr="001B6D09" w:rsidR="0061712A">
        <w:t xml:space="preserve">from </w:t>
      </w:r>
      <w:r w:rsidRPr="001B6D09" w:rsidR="004D56AB">
        <w:t xml:space="preserve">2005 </w:t>
      </w:r>
      <w:r w:rsidRPr="001B6D09" w:rsidR="0061712A">
        <w:t xml:space="preserve">to </w:t>
      </w:r>
      <w:r w:rsidRPr="001B6D09" w:rsidR="004D56AB">
        <w:t>3 </w:t>
      </w:r>
      <w:r w:rsidRPr="001B6D09" w:rsidR="00926853">
        <w:t xml:space="preserve">November 2008) could not be seen as </w:t>
      </w:r>
      <w:r w:rsidRPr="001B6D09" w:rsidR="003E20F4">
        <w:t xml:space="preserve">being </w:t>
      </w:r>
      <w:r w:rsidRPr="001B6D09" w:rsidR="00926853">
        <w:t xml:space="preserve">the same as </w:t>
      </w:r>
      <w:r w:rsidRPr="001B6D09" w:rsidR="0061712A">
        <w:t xml:space="preserve">his </w:t>
      </w:r>
      <w:r w:rsidRPr="001B6D09" w:rsidR="00926853">
        <w:t xml:space="preserve">conviction in minor-offence proceedings for one count of domestic violence </w:t>
      </w:r>
      <w:r w:rsidRPr="001B6D09" w:rsidR="0061712A">
        <w:t xml:space="preserve">in respect of </w:t>
      </w:r>
      <w:r w:rsidRPr="001B6D09" w:rsidR="003E20F4">
        <w:t xml:space="preserve">the </w:t>
      </w:r>
      <w:r w:rsidRPr="001B6D09" w:rsidR="00926853">
        <w:t>events o</w:t>
      </w:r>
      <w:r w:rsidRPr="001B6D09" w:rsidR="007C0EB9">
        <w:t>f</w:t>
      </w:r>
      <w:r w:rsidRPr="001B6D09" w:rsidR="00926853">
        <w:t xml:space="preserve"> 3 and 4 November 2008. In the </w:t>
      </w:r>
      <w:r w:rsidRPr="001B6D09" w:rsidR="009275E7">
        <w:t>proceedings on indictment</w:t>
      </w:r>
      <w:r w:rsidRPr="001B6D09" w:rsidR="0061712A">
        <w:t>,</w:t>
      </w:r>
      <w:r w:rsidRPr="001B6D09" w:rsidR="00926853">
        <w:t xml:space="preserve"> the applicant had been convicted </w:t>
      </w:r>
      <w:r w:rsidRPr="001B6D09" w:rsidR="0061712A">
        <w:t xml:space="preserve">of </w:t>
      </w:r>
      <w:r w:rsidRPr="001B6D09" w:rsidR="00926853">
        <w:t>numerous violent acts consisting of insults, threats and physical a</w:t>
      </w:r>
      <w:r w:rsidRPr="001B6D09" w:rsidR="00E71C92">
        <w:t>ssaults</w:t>
      </w:r>
      <w:r w:rsidRPr="001B6D09" w:rsidR="00926853">
        <w:t xml:space="preserve"> committed </w:t>
      </w:r>
      <w:r w:rsidRPr="001B6D09" w:rsidR="0061712A">
        <w:t xml:space="preserve">over </w:t>
      </w:r>
      <w:r w:rsidRPr="001B6D09" w:rsidR="00926853">
        <w:t>a longer period of time in respect of four members of his family</w:t>
      </w:r>
      <w:r w:rsidRPr="001B6D09" w:rsidR="009C5C6B">
        <w:t>,</w:t>
      </w:r>
      <w:r w:rsidRPr="001B6D09" w:rsidR="00926853">
        <w:t xml:space="preserve"> whereas in the minor-offence proceedings he had been convicted of a single offence committed in respect of two members of his family </w:t>
      </w:r>
      <w:r w:rsidRPr="001B6D09" w:rsidR="009C5C6B">
        <w:t xml:space="preserve">over </w:t>
      </w:r>
      <w:r w:rsidRPr="001B6D09" w:rsidR="00926853">
        <w:t>two consecutive days.</w:t>
      </w:r>
    </w:p>
    <w:p w:rsidRPr="001B6D09" w:rsidR="001B3726" w:rsidP="001B6D09" w:rsidRDefault="00926853" w14:paraId="25705261" w14:textId="1A127954">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102</w:t>
      </w:r>
      <w:r w:rsidRPr="001B6D09">
        <w:fldChar w:fldCharType="end"/>
      </w:r>
      <w:r w:rsidRPr="001B6D09">
        <w:t>.  </w:t>
      </w:r>
      <w:r w:rsidRPr="001B6D09" w:rsidR="00E71C92">
        <w:t xml:space="preserve">The Government stressed that the factual background of </w:t>
      </w:r>
      <w:r w:rsidRPr="001B6D09" w:rsidR="00903E10">
        <w:t xml:space="preserve">the event of </w:t>
      </w:r>
      <w:r w:rsidRPr="001B6D09" w:rsidR="00E71C92">
        <w:t xml:space="preserve">3 November 2008 </w:t>
      </w:r>
      <w:r w:rsidRPr="001B6D09" w:rsidR="009C5C6B">
        <w:t xml:space="preserve">in respect of </w:t>
      </w:r>
      <w:r w:rsidRPr="001B6D09" w:rsidR="00E71C92">
        <w:t xml:space="preserve">which the applicant had been convicted in the </w:t>
      </w:r>
      <w:r w:rsidRPr="001B6D09" w:rsidR="009275E7">
        <w:t>proceedings on indictment</w:t>
      </w:r>
      <w:r w:rsidRPr="001B6D09" w:rsidR="00E71C92">
        <w:t xml:space="preserve"> was </w:t>
      </w:r>
      <w:r w:rsidRPr="001B6D09" w:rsidR="00BE26E1">
        <w:t>not</w:t>
      </w:r>
      <w:r w:rsidRPr="001B6D09" w:rsidR="00E71C92">
        <w:t xml:space="preserve"> the same as the factual background </w:t>
      </w:r>
      <w:r w:rsidRPr="001B6D09" w:rsidR="009C5C6B">
        <w:t xml:space="preserve">in respect of </w:t>
      </w:r>
      <w:r w:rsidRPr="001B6D09" w:rsidR="00E71C92">
        <w:t xml:space="preserve">which </w:t>
      </w:r>
      <w:r w:rsidRPr="001B6D09" w:rsidR="009C5C6B">
        <w:t xml:space="preserve">he </w:t>
      </w:r>
      <w:r w:rsidRPr="001B6D09" w:rsidR="00E71C92">
        <w:t xml:space="preserve">had been convicted in </w:t>
      </w:r>
      <w:r w:rsidRPr="001B6D09" w:rsidR="003E20F4">
        <w:t xml:space="preserve">the </w:t>
      </w:r>
      <w:r w:rsidRPr="001B6D09" w:rsidR="00E71C92">
        <w:t xml:space="preserve">minor-offence proceedings. In the latter </w:t>
      </w:r>
      <w:r w:rsidRPr="001B6D09" w:rsidR="009C5C6B">
        <w:t xml:space="preserve">scenario, </w:t>
      </w:r>
      <w:r w:rsidRPr="001B6D09" w:rsidR="00E71C92">
        <w:t xml:space="preserve">the applicant had been convicted because </w:t>
      </w:r>
      <w:r w:rsidRPr="001B6D09" w:rsidR="00BE26E1">
        <w:t>on 3</w:t>
      </w:r>
      <w:r w:rsidRPr="001B6D09" w:rsidR="003D2EA8">
        <w:t> </w:t>
      </w:r>
      <w:r w:rsidRPr="001B6D09" w:rsidR="00BE26E1">
        <w:t>November 2008</w:t>
      </w:r>
      <w:r w:rsidRPr="001B6D09" w:rsidR="00E71C92">
        <w:t>, after verbally insult</w:t>
      </w:r>
      <w:r w:rsidRPr="001B6D09" w:rsidR="009C5C6B">
        <w:t>ing</w:t>
      </w:r>
      <w:r w:rsidRPr="001B6D09" w:rsidR="00E71C92">
        <w:t xml:space="preserve"> his former </w:t>
      </w:r>
      <w:r w:rsidRPr="001B6D09" w:rsidR="006B6298">
        <w:t>spouse</w:t>
      </w:r>
      <w:r w:rsidRPr="001B6D09" w:rsidR="00E71C92">
        <w:t xml:space="preserve"> and </w:t>
      </w:r>
      <w:r w:rsidRPr="001B6D09" w:rsidR="009C5C6B">
        <w:t xml:space="preserve">his </w:t>
      </w:r>
      <w:r w:rsidRPr="001B6D09" w:rsidR="00E71C92">
        <w:t>daughter M.G.,</w:t>
      </w:r>
      <w:r w:rsidRPr="001B6D09" w:rsidR="009C5C6B">
        <w:t xml:space="preserve"> he had</w:t>
      </w:r>
      <w:r w:rsidRPr="001B6D09" w:rsidR="00E71C92">
        <w:t xml:space="preserve"> slapped his former </w:t>
      </w:r>
      <w:r w:rsidRPr="001B6D09" w:rsidR="006B6298">
        <w:t>spouse</w:t>
      </w:r>
      <w:r w:rsidRPr="001B6D09" w:rsidR="00E71C92">
        <w:t xml:space="preserve"> </w:t>
      </w:r>
      <w:r w:rsidRPr="001B6D09" w:rsidR="009C5C6B">
        <w:t xml:space="preserve">several </w:t>
      </w:r>
      <w:r w:rsidRPr="001B6D09" w:rsidR="00E71C92">
        <w:t xml:space="preserve">times </w:t>
      </w:r>
      <w:r w:rsidRPr="001B6D09" w:rsidR="009C5C6B">
        <w:t xml:space="preserve">on </w:t>
      </w:r>
      <w:r w:rsidRPr="001B6D09" w:rsidR="00E71C92">
        <w:t>her left cheek and ear and thus caused her less</w:t>
      </w:r>
      <w:r w:rsidRPr="001B6D09" w:rsidR="009C5C6B">
        <w:t xml:space="preserve"> serious</w:t>
      </w:r>
      <w:r w:rsidRPr="001B6D09" w:rsidR="00E71C92">
        <w:t xml:space="preserve"> bodily injury (contusion</w:t>
      </w:r>
      <w:r w:rsidRPr="001B6D09" w:rsidR="003968AD">
        <w:t>s</w:t>
      </w:r>
      <w:r w:rsidRPr="001B6D09" w:rsidR="009C5C6B">
        <w:t xml:space="preserve"> to the head</w:t>
      </w:r>
      <w:r w:rsidRPr="001B6D09" w:rsidR="00E71C92">
        <w:t xml:space="preserve"> and bleeding</w:t>
      </w:r>
      <w:r w:rsidRPr="001B6D09" w:rsidR="009C5C6B">
        <w:t xml:space="preserve"> from the ear</w:t>
      </w:r>
      <w:r w:rsidRPr="001B6D09" w:rsidR="00E71C92">
        <w:t xml:space="preserve">). The </w:t>
      </w:r>
      <w:r w:rsidRPr="001B6D09" w:rsidR="00BE26E1">
        <w:t>applicant</w:t>
      </w:r>
      <w:r w:rsidRPr="001B6D09" w:rsidR="00E71C92">
        <w:t xml:space="preserve"> would have been convicted in the </w:t>
      </w:r>
      <w:r w:rsidRPr="001B6D09" w:rsidR="009275E7">
        <w:t>proceedings on indictment</w:t>
      </w:r>
      <w:r w:rsidRPr="001B6D09" w:rsidR="009C5C6B">
        <w:t>,</w:t>
      </w:r>
      <w:r w:rsidRPr="001B6D09" w:rsidR="00E71C92">
        <w:t xml:space="preserve"> irrespective of the event</w:t>
      </w:r>
      <w:r w:rsidRPr="001B6D09" w:rsidR="009C5C6B">
        <w:t>s</w:t>
      </w:r>
      <w:r w:rsidRPr="001B6D09" w:rsidR="00E71C92">
        <w:t xml:space="preserve"> of 3</w:t>
      </w:r>
      <w:r w:rsidRPr="001B6D09" w:rsidR="003D2EA8">
        <w:t> </w:t>
      </w:r>
      <w:r w:rsidRPr="001B6D09" w:rsidR="00E71C92">
        <w:t>November 2008</w:t>
      </w:r>
      <w:r w:rsidRPr="001B6D09" w:rsidR="009C5C6B">
        <w:t xml:space="preserve"> –the </w:t>
      </w:r>
      <w:r w:rsidRPr="001B6D09" w:rsidR="00E71C92">
        <w:t xml:space="preserve">verbal assault </w:t>
      </w:r>
      <w:r w:rsidRPr="001B6D09" w:rsidR="009C5C6B">
        <w:t xml:space="preserve">on </w:t>
      </w:r>
      <w:r w:rsidRPr="001B6D09" w:rsidR="00E71C92">
        <w:t xml:space="preserve">his daughter M.G. and </w:t>
      </w:r>
      <w:r w:rsidRPr="001B6D09" w:rsidR="009C5C6B">
        <w:t xml:space="preserve">the </w:t>
      </w:r>
      <w:r w:rsidRPr="001B6D09" w:rsidR="00E71C92">
        <w:t xml:space="preserve">verbal and physical assault </w:t>
      </w:r>
      <w:r w:rsidRPr="001B6D09" w:rsidR="009C5C6B">
        <w:t xml:space="preserve">on </w:t>
      </w:r>
      <w:r w:rsidRPr="001B6D09" w:rsidR="00E71C92">
        <w:t xml:space="preserve">his former </w:t>
      </w:r>
      <w:r w:rsidRPr="001B6D09" w:rsidR="006B6298">
        <w:t>spouse</w:t>
      </w:r>
      <w:r w:rsidRPr="001B6D09" w:rsidR="00E71C92">
        <w:t xml:space="preserve"> Mi.G.</w:t>
      </w:r>
      <w:r w:rsidRPr="001B6D09" w:rsidR="00DC6EFA">
        <w:t xml:space="preserve"> </w:t>
      </w:r>
      <w:r w:rsidRPr="001B6D09" w:rsidR="009C5C6B">
        <w:t xml:space="preserve">– </w:t>
      </w:r>
      <w:r w:rsidRPr="001B6D09" w:rsidR="00DC6EFA">
        <w:t xml:space="preserve">because </w:t>
      </w:r>
      <w:r w:rsidRPr="001B6D09" w:rsidR="009C5C6B">
        <w:t xml:space="preserve">it was not necessary to specify each and every verbal or physical assault on a family member to prove </w:t>
      </w:r>
      <w:r w:rsidRPr="001B6D09" w:rsidR="00DC6EFA">
        <w:t xml:space="preserve">the existence of the </w:t>
      </w:r>
      <w:r w:rsidRPr="001B6D09" w:rsidR="00BE26E1">
        <w:t>criminal</w:t>
      </w:r>
      <w:r w:rsidRPr="001B6D09" w:rsidR="00DC6EFA">
        <w:t xml:space="preserve"> offence of domestic violence.</w:t>
      </w:r>
    </w:p>
    <w:p w:rsidRPr="001B6D09" w:rsidR="001B3726" w:rsidP="001B6D09" w:rsidRDefault="00EA6CC9" w14:paraId="7FB50061" w14:textId="2D9F1413">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103</w:t>
      </w:r>
      <w:r w:rsidRPr="001B6D09">
        <w:fldChar w:fldCharType="end"/>
      </w:r>
      <w:r w:rsidRPr="001B6D09">
        <w:t>.  The Govern</w:t>
      </w:r>
      <w:r w:rsidRPr="001B6D09" w:rsidR="00366D59">
        <w:t>ment</w:t>
      </w:r>
      <w:r w:rsidRPr="001B6D09">
        <w:t xml:space="preserve"> contended that the two sets of proceeding</w:t>
      </w:r>
      <w:r w:rsidRPr="001B6D09" w:rsidR="00850A3A">
        <w:t>s</w:t>
      </w:r>
      <w:r w:rsidRPr="001B6D09">
        <w:t xml:space="preserve"> had </w:t>
      </w:r>
      <w:r w:rsidRPr="001B6D09" w:rsidR="009275E7">
        <w:t xml:space="preserve">been closely related in nature and time and </w:t>
      </w:r>
      <w:r w:rsidRPr="001B6D09" w:rsidR="00850A3A">
        <w:t xml:space="preserve">had </w:t>
      </w:r>
      <w:r w:rsidRPr="001B6D09" w:rsidR="009275E7">
        <w:t xml:space="preserve">amounted to a single complementary </w:t>
      </w:r>
      <w:r w:rsidRPr="001B6D09" w:rsidR="00850A3A">
        <w:t xml:space="preserve">response </w:t>
      </w:r>
      <w:r w:rsidRPr="001B6D09" w:rsidR="003968AD">
        <w:t xml:space="preserve">by </w:t>
      </w:r>
      <w:r w:rsidRPr="001B6D09" w:rsidR="009275E7">
        <w:t>the State to the applicant</w:t>
      </w:r>
      <w:r w:rsidRPr="001B6D09" w:rsidR="001B6D09">
        <w:t>’</w:t>
      </w:r>
      <w:r w:rsidRPr="001B6D09" w:rsidR="009275E7">
        <w:t>s unlawful conduct.</w:t>
      </w:r>
      <w:r w:rsidRPr="001B6D09" w:rsidR="001B3726">
        <w:t xml:space="preserve"> </w:t>
      </w:r>
      <w:r w:rsidRPr="001B6D09" w:rsidR="009275E7">
        <w:t xml:space="preserve">The purpose of </w:t>
      </w:r>
      <w:r w:rsidRPr="001B6D09" w:rsidR="00850A3A">
        <w:t xml:space="preserve">the </w:t>
      </w:r>
      <w:r w:rsidRPr="001B6D09" w:rsidR="009275E7">
        <w:t>minor</w:t>
      </w:r>
      <w:r w:rsidRPr="001B6D09" w:rsidR="00850A3A">
        <w:t>-</w:t>
      </w:r>
      <w:r w:rsidRPr="001B6D09" w:rsidR="009275E7">
        <w:t xml:space="preserve">offence </w:t>
      </w:r>
      <w:r w:rsidRPr="001B6D09" w:rsidR="00850A3A">
        <w:t xml:space="preserve">proceedings had been </w:t>
      </w:r>
      <w:r w:rsidRPr="001B6D09" w:rsidR="009275E7">
        <w:t xml:space="preserve">to punish each incident separately, whereas the purpose of the </w:t>
      </w:r>
      <w:r w:rsidRPr="001B6D09" w:rsidR="00903E10">
        <w:t xml:space="preserve">criminal </w:t>
      </w:r>
      <w:r w:rsidRPr="001B6D09" w:rsidR="00850A3A">
        <w:t xml:space="preserve">proceedings </w:t>
      </w:r>
      <w:r w:rsidRPr="001B6D09" w:rsidR="003E20F4">
        <w:t xml:space="preserve">on indictment </w:t>
      </w:r>
      <w:r w:rsidRPr="001B6D09" w:rsidR="00850A3A">
        <w:t xml:space="preserve">had been </w:t>
      </w:r>
      <w:r w:rsidRPr="001B6D09" w:rsidR="009275E7">
        <w:t>to protect family member</w:t>
      </w:r>
      <w:r w:rsidRPr="001B6D09" w:rsidR="00850A3A">
        <w:t>s</w:t>
      </w:r>
      <w:r w:rsidRPr="001B6D09" w:rsidR="009275E7">
        <w:t xml:space="preserve"> </w:t>
      </w:r>
      <w:r w:rsidRPr="001B6D09" w:rsidR="00850A3A">
        <w:t xml:space="preserve">from the </w:t>
      </w:r>
      <w:r w:rsidRPr="001B6D09" w:rsidR="009275E7">
        <w:t xml:space="preserve">violence to which </w:t>
      </w:r>
      <w:r w:rsidRPr="001B6D09" w:rsidR="00850A3A">
        <w:t xml:space="preserve">they </w:t>
      </w:r>
      <w:r w:rsidRPr="001B6D09" w:rsidR="009275E7">
        <w:t xml:space="preserve">had been exposed </w:t>
      </w:r>
      <w:r w:rsidRPr="001B6D09" w:rsidR="00E66DCB">
        <w:t xml:space="preserve">over </w:t>
      </w:r>
      <w:r w:rsidRPr="001B6D09" w:rsidR="009275E7">
        <w:t>a longer period.</w:t>
      </w:r>
    </w:p>
    <w:p w:rsidRPr="001B6D09" w:rsidR="001B3726" w:rsidP="001B6D09" w:rsidRDefault="00366D59" w14:paraId="71CAD7A0" w14:textId="71758567">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104</w:t>
      </w:r>
      <w:r w:rsidRPr="001B6D09">
        <w:fldChar w:fldCharType="end"/>
      </w:r>
      <w:r w:rsidRPr="001B6D09">
        <w:t>.  </w:t>
      </w:r>
      <w:r w:rsidRPr="001B6D09" w:rsidR="009275E7">
        <w:t>The</w:t>
      </w:r>
      <w:r w:rsidRPr="001B6D09" w:rsidR="00850A3A">
        <w:t xml:space="preserve"> Government</w:t>
      </w:r>
      <w:r w:rsidRPr="001B6D09" w:rsidR="009275E7">
        <w:t xml:space="preserve"> pointed out that the same documentary evidence had been used in both sets of proceedings</w:t>
      </w:r>
      <w:r w:rsidRPr="001B6D09" w:rsidR="00850A3A">
        <w:t>,</w:t>
      </w:r>
      <w:r w:rsidRPr="001B6D09" w:rsidR="009275E7">
        <w:t xml:space="preserve"> whereas the trial court in the proceedings on indictment had been obliged to hear all witnesses in person</w:t>
      </w:r>
      <w:r w:rsidRPr="001B6D09" w:rsidR="00850A3A">
        <w:t>,</w:t>
      </w:r>
      <w:r w:rsidRPr="001B6D09" w:rsidR="009275E7">
        <w:t xml:space="preserve"> and could not use the </w:t>
      </w:r>
      <w:r w:rsidRPr="001B6D09" w:rsidR="00E66DCB">
        <w:t xml:space="preserve">witness </w:t>
      </w:r>
      <w:r w:rsidRPr="001B6D09" w:rsidR="009275E7">
        <w:t xml:space="preserve">statements </w:t>
      </w:r>
      <w:r w:rsidRPr="001B6D09" w:rsidR="00850A3A">
        <w:t xml:space="preserve">which had </w:t>
      </w:r>
      <w:r w:rsidRPr="001B6D09" w:rsidR="000B3BB4">
        <w:t xml:space="preserve">been </w:t>
      </w:r>
      <w:r w:rsidRPr="001B6D09" w:rsidR="009275E7">
        <w:t xml:space="preserve">given in </w:t>
      </w:r>
      <w:r w:rsidRPr="001B6D09" w:rsidR="00850A3A">
        <w:t xml:space="preserve">the </w:t>
      </w:r>
      <w:r w:rsidRPr="001B6D09" w:rsidR="009275E7">
        <w:t>minor-offence proceedings. Lastly, the applicant</w:t>
      </w:r>
      <w:r w:rsidRPr="001B6D09" w:rsidR="001B6D09">
        <w:t>’</w:t>
      </w:r>
      <w:r w:rsidRPr="001B6D09" w:rsidR="00850A3A">
        <w:t>s</w:t>
      </w:r>
      <w:r w:rsidRPr="001B6D09" w:rsidR="009275E7">
        <w:t xml:space="preserve"> sentence from the minor</w:t>
      </w:r>
      <w:r w:rsidRPr="001B6D09" w:rsidR="003D2EA8">
        <w:noBreakHyphen/>
      </w:r>
      <w:r w:rsidRPr="001B6D09" w:rsidR="009275E7">
        <w:t>offence proceedings had been deducted from his sentence in the proceedings on indictment.</w:t>
      </w:r>
    </w:p>
    <w:p w:rsidRPr="001B6D09" w:rsidR="007A53A3" w:rsidP="001B6D09" w:rsidRDefault="007A53A3" w14:paraId="4B54A573" w14:textId="3F77F05F">
      <w:pPr>
        <w:pStyle w:val="JuH1"/>
      </w:pPr>
      <w:r w:rsidRPr="001B6D09">
        <w:t>The Court</w:t>
      </w:r>
      <w:r w:rsidRPr="001B6D09" w:rsidR="001B6D09">
        <w:t>’</w:t>
      </w:r>
      <w:r w:rsidRPr="001B6D09">
        <w:t>s assessment</w:t>
      </w:r>
    </w:p>
    <w:p w:rsidRPr="001B6D09" w:rsidR="001221E7" w:rsidP="001B6D09" w:rsidRDefault="001221E7" w14:paraId="095C1648" w14:textId="52C0BE53">
      <w:pPr>
        <w:pStyle w:val="JuHa0"/>
        <w:rPr>
          <w:lang w:eastAsia="en-GB"/>
        </w:rPr>
      </w:pPr>
      <w:r w:rsidRPr="001B6D09">
        <w:rPr>
          <w:lang w:eastAsia="en-GB"/>
        </w:rPr>
        <w:t xml:space="preserve">Whether </w:t>
      </w:r>
      <w:r w:rsidRPr="001B6D09" w:rsidR="000762D1">
        <w:rPr>
          <w:lang w:eastAsia="en-GB"/>
        </w:rPr>
        <w:t>all</w:t>
      </w:r>
      <w:r w:rsidRPr="001B6D09">
        <w:rPr>
          <w:lang w:eastAsia="en-GB"/>
        </w:rPr>
        <w:t xml:space="preserve"> </w:t>
      </w:r>
      <w:r w:rsidRPr="001B6D09" w:rsidR="000E4E11">
        <w:rPr>
          <w:lang w:eastAsia="en-GB"/>
        </w:rPr>
        <w:t xml:space="preserve">the </w:t>
      </w:r>
      <w:r w:rsidRPr="001B6D09">
        <w:rPr>
          <w:lang w:eastAsia="en-GB"/>
        </w:rPr>
        <w:t xml:space="preserve">proceedings </w:t>
      </w:r>
      <w:r w:rsidRPr="001B6D09" w:rsidR="000762D1">
        <w:rPr>
          <w:lang w:eastAsia="en-GB"/>
        </w:rPr>
        <w:t xml:space="preserve">concerned </w:t>
      </w:r>
      <w:r w:rsidRPr="001B6D09">
        <w:rPr>
          <w:lang w:eastAsia="en-GB"/>
        </w:rPr>
        <w:t>were criminal in nature</w:t>
      </w:r>
    </w:p>
    <w:p w:rsidRPr="001B6D09" w:rsidR="009D4114" w:rsidP="001B6D09" w:rsidRDefault="009D4114" w14:paraId="2CCF720B" w14:textId="0FB2B722">
      <w:pPr>
        <w:pStyle w:val="JuPara"/>
        <w:jc w:val="both"/>
        <w:rPr>
          <w:lang w:val="en-US"/>
        </w:rPr>
      </w:pPr>
      <w:r w:rsidRPr="001B6D09">
        <w:fldChar w:fldCharType="begin"/>
      </w:r>
      <w:r w:rsidRPr="001B6D09">
        <w:instrText xml:space="preserve"> SEQ level0 \*arabic </w:instrText>
      </w:r>
      <w:r w:rsidRPr="001B6D09">
        <w:fldChar w:fldCharType="separate"/>
      </w:r>
      <w:r w:rsidRPr="001B6D09" w:rsidR="001B6D09">
        <w:rPr>
          <w:noProof/>
        </w:rPr>
        <w:t>105</w:t>
      </w:r>
      <w:r w:rsidRPr="001B6D09">
        <w:fldChar w:fldCharType="end"/>
      </w:r>
      <w:r w:rsidRPr="001B6D09">
        <w:t>.  </w:t>
      </w:r>
      <w:r w:rsidRPr="001B6D09">
        <w:rPr>
          <w:lang w:eastAsia="en-GB"/>
        </w:rPr>
        <w:t>In comparable cases against Croatia involving minor offences, the Court has held, on the basis of the “</w:t>
      </w:r>
      <w:r w:rsidRPr="001B6D09">
        <w:rPr>
          <w:i/>
          <w:lang w:eastAsia="en-GB"/>
        </w:rPr>
        <w:t>Engel</w:t>
      </w:r>
      <w:r w:rsidRPr="001B6D09">
        <w:rPr>
          <w:lang w:eastAsia="en-GB"/>
        </w:rPr>
        <w:t xml:space="preserve"> criteria” (see </w:t>
      </w:r>
      <w:r w:rsidRPr="001B6D09">
        <w:rPr>
          <w:i/>
          <w:lang w:eastAsia="en-GB"/>
        </w:rPr>
        <w:t>Engel and Others v. the Netherlands</w:t>
      </w:r>
      <w:r w:rsidRPr="001B6D09">
        <w:rPr>
          <w:lang w:eastAsia="en-GB"/>
        </w:rPr>
        <w:t xml:space="preserve">, 8 June 1976, Series A no. 22), that minor-offence proceedings were “criminal” in nature for the purposes of Article 4 of Protocol No. 7 (see </w:t>
      </w:r>
      <w:r w:rsidRPr="001B6D09" w:rsidR="00F305FF">
        <w:rPr>
          <w:i/>
          <w:lang w:val="en-US"/>
        </w:rPr>
        <w:t>Baj</w:t>
      </w:r>
      <w:r w:rsidRPr="001B6D09" w:rsidR="00F305FF">
        <w:rPr>
          <w:rFonts w:cstheme="minorHAnsi"/>
          <w:i/>
          <w:lang w:val="en-US"/>
        </w:rPr>
        <w:t>č</w:t>
      </w:r>
      <w:r w:rsidRPr="001B6D09" w:rsidR="00F305FF">
        <w:rPr>
          <w:i/>
          <w:lang w:val="en-US"/>
        </w:rPr>
        <w:t>ić v. Croatia</w:t>
      </w:r>
      <w:r w:rsidRPr="001B6D09" w:rsidR="00F305FF">
        <w:rPr>
          <w:lang w:val="en-US"/>
        </w:rPr>
        <w:t>, no. 67334/13, §§ 27-28, 8 October 2020</w:t>
      </w:r>
      <w:r w:rsidRPr="001B6D09">
        <w:t xml:space="preserve">; and, in the context of an Article 6 complaint, </w:t>
      </w:r>
      <w:r w:rsidRPr="001B6D09">
        <w:rPr>
          <w:i/>
        </w:rPr>
        <w:t>Marčan v. Croatia</w:t>
      </w:r>
      <w:r w:rsidRPr="001B6D09">
        <w:t>, no.</w:t>
      </w:r>
      <w:r w:rsidRPr="001B6D09" w:rsidR="003D2EA8">
        <w:t> </w:t>
      </w:r>
      <w:r w:rsidRPr="001B6D09">
        <w:t>40820/12, § 33, 10 July 2014).</w:t>
      </w:r>
    </w:p>
    <w:p w:rsidRPr="001B6D09" w:rsidR="009D4114" w:rsidP="001B6D09" w:rsidRDefault="009629F9" w14:paraId="2D56D814" w14:textId="7D15484D">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106</w:t>
      </w:r>
      <w:r w:rsidRPr="001B6D09">
        <w:fldChar w:fldCharType="end"/>
      </w:r>
      <w:r w:rsidRPr="001B6D09">
        <w:t>.  </w:t>
      </w:r>
      <w:r w:rsidRPr="001B6D09" w:rsidR="00FC623D">
        <w:t>T</w:t>
      </w:r>
      <w:r w:rsidRPr="001B6D09" w:rsidR="00F628E4">
        <w:t>aking into consideration the nature of the offence in question, together with the severity of</w:t>
      </w:r>
      <w:r w:rsidRPr="001B6D09" w:rsidR="00EB3860">
        <w:t xml:space="preserve"> the</w:t>
      </w:r>
      <w:r w:rsidRPr="001B6D09" w:rsidR="00F628E4">
        <w:t xml:space="preserve"> penalty, </w:t>
      </w:r>
      <w:r w:rsidRPr="001B6D09" w:rsidR="009D4114">
        <w:t>the Court sees no reason to depart from the conclusion reached in those previous cases and holds that both sets of proceedings in the present case concerned a “criminal” matter within the autonomous meaning of Article 4 of Protocol No. 7.</w:t>
      </w:r>
    </w:p>
    <w:p w:rsidRPr="001B6D09" w:rsidR="00CE12FB" w:rsidP="001B6D09" w:rsidRDefault="00CE12FB" w14:paraId="77AC4710" w14:textId="4B260BA4">
      <w:pPr>
        <w:pStyle w:val="JuHa0"/>
      </w:pPr>
      <w:r w:rsidRPr="001B6D09">
        <w:t>Whether the offences for which the applicant was prosecuted were the same (</w:t>
      </w:r>
      <w:r w:rsidRPr="001B6D09">
        <w:rPr>
          <w:i/>
        </w:rPr>
        <w:t>idem</w:t>
      </w:r>
      <w:r w:rsidRPr="001B6D09">
        <w:t>)</w:t>
      </w:r>
    </w:p>
    <w:p w:rsidRPr="001B6D09" w:rsidR="00307BF1" w:rsidP="001B6D09" w:rsidRDefault="008602B5" w14:paraId="272F1BD0" w14:textId="0459CF62">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107</w:t>
      </w:r>
      <w:r w:rsidRPr="001B6D09">
        <w:rPr>
          <w:noProof/>
        </w:rPr>
        <w:fldChar w:fldCharType="end"/>
      </w:r>
      <w:r w:rsidRPr="001B6D09" w:rsidR="00156153">
        <w:t>.  </w:t>
      </w:r>
      <w:r w:rsidRPr="001B6D09" w:rsidR="00307BF1">
        <w:t xml:space="preserve">The notion of the “same offence” – the </w:t>
      </w:r>
      <w:r w:rsidRPr="001B6D09" w:rsidR="00307BF1">
        <w:rPr>
          <w:i/>
        </w:rPr>
        <w:t>idem</w:t>
      </w:r>
      <w:r w:rsidRPr="001B6D09" w:rsidR="00307BF1">
        <w:t xml:space="preserve"> element of the </w:t>
      </w:r>
      <w:r w:rsidRPr="001B6D09" w:rsidR="00307BF1">
        <w:rPr>
          <w:i/>
        </w:rPr>
        <w:t xml:space="preserve">ne bis in idem </w:t>
      </w:r>
      <w:r w:rsidRPr="001B6D09" w:rsidR="00307BF1">
        <w:t xml:space="preserve">principle in Article 4 of Protocol No. 7 – was clarified in </w:t>
      </w:r>
      <w:r w:rsidRPr="001B6D09" w:rsidR="00787579">
        <w:rPr>
          <w:i/>
        </w:rPr>
        <w:t>Sergey Zolotukhin v. Russia</w:t>
      </w:r>
      <w:r w:rsidRPr="001B6D09" w:rsidR="00787579">
        <w:t xml:space="preserve"> ([GC], no. 14939/03, </w:t>
      </w:r>
      <w:r w:rsidRPr="001B6D09" w:rsidR="00787579">
        <w:rPr>
          <w:rFonts w:cstheme="minorHAnsi"/>
        </w:rPr>
        <w:t>§§ 78-84</w:t>
      </w:r>
      <w:r w:rsidRPr="001B6D09" w:rsidR="00787579">
        <w:t>, ECHR 2009</w:t>
      </w:r>
      <w:r w:rsidRPr="001B6D09" w:rsidR="00307BF1">
        <w:rPr>
          <w:rFonts w:cstheme="minorHAnsi"/>
        </w:rPr>
        <w:t>).</w:t>
      </w:r>
      <w:r w:rsidRPr="001B6D09" w:rsidR="00307BF1">
        <w:t xml:space="preserve"> Following the approach adopted in that judgment, it is clear that the determination as to whether the offences in question were the same (</w:t>
      </w:r>
      <w:r w:rsidRPr="001B6D09" w:rsidR="00307BF1">
        <w:rPr>
          <w:i/>
          <w:iCs/>
        </w:rPr>
        <w:t>idem</w:t>
      </w:r>
      <w:r w:rsidRPr="001B6D09" w:rsidR="00307BF1">
        <w:t>) depends on a facts-based assessment</w:t>
      </w:r>
      <w:r w:rsidRPr="001B6D09" w:rsidDel="00780B06" w:rsidR="00307BF1">
        <w:t xml:space="preserve"> </w:t>
      </w:r>
      <w:r w:rsidRPr="001B6D09" w:rsidR="00307BF1">
        <w:t>(ibid., § 84), rather than, for example, a formal assessment consisting in comparing the “essential elements” of the offences. The prohibition in Article 4 of Protocol No. 7 to the Convention concerns the prosecution or trial of a second “offence” in so far as the latter arises from identical facts or facts which are substantially the same (ibid., §</w:t>
      </w:r>
      <w:r w:rsidRPr="001B6D09" w:rsidR="003D2EA8">
        <w:t> </w:t>
      </w:r>
      <w:r w:rsidRPr="001B6D09" w:rsidR="00307BF1">
        <w:t>82). In the Court</w:t>
      </w:r>
      <w:r w:rsidRPr="001B6D09" w:rsidR="001B6D09">
        <w:t>’</w:t>
      </w:r>
      <w:r w:rsidRPr="001B6D09" w:rsidR="00307BF1">
        <w:t xml:space="preserve">s view, statements of fact concerning both the offence for which the applicant has already been tried and the offence of which he or she stands accused are an appropriate starting-point for its determination of the issue whether the facts in both proceedings were identical or substantially the same (see, in this connection, </w:t>
      </w:r>
      <w:r w:rsidRPr="001B6D09" w:rsidR="00307BF1">
        <w:rPr>
          <w:i/>
        </w:rPr>
        <w:t>Sergey</w:t>
      </w:r>
      <w:r w:rsidRPr="001B6D09" w:rsidR="00307BF1">
        <w:t xml:space="preserve"> </w:t>
      </w:r>
      <w:r w:rsidRPr="001B6D09" w:rsidR="00307BF1">
        <w:rPr>
          <w:i/>
        </w:rPr>
        <w:t>Zolotukhin</w:t>
      </w:r>
      <w:r w:rsidRPr="001B6D09" w:rsidR="00307BF1">
        <w:t>, cited above, § 83). The Court</w:t>
      </w:r>
      <w:r w:rsidRPr="001B6D09" w:rsidR="001B6D09">
        <w:t>’</w:t>
      </w:r>
      <w:r w:rsidRPr="001B6D09" w:rsidR="00307BF1">
        <w:t>s inquiry should therefore focus on those facts which constitute a set of concrete factual circumstances involving the same defendant and inextricably linked together in time and space, the existence of which must be demonstrated in order to secure a conviction or institute criminal proceedings (ibid., § 84).</w:t>
      </w:r>
    </w:p>
    <w:p w:rsidRPr="001B6D09" w:rsidR="001B3726" w:rsidP="001B6D09" w:rsidRDefault="001456E2" w14:paraId="727D590E" w14:textId="565D5385">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108</w:t>
      </w:r>
      <w:r w:rsidRPr="001B6D09">
        <w:fldChar w:fldCharType="end"/>
      </w:r>
      <w:r w:rsidRPr="001B6D09">
        <w:t>.  </w:t>
      </w:r>
      <w:r w:rsidRPr="001B6D09" w:rsidR="008464E6">
        <w:t xml:space="preserve">In the present case, the applicant was first convicted </w:t>
      </w:r>
      <w:r w:rsidRPr="001B6D09">
        <w:t xml:space="preserve">in minor-offence proceedings </w:t>
      </w:r>
      <w:r w:rsidRPr="001B6D09" w:rsidR="008F0FE3">
        <w:t>in respect of</w:t>
      </w:r>
      <w:r w:rsidRPr="001B6D09" w:rsidR="008464E6">
        <w:t xml:space="preserve"> two separate incidents</w:t>
      </w:r>
      <w:r w:rsidRPr="001B6D09">
        <w:t xml:space="preserve"> </w:t>
      </w:r>
      <w:r w:rsidRPr="001B6D09" w:rsidR="008464E6">
        <w:t>– by judgments of</w:t>
      </w:r>
      <w:r w:rsidRPr="001B6D09" w:rsidR="002B2B96">
        <w:t xml:space="preserve"> 16</w:t>
      </w:r>
      <w:r w:rsidRPr="001B6D09" w:rsidR="00E32DB0">
        <w:t xml:space="preserve"> January 2008</w:t>
      </w:r>
      <w:r w:rsidRPr="001B6D09" w:rsidR="003E2DD9">
        <w:t xml:space="preserve"> in respect of </w:t>
      </w:r>
      <w:r w:rsidRPr="001B6D09" w:rsidR="005D77EF">
        <w:t>an</w:t>
      </w:r>
      <w:r w:rsidRPr="001B6D09" w:rsidR="003E2DD9">
        <w:t xml:space="preserve"> incident </w:t>
      </w:r>
      <w:r w:rsidRPr="001B6D09" w:rsidR="005D77EF">
        <w:t xml:space="preserve">which </w:t>
      </w:r>
      <w:r w:rsidRPr="001B6D09" w:rsidR="00C874B0">
        <w:t>occurred</w:t>
      </w:r>
      <w:r w:rsidRPr="001B6D09" w:rsidR="00115A05">
        <w:t xml:space="preserve"> on</w:t>
      </w:r>
      <w:r w:rsidRPr="001B6D09" w:rsidR="003E2DD9">
        <w:t xml:space="preserve"> 10 January 2008</w:t>
      </w:r>
      <w:r w:rsidRPr="001B6D09" w:rsidR="00EC434B">
        <w:t xml:space="preserve"> (see paragraph </w:t>
      </w:r>
      <w:r w:rsidRPr="001B6D09" w:rsidR="00EC434B">
        <w:fldChar w:fldCharType="begin"/>
      </w:r>
      <w:r w:rsidRPr="001B6D09" w:rsidR="00EC434B">
        <w:instrText xml:space="preserve"> REF first_minor_offence_proceedings \h </w:instrText>
      </w:r>
      <w:r w:rsidRPr="001B6D09" w:rsidR="00033454">
        <w:instrText xml:space="preserve"> \* MERGEFORMAT </w:instrText>
      </w:r>
      <w:r w:rsidRPr="001B6D09" w:rsidR="00EC434B">
        <w:fldChar w:fldCharType="separate"/>
      </w:r>
      <w:r w:rsidRPr="001B6D09" w:rsidR="001B6D09">
        <w:rPr>
          <w:noProof/>
        </w:rPr>
        <w:t>9</w:t>
      </w:r>
      <w:r w:rsidRPr="001B6D09" w:rsidR="00EC434B">
        <w:fldChar w:fldCharType="end"/>
      </w:r>
      <w:r w:rsidRPr="001B6D09" w:rsidR="00EC434B">
        <w:t xml:space="preserve"> above)</w:t>
      </w:r>
      <w:r w:rsidRPr="001B6D09" w:rsidR="003E2DD9">
        <w:t xml:space="preserve">, and </w:t>
      </w:r>
      <w:r w:rsidRPr="001B6D09" w:rsidR="005D77EF">
        <w:t xml:space="preserve">then </w:t>
      </w:r>
      <w:r w:rsidRPr="001B6D09" w:rsidR="003E2DD9">
        <w:t xml:space="preserve">by </w:t>
      </w:r>
      <w:r w:rsidRPr="001B6D09" w:rsidR="008F0FE3">
        <w:t>the</w:t>
      </w:r>
      <w:r w:rsidRPr="001B6D09" w:rsidR="003E2DD9">
        <w:t xml:space="preserve"> judgment of 17 November 2008 for the incident </w:t>
      </w:r>
      <w:r w:rsidRPr="001B6D09">
        <w:t>of</w:t>
      </w:r>
      <w:r w:rsidRPr="001B6D09" w:rsidR="003E2DD9">
        <w:t xml:space="preserve"> 3 November 2008 </w:t>
      </w:r>
      <w:r w:rsidRPr="001B6D09" w:rsidR="00CC45DE">
        <w:t>(see paragraph</w:t>
      </w:r>
      <w:r w:rsidRPr="001B6D09" w:rsidR="003E2DD9">
        <w:t xml:space="preserve"> </w:t>
      </w:r>
      <w:r w:rsidRPr="001B6D09">
        <w:fldChar w:fldCharType="begin"/>
      </w:r>
      <w:r w:rsidRPr="001B6D09">
        <w:instrText xml:space="preserve"> REF minor_offence_judgment \h </w:instrText>
      </w:r>
      <w:r w:rsidRPr="001B6D09" w:rsidR="00033454">
        <w:instrText xml:space="preserve"> \* MERGEFORMAT </w:instrText>
      </w:r>
      <w:r w:rsidRPr="001B6D09">
        <w:fldChar w:fldCharType="separate"/>
      </w:r>
      <w:r w:rsidRPr="001B6D09" w:rsidR="001B6D09">
        <w:rPr>
          <w:noProof/>
        </w:rPr>
        <w:t>13</w:t>
      </w:r>
      <w:r w:rsidRPr="001B6D09">
        <w:fldChar w:fldCharType="end"/>
      </w:r>
      <w:r w:rsidRPr="001B6D09">
        <w:t xml:space="preserve"> </w:t>
      </w:r>
      <w:r w:rsidRPr="001B6D09" w:rsidR="00CC45DE">
        <w:t>above)</w:t>
      </w:r>
      <w:r w:rsidRPr="001B6D09" w:rsidR="003E2DD9">
        <w:t>.</w:t>
      </w:r>
    </w:p>
    <w:p w:rsidRPr="001B6D09" w:rsidR="001B3726" w:rsidP="001B6D09" w:rsidRDefault="00B24304" w14:paraId="035B7F5B" w14:textId="2BDDA807">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109</w:t>
      </w:r>
      <w:r w:rsidRPr="001B6D09">
        <w:fldChar w:fldCharType="end"/>
      </w:r>
      <w:r w:rsidRPr="001B6D09">
        <w:t>.  </w:t>
      </w:r>
      <w:r w:rsidRPr="001B6D09" w:rsidR="001456E2">
        <w:t>Subsequently, in the proceedings on indictment, the applicant was charged with and</w:t>
      </w:r>
      <w:r w:rsidRPr="001B6D09" w:rsidR="005D77EF">
        <w:t>,</w:t>
      </w:r>
      <w:r w:rsidRPr="001B6D09" w:rsidR="001456E2">
        <w:t xml:space="preserve"> on 14 July 2009 </w:t>
      </w:r>
      <w:r w:rsidRPr="001B6D09" w:rsidR="005D77EF">
        <w:t>found guilt</w:t>
      </w:r>
      <w:r w:rsidRPr="001B6D09" w:rsidR="00EC434B">
        <w:t>y</w:t>
      </w:r>
      <w:r w:rsidRPr="001B6D09" w:rsidR="005D77EF">
        <w:t xml:space="preserve"> of,</w:t>
      </w:r>
      <w:r w:rsidRPr="001B6D09" w:rsidR="001456E2">
        <w:t xml:space="preserve"> four counts of domestic violence committed against his family members in the period between February 2005 and November 2008. </w:t>
      </w:r>
      <w:r w:rsidRPr="001B6D09" w:rsidR="00862DDB">
        <w:t>The Court notes that, while the applicant</w:t>
      </w:r>
      <w:r w:rsidRPr="001B6D09" w:rsidR="001B6D09">
        <w:t>’</w:t>
      </w:r>
      <w:r w:rsidRPr="001B6D09" w:rsidR="00862DDB">
        <w:t xml:space="preserve">s conviction in the proceedings on indictment did not </w:t>
      </w:r>
      <w:r w:rsidRPr="001B6D09" w:rsidR="00787579">
        <w:t xml:space="preserve">expressly </w:t>
      </w:r>
      <w:r w:rsidRPr="001B6D09" w:rsidR="00862DDB">
        <w:t>refer to any specific event of 10 January 2008</w:t>
      </w:r>
      <w:r w:rsidRPr="001B6D09" w:rsidR="007D374D">
        <w:t xml:space="preserve">, </w:t>
      </w:r>
      <w:r w:rsidRPr="001B6D09" w:rsidR="005D77EF">
        <w:t>it clearly</w:t>
      </w:r>
      <w:r w:rsidRPr="001B6D09">
        <w:t xml:space="preserve"> </w:t>
      </w:r>
      <w:r w:rsidRPr="001B6D09" w:rsidR="00485F29">
        <w:t>encompasse</w:t>
      </w:r>
      <w:r w:rsidRPr="001B6D09" w:rsidR="009629F9">
        <w:t>d</w:t>
      </w:r>
      <w:r w:rsidRPr="001B6D09" w:rsidR="00485F29">
        <w:t xml:space="preserve"> </w:t>
      </w:r>
      <w:r w:rsidRPr="001B6D09" w:rsidR="00592CA1">
        <w:t xml:space="preserve">the period between February 2005 and November 2008, </w:t>
      </w:r>
      <w:r w:rsidRPr="001B6D09" w:rsidR="001456E2">
        <w:t>thereby</w:t>
      </w:r>
      <w:r w:rsidRPr="001B6D09" w:rsidR="00592CA1">
        <w:t xml:space="preserve"> </w:t>
      </w:r>
      <w:r w:rsidRPr="001B6D09" w:rsidR="001456E2">
        <w:t>implicitly</w:t>
      </w:r>
      <w:r w:rsidRPr="001B6D09" w:rsidR="00592CA1">
        <w:t xml:space="preserve"> cover</w:t>
      </w:r>
      <w:r w:rsidRPr="001B6D09" w:rsidR="001456E2">
        <w:t>ing</w:t>
      </w:r>
      <w:r w:rsidRPr="001B6D09" w:rsidR="00592CA1">
        <w:t xml:space="preserve"> </w:t>
      </w:r>
      <w:r w:rsidRPr="001B6D09" w:rsidR="002B453A">
        <w:t xml:space="preserve">all </w:t>
      </w:r>
      <w:r w:rsidRPr="001B6D09" w:rsidR="00592CA1">
        <w:t>the incident</w:t>
      </w:r>
      <w:r w:rsidRPr="001B6D09" w:rsidR="002B453A">
        <w:t>s that might have happened during that time</w:t>
      </w:r>
      <w:r w:rsidRPr="001B6D09" w:rsidR="00592CA1">
        <w:t>.</w:t>
      </w:r>
    </w:p>
    <w:p w:rsidRPr="001B6D09" w:rsidR="001B3726" w:rsidP="001B6D09" w:rsidRDefault="001456E2" w14:paraId="4C6C75D0" w14:textId="6C6002A7">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110</w:t>
      </w:r>
      <w:r w:rsidRPr="001B6D09">
        <w:fldChar w:fldCharType="end"/>
      </w:r>
      <w:r w:rsidRPr="001B6D09">
        <w:t>.  On the other hand</w:t>
      </w:r>
      <w:r w:rsidRPr="001B6D09" w:rsidR="00592CA1">
        <w:t xml:space="preserve">, the criminal court judgment expressly </w:t>
      </w:r>
      <w:r w:rsidRPr="001B6D09">
        <w:t>referred</w:t>
      </w:r>
      <w:r w:rsidRPr="001B6D09" w:rsidR="00592CA1">
        <w:t xml:space="preserve"> to </w:t>
      </w:r>
      <w:r w:rsidRPr="001B6D09" w:rsidR="00485F29">
        <w:t>the event of 3 November 200</w:t>
      </w:r>
      <w:r w:rsidRPr="001B6D09" w:rsidR="00BA6285">
        <w:t>8</w:t>
      </w:r>
      <w:r w:rsidRPr="001B6D09" w:rsidR="00485F29">
        <w:t xml:space="preserve"> </w:t>
      </w:r>
      <w:r w:rsidRPr="001B6D09" w:rsidR="00D41FA8">
        <w:t xml:space="preserve">in respect of which </w:t>
      </w:r>
      <w:r w:rsidRPr="001B6D09" w:rsidR="00F305FF">
        <w:t>t</w:t>
      </w:r>
      <w:r w:rsidRPr="001B6D09" w:rsidR="00D41FA8">
        <w:t xml:space="preserve">he </w:t>
      </w:r>
      <w:r w:rsidRPr="001B6D09" w:rsidR="00EA331C">
        <w:t xml:space="preserve">applicant </w:t>
      </w:r>
      <w:r w:rsidRPr="001B6D09" w:rsidR="00D41FA8">
        <w:t xml:space="preserve">had been found guilty </w:t>
      </w:r>
      <w:r w:rsidRPr="001B6D09" w:rsidR="00862DDB">
        <w:t xml:space="preserve">in the minor-offence </w:t>
      </w:r>
      <w:r w:rsidRPr="001B6D09" w:rsidR="0007600A">
        <w:t>proceedings</w:t>
      </w:r>
      <w:r w:rsidRPr="001B6D09" w:rsidR="00F305FF">
        <w:t xml:space="preserve"> </w:t>
      </w:r>
      <w:r w:rsidRPr="001B6D09" w:rsidR="00D41FA8">
        <w:t>o</w:t>
      </w:r>
      <w:r w:rsidRPr="001B6D09" w:rsidR="0007600A">
        <w:t>n</w:t>
      </w:r>
      <w:r w:rsidRPr="001B6D09" w:rsidR="00D41FA8">
        <w:t xml:space="preserve"> 17 November 2008 </w:t>
      </w:r>
      <w:r w:rsidRPr="001B6D09" w:rsidR="00485F29">
        <w:t xml:space="preserve">(see paragraph </w:t>
      </w:r>
      <w:r w:rsidRPr="001B6D09" w:rsidR="00965BCE">
        <w:fldChar w:fldCharType="begin"/>
      </w:r>
      <w:r w:rsidRPr="001B6D09" w:rsidR="00965BCE">
        <w:instrText xml:space="preserve"> REF minor_offence_judgment \h </w:instrText>
      </w:r>
      <w:r w:rsidRPr="001B6D09" w:rsidR="00033454">
        <w:instrText xml:space="preserve"> \* MERGEFORMAT </w:instrText>
      </w:r>
      <w:r w:rsidRPr="001B6D09" w:rsidR="00965BCE">
        <w:fldChar w:fldCharType="separate"/>
      </w:r>
      <w:r w:rsidRPr="001B6D09" w:rsidR="001B6D09">
        <w:rPr>
          <w:noProof/>
        </w:rPr>
        <w:t>13</w:t>
      </w:r>
      <w:r w:rsidRPr="001B6D09" w:rsidR="00965BCE">
        <w:fldChar w:fldCharType="end"/>
      </w:r>
      <w:r w:rsidRPr="001B6D09" w:rsidR="00965BCE">
        <w:t xml:space="preserve"> </w:t>
      </w:r>
      <w:r w:rsidRPr="001B6D09" w:rsidR="00485F29">
        <w:t>above). Both</w:t>
      </w:r>
      <w:r w:rsidRPr="001B6D09" w:rsidR="00CE62CA">
        <w:t xml:space="preserve"> </w:t>
      </w:r>
      <w:r w:rsidRPr="001B6D09" w:rsidR="00D41FA8">
        <w:t xml:space="preserve">the </w:t>
      </w:r>
      <w:r w:rsidRPr="001B6D09" w:rsidR="0007600A">
        <w:t>decision</w:t>
      </w:r>
      <w:r w:rsidRPr="001B6D09" w:rsidR="007D1E3D">
        <w:t xml:space="preserve"> issued </w:t>
      </w:r>
      <w:r w:rsidRPr="001B6D09" w:rsidR="00551C69">
        <w:t xml:space="preserve">in </w:t>
      </w:r>
      <w:r w:rsidRPr="001B6D09" w:rsidR="007D1E3D">
        <w:t>th</w:t>
      </w:r>
      <w:r w:rsidRPr="001B6D09" w:rsidR="00F305FF">
        <w:t>e</w:t>
      </w:r>
      <w:r w:rsidRPr="001B6D09">
        <w:t xml:space="preserve"> </w:t>
      </w:r>
      <w:r w:rsidRPr="001B6D09" w:rsidR="00551C69">
        <w:t>minor-offence proceedings o</w:t>
      </w:r>
      <w:r w:rsidRPr="001B6D09" w:rsidR="00F305FF">
        <w:t>f</w:t>
      </w:r>
      <w:r w:rsidRPr="001B6D09" w:rsidR="00551C69">
        <w:t xml:space="preserve"> </w:t>
      </w:r>
      <w:r w:rsidRPr="001B6D09" w:rsidR="00BA6285">
        <w:t>17</w:t>
      </w:r>
      <w:r w:rsidRPr="001B6D09" w:rsidR="00551C69">
        <w:t xml:space="preserve"> November 2008 and the </w:t>
      </w:r>
      <w:r w:rsidRPr="001B6D09" w:rsidR="0007600A">
        <w:t>judgment</w:t>
      </w:r>
      <w:r w:rsidRPr="001B6D09" w:rsidR="00551C69">
        <w:t xml:space="preserve"> </w:t>
      </w:r>
      <w:r w:rsidRPr="001B6D09" w:rsidR="007D1E3D">
        <w:t xml:space="preserve">issued </w:t>
      </w:r>
      <w:r w:rsidRPr="001B6D09" w:rsidR="00551C69">
        <w:t xml:space="preserve">in </w:t>
      </w:r>
      <w:r w:rsidRPr="001B6D09" w:rsidR="007D1E3D">
        <w:t xml:space="preserve">the </w:t>
      </w:r>
      <w:r w:rsidRPr="001B6D09" w:rsidR="00551C69">
        <w:t>proceedings on indictment o</w:t>
      </w:r>
      <w:r w:rsidRPr="001B6D09" w:rsidR="00F305FF">
        <w:t>f</w:t>
      </w:r>
      <w:r w:rsidRPr="001B6D09" w:rsidR="00551C69">
        <w:t xml:space="preserve"> 14 July 2009 refer</w:t>
      </w:r>
      <w:r w:rsidRPr="001B6D09" w:rsidR="00485F29">
        <w:t xml:space="preserve"> to the </w:t>
      </w:r>
      <w:r w:rsidRPr="001B6D09" w:rsidR="000E7BB4">
        <w:t xml:space="preserve">same </w:t>
      </w:r>
      <w:r w:rsidRPr="001B6D09" w:rsidR="00485F29">
        <w:t>words spoken by the applicant to his daughter and his former spouse</w:t>
      </w:r>
      <w:r w:rsidRPr="001B6D09" w:rsidR="00791ED6">
        <w:t>,</w:t>
      </w:r>
      <w:r w:rsidRPr="001B6D09" w:rsidR="00485F29">
        <w:t xml:space="preserve"> and to the applicant</w:t>
      </w:r>
      <w:r w:rsidRPr="001B6D09" w:rsidR="001B6D09">
        <w:t>’</w:t>
      </w:r>
      <w:r w:rsidRPr="001B6D09" w:rsidR="00485F29">
        <w:t>s physical assault on the latter</w:t>
      </w:r>
      <w:r w:rsidRPr="001B6D09" w:rsidR="007D1E3D">
        <w:t>.</w:t>
      </w:r>
      <w:r w:rsidRPr="001B6D09" w:rsidR="000E7BB4">
        <w:t xml:space="preserve"> </w:t>
      </w:r>
      <w:r w:rsidRPr="001B6D09" w:rsidR="007D1E3D">
        <w:t>I</w:t>
      </w:r>
      <w:r w:rsidRPr="001B6D09" w:rsidR="000E7BB4">
        <w:t xml:space="preserve">n both </w:t>
      </w:r>
      <w:r w:rsidRPr="001B6D09" w:rsidR="0007600A">
        <w:t>decisions</w:t>
      </w:r>
      <w:r w:rsidRPr="001B6D09" w:rsidR="00D17F70">
        <w:t>,</w:t>
      </w:r>
      <w:r w:rsidRPr="001B6D09" w:rsidR="007D1E3D">
        <w:t xml:space="preserve"> those events are</w:t>
      </w:r>
      <w:r w:rsidRPr="001B6D09" w:rsidR="000E7BB4">
        <w:t xml:space="preserve"> described in almost the same terms</w:t>
      </w:r>
      <w:r w:rsidRPr="001B6D09" w:rsidR="007D1E3D">
        <w:t>,</w:t>
      </w:r>
      <w:r w:rsidRPr="001B6D09" w:rsidR="000E7BB4">
        <w:t xml:space="preserve"> and </w:t>
      </w:r>
      <w:r w:rsidRPr="001B6D09" w:rsidR="007D1E3D">
        <w:t>the</w:t>
      </w:r>
      <w:r w:rsidRPr="001B6D09" w:rsidR="0007600A">
        <w:t>y</w:t>
      </w:r>
      <w:r w:rsidRPr="001B6D09" w:rsidR="007D1E3D">
        <w:t xml:space="preserve"> </w:t>
      </w:r>
      <w:r w:rsidRPr="001B6D09" w:rsidR="000E7BB4">
        <w:t>clearly refer to the same event</w:t>
      </w:r>
      <w:r w:rsidRPr="001B6D09" w:rsidR="007D1E3D">
        <w:t>s</w:t>
      </w:r>
      <w:r w:rsidRPr="001B6D09" w:rsidR="000E7BB4">
        <w:t xml:space="preserve"> of 3 November 2008</w:t>
      </w:r>
      <w:r w:rsidRPr="001B6D09" w:rsidR="00485F29">
        <w:t>.</w:t>
      </w:r>
    </w:p>
    <w:bookmarkStart w:name="culminated" w:id="43"/>
    <w:p w:rsidRPr="001B6D09" w:rsidR="001B3726" w:rsidP="001B6D09" w:rsidRDefault="00AA07E3" w14:paraId="2CD4FC0C" w14:textId="3365F858">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111</w:t>
      </w:r>
      <w:r w:rsidRPr="001B6D09">
        <w:fldChar w:fldCharType="end"/>
      </w:r>
      <w:bookmarkEnd w:id="43"/>
      <w:r w:rsidRPr="001B6D09" w:rsidR="00485F29">
        <w:t>.  </w:t>
      </w:r>
      <w:r w:rsidRPr="001B6D09" w:rsidR="00EC434B">
        <w:t>At the same time</w:t>
      </w:r>
      <w:r w:rsidRPr="001B6D09" w:rsidR="007E595A">
        <w:t>, the Court notes that the indictment in the criminal proceedings contained a number of</w:t>
      </w:r>
      <w:r w:rsidRPr="001B6D09" w:rsidR="00485F29">
        <w:t xml:space="preserve"> additional facts</w:t>
      </w:r>
      <w:r w:rsidRPr="001B6D09" w:rsidR="007E595A">
        <w:t xml:space="preserve"> not encompassed by the </w:t>
      </w:r>
      <w:r w:rsidRPr="001B6D09" w:rsidR="0007600A">
        <w:t>decision</w:t>
      </w:r>
      <w:r w:rsidRPr="001B6D09" w:rsidR="007E595A">
        <w:t xml:space="preserve"> in the </w:t>
      </w:r>
      <w:r w:rsidRPr="001B6D09" w:rsidR="00EA331C">
        <w:t xml:space="preserve">impugned </w:t>
      </w:r>
      <w:r w:rsidRPr="001B6D09" w:rsidR="00EC434B">
        <w:t xml:space="preserve">set of </w:t>
      </w:r>
      <w:r w:rsidRPr="001B6D09" w:rsidR="007E595A">
        <w:t>mino</w:t>
      </w:r>
      <w:r w:rsidRPr="001B6D09" w:rsidR="00667921">
        <w:t>r</w:t>
      </w:r>
      <w:r w:rsidRPr="001B6D09" w:rsidR="007E595A">
        <w:t>-offence proceedings</w:t>
      </w:r>
      <w:r w:rsidRPr="001B6D09" w:rsidR="00485F29">
        <w:t xml:space="preserve">, </w:t>
      </w:r>
      <w:r w:rsidRPr="001B6D09" w:rsidR="00965BCE">
        <w:t>namely acts of domestic violence towards the applicant</w:t>
      </w:r>
      <w:r w:rsidRPr="001B6D09" w:rsidR="001B6D09">
        <w:t>’</w:t>
      </w:r>
      <w:r w:rsidRPr="001B6D09" w:rsidR="00965BCE">
        <w:t>s younger daughter Z.G. and his son H.G., as well as,</w:t>
      </w:r>
      <w:r w:rsidRPr="001B6D09" w:rsidR="00862DDB">
        <w:t xml:space="preserve"> </w:t>
      </w:r>
      <w:r w:rsidRPr="001B6D09" w:rsidR="007E595A">
        <w:t>most notably</w:t>
      </w:r>
      <w:r w:rsidRPr="001B6D09" w:rsidR="00965BCE">
        <w:t>,</w:t>
      </w:r>
      <w:r w:rsidRPr="001B6D09" w:rsidR="00485F29">
        <w:t xml:space="preserve"> </w:t>
      </w:r>
      <w:r w:rsidRPr="001B6D09" w:rsidR="00965BCE">
        <w:t xml:space="preserve">that </w:t>
      </w:r>
      <w:r w:rsidRPr="001B6D09" w:rsidR="00485F29">
        <w:t>the applicant</w:t>
      </w:r>
      <w:r w:rsidRPr="001B6D09" w:rsidR="001B6D09">
        <w:t>’</w:t>
      </w:r>
      <w:r w:rsidRPr="001B6D09" w:rsidR="00485F29">
        <w:t xml:space="preserve">s violent behaviour </w:t>
      </w:r>
      <w:r w:rsidRPr="001B6D09" w:rsidR="00965BCE">
        <w:t xml:space="preserve">occurred </w:t>
      </w:r>
      <w:r w:rsidRPr="001B6D09" w:rsidR="00D17F70">
        <w:t xml:space="preserve">over </w:t>
      </w:r>
      <w:r w:rsidRPr="001B6D09" w:rsidR="00485F29">
        <w:t>a longer period of time</w:t>
      </w:r>
      <w:r w:rsidRPr="001B6D09" w:rsidR="00A76888">
        <w:t xml:space="preserve"> (see paragraph </w:t>
      </w:r>
      <w:r w:rsidRPr="001B6D09" w:rsidR="009F00FA">
        <w:fldChar w:fldCharType="begin"/>
      </w:r>
      <w:r w:rsidRPr="001B6D09" w:rsidR="009F00FA">
        <w:instrText xml:space="preserve"> REF criminal_indictment \h </w:instrText>
      </w:r>
      <w:r w:rsidRPr="001B6D09" w:rsidR="004A117E">
        <w:instrText xml:space="preserve"> \* MERGEFORMAT </w:instrText>
      </w:r>
      <w:r w:rsidRPr="001B6D09" w:rsidR="009F00FA">
        <w:fldChar w:fldCharType="separate"/>
      </w:r>
      <w:r w:rsidRPr="001B6D09" w:rsidR="001B6D09">
        <w:rPr>
          <w:noProof/>
        </w:rPr>
        <w:t>23</w:t>
      </w:r>
      <w:r w:rsidRPr="001B6D09" w:rsidR="009F00FA">
        <w:fldChar w:fldCharType="end"/>
      </w:r>
      <w:r w:rsidRPr="001B6D09" w:rsidR="009F00FA">
        <w:t xml:space="preserve"> </w:t>
      </w:r>
      <w:r w:rsidRPr="001B6D09" w:rsidR="00A76888">
        <w:t>above)</w:t>
      </w:r>
      <w:r w:rsidRPr="001B6D09" w:rsidR="00EC434B">
        <w:t xml:space="preserve">. The proceedings </w:t>
      </w:r>
      <w:r w:rsidRPr="001B6D09" w:rsidR="00F305FF">
        <w:t xml:space="preserve">on indictment </w:t>
      </w:r>
      <w:r w:rsidRPr="001B6D09" w:rsidR="00862DDB">
        <w:t xml:space="preserve">therefore concerned a criminal offence </w:t>
      </w:r>
      <w:r w:rsidRPr="001B6D09" w:rsidR="00115A05">
        <w:t xml:space="preserve">of domestic violence </w:t>
      </w:r>
      <w:r w:rsidRPr="001B6D09" w:rsidR="000C75D9">
        <w:t>as defined</w:t>
      </w:r>
      <w:r w:rsidRPr="001B6D09" w:rsidR="007E595A">
        <w:t xml:space="preserve"> in Article 215a of the Criminal Code (see paragraph </w:t>
      </w:r>
      <w:r w:rsidRPr="001B6D09" w:rsidR="0080302A">
        <w:fldChar w:fldCharType="begin"/>
      </w:r>
      <w:r w:rsidRPr="001B6D09" w:rsidR="0080302A">
        <w:instrText xml:space="preserve"> REF Supreme_Court_judgment \h </w:instrText>
      </w:r>
      <w:r w:rsidRPr="001B6D09" w:rsidR="00A76888">
        <w:instrText xml:space="preserve"> \* MERGEFORMAT </w:instrText>
      </w:r>
      <w:r w:rsidRPr="001B6D09" w:rsidR="0080302A">
        <w:fldChar w:fldCharType="separate"/>
      </w:r>
      <w:r w:rsidRPr="001B6D09" w:rsidR="001B6D09">
        <w:rPr>
          <w:noProof/>
        </w:rPr>
        <w:t>69</w:t>
      </w:r>
      <w:r w:rsidRPr="001B6D09" w:rsidR="0080302A">
        <w:fldChar w:fldCharType="end"/>
      </w:r>
      <w:r w:rsidRPr="001B6D09" w:rsidR="007E595A">
        <w:t xml:space="preserve"> above). </w:t>
      </w:r>
      <w:r w:rsidRPr="001B6D09" w:rsidR="00E83366">
        <w:t>In fact, t</w:t>
      </w:r>
      <w:r w:rsidRPr="001B6D09" w:rsidR="00E831F3">
        <w:t>he criminal conviction enumerate</w:t>
      </w:r>
      <w:r w:rsidRPr="001B6D09" w:rsidR="001456E2">
        <w:t>d</w:t>
      </w:r>
      <w:r w:rsidRPr="001B6D09" w:rsidR="00E831F3">
        <w:t xml:space="preserve"> several examples of the applicant</w:t>
      </w:r>
      <w:r w:rsidRPr="001B6D09" w:rsidR="001B6D09">
        <w:t>’</w:t>
      </w:r>
      <w:r w:rsidRPr="001B6D09" w:rsidR="00E831F3">
        <w:t>s violent behaviour towards his family members and expressly state</w:t>
      </w:r>
      <w:r w:rsidRPr="001B6D09" w:rsidR="00E83366">
        <w:t>d</w:t>
      </w:r>
      <w:r w:rsidRPr="001B6D09" w:rsidR="00E831F3">
        <w:t xml:space="preserve"> that such conduct culminated in the incident of 3 November 2008 (see paragraph </w:t>
      </w:r>
      <w:r w:rsidRPr="001B6D09" w:rsidR="009F00FA">
        <w:fldChar w:fldCharType="begin"/>
      </w:r>
      <w:r w:rsidRPr="001B6D09" w:rsidR="009F00FA">
        <w:instrText xml:space="preserve"> REF criminal_judgment \h </w:instrText>
      </w:r>
      <w:r w:rsidRPr="001B6D09" w:rsidR="004A117E">
        <w:instrText xml:space="preserve"> \* MERGEFORMAT </w:instrText>
      </w:r>
      <w:r w:rsidRPr="001B6D09" w:rsidR="009F00FA">
        <w:fldChar w:fldCharType="separate"/>
      </w:r>
      <w:r w:rsidRPr="001B6D09" w:rsidR="001B6D09">
        <w:rPr>
          <w:noProof/>
        </w:rPr>
        <w:t>33</w:t>
      </w:r>
      <w:r w:rsidRPr="001B6D09" w:rsidR="009F00FA">
        <w:fldChar w:fldCharType="end"/>
      </w:r>
      <w:r w:rsidRPr="001B6D09" w:rsidR="00E831F3">
        <w:t xml:space="preserve"> above). </w:t>
      </w:r>
      <w:r w:rsidRPr="001B6D09" w:rsidR="00663B05">
        <w:t>It transpires that</w:t>
      </w:r>
      <w:r w:rsidRPr="001B6D09" w:rsidR="007E595A">
        <w:t xml:space="preserve"> the inclusion of the incident of 3 November 2008 served to show </w:t>
      </w:r>
      <w:r w:rsidRPr="001B6D09" w:rsidR="009F00FA">
        <w:t xml:space="preserve">only </w:t>
      </w:r>
      <w:r w:rsidRPr="001B6D09" w:rsidR="000C75D9">
        <w:t xml:space="preserve">one of the instances </w:t>
      </w:r>
      <w:r w:rsidRPr="001B6D09" w:rsidR="00663B05">
        <w:t xml:space="preserve">– notably, the most violent one – </w:t>
      </w:r>
      <w:r w:rsidRPr="001B6D09" w:rsidR="000C75D9">
        <w:t>of the applicant</w:t>
      </w:r>
      <w:r w:rsidRPr="001B6D09" w:rsidR="001B6D09">
        <w:t>’</w:t>
      </w:r>
      <w:r w:rsidRPr="001B6D09" w:rsidR="000C75D9">
        <w:t xml:space="preserve">s </w:t>
      </w:r>
      <w:r w:rsidRPr="001B6D09" w:rsidR="004A117E">
        <w:t xml:space="preserve">reprehensible </w:t>
      </w:r>
      <w:r w:rsidRPr="001B6D09" w:rsidR="007E595A">
        <w:t>behaviour</w:t>
      </w:r>
      <w:r w:rsidRPr="001B6D09" w:rsidR="00663B05">
        <w:t xml:space="preserve"> </w:t>
      </w:r>
      <w:r w:rsidRPr="001B6D09" w:rsidR="000C75D9">
        <w:t>which</w:t>
      </w:r>
      <w:r w:rsidRPr="001B6D09" w:rsidR="007E595A">
        <w:t xml:space="preserve"> had persisted over a period of </w:t>
      </w:r>
      <w:r w:rsidRPr="001B6D09" w:rsidR="00663B05">
        <w:t>some three years a</w:t>
      </w:r>
      <w:r w:rsidRPr="001B6D09" w:rsidR="007E595A">
        <w:t xml:space="preserve">nd had </w:t>
      </w:r>
      <w:r w:rsidRPr="001B6D09" w:rsidR="00E83366">
        <w:t>caused his family members</w:t>
      </w:r>
      <w:r w:rsidRPr="001B6D09" w:rsidR="00663B05">
        <w:t xml:space="preserve"> </w:t>
      </w:r>
      <w:r w:rsidRPr="001B6D09" w:rsidR="006A52E4">
        <w:t xml:space="preserve">fear, anxiety and risk for their life (see paragraph </w:t>
      </w:r>
      <w:r w:rsidRPr="001B6D09" w:rsidR="001456E2">
        <w:fldChar w:fldCharType="begin"/>
      </w:r>
      <w:r w:rsidRPr="001B6D09" w:rsidR="001456E2">
        <w:instrText xml:space="preserve"> REF criminal_judgment \h </w:instrText>
      </w:r>
      <w:r w:rsidRPr="001B6D09" w:rsidR="00D323E4">
        <w:instrText xml:space="preserve"> \* MERGEFORMAT </w:instrText>
      </w:r>
      <w:r w:rsidRPr="001B6D09" w:rsidR="001456E2">
        <w:fldChar w:fldCharType="separate"/>
      </w:r>
      <w:r w:rsidRPr="001B6D09" w:rsidR="001B6D09">
        <w:rPr>
          <w:noProof/>
        </w:rPr>
        <w:t>33</w:t>
      </w:r>
      <w:r w:rsidRPr="001B6D09" w:rsidR="001456E2">
        <w:fldChar w:fldCharType="end"/>
      </w:r>
      <w:r w:rsidRPr="001B6D09" w:rsidR="001456E2">
        <w:t xml:space="preserve"> </w:t>
      </w:r>
      <w:r w:rsidRPr="001B6D09" w:rsidR="006A52E4">
        <w:t>above)</w:t>
      </w:r>
      <w:r w:rsidRPr="001B6D09" w:rsidR="00663B05">
        <w:t xml:space="preserve">. In other words, the </w:t>
      </w:r>
      <w:r w:rsidRPr="001B6D09" w:rsidR="00E83366">
        <w:t xml:space="preserve">domestic courts sought to show that the </w:t>
      </w:r>
      <w:r w:rsidRPr="001B6D09" w:rsidR="00663B05">
        <w:t>applicant</w:t>
      </w:r>
      <w:r w:rsidRPr="001B6D09" w:rsidR="001B6D09">
        <w:t>’</w:t>
      </w:r>
      <w:r w:rsidRPr="001B6D09" w:rsidR="00663B05">
        <w:t>s conduct</w:t>
      </w:r>
      <w:r w:rsidRPr="001B6D09" w:rsidR="00E83366">
        <w:t xml:space="preserve">, which had been sanctioned </w:t>
      </w:r>
      <w:r w:rsidRPr="001B6D09" w:rsidR="00D41FA8">
        <w:t xml:space="preserve">on a number of occasions </w:t>
      </w:r>
      <w:r w:rsidRPr="001B6D09" w:rsidR="00E83366">
        <w:t>in minor-offence proceedings,</w:t>
      </w:r>
      <w:r w:rsidRPr="001B6D09" w:rsidR="00663B05">
        <w:t xml:space="preserve"> </w:t>
      </w:r>
      <w:r w:rsidRPr="001B6D09" w:rsidR="007E595A">
        <w:t xml:space="preserve">eventually reached the threshold of seriousness so as to be considered </w:t>
      </w:r>
      <w:r w:rsidRPr="001B6D09" w:rsidR="00663B05">
        <w:t xml:space="preserve">and punished </w:t>
      </w:r>
      <w:r w:rsidRPr="001B6D09" w:rsidR="007E595A">
        <w:t>under criminal law.</w:t>
      </w:r>
    </w:p>
    <w:p w:rsidRPr="001B6D09" w:rsidR="00485F29" w:rsidP="001B6D09" w:rsidRDefault="00485F29" w14:paraId="7BC5EF3A" w14:textId="24C8C7BE">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112</w:t>
      </w:r>
      <w:r w:rsidRPr="001B6D09">
        <w:fldChar w:fldCharType="end"/>
      </w:r>
      <w:r w:rsidRPr="001B6D09">
        <w:t>.  </w:t>
      </w:r>
      <w:r w:rsidRPr="001B6D09" w:rsidR="00293AFE">
        <w:t xml:space="preserve">The Court notes that </w:t>
      </w:r>
      <w:r w:rsidRPr="001B6D09" w:rsidR="00DC605B">
        <w:t>the facts</w:t>
      </w:r>
      <w:r w:rsidRPr="001B6D09" w:rsidR="00EB3F9B">
        <w:t xml:space="preserve"> for which the applicant had already been convicted in</w:t>
      </w:r>
      <w:r w:rsidRPr="001B6D09" w:rsidR="00DC605B">
        <w:t xml:space="preserve"> the two </w:t>
      </w:r>
      <w:r w:rsidRPr="001B6D09" w:rsidR="00EA331C">
        <w:t xml:space="preserve">impugned </w:t>
      </w:r>
      <w:r w:rsidRPr="001B6D09" w:rsidR="00DC605B">
        <w:t>sets of minor-offence proceedings</w:t>
      </w:r>
      <w:r w:rsidRPr="001B6D09" w:rsidR="00EB3F9B">
        <w:t xml:space="preserve"> </w:t>
      </w:r>
      <w:r w:rsidRPr="001B6D09" w:rsidR="00F305FF">
        <w:t>formed an</w:t>
      </w:r>
      <w:r w:rsidRPr="001B6D09" w:rsidR="00DC605B">
        <w:t xml:space="preserve"> integral part of the subsequent proceedings on indictment</w:t>
      </w:r>
      <w:r w:rsidRPr="001B6D09" w:rsidR="00293AFE">
        <w:t xml:space="preserve">. The Court </w:t>
      </w:r>
      <w:r w:rsidRPr="001B6D09" w:rsidR="00777810">
        <w:t xml:space="preserve">thus </w:t>
      </w:r>
      <w:r w:rsidRPr="001B6D09" w:rsidR="00293AFE">
        <w:t xml:space="preserve">accepts that the facts in </w:t>
      </w:r>
      <w:r w:rsidRPr="001B6D09" w:rsidR="0007600A">
        <w:t xml:space="preserve">the </w:t>
      </w:r>
      <w:r w:rsidRPr="001B6D09" w:rsidR="00293AFE">
        <w:t xml:space="preserve">subsequent criminal proceedings </w:t>
      </w:r>
      <w:r w:rsidRPr="001B6D09" w:rsidR="00F305FF">
        <w:t>had</w:t>
      </w:r>
      <w:r w:rsidRPr="001B6D09" w:rsidR="00293AFE">
        <w:t xml:space="preserve"> </w:t>
      </w:r>
      <w:r w:rsidRPr="001B6D09" w:rsidR="00F305FF">
        <w:t xml:space="preserve">in part been </w:t>
      </w:r>
      <w:r w:rsidRPr="001B6D09" w:rsidR="00293AFE">
        <w:t xml:space="preserve">identical to the facts </w:t>
      </w:r>
      <w:r w:rsidRPr="001B6D09" w:rsidR="00797695">
        <w:t xml:space="preserve">in </w:t>
      </w:r>
      <w:r w:rsidRPr="001B6D09" w:rsidR="001225A3">
        <w:t>the two sets of minor-offence proceedings</w:t>
      </w:r>
      <w:r w:rsidRPr="001B6D09" w:rsidR="00F305FF">
        <w:t xml:space="preserve"> complained of</w:t>
      </w:r>
      <w:r w:rsidRPr="001B6D09" w:rsidR="00777810">
        <w:t>. In view of this</w:t>
      </w:r>
      <w:r w:rsidRPr="001B6D09" w:rsidR="00F305FF">
        <w:t>,</w:t>
      </w:r>
      <w:r w:rsidRPr="001B6D09" w:rsidR="003F573B">
        <w:t xml:space="preserve"> </w:t>
      </w:r>
      <w:r w:rsidRPr="001B6D09" w:rsidR="00822FF6">
        <w:t xml:space="preserve">any possible </w:t>
      </w:r>
      <w:r w:rsidRPr="001B6D09" w:rsidR="003F573B">
        <w:t xml:space="preserve">arbitrary treatment by the judicial system in breach of </w:t>
      </w:r>
      <w:r w:rsidRPr="001B6D09" w:rsidR="00F305FF">
        <w:t xml:space="preserve">the </w:t>
      </w:r>
      <w:r w:rsidRPr="001B6D09" w:rsidR="003F573B">
        <w:rPr>
          <w:i/>
          <w:iCs/>
        </w:rPr>
        <w:t>ne bis in idem</w:t>
      </w:r>
      <w:r w:rsidRPr="001B6D09" w:rsidR="003F573B">
        <w:t xml:space="preserve"> principle </w:t>
      </w:r>
      <w:r w:rsidRPr="001B6D09" w:rsidR="00C90B22">
        <w:t>in those proceedings</w:t>
      </w:r>
      <w:r w:rsidRPr="001B6D09" w:rsidR="003F573B">
        <w:t xml:space="preserve"> </w:t>
      </w:r>
      <w:r w:rsidRPr="001B6D09" w:rsidR="00822FF6">
        <w:t>must be eliminated</w:t>
      </w:r>
      <w:r w:rsidRPr="001B6D09" w:rsidR="001225A3">
        <w:t>.</w:t>
      </w:r>
      <w:r w:rsidRPr="001B6D09" w:rsidR="005D77EF">
        <w:t xml:space="preserve"> </w:t>
      </w:r>
      <w:r w:rsidRPr="001B6D09" w:rsidR="00F305FF">
        <w:t>The Court</w:t>
      </w:r>
      <w:r w:rsidRPr="001B6D09" w:rsidR="005D77EF">
        <w:t xml:space="preserve"> will therefore proceed to</w:t>
      </w:r>
      <w:r w:rsidRPr="001B6D09" w:rsidR="00862DDB">
        <w:t xml:space="preserve"> </w:t>
      </w:r>
      <w:r w:rsidRPr="001B6D09" w:rsidR="00031B7D">
        <w:t>examin</w:t>
      </w:r>
      <w:r w:rsidRPr="001B6D09" w:rsidR="004A117E">
        <w:t>e</w:t>
      </w:r>
      <w:r w:rsidRPr="001B6D09" w:rsidR="00031B7D">
        <w:t xml:space="preserve"> whether there </w:t>
      </w:r>
      <w:r w:rsidRPr="001B6D09" w:rsidR="006A52E4">
        <w:t xml:space="preserve">had been </w:t>
      </w:r>
      <w:r w:rsidRPr="001B6D09" w:rsidR="004A117E">
        <w:t>a</w:t>
      </w:r>
      <w:r w:rsidRPr="001B6D09" w:rsidR="00031B7D">
        <w:t xml:space="preserve"> </w:t>
      </w:r>
      <w:r w:rsidRPr="001B6D09" w:rsidR="006A52E4">
        <w:t xml:space="preserve">duplication </w:t>
      </w:r>
      <w:r w:rsidRPr="001B6D09" w:rsidR="00E83366">
        <w:t>(</w:t>
      </w:r>
      <w:r w:rsidRPr="001B6D09" w:rsidR="00E83366">
        <w:rPr>
          <w:i/>
        </w:rPr>
        <w:t>bis</w:t>
      </w:r>
      <w:r w:rsidRPr="001B6D09" w:rsidR="00E83366">
        <w:t xml:space="preserve">) </w:t>
      </w:r>
      <w:r w:rsidRPr="001B6D09" w:rsidR="006A52E4">
        <w:t xml:space="preserve">of the </w:t>
      </w:r>
      <w:r w:rsidRPr="001B6D09" w:rsidR="00E83366">
        <w:t>proceedings</w:t>
      </w:r>
      <w:r w:rsidRPr="001B6D09" w:rsidR="006A52E4">
        <w:t xml:space="preserve"> in breach of</w:t>
      </w:r>
      <w:r w:rsidRPr="001B6D09">
        <w:t xml:space="preserve"> Article 4 of Protocol No. 7.</w:t>
      </w:r>
    </w:p>
    <w:p w:rsidRPr="001B6D09" w:rsidR="001221E7" w:rsidP="001B6D09" w:rsidRDefault="001221E7" w14:paraId="737778F5" w14:textId="6ACB860F">
      <w:pPr>
        <w:pStyle w:val="JuHa0"/>
      </w:pPr>
      <w:r w:rsidRPr="001B6D09">
        <w:t>Whether there was duplication of proceedings (</w:t>
      </w:r>
      <w:r w:rsidRPr="001B6D09">
        <w:rPr>
          <w:i/>
        </w:rPr>
        <w:t>bis</w:t>
      </w:r>
      <w:r w:rsidRPr="001B6D09">
        <w:t>)</w:t>
      </w:r>
    </w:p>
    <w:bookmarkStart w:name="AB_Norway" w:id="44"/>
    <w:p w:rsidRPr="001B6D09" w:rsidR="00307BF1" w:rsidP="001B6D09" w:rsidRDefault="00224DCB" w14:paraId="496836A1" w14:textId="754C79A2">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113</w:t>
      </w:r>
      <w:r w:rsidRPr="001B6D09">
        <w:fldChar w:fldCharType="end"/>
      </w:r>
      <w:bookmarkEnd w:id="44"/>
      <w:r w:rsidRPr="001B6D09">
        <w:t>.  </w:t>
      </w:r>
      <w:r w:rsidRPr="001B6D09" w:rsidR="00307BF1">
        <w:rPr>
          <w:rFonts w:eastAsia="Times New Roman"/>
        </w:rPr>
        <w:t xml:space="preserve">As the Grand Chamber explained in </w:t>
      </w:r>
      <w:r w:rsidRPr="001B6D09" w:rsidR="00AE5BAB">
        <w:rPr>
          <w:i/>
        </w:rPr>
        <w:t>A and B v. Norway</w:t>
      </w:r>
      <w:r w:rsidRPr="001B6D09" w:rsidR="00AE5BAB">
        <w:t xml:space="preserve"> ([GC], nos.</w:t>
      </w:r>
      <w:r w:rsidRPr="001B6D09" w:rsidR="003D2EA8">
        <w:t> </w:t>
      </w:r>
      <w:r w:rsidRPr="001B6D09" w:rsidR="00AE5BAB">
        <w:t>24130/11 and 29758/11, § 130, 15 November 2016</w:t>
      </w:r>
      <w:r w:rsidRPr="001B6D09" w:rsidR="00307BF1">
        <w:t xml:space="preserve">), </w:t>
      </w:r>
      <w:r w:rsidRPr="001B6D09" w:rsidR="00307BF1">
        <w:rPr>
          <w:rFonts w:eastAsia="Times New Roman"/>
        </w:rPr>
        <w:t>Article 4 of Protocol No. 7 does not preclude the conduct of dual proceedings, provided that certain conditions are fulfilled. In particular, for the Court to be satisfied that there is no duplication of trial or punishment (</w:t>
      </w:r>
      <w:r w:rsidRPr="001B6D09" w:rsidR="00307BF1">
        <w:rPr>
          <w:rFonts w:eastAsia="Times New Roman"/>
          <w:i/>
          <w:iCs/>
        </w:rPr>
        <w:t>bis</w:t>
      </w:r>
      <w:r w:rsidRPr="001B6D09" w:rsidR="00307BF1">
        <w:rPr>
          <w:rFonts w:eastAsia="Times New Roman"/>
        </w:rPr>
        <w:t xml:space="preserve">) as proscribed by Article 4 of Protocol No. 7, the respondent State must demonstrate convincingly that the dual proceedings in question were “sufficiently closely connected in substance and in time”. In other words, it must be shown that they were combined in an integrated manner so as to form a coherent whole. This implies not only that the purposes pursued and the means used to achieve them should in essence be complementary and linked in time, but also that the possible consequences of organising the legal treatment of the conduct concerned in such a manner should be proportionate and foreseeable for the persons affected (ibid., </w:t>
      </w:r>
      <w:r w:rsidRPr="001B6D09" w:rsidR="00307BF1">
        <w:t xml:space="preserve">§ 130). </w:t>
      </w:r>
      <w:r w:rsidRPr="001B6D09" w:rsidR="00307BF1">
        <w:rPr>
          <w:rFonts w:eastAsia="Times New Roman"/>
        </w:rPr>
        <w:t xml:space="preserve">As regards the conditions to be satisfied in order for dual criminal and administrative proceedings to be regarded as sufficiently connected in substance and in time and thus compatible with the </w:t>
      </w:r>
      <w:r w:rsidRPr="001B6D09" w:rsidR="00307BF1">
        <w:rPr>
          <w:rFonts w:eastAsia="Times New Roman"/>
          <w:i/>
          <w:iCs/>
        </w:rPr>
        <w:t>bis</w:t>
      </w:r>
      <w:r w:rsidRPr="001B6D09" w:rsidR="00307BF1">
        <w:rPr>
          <w:rFonts w:eastAsia="Times New Roman"/>
        </w:rPr>
        <w:t xml:space="preserve"> criterion in Article 4 of Protocol No. 7, the material factors for determining whether there was a sufficiently close connection in substance include:</w:t>
      </w:r>
    </w:p>
    <w:p w:rsidRPr="001B6D09" w:rsidR="00307BF1" w:rsidP="001B6D09" w:rsidRDefault="00307BF1" w14:paraId="3E04A06C" w14:textId="77777777">
      <w:pPr>
        <w:pStyle w:val="JuPara"/>
        <w:jc w:val="both"/>
        <w:rPr>
          <w:rFonts w:eastAsia="Times New Roman"/>
          <w:sz w:val="17"/>
          <w:szCs w:val="17"/>
        </w:rPr>
      </w:pPr>
      <w:r w:rsidRPr="001B6D09">
        <w:rPr>
          <w:rFonts w:eastAsia="Times New Roman"/>
        </w:rPr>
        <w:t xml:space="preserve">–  whether the different proceedings pursue complementary purposes and thus addressed, not only </w:t>
      </w:r>
      <w:r w:rsidRPr="001B6D09">
        <w:rPr>
          <w:rFonts w:eastAsia="Times New Roman"/>
          <w:i/>
          <w:iCs/>
        </w:rPr>
        <w:t>in abstracto</w:t>
      </w:r>
      <w:r w:rsidRPr="001B6D09">
        <w:rPr>
          <w:rFonts w:eastAsia="Times New Roman"/>
        </w:rPr>
        <w:t xml:space="preserve"> but also </w:t>
      </w:r>
      <w:r w:rsidRPr="001B6D09">
        <w:rPr>
          <w:rFonts w:eastAsia="Times New Roman"/>
          <w:i/>
          <w:iCs/>
        </w:rPr>
        <w:t>in concreto</w:t>
      </w:r>
      <w:r w:rsidRPr="001B6D09">
        <w:rPr>
          <w:rFonts w:eastAsia="Times New Roman"/>
        </w:rPr>
        <w:t>, different aspects of the social misconduct involved;</w:t>
      </w:r>
    </w:p>
    <w:p w:rsidRPr="001B6D09" w:rsidR="00307BF1" w:rsidP="001B6D09" w:rsidRDefault="00307BF1" w14:paraId="528B1238" w14:textId="77777777">
      <w:pPr>
        <w:pStyle w:val="JuPara"/>
        <w:jc w:val="both"/>
        <w:rPr>
          <w:rFonts w:eastAsia="Times New Roman"/>
          <w:sz w:val="17"/>
          <w:szCs w:val="17"/>
        </w:rPr>
      </w:pPr>
      <w:r w:rsidRPr="001B6D09">
        <w:rPr>
          <w:rFonts w:eastAsia="Times New Roman"/>
        </w:rPr>
        <w:t>–  whether the duality of proceedings concerned was a foreseeable consequence, both in law and in practice, of the same impugned conduct (</w:t>
      </w:r>
      <w:r w:rsidRPr="001B6D09">
        <w:rPr>
          <w:rFonts w:eastAsia="Times New Roman"/>
          <w:i/>
          <w:iCs/>
        </w:rPr>
        <w:t>idem</w:t>
      </w:r>
      <w:r w:rsidRPr="001B6D09">
        <w:rPr>
          <w:rFonts w:eastAsia="Times New Roman"/>
        </w:rPr>
        <w:t>);</w:t>
      </w:r>
    </w:p>
    <w:p w:rsidRPr="001B6D09" w:rsidR="00307BF1" w:rsidP="001B6D09" w:rsidRDefault="00307BF1" w14:paraId="3C46D705" w14:textId="77777777">
      <w:pPr>
        <w:pStyle w:val="JuPara"/>
        <w:jc w:val="both"/>
        <w:rPr>
          <w:rFonts w:eastAsia="Times New Roman"/>
          <w:sz w:val="17"/>
          <w:szCs w:val="17"/>
        </w:rPr>
      </w:pPr>
      <w:r w:rsidRPr="001B6D09">
        <w:rPr>
          <w:rFonts w:eastAsia="Times New Roman"/>
        </w:rPr>
        <w:t>–  whether the relevant sets of proceedings were conducted in such a manner as to avoid as far as possible any additional disadvantages resulting from duplication of proceedings and in particular duplication in the collection as well as the assessment of the evidence, notably through adequate interaction between the various competent authorities to ensure that the establishment of the facts in one set of proceedings is replicated in the other;</w:t>
      </w:r>
    </w:p>
    <w:p w:rsidRPr="001B6D09" w:rsidR="001B3726" w:rsidP="001B6D09" w:rsidRDefault="00307BF1" w14:paraId="1067CAAE" w14:textId="77777777">
      <w:pPr>
        <w:pStyle w:val="JuPara"/>
        <w:jc w:val="both"/>
        <w:rPr>
          <w:rFonts w:eastAsia="Times New Roman"/>
        </w:rPr>
      </w:pPr>
      <w:r w:rsidRPr="001B6D09">
        <w:rPr>
          <w:rFonts w:eastAsia="Times New Roman"/>
        </w:rPr>
        <w:t xml:space="preserve">–  and, above all, whether the sanction imposed in the proceedings which became final first was taken into account in those which became final last, so as to prevent the individual concerned from being in the end made to bear an excessive burden; this latter risk is least likely to be present where there is in place an offsetting mechanism designed to ensure that the overall amount of any penalties imposed is proportionate (ibid., </w:t>
      </w:r>
      <w:r w:rsidRPr="001B6D09">
        <w:t>§§ 131-32)</w:t>
      </w:r>
      <w:r w:rsidRPr="001B6D09">
        <w:rPr>
          <w:rFonts w:eastAsia="Times New Roman"/>
        </w:rPr>
        <w:t>.</w:t>
      </w:r>
    </w:p>
    <w:p w:rsidRPr="001B6D09" w:rsidR="001B3726" w:rsidP="001B6D09" w:rsidRDefault="007D06AD" w14:paraId="6F77C52C" w14:textId="6747876F">
      <w:pPr>
        <w:pStyle w:val="JuPara"/>
        <w:jc w:val="both"/>
        <w:rPr>
          <w:rFonts w:eastAsiaTheme="majorEastAsia"/>
        </w:rPr>
      </w:pPr>
      <w:r w:rsidRPr="001B6D09">
        <w:fldChar w:fldCharType="begin"/>
      </w:r>
      <w:r w:rsidRPr="001B6D09">
        <w:instrText xml:space="preserve"> SEQ level0 \*arabic </w:instrText>
      </w:r>
      <w:r w:rsidRPr="001B6D09">
        <w:fldChar w:fldCharType="separate"/>
      </w:r>
      <w:r w:rsidRPr="001B6D09" w:rsidR="001B6D09">
        <w:rPr>
          <w:noProof/>
        </w:rPr>
        <w:t>114</w:t>
      </w:r>
      <w:r w:rsidRPr="001B6D09">
        <w:fldChar w:fldCharType="end"/>
      </w:r>
      <w:r w:rsidRPr="001B6D09">
        <w:t>.  </w:t>
      </w:r>
      <w:r w:rsidRPr="001B6D09" w:rsidR="00451444">
        <w:t>At the outset t</w:t>
      </w:r>
      <w:r w:rsidRPr="001B6D09" w:rsidR="00451444">
        <w:rPr>
          <w:rFonts w:eastAsiaTheme="majorEastAsia"/>
        </w:rPr>
        <w:t xml:space="preserve">he Court </w:t>
      </w:r>
      <w:r w:rsidRPr="001B6D09" w:rsidR="001923F8">
        <w:t>reiterates</w:t>
      </w:r>
      <w:r w:rsidRPr="001B6D09" w:rsidR="00451444">
        <w:rPr>
          <w:rFonts w:eastAsiaTheme="majorEastAsia"/>
        </w:rPr>
        <w:t xml:space="preserve"> that the State</w:t>
      </w:r>
      <w:r w:rsidRPr="001B6D09" w:rsidR="00EA331C">
        <w:rPr>
          <w:rFonts w:eastAsiaTheme="majorEastAsia"/>
        </w:rPr>
        <w:t>s are under a</w:t>
      </w:r>
      <w:r w:rsidRPr="001B6D09" w:rsidR="00451444">
        <w:rPr>
          <w:rFonts w:eastAsiaTheme="majorEastAsia"/>
        </w:rPr>
        <w:t xml:space="preserve"> positive obligation </w:t>
      </w:r>
      <w:r w:rsidRPr="001B6D09" w:rsidR="00EA331C">
        <w:rPr>
          <w:rFonts w:eastAsiaTheme="majorEastAsia"/>
        </w:rPr>
        <w:t>under</w:t>
      </w:r>
      <w:r w:rsidRPr="001B6D09" w:rsidR="00451444">
        <w:rPr>
          <w:rFonts w:eastAsiaTheme="majorEastAsia"/>
        </w:rPr>
        <w:t xml:space="preserve"> Articles 3 and 8</w:t>
      </w:r>
      <w:r w:rsidRPr="001B6D09" w:rsidR="00EA331C">
        <w:rPr>
          <w:rFonts w:eastAsiaTheme="majorEastAsia"/>
        </w:rPr>
        <w:t xml:space="preserve"> of the Convention </w:t>
      </w:r>
      <w:r w:rsidRPr="001B6D09" w:rsidR="00451444">
        <w:t xml:space="preserve">to </w:t>
      </w:r>
      <w:r w:rsidRPr="001B6D09" w:rsidR="00451444">
        <w:rPr>
          <w:rFonts w:eastAsiaTheme="majorEastAsia"/>
        </w:rPr>
        <w:t xml:space="preserve"> provide and maintain an adequate legal framework affording protection against acts of domestic violence (see </w:t>
      </w:r>
      <w:r w:rsidRPr="001B6D09">
        <w:rPr>
          <w:rFonts w:eastAsiaTheme="majorEastAsia" w:cstheme="minorHAnsi"/>
          <w:i/>
          <w:iCs/>
        </w:rPr>
        <w:t>Ž</w:t>
      </w:r>
      <w:r w:rsidRPr="001B6D09" w:rsidR="00451444">
        <w:rPr>
          <w:rFonts w:eastAsiaTheme="majorEastAsia"/>
          <w:i/>
          <w:iCs/>
        </w:rPr>
        <w:t>.B. v. Croatia</w:t>
      </w:r>
      <w:r w:rsidRPr="001B6D09" w:rsidR="00451444">
        <w:rPr>
          <w:rFonts w:eastAsiaTheme="majorEastAsia"/>
        </w:rPr>
        <w:t>, no. 47666/13, §§ 47 and 49, 11 July 2017).</w:t>
      </w:r>
      <w:r w:rsidRPr="001B6D09" w:rsidR="00451444">
        <w:t xml:space="preserve"> </w:t>
      </w:r>
      <w:r w:rsidRPr="001B6D09" w:rsidR="00451444">
        <w:rPr>
          <w:rFonts w:eastAsiaTheme="majorEastAsia"/>
        </w:rPr>
        <w:t>With regard to the adequacy of the legal framework for the protection from domestic violence, the Court notes that there is a common understanding in the relevant international material</w:t>
      </w:r>
      <w:r w:rsidRPr="001B6D09" w:rsidR="00FC623D">
        <w:rPr>
          <w:rFonts w:eastAsiaTheme="majorEastAsia"/>
        </w:rPr>
        <w:t>s</w:t>
      </w:r>
      <w:r w:rsidRPr="001B6D09" w:rsidR="00451444">
        <w:rPr>
          <w:rFonts w:eastAsiaTheme="majorEastAsia"/>
        </w:rPr>
        <w:t xml:space="preserve"> that comprehensive legal and other measures are necessary to provide victims of domestic violence with effective protection</w:t>
      </w:r>
      <w:r w:rsidRPr="001B6D09" w:rsidR="00AE5BAB">
        <w:rPr>
          <w:rFonts w:eastAsiaTheme="majorEastAsia"/>
        </w:rPr>
        <w:t xml:space="preserve"> (see, for example, paragraph </w:t>
      </w:r>
      <w:r w:rsidRPr="001B6D09" w:rsidR="00AE5BAB">
        <w:rPr>
          <w:rFonts w:eastAsiaTheme="majorEastAsia"/>
        </w:rPr>
        <w:fldChar w:fldCharType="begin"/>
      </w:r>
      <w:r w:rsidRPr="001B6D09" w:rsidR="00AE5BAB">
        <w:rPr>
          <w:rFonts w:eastAsiaTheme="majorEastAsia"/>
        </w:rPr>
        <w:instrText xml:space="preserve"> REF istanbul_convention \h </w:instrText>
      </w:r>
      <w:r w:rsidRPr="001B6D09" w:rsidR="00B809F5">
        <w:rPr>
          <w:rFonts w:eastAsiaTheme="majorEastAsia"/>
        </w:rPr>
        <w:instrText xml:space="preserve"> \* MERGEFORMAT </w:instrText>
      </w:r>
      <w:r w:rsidRPr="001B6D09" w:rsidR="00AE5BAB">
        <w:rPr>
          <w:rFonts w:eastAsiaTheme="majorEastAsia"/>
        </w:rPr>
      </w:r>
      <w:r w:rsidRPr="001B6D09" w:rsidR="00AE5BAB">
        <w:rPr>
          <w:rFonts w:eastAsiaTheme="majorEastAsia"/>
        </w:rPr>
        <w:fldChar w:fldCharType="separate"/>
      </w:r>
      <w:r w:rsidRPr="001B6D09" w:rsidR="001B6D09">
        <w:rPr>
          <w:noProof/>
        </w:rPr>
        <w:t>71</w:t>
      </w:r>
      <w:r w:rsidRPr="001B6D09" w:rsidR="00AE5BAB">
        <w:rPr>
          <w:rFonts w:eastAsiaTheme="majorEastAsia"/>
        </w:rPr>
        <w:fldChar w:fldCharType="end"/>
      </w:r>
      <w:r w:rsidRPr="001B6D09" w:rsidR="00AE5BAB">
        <w:rPr>
          <w:rFonts w:eastAsiaTheme="majorEastAsia"/>
        </w:rPr>
        <w:t xml:space="preserve"> above)</w:t>
      </w:r>
      <w:r w:rsidRPr="001B6D09" w:rsidR="00451444">
        <w:rPr>
          <w:rFonts w:eastAsiaTheme="majorEastAsia"/>
        </w:rPr>
        <w:t>. These measures include, in particular, the criminalisation of acts of violence within the family by providing effective, proportionate and dissuasive sanctions (</w:t>
      </w:r>
      <w:r w:rsidRPr="001B6D09" w:rsidR="001923F8">
        <w:rPr>
          <w:rFonts w:eastAsiaTheme="majorEastAsia"/>
        </w:rPr>
        <w:t>ibid</w:t>
      </w:r>
      <w:r w:rsidRPr="001B6D09" w:rsidR="00451444">
        <w:rPr>
          <w:rFonts w:eastAsiaTheme="majorEastAsia"/>
        </w:rPr>
        <w:t>., § 51).</w:t>
      </w:r>
    </w:p>
    <w:p w:rsidRPr="001B6D09" w:rsidR="001B3726" w:rsidP="001B6D09" w:rsidRDefault="001923F8" w14:paraId="454B730C" w14:textId="7C27737B">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115</w:t>
      </w:r>
      <w:r w:rsidRPr="001B6D09">
        <w:fldChar w:fldCharType="end"/>
      </w:r>
      <w:r w:rsidRPr="001B6D09">
        <w:t>.  </w:t>
      </w:r>
      <w:r w:rsidRPr="001B6D09" w:rsidR="00451444">
        <w:rPr>
          <w:rFonts w:eastAsiaTheme="majorEastAsia"/>
        </w:rPr>
        <w:t xml:space="preserve">The Court </w:t>
      </w:r>
      <w:r w:rsidRPr="001B6D09">
        <w:rPr>
          <w:rFonts w:eastAsiaTheme="majorEastAsia"/>
        </w:rPr>
        <w:t xml:space="preserve">further </w:t>
      </w:r>
      <w:r w:rsidRPr="001B6D09" w:rsidR="00451444">
        <w:rPr>
          <w:rFonts w:eastAsiaTheme="majorEastAsia"/>
        </w:rPr>
        <w:t>notes that</w:t>
      </w:r>
      <w:r w:rsidRPr="001B6D09" w:rsidR="00EA331C">
        <w:rPr>
          <w:rFonts w:eastAsiaTheme="majorEastAsia"/>
        </w:rPr>
        <w:t xml:space="preserve"> the Contracting States have different approaches to the criminalisation of </w:t>
      </w:r>
      <w:r w:rsidRPr="001B6D09" w:rsidR="00EA331C">
        <w:t>domestic violence</w:t>
      </w:r>
      <w:r w:rsidRPr="001B6D09" w:rsidR="00EA331C">
        <w:rPr>
          <w:rFonts w:eastAsiaTheme="majorEastAsia"/>
        </w:rPr>
        <w:t xml:space="preserve"> in their legal systems</w:t>
      </w:r>
      <w:r w:rsidRPr="001B6D09" w:rsidR="00673365">
        <w:rPr>
          <w:rFonts w:eastAsiaTheme="majorEastAsia"/>
        </w:rPr>
        <w:t xml:space="preserve">. It has already held </w:t>
      </w:r>
      <w:r w:rsidRPr="001B6D09" w:rsidR="00BE1222">
        <w:rPr>
          <w:rFonts w:eastAsiaTheme="majorEastAsia"/>
        </w:rPr>
        <w:t>that</w:t>
      </w:r>
      <w:r w:rsidRPr="001B6D09" w:rsidR="00EA331C">
        <w:rPr>
          <w:rFonts w:eastAsiaTheme="majorEastAsia"/>
        </w:rPr>
        <w:t xml:space="preserve"> </w:t>
      </w:r>
      <w:r w:rsidRPr="001B6D09" w:rsidR="00451444">
        <w:rPr>
          <w:rFonts w:eastAsiaTheme="majorEastAsia"/>
        </w:rPr>
        <w:t xml:space="preserve">the legislative solutions provided for under the Criminal Code and </w:t>
      </w:r>
      <w:r w:rsidRPr="001B6D09">
        <w:rPr>
          <w:rFonts w:eastAsiaTheme="majorEastAsia"/>
        </w:rPr>
        <w:t xml:space="preserve">the </w:t>
      </w:r>
      <w:r w:rsidRPr="001B6D09" w:rsidR="00451444">
        <w:rPr>
          <w:rFonts w:eastAsiaTheme="majorEastAsia"/>
        </w:rPr>
        <w:t xml:space="preserve">Minor Offences </w:t>
      </w:r>
      <w:r w:rsidRPr="001B6D09">
        <w:rPr>
          <w:rFonts w:eastAsiaTheme="majorEastAsia"/>
        </w:rPr>
        <w:t>Act</w:t>
      </w:r>
      <w:r w:rsidRPr="001B6D09" w:rsidR="00451444">
        <w:rPr>
          <w:rFonts w:eastAsiaTheme="majorEastAsia"/>
        </w:rPr>
        <w:t xml:space="preserve"> applicable at the relevant time in Croatia </w:t>
      </w:r>
      <w:r w:rsidRPr="001B6D09">
        <w:rPr>
          <w:rFonts w:eastAsiaTheme="majorEastAsia"/>
        </w:rPr>
        <w:t>did</w:t>
      </w:r>
      <w:r w:rsidRPr="001B6D09" w:rsidR="00451444">
        <w:rPr>
          <w:rFonts w:eastAsiaTheme="majorEastAsia"/>
        </w:rPr>
        <w:t xml:space="preserve"> not appear to be contrary to the relevant international standards </w:t>
      </w:r>
      <w:r w:rsidRPr="001B6D09">
        <w:rPr>
          <w:rFonts w:eastAsiaTheme="majorEastAsia"/>
        </w:rPr>
        <w:t xml:space="preserve">(see </w:t>
      </w:r>
      <w:r w:rsidRPr="001B6D09">
        <w:rPr>
          <w:rFonts w:eastAsiaTheme="majorEastAsia" w:cstheme="minorHAnsi"/>
          <w:i/>
          <w:iCs/>
        </w:rPr>
        <w:t>Ž</w:t>
      </w:r>
      <w:r w:rsidRPr="001B6D09">
        <w:rPr>
          <w:rFonts w:eastAsiaTheme="majorEastAsia"/>
          <w:i/>
          <w:iCs/>
        </w:rPr>
        <w:t>.B.</w:t>
      </w:r>
      <w:r w:rsidRPr="001B6D09">
        <w:rPr>
          <w:rFonts w:eastAsiaTheme="majorEastAsia"/>
        </w:rPr>
        <w:t xml:space="preserve">, cited above, </w:t>
      </w:r>
      <w:r w:rsidRPr="001B6D09" w:rsidR="00451444">
        <w:rPr>
          <w:rFonts w:eastAsiaTheme="majorEastAsia"/>
        </w:rPr>
        <w:t xml:space="preserve">§§ 38-39 and 56). </w:t>
      </w:r>
      <w:r w:rsidRPr="001B6D09" w:rsidR="00451444">
        <w:t xml:space="preserve">The Court further reiterates that it was for the domestic authorities to assess the findings of fact and to decide, </w:t>
      </w:r>
      <w:r w:rsidRPr="001B6D09" w:rsidR="00EA331C">
        <w:t>in accordance with</w:t>
      </w:r>
      <w:r w:rsidRPr="001B6D09" w:rsidR="00451444">
        <w:t xml:space="preserve"> the domestic law as interpreted </w:t>
      </w:r>
      <w:r w:rsidRPr="001B6D09" w:rsidR="00EA331C">
        <w:t xml:space="preserve">by </w:t>
      </w:r>
      <w:r w:rsidRPr="001B6D09" w:rsidR="00673365">
        <w:t xml:space="preserve">the </w:t>
      </w:r>
      <w:r w:rsidRPr="001B6D09" w:rsidR="00EA331C">
        <w:t>national court</w:t>
      </w:r>
      <w:r w:rsidRPr="001B6D09" w:rsidR="00673365">
        <w:t>s</w:t>
      </w:r>
      <w:r w:rsidRPr="001B6D09" w:rsidR="00451444">
        <w:t>, how the applicant</w:t>
      </w:r>
      <w:r w:rsidRPr="001B6D09" w:rsidR="001B6D09">
        <w:t>’</w:t>
      </w:r>
      <w:r w:rsidRPr="001B6D09" w:rsidR="00451444">
        <w:t xml:space="preserve">s conduct ought to be classified and prosecuted (see </w:t>
      </w:r>
      <w:r w:rsidRPr="001B6D09" w:rsidR="00451444">
        <w:rPr>
          <w:i/>
        </w:rPr>
        <w:t>Rohlena v. the Czech Republic</w:t>
      </w:r>
      <w:r w:rsidRPr="001B6D09" w:rsidR="00451444">
        <w:rPr>
          <w:iCs/>
        </w:rPr>
        <w:t xml:space="preserve">, </w:t>
      </w:r>
      <w:r w:rsidRPr="001B6D09">
        <w:t>[GC], no. 59552/08, § 55, ECHR 2015</w:t>
      </w:r>
      <w:r w:rsidRPr="001B6D09" w:rsidR="00451444">
        <w:t>).</w:t>
      </w:r>
    </w:p>
    <w:bookmarkStart w:name="dynamics_DV" w:id="45"/>
    <w:p w:rsidRPr="001B6D09" w:rsidR="001B3726" w:rsidP="001B6D09" w:rsidRDefault="001923F8" w14:paraId="6949B128" w14:textId="04A979D8">
      <w:pPr>
        <w:pStyle w:val="JuPara"/>
        <w:jc w:val="both"/>
      </w:pPr>
      <w:r w:rsidRPr="001B6D09">
        <w:rPr>
          <w:rFonts w:ascii="Times New Roman" w:hAnsi="Times New Roman" w:eastAsia="Times New Roman" w:cs="Times New Roman"/>
          <w:lang w:eastAsia="en-GB"/>
        </w:rPr>
        <w:fldChar w:fldCharType="begin"/>
      </w:r>
      <w:r w:rsidRPr="001B6D09">
        <w:rPr>
          <w:rFonts w:ascii="Times New Roman" w:hAnsi="Times New Roman" w:eastAsia="Times New Roman" w:cs="Times New Roman"/>
          <w:lang w:eastAsia="en-GB"/>
        </w:rPr>
        <w:instrText xml:space="preserve"> SEQ level0 \*arabic </w:instrText>
      </w:r>
      <w:r w:rsidRPr="001B6D09">
        <w:rPr>
          <w:rFonts w:ascii="Times New Roman" w:hAnsi="Times New Roman" w:eastAsia="Times New Roman" w:cs="Times New Roman"/>
          <w:lang w:eastAsia="en-GB"/>
        </w:rPr>
        <w:fldChar w:fldCharType="separate"/>
      </w:r>
      <w:r w:rsidRPr="001B6D09" w:rsidR="001B6D09">
        <w:rPr>
          <w:rFonts w:ascii="Times New Roman" w:hAnsi="Times New Roman" w:eastAsia="Times New Roman" w:cs="Times New Roman"/>
          <w:noProof/>
          <w:lang w:eastAsia="en-GB"/>
        </w:rPr>
        <w:t>116</w:t>
      </w:r>
      <w:r w:rsidRPr="001B6D09">
        <w:rPr>
          <w:rFonts w:ascii="Times New Roman" w:hAnsi="Times New Roman" w:eastAsia="Times New Roman" w:cs="Times New Roman"/>
          <w:lang w:eastAsia="en-GB"/>
        </w:rPr>
        <w:fldChar w:fldCharType="end"/>
      </w:r>
      <w:bookmarkEnd w:id="45"/>
      <w:r w:rsidRPr="001B6D09">
        <w:rPr>
          <w:rFonts w:ascii="Times New Roman" w:hAnsi="Times New Roman" w:eastAsia="Times New Roman" w:cs="Times New Roman"/>
          <w:lang w:eastAsia="en-GB"/>
        </w:rPr>
        <w:t>.  </w:t>
      </w:r>
      <w:r w:rsidRPr="001B6D09" w:rsidR="00D82287">
        <w:t>In that connection t</w:t>
      </w:r>
      <w:r w:rsidRPr="001B6D09" w:rsidR="00003201">
        <w:t xml:space="preserve">he Court observes that domestic </w:t>
      </w:r>
      <w:r w:rsidRPr="001B6D09" w:rsidR="00EA331C">
        <w:t>violence</w:t>
      </w:r>
      <w:r w:rsidRPr="001B6D09" w:rsidR="00003201">
        <w:t xml:space="preserve"> is rarely a one-off incident; it usually encompasses cumulative and interlinked physical, psychological, sexual, emotional, verbal and financial abuse of a close family member or partner transcending circumstances of an individual case (see </w:t>
      </w:r>
      <w:r w:rsidRPr="001B6D09" w:rsidR="00807928">
        <w:rPr>
          <w:i/>
        </w:rPr>
        <w:t>Volodina v. Russia</w:t>
      </w:r>
      <w:r w:rsidRPr="001B6D09" w:rsidR="00807928">
        <w:t>, no. 41261/17, § 71, 9 July 2019</w:t>
      </w:r>
      <w:r w:rsidRPr="001B6D09" w:rsidR="00003201">
        <w:t>). The recurrence of successive episodes of violence within personal relationships or closed circuits represents the particular context and dynamics of domestic violence (</w:t>
      </w:r>
      <w:r w:rsidRPr="001B6D09">
        <w:t xml:space="preserve">see </w:t>
      </w:r>
      <w:r w:rsidRPr="001B6D09" w:rsidR="00003201">
        <w:t>i</w:t>
      </w:r>
      <w:r w:rsidRPr="001B6D09">
        <w:t>bid.</w:t>
      </w:r>
      <w:r w:rsidRPr="001B6D09" w:rsidR="00003201">
        <w:t xml:space="preserve">, § 86; </w:t>
      </w:r>
      <w:r w:rsidRPr="001B6D09">
        <w:t xml:space="preserve">and </w:t>
      </w:r>
      <w:r w:rsidRPr="001B6D09" w:rsidR="00003201">
        <w:rPr>
          <w:i/>
          <w:iCs/>
        </w:rPr>
        <w:t>Kurt v. Austria</w:t>
      </w:r>
      <w:r w:rsidRPr="001B6D09" w:rsidR="00003201">
        <w:t xml:space="preserve"> [GC], no. 62903/15, § 16</w:t>
      </w:r>
      <w:r w:rsidRPr="001B6D09" w:rsidR="00E14A03">
        <w:t>4</w:t>
      </w:r>
      <w:r w:rsidRPr="001B6D09" w:rsidR="00003201">
        <w:t xml:space="preserve">, </w:t>
      </w:r>
      <w:r w:rsidRPr="001B6D09" w:rsidR="00E63136">
        <w:t>15</w:t>
      </w:r>
      <w:r w:rsidRPr="001B6D09" w:rsidR="003D2EA8">
        <w:t> </w:t>
      </w:r>
      <w:r w:rsidRPr="001B6D09" w:rsidR="00E63136">
        <w:t>June</w:t>
      </w:r>
      <w:r w:rsidRPr="001B6D09" w:rsidR="00003201">
        <w:t xml:space="preserve"> 2021). Thus the Court has already recognised that domestic violence could be understood as a particular form of a continuous offence characterised by an ongoing pattern of behaviour (see </w:t>
      </w:r>
      <w:r w:rsidRPr="001B6D09" w:rsidR="00003201">
        <w:rPr>
          <w:i/>
          <w:iCs/>
        </w:rPr>
        <w:t>Rohlena</w:t>
      </w:r>
      <w:r w:rsidRPr="001B6D09">
        <w:t>, cited above,</w:t>
      </w:r>
      <w:r w:rsidRPr="001B6D09" w:rsidR="00003201">
        <w:t xml:space="preserve"> § 72; and </w:t>
      </w:r>
      <w:r w:rsidRPr="001B6D09" w:rsidR="00003201">
        <w:rPr>
          <w:i/>
          <w:iCs/>
        </w:rPr>
        <w:t>Valiulienė v. Lithuania</w:t>
      </w:r>
      <w:r w:rsidRPr="001B6D09" w:rsidR="00003201">
        <w:t xml:space="preserve">, no. 33234/07, § 68, 26 March 2013) in which each individual incident </w:t>
      </w:r>
      <w:r w:rsidRPr="001B6D09">
        <w:t>forms</w:t>
      </w:r>
      <w:r w:rsidRPr="001B6D09" w:rsidR="00003201">
        <w:t xml:space="preserve"> a building block of a wider pattern.</w:t>
      </w:r>
    </w:p>
    <w:p w:rsidRPr="001B6D09" w:rsidR="001B3726" w:rsidP="001B6D09" w:rsidRDefault="001923F8" w14:paraId="63E4C19F" w14:textId="19FBCCCA">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117</w:t>
      </w:r>
      <w:r w:rsidRPr="001B6D09">
        <w:fldChar w:fldCharType="end"/>
      </w:r>
      <w:r w:rsidRPr="001B6D09">
        <w:t>.  </w:t>
      </w:r>
      <w:r w:rsidRPr="001B6D09" w:rsidR="00D82287">
        <w:t>In view of the above</w:t>
      </w:r>
      <w:r w:rsidRPr="001B6D09">
        <w:t>,</w:t>
      </w:r>
      <w:r w:rsidRPr="001B6D09" w:rsidR="00003201">
        <w:t xml:space="preserve"> the Court notes that </w:t>
      </w:r>
      <w:r w:rsidRPr="001B6D09">
        <w:rPr>
          <w:rStyle w:val="ECHRParaChar"/>
        </w:rPr>
        <w:t xml:space="preserve">the Croatian legislature at the material time opted to regulate the socially undesirable conduct of violent behaviour towards family members as an integrated dual process. </w:t>
      </w:r>
      <w:r w:rsidRPr="001B6D09">
        <w:t>One</w:t>
      </w:r>
      <w:r w:rsidRPr="001B6D09" w:rsidR="00003201">
        <w:t xml:space="preserve"> single act of domestic violence</w:t>
      </w:r>
      <w:r w:rsidRPr="001B6D09" w:rsidR="00EA331C">
        <w:t>,</w:t>
      </w:r>
      <w:r w:rsidRPr="001B6D09" w:rsidR="00003201">
        <w:t xml:space="preserve"> which </w:t>
      </w:r>
      <w:r w:rsidRPr="001B6D09">
        <w:t>did</w:t>
      </w:r>
      <w:r w:rsidRPr="001B6D09" w:rsidR="00003201">
        <w:t xml:space="preserve"> not amount to some other criminal offence punishable under </w:t>
      </w:r>
      <w:r w:rsidRPr="001B6D09">
        <w:t>the Criminal</w:t>
      </w:r>
      <w:r w:rsidRPr="001B6D09" w:rsidR="00003201">
        <w:t xml:space="preserve"> Code</w:t>
      </w:r>
      <w:r w:rsidRPr="001B6D09" w:rsidR="00EA331C">
        <w:t>,</w:t>
      </w:r>
      <w:r w:rsidRPr="001B6D09" w:rsidR="00003201">
        <w:t xml:space="preserve"> </w:t>
      </w:r>
      <w:r w:rsidRPr="001B6D09">
        <w:t>was to be</w:t>
      </w:r>
      <w:r w:rsidRPr="001B6D09" w:rsidR="00003201">
        <w:t xml:space="preserve"> sanctioned as a minor offence of domestic violence. </w:t>
      </w:r>
      <w:r w:rsidRPr="001B6D09" w:rsidR="00C648CD">
        <w:t xml:space="preserve">Such </w:t>
      </w:r>
      <w:r w:rsidRPr="001B6D09">
        <w:t xml:space="preserve">a </w:t>
      </w:r>
      <w:r w:rsidRPr="001B6D09" w:rsidR="00C648CD">
        <w:t>m</w:t>
      </w:r>
      <w:r w:rsidRPr="001B6D09" w:rsidR="00003201">
        <w:t xml:space="preserve">inor offence </w:t>
      </w:r>
      <w:r w:rsidRPr="001B6D09">
        <w:t>was</w:t>
      </w:r>
      <w:r w:rsidRPr="001B6D09" w:rsidR="00003201">
        <w:t xml:space="preserve"> predominantly incident-focused and cover</w:t>
      </w:r>
      <w:r w:rsidRPr="001B6D09" w:rsidR="00EA331C">
        <w:t>ed</w:t>
      </w:r>
      <w:r w:rsidRPr="001B6D09" w:rsidR="00003201">
        <w:t xml:space="preserve"> </w:t>
      </w:r>
      <w:r w:rsidRPr="001B6D09">
        <w:t xml:space="preserve">a </w:t>
      </w:r>
      <w:r w:rsidRPr="001B6D09" w:rsidR="00003201">
        <w:t xml:space="preserve">wider range of behaviours outside the boundaries of traditional criminal law. Where there </w:t>
      </w:r>
      <w:r w:rsidRPr="001B6D09" w:rsidR="00EA331C">
        <w:t>was</w:t>
      </w:r>
      <w:r w:rsidRPr="001B6D09" w:rsidR="00003201">
        <w:t xml:space="preserve"> a pattern of such behaviour</w:t>
      </w:r>
      <w:r w:rsidRPr="001B6D09">
        <w:t xml:space="preserve">, the </w:t>
      </w:r>
      <w:r w:rsidRPr="001B6D09" w:rsidR="00003201">
        <w:t xml:space="preserve">Criminal Code </w:t>
      </w:r>
      <w:r w:rsidRPr="001B6D09">
        <w:t xml:space="preserve">at the material time </w:t>
      </w:r>
      <w:r w:rsidRPr="001B6D09" w:rsidR="00003201">
        <w:t>provide</w:t>
      </w:r>
      <w:r w:rsidRPr="001B6D09">
        <w:t>d</w:t>
      </w:r>
      <w:r w:rsidRPr="001B6D09" w:rsidR="00003201">
        <w:t xml:space="preserve"> an additional option </w:t>
      </w:r>
      <w:r w:rsidRPr="001B6D09">
        <w:t>of bringing charges for the criminal offence</w:t>
      </w:r>
      <w:r w:rsidRPr="001B6D09" w:rsidR="00003201">
        <w:t xml:space="preserve"> of domestic violence as defined in Article 215a of the Criminal Code. The Supreme Court of Croatia has interpreted Article 215a of the Criminal Code, as in force at the material time, in similar circumstances </w:t>
      </w:r>
      <w:r w:rsidRPr="001B6D09" w:rsidR="00EA331C">
        <w:t>to</w:t>
      </w:r>
      <w:r w:rsidRPr="001B6D09" w:rsidR="00003201">
        <w:t xml:space="preserve"> the present case, as a continuous offence seeking to address repeated and continuous behaviour in relationships (see paragraph </w:t>
      </w:r>
      <w:r w:rsidRPr="001B6D09" w:rsidR="007B7BD0">
        <w:fldChar w:fldCharType="begin"/>
      </w:r>
      <w:r w:rsidRPr="001B6D09" w:rsidR="007B7BD0">
        <w:instrText xml:space="preserve"> REF Supreme_Court_judgment \h  \* MERGEFORMAT </w:instrText>
      </w:r>
      <w:r w:rsidRPr="001B6D09" w:rsidR="007B7BD0">
        <w:fldChar w:fldCharType="separate"/>
      </w:r>
      <w:r w:rsidRPr="001B6D09" w:rsidR="001B6D09">
        <w:rPr>
          <w:noProof/>
        </w:rPr>
        <w:t>69</w:t>
      </w:r>
      <w:r w:rsidRPr="001B6D09" w:rsidR="007B7BD0">
        <w:fldChar w:fldCharType="end"/>
      </w:r>
      <w:r w:rsidRPr="001B6D09" w:rsidR="007B7BD0">
        <w:t xml:space="preserve"> </w:t>
      </w:r>
      <w:r w:rsidRPr="001B6D09" w:rsidR="00003201">
        <w:t xml:space="preserve">above; see also </w:t>
      </w:r>
      <w:r w:rsidRPr="001B6D09" w:rsidR="00003201">
        <w:rPr>
          <w:i/>
          <w:iCs/>
        </w:rPr>
        <w:t>Rohlena</w:t>
      </w:r>
      <w:r w:rsidRPr="001B6D09" w:rsidR="00003201">
        <w:t>, cited above, § 72).</w:t>
      </w:r>
    </w:p>
    <w:p w:rsidRPr="001B6D09" w:rsidR="00A460B6" w:rsidP="001B6D09" w:rsidRDefault="001923F8" w14:paraId="0FB6E4AB" w14:textId="489B242D">
      <w:pPr>
        <w:pStyle w:val="JuPara"/>
        <w:jc w:val="both"/>
        <w:rPr>
          <w:lang w:val="en-US"/>
        </w:rPr>
      </w:pPr>
      <w:r w:rsidRPr="001B6D09">
        <w:rPr>
          <w:rStyle w:val="ECHRParaChar"/>
        </w:rPr>
        <w:fldChar w:fldCharType="begin"/>
      </w:r>
      <w:r w:rsidRPr="001B6D09">
        <w:rPr>
          <w:rStyle w:val="ECHRParaChar"/>
        </w:rPr>
        <w:instrText xml:space="preserve"> SEQ level0 \*arabic </w:instrText>
      </w:r>
      <w:r w:rsidRPr="001B6D09">
        <w:rPr>
          <w:rStyle w:val="ECHRParaChar"/>
        </w:rPr>
        <w:fldChar w:fldCharType="separate"/>
      </w:r>
      <w:r w:rsidRPr="001B6D09" w:rsidR="001B6D09">
        <w:rPr>
          <w:rStyle w:val="ECHRParaChar"/>
          <w:noProof/>
        </w:rPr>
        <w:t>118</w:t>
      </w:r>
      <w:r w:rsidRPr="001B6D09">
        <w:rPr>
          <w:rStyle w:val="ECHRParaChar"/>
        </w:rPr>
        <w:fldChar w:fldCharType="end"/>
      </w:r>
      <w:r w:rsidRPr="001B6D09">
        <w:rPr>
          <w:rStyle w:val="ECHRParaChar"/>
        </w:rPr>
        <w:t>.  </w:t>
      </w:r>
      <w:r w:rsidRPr="001B6D09" w:rsidR="003C4EC9">
        <w:rPr>
          <w:rStyle w:val="ECHRParaChar"/>
        </w:rPr>
        <w:t>T</w:t>
      </w:r>
      <w:r w:rsidRPr="001B6D09" w:rsidR="00481427">
        <w:rPr>
          <w:rStyle w:val="ECHRParaChar"/>
        </w:rPr>
        <w:t xml:space="preserve">he Court notes that </w:t>
      </w:r>
      <w:r w:rsidRPr="001B6D09" w:rsidR="00DF60A0">
        <w:rPr>
          <w:rStyle w:val="ECHRParaChar"/>
        </w:rPr>
        <w:t>t</w:t>
      </w:r>
      <w:r w:rsidRPr="001B6D09" w:rsidR="00D461EE">
        <w:rPr>
          <w:rStyle w:val="ECHRParaChar"/>
        </w:rPr>
        <w:t xml:space="preserve">he </w:t>
      </w:r>
      <w:r w:rsidRPr="001B6D09" w:rsidR="006349D1">
        <w:rPr>
          <w:rStyle w:val="ECHRParaChar"/>
        </w:rPr>
        <w:t xml:space="preserve">purpose of </w:t>
      </w:r>
      <w:r w:rsidRPr="001B6D09" w:rsidR="00893190">
        <w:rPr>
          <w:rStyle w:val="ECHRParaChar"/>
        </w:rPr>
        <w:t xml:space="preserve">the </w:t>
      </w:r>
      <w:r w:rsidRPr="001B6D09" w:rsidR="006349D1">
        <w:rPr>
          <w:rStyle w:val="ECHRParaChar"/>
        </w:rPr>
        <w:t xml:space="preserve">minor-offence proceedings </w:t>
      </w:r>
      <w:r w:rsidRPr="001B6D09">
        <w:rPr>
          <w:rStyle w:val="ECHRParaChar"/>
        </w:rPr>
        <w:t>was</w:t>
      </w:r>
      <w:r w:rsidRPr="001B6D09" w:rsidR="006349D1">
        <w:rPr>
          <w:rStyle w:val="ECHRParaChar"/>
        </w:rPr>
        <w:t xml:space="preserve"> to provide </w:t>
      </w:r>
      <w:r w:rsidRPr="001B6D09" w:rsidR="00893190">
        <w:rPr>
          <w:rStyle w:val="ECHRParaChar"/>
        </w:rPr>
        <w:t xml:space="preserve">a </w:t>
      </w:r>
      <w:r w:rsidRPr="001B6D09" w:rsidR="006349D1">
        <w:rPr>
          <w:rStyle w:val="ECHRParaChar"/>
        </w:rPr>
        <w:t xml:space="preserve">prompt reaction to </w:t>
      </w:r>
      <w:r w:rsidRPr="001B6D09" w:rsidR="00893190">
        <w:rPr>
          <w:rStyle w:val="ECHRParaChar"/>
        </w:rPr>
        <w:t xml:space="preserve">a particular </w:t>
      </w:r>
      <w:r w:rsidRPr="001B6D09" w:rsidR="006349D1">
        <w:rPr>
          <w:rStyle w:val="ECHRParaChar"/>
        </w:rPr>
        <w:t>incident of domestic violence</w:t>
      </w:r>
      <w:r w:rsidRPr="001B6D09" w:rsidR="003C4EC9">
        <w:rPr>
          <w:rStyle w:val="ECHRParaChar"/>
        </w:rPr>
        <w:t xml:space="preserve"> that in itself </w:t>
      </w:r>
      <w:r w:rsidRPr="001B6D09">
        <w:rPr>
          <w:rStyle w:val="ECHRParaChar"/>
        </w:rPr>
        <w:t>did</w:t>
      </w:r>
      <w:r w:rsidRPr="001B6D09" w:rsidR="003C4EC9">
        <w:rPr>
          <w:rStyle w:val="ECHRParaChar"/>
        </w:rPr>
        <w:t xml:space="preserve"> not amount to any criminal offence under the Criminal Code </w:t>
      </w:r>
      <w:r w:rsidRPr="001B6D09" w:rsidR="003C4EC9">
        <w:t xml:space="preserve">in order to timely </w:t>
      </w:r>
      <w:r w:rsidRPr="001B6D09" w:rsidR="00003201">
        <w:t xml:space="preserve">and </w:t>
      </w:r>
      <w:r w:rsidRPr="001B6D09" w:rsidR="00C648CD">
        <w:t>effectively</w:t>
      </w:r>
      <w:r w:rsidRPr="001B6D09" w:rsidR="00003201">
        <w:t xml:space="preserve"> </w:t>
      </w:r>
      <w:r w:rsidRPr="001B6D09" w:rsidR="003C4EC9">
        <w:t>prevent further escalation of violence</w:t>
      </w:r>
      <w:r w:rsidRPr="001B6D09" w:rsidR="00C648CD">
        <w:t xml:space="preserve"> </w:t>
      </w:r>
      <w:r w:rsidRPr="001B6D09">
        <w:t xml:space="preserve">within the family </w:t>
      </w:r>
      <w:r w:rsidRPr="001B6D09" w:rsidR="00C648CD">
        <w:t xml:space="preserve">and </w:t>
      </w:r>
      <w:r w:rsidRPr="001B6D09">
        <w:t xml:space="preserve">to </w:t>
      </w:r>
      <w:r w:rsidRPr="001B6D09" w:rsidR="00C648CD">
        <w:t>protect the victim</w:t>
      </w:r>
      <w:r w:rsidRPr="001B6D09" w:rsidR="005D77EF">
        <w:rPr>
          <w:rStyle w:val="ECHRParaChar"/>
        </w:rPr>
        <w:t xml:space="preserve">. </w:t>
      </w:r>
      <w:r w:rsidRPr="001B6D09" w:rsidR="008E2948">
        <w:rPr>
          <w:rStyle w:val="ECHRParaChar"/>
        </w:rPr>
        <w:t>This is what has been done in the applicant</w:t>
      </w:r>
      <w:r w:rsidRPr="001B6D09" w:rsidR="001B6D09">
        <w:rPr>
          <w:rStyle w:val="ECHRParaChar"/>
        </w:rPr>
        <w:t>’</w:t>
      </w:r>
      <w:r w:rsidRPr="001B6D09" w:rsidR="008E2948">
        <w:rPr>
          <w:rStyle w:val="ECHRParaChar"/>
        </w:rPr>
        <w:t xml:space="preserve">s case on </w:t>
      </w:r>
      <w:r w:rsidRPr="001B6D09">
        <w:rPr>
          <w:rStyle w:val="ECHRParaChar"/>
        </w:rPr>
        <w:t xml:space="preserve">a number of </w:t>
      </w:r>
      <w:r w:rsidRPr="001B6D09" w:rsidR="008E2948">
        <w:rPr>
          <w:rStyle w:val="ECHRParaChar"/>
        </w:rPr>
        <w:t>separate occasions (see paragraph</w:t>
      </w:r>
      <w:r w:rsidRPr="001B6D09" w:rsidR="00EC434B">
        <w:rPr>
          <w:rStyle w:val="ECHRParaChar"/>
        </w:rPr>
        <w:t>s</w:t>
      </w:r>
      <w:r w:rsidRPr="001B6D09">
        <w:rPr>
          <w:rStyle w:val="ECHRParaChar"/>
        </w:rPr>
        <w:t xml:space="preserve"> </w:t>
      </w:r>
      <w:r w:rsidRPr="001B6D09">
        <w:rPr>
          <w:rStyle w:val="ECHRParaChar"/>
        </w:rPr>
        <w:fldChar w:fldCharType="begin"/>
      </w:r>
      <w:r w:rsidRPr="001B6D09">
        <w:rPr>
          <w:rStyle w:val="ECHRParaChar"/>
        </w:rPr>
        <w:instrText xml:space="preserve"> REF first_minor_offence_judgment \h </w:instrText>
      </w:r>
      <w:r w:rsidRPr="001B6D09" w:rsidR="00B809F5">
        <w:rPr>
          <w:rStyle w:val="ECHRParaChar"/>
        </w:rPr>
        <w:instrText xml:space="preserve"> \* MERGEFORMAT </w:instrText>
      </w:r>
      <w:r w:rsidRPr="001B6D09">
        <w:rPr>
          <w:rStyle w:val="ECHRParaChar"/>
        </w:rPr>
      </w:r>
      <w:r w:rsidRPr="001B6D09">
        <w:rPr>
          <w:rStyle w:val="ECHRParaChar"/>
        </w:rPr>
        <w:fldChar w:fldCharType="separate"/>
      </w:r>
      <w:r w:rsidRPr="001B6D09" w:rsidR="001B6D09">
        <w:rPr>
          <w:noProof/>
        </w:rPr>
        <w:t>6</w:t>
      </w:r>
      <w:r w:rsidRPr="001B6D09">
        <w:rPr>
          <w:rStyle w:val="ECHRParaChar"/>
        </w:rPr>
        <w:fldChar w:fldCharType="end"/>
      </w:r>
      <w:r w:rsidRPr="001B6D09">
        <w:rPr>
          <w:rStyle w:val="ECHRParaChar"/>
        </w:rPr>
        <w:t xml:space="preserve">, </w:t>
      </w:r>
      <w:r w:rsidRPr="001B6D09">
        <w:rPr>
          <w:rStyle w:val="ECHRParaChar"/>
        </w:rPr>
        <w:fldChar w:fldCharType="begin"/>
      </w:r>
      <w:r w:rsidRPr="001B6D09">
        <w:rPr>
          <w:rStyle w:val="ECHRParaChar"/>
        </w:rPr>
        <w:instrText xml:space="preserve"> REF second_minor_offence_judgment \h </w:instrText>
      </w:r>
      <w:r w:rsidRPr="001B6D09" w:rsidR="00B809F5">
        <w:rPr>
          <w:rStyle w:val="ECHRParaChar"/>
        </w:rPr>
        <w:instrText xml:space="preserve"> \* MERGEFORMAT </w:instrText>
      </w:r>
      <w:r w:rsidRPr="001B6D09">
        <w:rPr>
          <w:rStyle w:val="ECHRParaChar"/>
        </w:rPr>
      </w:r>
      <w:r w:rsidRPr="001B6D09">
        <w:rPr>
          <w:rStyle w:val="ECHRParaChar"/>
        </w:rPr>
        <w:fldChar w:fldCharType="separate"/>
      </w:r>
      <w:r w:rsidRPr="001B6D09" w:rsidR="001B6D09">
        <w:rPr>
          <w:noProof/>
        </w:rPr>
        <w:t>7</w:t>
      </w:r>
      <w:r w:rsidRPr="001B6D09">
        <w:rPr>
          <w:rStyle w:val="ECHRParaChar"/>
        </w:rPr>
        <w:fldChar w:fldCharType="end"/>
      </w:r>
      <w:r w:rsidRPr="001B6D09">
        <w:rPr>
          <w:rStyle w:val="ECHRParaChar"/>
        </w:rPr>
        <w:t xml:space="preserve">, </w:t>
      </w:r>
      <w:r w:rsidRPr="001B6D09">
        <w:rPr>
          <w:rStyle w:val="ECHRParaChar"/>
        </w:rPr>
        <w:fldChar w:fldCharType="begin"/>
      </w:r>
      <w:r w:rsidRPr="001B6D09">
        <w:rPr>
          <w:rStyle w:val="ECHRParaChar"/>
        </w:rPr>
        <w:instrText xml:space="preserve"> REF third_minor_offence_judgment \h </w:instrText>
      </w:r>
      <w:r w:rsidRPr="001B6D09" w:rsidR="00B809F5">
        <w:rPr>
          <w:rStyle w:val="ECHRParaChar"/>
        </w:rPr>
        <w:instrText xml:space="preserve"> \* MERGEFORMAT </w:instrText>
      </w:r>
      <w:r w:rsidRPr="001B6D09">
        <w:rPr>
          <w:rStyle w:val="ECHRParaChar"/>
        </w:rPr>
      </w:r>
      <w:r w:rsidRPr="001B6D09">
        <w:rPr>
          <w:rStyle w:val="ECHRParaChar"/>
        </w:rPr>
        <w:fldChar w:fldCharType="separate"/>
      </w:r>
      <w:r w:rsidRPr="001B6D09" w:rsidR="001B6D09">
        <w:rPr>
          <w:noProof/>
        </w:rPr>
        <w:t>8</w:t>
      </w:r>
      <w:r w:rsidRPr="001B6D09">
        <w:rPr>
          <w:rStyle w:val="ECHRParaChar"/>
        </w:rPr>
        <w:fldChar w:fldCharType="end"/>
      </w:r>
      <w:r w:rsidRPr="001B6D09">
        <w:rPr>
          <w:rStyle w:val="ECHRParaChar"/>
        </w:rPr>
        <w:t>,</w:t>
      </w:r>
      <w:r w:rsidRPr="001B6D09" w:rsidR="008E2948">
        <w:rPr>
          <w:rStyle w:val="ECHRParaChar"/>
        </w:rPr>
        <w:t xml:space="preserve"> </w:t>
      </w:r>
      <w:r w:rsidRPr="001B6D09" w:rsidR="00EC434B">
        <w:rPr>
          <w:rStyle w:val="ECHRParaChar"/>
        </w:rPr>
        <w:fldChar w:fldCharType="begin"/>
      </w:r>
      <w:r w:rsidRPr="001B6D09" w:rsidR="00EC434B">
        <w:rPr>
          <w:rStyle w:val="ECHRParaChar"/>
        </w:rPr>
        <w:instrText xml:space="preserve"> REF first_minor_offence_proceedings \h </w:instrText>
      </w:r>
      <w:r w:rsidRPr="001B6D09">
        <w:rPr>
          <w:rStyle w:val="ECHRParaChar"/>
        </w:rPr>
        <w:instrText xml:space="preserve"> \* MERGEFORMAT </w:instrText>
      </w:r>
      <w:r w:rsidRPr="001B6D09" w:rsidR="00EC434B">
        <w:rPr>
          <w:rStyle w:val="ECHRParaChar"/>
        </w:rPr>
      </w:r>
      <w:r w:rsidRPr="001B6D09" w:rsidR="00EC434B">
        <w:rPr>
          <w:rStyle w:val="ECHRParaChar"/>
        </w:rPr>
        <w:fldChar w:fldCharType="separate"/>
      </w:r>
      <w:r w:rsidRPr="001B6D09" w:rsidR="001B6D09">
        <w:rPr>
          <w:noProof/>
        </w:rPr>
        <w:t>9</w:t>
      </w:r>
      <w:r w:rsidRPr="001B6D09" w:rsidR="00EC434B">
        <w:rPr>
          <w:rStyle w:val="ECHRParaChar"/>
        </w:rPr>
        <w:fldChar w:fldCharType="end"/>
      </w:r>
      <w:r w:rsidRPr="001B6D09" w:rsidR="00EC434B">
        <w:rPr>
          <w:rStyle w:val="ECHRParaChar"/>
        </w:rPr>
        <w:t xml:space="preserve"> and </w:t>
      </w:r>
      <w:r w:rsidRPr="001B6D09" w:rsidR="00EC434B">
        <w:rPr>
          <w:rStyle w:val="ECHRParaChar"/>
        </w:rPr>
        <w:fldChar w:fldCharType="begin"/>
      </w:r>
      <w:r w:rsidRPr="001B6D09" w:rsidR="00EC434B">
        <w:rPr>
          <w:rStyle w:val="ECHRParaChar"/>
        </w:rPr>
        <w:instrText xml:space="preserve"> REF minor_offence_judgment \h </w:instrText>
      </w:r>
      <w:r w:rsidRPr="001B6D09">
        <w:rPr>
          <w:rStyle w:val="ECHRParaChar"/>
        </w:rPr>
        <w:instrText xml:space="preserve"> \* MERGEFORMAT </w:instrText>
      </w:r>
      <w:r w:rsidRPr="001B6D09" w:rsidR="00EC434B">
        <w:rPr>
          <w:rStyle w:val="ECHRParaChar"/>
        </w:rPr>
      </w:r>
      <w:r w:rsidRPr="001B6D09" w:rsidR="00EC434B">
        <w:rPr>
          <w:rStyle w:val="ECHRParaChar"/>
        </w:rPr>
        <w:fldChar w:fldCharType="separate"/>
      </w:r>
      <w:r w:rsidRPr="001B6D09" w:rsidR="001B6D09">
        <w:rPr>
          <w:noProof/>
        </w:rPr>
        <w:t>13</w:t>
      </w:r>
      <w:r w:rsidRPr="001B6D09" w:rsidR="00EC434B">
        <w:rPr>
          <w:rStyle w:val="ECHRParaChar"/>
        </w:rPr>
        <w:fldChar w:fldCharType="end"/>
      </w:r>
      <w:r w:rsidRPr="001B6D09" w:rsidR="008E2948">
        <w:rPr>
          <w:rStyle w:val="ECHRParaChar"/>
        </w:rPr>
        <w:t xml:space="preserve"> above). Once </w:t>
      </w:r>
      <w:r w:rsidRPr="001B6D09">
        <w:rPr>
          <w:rStyle w:val="ECHRParaChar"/>
        </w:rPr>
        <w:t>the applicant</w:t>
      </w:r>
      <w:r w:rsidRPr="001B6D09" w:rsidR="001B6D09">
        <w:rPr>
          <w:rStyle w:val="ECHRParaChar"/>
        </w:rPr>
        <w:t>’</w:t>
      </w:r>
      <w:r w:rsidRPr="001B6D09">
        <w:rPr>
          <w:rStyle w:val="ECHRParaChar"/>
        </w:rPr>
        <w:t xml:space="preserve">s </w:t>
      </w:r>
      <w:r w:rsidRPr="001B6D09" w:rsidR="008E2948">
        <w:rPr>
          <w:rStyle w:val="ECHRParaChar"/>
        </w:rPr>
        <w:t>unlawful behaviour reached a certain level of severity,</w:t>
      </w:r>
      <w:r w:rsidRPr="001B6D09" w:rsidR="00893190">
        <w:rPr>
          <w:rStyle w:val="ECHRParaChar"/>
        </w:rPr>
        <w:t xml:space="preserve"> </w:t>
      </w:r>
      <w:r w:rsidRPr="001B6D09" w:rsidR="006349D1">
        <w:rPr>
          <w:rStyle w:val="ECHRParaChar"/>
        </w:rPr>
        <w:t xml:space="preserve">the proceedings on indictment </w:t>
      </w:r>
      <w:r w:rsidRPr="001B6D09" w:rsidR="00893190">
        <w:rPr>
          <w:rStyle w:val="ECHRParaChar"/>
        </w:rPr>
        <w:t xml:space="preserve">were </w:t>
      </w:r>
      <w:r w:rsidRPr="001B6D09" w:rsidR="008E2948">
        <w:rPr>
          <w:rStyle w:val="ECHRParaChar"/>
        </w:rPr>
        <w:t>initiated</w:t>
      </w:r>
      <w:r w:rsidRPr="001B6D09" w:rsidR="00EC434B">
        <w:rPr>
          <w:rStyle w:val="ECHRParaChar"/>
        </w:rPr>
        <w:t xml:space="preserve"> against him</w:t>
      </w:r>
      <w:r w:rsidRPr="001B6D09" w:rsidR="008E2948">
        <w:rPr>
          <w:rStyle w:val="ECHRParaChar"/>
        </w:rPr>
        <w:t xml:space="preserve">, </w:t>
      </w:r>
      <w:r w:rsidRPr="001B6D09" w:rsidR="00893190">
        <w:rPr>
          <w:rStyle w:val="ECHRParaChar"/>
        </w:rPr>
        <w:t>aimed at</w:t>
      </w:r>
      <w:r w:rsidRPr="001B6D09" w:rsidR="006349D1">
        <w:rPr>
          <w:rStyle w:val="ECHRParaChar"/>
        </w:rPr>
        <w:t xml:space="preserve"> address</w:t>
      </w:r>
      <w:r w:rsidRPr="001B6D09" w:rsidR="00893190">
        <w:rPr>
          <w:rStyle w:val="ECHRParaChar"/>
        </w:rPr>
        <w:t>ing</w:t>
      </w:r>
      <w:r w:rsidRPr="001B6D09" w:rsidR="006349D1">
        <w:rPr>
          <w:rStyle w:val="ECHRParaChar"/>
        </w:rPr>
        <w:t xml:space="preserve"> an ongoing situation </w:t>
      </w:r>
      <w:r w:rsidRPr="001B6D09" w:rsidR="000C75D9">
        <w:rPr>
          <w:rStyle w:val="ECHRParaChar"/>
        </w:rPr>
        <w:t xml:space="preserve">of violence </w:t>
      </w:r>
      <w:r w:rsidRPr="001B6D09" w:rsidR="006349D1">
        <w:rPr>
          <w:rStyle w:val="ECHRParaChar"/>
        </w:rPr>
        <w:t xml:space="preserve">in </w:t>
      </w:r>
      <w:r w:rsidRPr="001B6D09" w:rsidR="000C75D9">
        <w:rPr>
          <w:rStyle w:val="ECHRParaChar"/>
        </w:rPr>
        <w:t xml:space="preserve">a </w:t>
      </w:r>
      <w:r w:rsidRPr="001B6D09" w:rsidR="006349D1">
        <w:rPr>
          <w:rStyle w:val="ECHRParaChar"/>
        </w:rPr>
        <w:t xml:space="preserve">comprehensive manner (see, </w:t>
      </w:r>
      <w:r w:rsidRPr="001B6D09" w:rsidR="006349D1">
        <w:rPr>
          <w:rStyle w:val="ECHRParaChar"/>
          <w:i/>
        </w:rPr>
        <w:t>mutatis mutandis</w:t>
      </w:r>
      <w:r w:rsidRPr="001B6D09" w:rsidR="006349D1">
        <w:rPr>
          <w:rStyle w:val="ECHRParaChar"/>
        </w:rPr>
        <w:t xml:space="preserve">, </w:t>
      </w:r>
      <w:r w:rsidRPr="001B6D09" w:rsidR="006349D1">
        <w:rPr>
          <w:rStyle w:val="ECHRParaChar"/>
          <w:i/>
        </w:rPr>
        <w:t>A. v. Croatia</w:t>
      </w:r>
      <w:r w:rsidRPr="001B6D09" w:rsidR="006349D1">
        <w:rPr>
          <w:rStyle w:val="ECHRParaChar"/>
        </w:rPr>
        <w:t>, no. 55164/08, § 76, 14 October 2010).</w:t>
      </w:r>
      <w:r w:rsidRPr="001B6D09" w:rsidR="00603D84">
        <w:rPr>
          <w:rStyle w:val="ECHRParaChar"/>
        </w:rPr>
        <w:t xml:space="preserve"> </w:t>
      </w:r>
      <w:r w:rsidRPr="001B6D09" w:rsidR="00603D84">
        <w:t xml:space="preserve">The individual incidents sanctioned in </w:t>
      </w:r>
      <w:r w:rsidRPr="001B6D09" w:rsidR="00225216">
        <w:t>two sets</w:t>
      </w:r>
      <w:r w:rsidRPr="001B6D09" w:rsidR="00603D84">
        <w:t xml:space="preserve"> of minor-offence proceedings </w:t>
      </w:r>
      <w:r w:rsidRPr="001B6D09" w:rsidR="00225216">
        <w:t xml:space="preserve">complained of, </w:t>
      </w:r>
      <w:r w:rsidRPr="001B6D09" w:rsidR="00707696">
        <w:t xml:space="preserve">taken </w:t>
      </w:r>
      <w:r w:rsidRPr="001B6D09" w:rsidR="00603D84">
        <w:t>together with other incidents</w:t>
      </w:r>
      <w:r w:rsidRPr="001B6D09" w:rsidR="00707696">
        <w:t>,</w:t>
      </w:r>
      <w:r w:rsidRPr="001B6D09" w:rsidR="00603D84">
        <w:t xml:space="preserve"> demonstrated </w:t>
      </w:r>
      <w:r w:rsidRPr="001B6D09" w:rsidR="00707696">
        <w:t>a</w:t>
      </w:r>
      <w:r w:rsidRPr="001B6D09" w:rsidR="00603D84">
        <w:t xml:space="preserve"> </w:t>
      </w:r>
      <w:r w:rsidRPr="001B6D09" w:rsidR="006C0280">
        <w:t>pattern of behaviour</w:t>
      </w:r>
      <w:r w:rsidRPr="001B6D09" w:rsidR="00603D84">
        <w:t xml:space="preserve"> and contributed to the assessment of the seriousness of </w:t>
      </w:r>
      <w:r w:rsidRPr="001B6D09" w:rsidR="0035108C">
        <w:t>the applicant</w:t>
      </w:r>
      <w:r w:rsidRPr="001B6D09" w:rsidR="001B6D09">
        <w:t>’</w:t>
      </w:r>
      <w:r w:rsidRPr="001B6D09" w:rsidR="0035108C">
        <w:t>s</w:t>
      </w:r>
      <w:r w:rsidRPr="001B6D09" w:rsidR="00603D84">
        <w:t xml:space="preserve"> criminal </w:t>
      </w:r>
      <w:r w:rsidRPr="001B6D09" w:rsidR="006C0280">
        <w:t>conduct</w:t>
      </w:r>
      <w:r w:rsidRPr="001B6D09" w:rsidR="00603D84">
        <w:t xml:space="preserve"> and only in their entirety did they reflect the </w:t>
      </w:r>
      <w:r w:rsidRPr="001B6D09" w:rsidR="006C0280">
        <w:t>cumulative impact on his</w:t>
      </w:r>
      <w:r w:rsidRPr="001B6D09" w:rsidR="00603D84">
        <w:t xml:space="preserve"> victims.</w:t>
      </w:r>
      <w:r w:rsidRPr="001B6D09" w:rsidR="00D461EE">
        <w:rPr>
          <w:rStyle w:val="ECHRParaChar"/>
        </w:rPr>
        <w:t xml:space="preserve"> </w:t>
      </w:r>
      <w:r w:rsidRPr="001B6D09" w:rsidR="006349D1">
        <w:rPr>
          <w:rStyle w:val="ECHRParaChar"/>
        </w:rPr>
        <w:t xml:space="preserve">In these circumstances the Court has no cause to call into </w:t>
      </w:r>
      <w:r w:rsidRPr="001B6D09" w:rsidR="00893190">
        <w:rPr>
          <w:rStyle w:val="ECHRParaChar"/>
        </w:rPr>
        <w:t>question</w:t>
      </w:r>
      <w:r w:rsidRPr="001B6D09" w:rsidR="006349D1">
        <w:rPr>
          <w:rStyle w:val="ECHRParaChar"/>
        </w:rPr>
        <w:t xml:space="preserve"> the reasons </w:t>
      </w:r>
      <w:r w:rsidRPr="001B6D09" w:rsidR="00D461EE">
        <w:rPr>
          <w:rStyle w:val="ECHRParaChar"/>
        </w:rPr>
        <w:t xml:space="preserve">for </w:t>
      </w:r>
      <w:r w:rsidRPr="001B6D09" w:rsidR="00D461EE">
        <w:t xml:space="preserve">such partial duplication of </w:t>
      </w:r>
      <w:r w:rsidRPr="001B6D09" w:rsidR="00707696">
        <w:t xml:space="preserve">the </w:t>
      </w:r>
      <w:r w:rsidRPr="001B6D09" w:rsidR="00D461EE">
        <w:t>proceedings</w:t>
      </w:r>
      <w:r w:rsidRPr="001B6D09" w:rsidR="00FD130B">
        <w:t>, which</w:t>
      </w:r>
      <w:r w:rsidRPr="001B6D09" w:rsidR="00D461EE">
        <w:t xml:space="preserve"> pursued </w:t>
      </w:r>
      <w:r w:rsidRPr="001B6D09" w:rsidR="00FD130B">
        <w:t xml:space="preserve">the </w:t>
      </w:r>
      <w:r w:rsidRPr="001B6D09" w:rsidR="00D461EE">
        <w:t xml:space="preserve">general interest of </w:t>
      </w:r>
      <w:r w:rsidRPr="001B6D09" w:rsidR="003C0FE9">
        <w:t xml:space="preserve">promptly and </w:t>
      </w:r>
      <w:r w:rsidRPr="001B6D09" w:rsidR="00D461EE">
        <w:t>adequately reacting to domestic violence, that has particularly damaging effect</w:t>
      </w:r>
      <w:r w:rsidRPr="001B6D09" w:rsidR="008E2948">
        <w:t>s</w:t>
      </w:r>
      <w:r w:rsidRPr="001B6D09" w:rsidR="00D461EE">
        <w:t xml:space="preserve"> on the victim, the family and society </w:t>
      </w:r>
      <w:r w:rsidRPr="001B6D09" w:rsidR="00FD130B">
        <w:t>as a whole</w:t>
      </w:r>
      <w:r w:rsidRPr="001B6D09" w:rsidR="0060686B">
        <w:t xml:space="preserve"> by gradually intensifying the </w:t>
      </w:r>
      <w:r w:rsidRPr="001B6D09" w:rsidR="00225216">
        <w:t>S</w:t>
      </w:r>
      <w:r w:rsidRPr="001B6D09" w:rsidR="0060686B">
        <w:t>tate</w:t>
      </w:r>
      <w:r w:rsidRPr="001B6D09" w:rsidR="001B6D09">
        <w:t>’</w:t>
      </w:r>
      <w:r w:rsidRPr="001B6D09" w:rsidR="0060686B">
        <w:t xml:space="preserve">s </w:t>
      </w:r>
      <w:r w:rsidRPr="001B6D09" w:rsidR="00757B80">
        <w:t>response</w:t>
      </w:r>
      <w:r w:rsidRPr="001B6D09" w:rsidR="00D461EE">
        <w:t xml:space="preserve">. </w:t>
      </w:r>
      <w:r w:rsidRPr="001B6D09" w:rsidR="004C1729">
        <w:t xml:space="preserve">The Court notes that </w:t>
      </w:r>
      <w:r w:rsidRPr="001B6D09" w:rsidR="00707696">
        <w:t xml:space="preserve">such </w:t>
      </w:r>
      <w:r w:rsidRPr="001B6D09" w:rsidR="0035108C">
        <w:t>dual proceedings represented complementary response to socially offensive conducts of domestic violence</w:t>
      </w:r>
      <w:r w:rsidRPr="001B6D09" w:rsidR="00D8590D">
        <w:t xml:space="preserve"> (compare and contrast </w:t>
      </w:r>
      <w:r w:rsidRPr="001B6D09" w:rsidR="009E79B2">
        <w:rPr>
          <w:i/>
          <w:lang w:val="en-US"/>
        </w:rPr>
        <w:t>Nodet v.</w:t>
      </w:r>
      <w:r w:rsidRPr="001B6D09" w:rsidR="003D2EA8">
        <w:rPr>
          <w:i/>
          <w:lang w:val="en-US"/>
        </w:rPr>
        <w:t> </w:t>
      </w:r>
      <w:r w:rsidRPr="001B6D09" w:rsidR="009E79B2">
        <w:rPr>
          <w:i/>
          <w:lang w:val="en-US"/>
        </w:rPr>
        <w:t>France</w:t>
      </w:r>
      <w:r w:rsidRPr="001B6D09" w:rsidR="009E79B2">
        <w:rPr>
          <w:lang w:val="en-US"/>
        </w:rPr>
        <w:t>, no. 47342/14, § 48, 6 June 2019</w:t>
      </w:r>
      <w:r w:rsidRPr="001B6D09" w:rsidR="00D8590D">
        <w:rPr>
          <w:lang w:val="en-US"/>
        </w:rPr>
        <w:t>)</w:t>
      </w:r>
      <w:r w:rsidRPr="001B6D09" w:rsidR="0035108C">
        <w:rPr>
          <w:lang w:val="en-US"/>
        </w:rPr>
        <w:t>.</w:t>
      </w:r>
    </w:p>
    <w:p w:rsidRPr="001B6D09" w:rsidR="00A460B6" w:rsidP="001B6D09" w:rsidRDefault="00A460B6" w14:paraId="766F3947" w14:textId="3513BDDF">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119</w:t>
      </w:r>
      <w:r w:rsidRPr="001B6D09">
        <w:fldChar w:fldCharType="end"/>
      </w:r>
      <w:r w:rsidRPr="001B6D09">
        <w:t>.  </w:t>
      </w:r>
      <w:r w:rsidRPr="001B6D09" w:rsidR="00EC434B">
        <w:t xml:space="preserve">The Court </w:t>
      </w:r>
      <w:r w:rsidRPr="001B6D09" w:rsidR="009E79B2">
        <w:t xml:space="preserve">would </w:t>
      </w:r>
      <w:r w:rsidRPr="001B6D09" w:rsidR="00EC434B">
        <w:t>further stress that duplication of proceedings and penalties may be allowed only under conditions provided for and exhaustively defined by clear and precise rules allowing individuals to predict which acts or omissions were liable to be subject to such a duplication of proceedings and penalties, thereby ensuring that the right guaranteed by Article 4 of Protocol No. 7 is not called into question as such</w:t>
      </w:r>
      <w:r w:rsidRPr="001B6D09" w:rsidR="005854BF">
        <w:t xml:space="preserve"> and legal certainty is preserved</w:t>
      </w:r>
      <w:r w:rsidRPr="001B6D09" w:rsidR="008F0FE3">
        <w:t>.</w:t>
      </w:r>
      <w:r w:rsidRPr="001B6D09" w:rsidR="00EC434B">
        <w:t xml:space="preserve"> </w:t>
      </w:r>
      <w:r w:rsidRPr="001B6D09">
        <w:t xml:space="preserve">As regards the question of whether duality of the proceedings </w:t>
      </w:r>
      <w:r w:rsidRPr="001B6D09" w:rsidR="00893190">
        <w:t xml:space="preserve">had been </w:t>
      </w:r>
      <w:r w:rsidRPr="001B6D09">
        <w:t xml:space="preserve">foreseeable for the applicant, </w:t>
      </w:r>
      <w:r w:rsidRPr="001B6D09" w:rsidR="007452EF">
        <w:t xml:space="preserve">the Court </w:t>
      </w:r>
      <w:r w:rsidRPr="001B6D09">
        <w:t xml:space="preserve">notes that, having behaved violently towards close </w:t>
      </w:r>
      <w:r w:rsidRPr="001B6D09" w:rsidR="00561D25">
        <w:t xml:space="preserve">family </w:t>
      </w:r>
      <w:r w:rsidRPr="001B6D09">
        <w:t xml:space="preserve">members </w:t>
      </w:r>
      <w:r w:rsidRPr="001B6D09" w:rsidR="00E441BA">
        <w:t xml:space="preserve">on </w:t>
      </w:r>
      <w:r w:rsidRPr="001B6D09" w:rsidR="00EC434B">
        <w:t>a number</w:t>
      </w:r>
      <w:r w:rsidRPr="001B6D09" w:rsidR="00E441BA">
        <w:t xml:space="preserve"> </w:t>
      </w:r>
      <w:r w:rsidRPr="001B6D09" w:rsidR="009E79B2">
        <w:t xml:space="preserve">of </w:t>
      </w:r>
      <w:r w:rsidRPr="001B6D09" w:rsidR="00E441BA">
        <w:t>occasions</w:t>
      </w:r>
      <w:r w:rsidRPr="001B6D09" w:rsidR="00EC434B">
        <w:t>,</w:t>
      </w:r>
      <w:r w:rsidRPr="001B6D09" w:rsidR="00E441BA">
        <w:t xml:space="preserve"> </w:t>
      </w:r>
      <w:r w:rsidRPr="001B6D09" w:rsidR="00EC434B">
        <w:t>the applicant</w:t>
      </w:r>
      <w:r w:rsidRPr="001B6D09" w:rsidDel="00561D25" w:rsidR="00EC434B">
        <w:t xml:space="preserve"> </w:t>
      </w:r>
      <w:r w:rsidRPr="001B6D09">
        <w:t xml:space="preserve">should have been aware that </w:t>
      </w:r>
      <w:r w:rsidRPr="001B6D09" w:rsidR="00E441BA">
        <w:t>his conduct</w:t>
      </w:r>
      <w:r w:rsidRPr="001B6D09">
        <w:t xml:space="preserve"> could have entail</w:t>
      </w:r>
      <w:r w:rsidRPr="001B6D09" w:rsidR="00307BF1">
        <w:t>ed</w:t>
      </w:r>
      <w:r w:rsidRPr="001B6D09">
        <w:t xml:space="preserve"> consequences such as the institution of minor-offence </w:t>
      </w:r>
      <w:r w:rsidRPr="001B6D09" w:rsidR="00CE4D79">
        <w:t xml:space="preserve">proceedings for a particular individual incident under the Protection against Domestic Violence Act </w:t>
      </w:r>
      <w:r w:rsidRPr="001B6D09">
        <w:t xml:space="preserve">and criminal proceedings </w:t>
      </w:r>
      <w:r w:rsidRPr="001B6D09" w:rsidR="00CE4D79">
        <w:t xml:space="preserve">for continuous and repeated </w:t>
      </w:r>
      <w:r w:rsidRPr="001B6D09">
        <w:t xml:space="preserve">behaviour </w:t>
      </w:r>
      <w:r w:rsidRPr="001B6D09" w:rsidR="005854BF">
        <w:t>of domestic violence</w:t>
      </w:r>
      <w:r w:rsidRPr="001B6D09" w:rsidR="009E79B2">
        <w:t xml:space="preserve"> </w:t>
      </w:r>
      <w:r w:rsidRPr="001B6D09">
        <w:t xml:space="preserve">criminalised </w:t>
      </w:r>
      <w:r w:rsidRPr="001B6D09" w:rsidR="00CE4D79">
        <w:t>under</w:t>
      </w:r>
      <w:r w:rsidRPr="001B6D09">
        <w:t xml:space="preserve"> the Criminal Code.</w:t>
      </w:r>
    </w:p>
    <w:p w:rsidRPr="001B6D09" w:rsidR="00A460B6" w:rsidP="001B6D09" w:rsidRDefault="003223B3" w14:paraId="23F54BBC" w14:textId="5E76EC10">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120</w:t>
      </w:r>
      <w:r w:rsidRPr="001B6D09">
        <w:fldChar w:fldCharType="end"/>
      </w:r>
      <w:r w:rsidRPr="001B6D09">
        <w:t>.  </w:t>
      </w:r>
      <w:r w:rsidRPr="001B6D09" w:rsidR="00307BF1">
        <w:t>As to the manner of conducting the proceedings,</w:t>
      </w:r>
      <w:r w:rsidRPr="001B6D09" w:rsidR="003E1F7E">
        <w:t xml:space="preserve"> </w:t>
      </w:r>
      <w:r w:rsidRPr="001B6D09" w:rsidR="00307BF1">
        <w:t xml:space="preserve">the Court </w:t>
      </w:r>
      <w:r w:rsidRPr="001B6D09" w:rsidR="000C75D9">
        <w:t>observes</w:t>
      </w:r>
      <w:r w:rsidRPr="001B6D09" w:rsidR="00307BF1">
        <w:t xml:space="preserve"> that</w:t>
      </w:r>
      <w:r w:rsidRPr="001B6D09" w:rsidR="0010495C">
        <w:t xml:space="preserve"> the criminal court </w:t>
      </w:r>
      <w:r w:rsidRPr="001B6D09" w:rsidR="005436EC">
        <w:t>took note of</w:t>
      </w:r>
      <w:r w:rsidRPr="001B6D09" w:rsidR="0010495C">
        <w:t xml:space="preserve"> </w:t>
      </w:r>
      <w:r w:rsidRPr="001B6D09" w:rsidR="009809B0">
        <w:t xml:space="preserve">all </w:t>
      </w:r>
      <w:r w:rsidRPr="001B6D09" w:rsidR="008F0FE3">
        <w:t xml:space="preserve">the </w:t>
      </w:r>
      <w:r w:rsidRPr="001B6D09" w:rsidR="009809B0">
        <w:t>previous minor-offence judgments against the applicant</w:t>
      </w:r>
      <w:r w:rsidRPr="001B6D09" w:rsidR="0010495C">
        <w:t xml:space="preserve"> (see paragraph </w:t>
      </w:r>
      <w:r w:rsidRPr="001B6D09" w:rsidR="009809B0">
        <w:fldChar w:fldCharType="begin"/>
      </w:r>
      <w:r w:rsidRPr="001B6D09" w:rsidR="009809B0">
        <w:instrText xml:space="preserve"> REF criminal_judgment \h </w:instrText>
      </w:r>
      <w:r w:rsidRPr="001B6D09" w:rsidR="0060686B">
        <w:instrText xml:space="preserve"> \* MERGEFORMAT </w:instrText>
      </w:r>
      <w:r w:rsidRPr="001B6D09" w:rsidR="009809B0">
        <w:fldChar w:fldCharType="separate"/>
      </w:r>
      <w:r w:rsidRPr="001B6D09" w:rsidR="001B6D09">
        <w:rPr>
          <w:noProof/>
        </w:rPr>
        <w:t>33</w:t>
      </w:r>
      <w:r w:rsidRPr="001B6D09" w:rsidR="009809B0">
        <w:fldChar w:fldCharType="end"/>
      </w:r>
      <w:r w:rsidRPr="001B6D09" w:rsidR="009809B0">
        <w:t xml:space="preserve"> </w:t>
      </w:r>
      <w:r w:rsidRPr="001B6D09" w:rsidR="0010495C">
        <w:t>above)</w:t>
      </w:r>
      <w:r w:rsidRPr="001B6D09" w:rsidR="008E095E">
        <w:t xml:space="preserve"> </w:t>
      </w:r>
      <w:r w:rsidRPr="001B6D09" w:rsidR="00393F6A">
        <w:t>and</w:t>
      </w:r>
      <w:r w:rsidRPr="001B6D09" w:rsidR="008E095E">
        <w:t xml:space="preserve"> used </w:t>
      </w:r>
      <w:r w:rsidRPr="001B6D09" w:rsidR="00915354">
        <w:t>certain</w:t>
      </w:r>
      <w:r w:rsidRPr="001B6D09" w:rsidR="008E095E">
        <w:t xml:space="preserve"> documentary evidence from th</w:t>
      </w:r>
      <w:r w:rsidRPr="001B6D09" w:rsidR="00915354">
        <w:t>os</w:t>
      </w:r>
      <w:r w:rsidRPr="001B6D09" w:rsidR="008E095E">
        <w:t xml:space="preserve">e proceedings (for example, the same record of examination of blood alcohol dated 4 November 2008; see paragraphs </w:t>
      </w:r>
      <w:r w:rsidRPr="001B6D09" w:rsidR="008E095E">
        <w:fldChar w:fldCharType="begin"/>
      </w:r>
      <w:r w:rsidRPr="001B6D09" w:rsidR="008E095E">
        <w:instrText xml:space="preserve"> REF minor_offence_judgment \h  \* MERGEFORMAT </w:instrText>
      </w:r>
      <w:r w:rsidRPr="001B6D09" w:rsidR="008E095E">
        <w:fldChar w:fldCharType="separate"/>
      </w:r>
      <w:r w:rsidRPr="001B6D09" w:rsidR="001B6D09">
        <w:rPr>
          <w:noProof/>
        </w:rPr>
        <w:t>13</w:t>
      </w:r>
      <w:r w:rsidRPr="001B6D09" w:rsidR="008E095E">
        <w:fldChar w:fldCharType="end"/>
      </w:r>
      <w:r w:rsidRPr="001B6D09" w:rsidR="008E095E">
        <w:t xml:space="preserve"> and </w:t>
      </w:r>
      <w:r w:rsidRPr="001B6D09" w:rsidR="008E095E">
        <w:fldChar w:fldCharType="begin"/>
      </w:r>
      <w:r w:rsidRPr="001B6D09" w:rsidR="008E095E">
        <w:instrText xml:space="preserve"> REF criminal_judgment \h  \* MERGEFORMAT </w:instrText>
      </w:r>
      <w:r w:rsidRPr="001B6D09" w:rsidR="008E095E">
        <w:fldChar w:fldCharType="separate"/>
      </w:r>
      <w:r w:rsidRPr="001B6D09" w:rsidR="001B6D09">
        <w:rPr>
          <w:noProof/>
        </w:rPr>
        <w:t>33</w:t>
      </w:r>
      <w:r w:rsidRPr="001B6D09" w:rsidR="008E095E">
        <w:fldChar w:fldCharType="end"/>
      </w:r>
      <w:r w:rsidRPr="001B6D09" w:rsidR="008E095E">
        <w:t xml:space="preserve"> above)</w:t>
      </w:r>
      <w:r w:rsidRPr="001B6D09" w:rsidR="006B03A2">
        <w:t>.</w:t>
      </w:r>
      <w:r w:rsidRPr="001B6D09" w:rsidR="00CE4D79">
        <w:t xml:space="preserve"> </w:t>
      </w:r>
      <w:r w:rsidRPr="001B6D09" w:rsidR="00A460B6">
        <w:t xml:space="preserve">The fact that the criminal court </w:t>
      </w:r>
      <w:r w:rsidRPr="001B6D09" w:rsidR="007452EF">
        <w:t xml:space="preserve">decided </w:t>
      </w:r>
      <w:r w:rsidRPr="001B6D09" w:rsidR="008F0FE3">
        <w:t xml:space="preserve">again </w:t>
      </w:r>
      <w:r w:rsidRPr="001B6D09" w:rsidR="00A460B6">
        <w:t xml:space="preserve">to hear </w:t>
      </w:r>
      <w:r w:rsidRPr="001B6D09" w:rsidR="00E40244">
        <w:t xml:space="preserve">certain </w:t>
      </w:r>
      <w:r w:rsidRPr="001B6D09" w:rsidR="00A460B6">
        <w:t>witnesses</w:t>
      </w:r>
      <w:r w:rsidRPr="001B6D09" w:rsidR="009809B0">
        <w:t xml:space="preserve">, such as Mi.G. and M.G. </w:t>
      </w:r>
      <w:r w:rsidRPr="001B6D09" w:rsidR="00A460B6">
        <w:t xml:space="preserve">at </w:t>
      </w:r>
      <w:r w:rsidRPr="001B6D09" w:rsidR="00893190">
        <w:t xml:space="preserve">the </w:t>
      </w:r>
      <w:r w:rsidRPr="001B6D09" w:rsidR="00A460B6">
        <w:t xml:space="preserve">trial </w:t>
      </w:r>
      <w:r w:rsidRPr="001B6D09" w:rsidR="00561D25">
        <w:t xml:space="preserve">may be regarded as </w:t>
      </w:r>
      <w:r w:rsidRPr="001B6D09" w:rsidR="00A460B6">
        <w:t>a</w:t>
      </w:r>
      <w:r w:rsidRPr="001B6D09" w:rsidR="00EC434B">
        <w:t xml:space="preserve">n inherent </w:t>
      </w:r>
      <w:r w:rsidRPr="001B6D09" w:rsidR="00A460B6">
        <w:t>feature of proceeding</w:t>
      </w:r>
      <w:r w:rsidRPr="001B6D09" w:rsidR="00337ABD">
        <w:t>s</w:t>
      </w:r>
      <w:r w:rsidRPr="001B6D09" w:rsidR="00A460B6">
        <w:t xml:space="preserve"> on indictment and a requirement </w:t>
      </w:r>
      <w:r w:rsidRPr="001B6D09" w:rsidR="009809B0">
        <w:t xml:space="preserve">safeguarding the rights of the accused </w:t>
      </w:r>
      <w:r w:rsidRPr="001B6D09" w:rsidR="00A460B6">
        <w:t>under Article 6 of the Convention.</w:t>
      </w:r>
      <w:r w:rsidRPr="001B6D09" w:rsidR="00744930">
        <w:t xml:space="preserve"> </w:t>
      </w:r>
      <w:r w:rsidRPr="001B6D09" w:rsidR="008F24EF">
        <w:t xml:space="preserve">The Court </w:t>
      </w:r>
      <w:r w:rsidRPr="001B6D09" w:rsidR="00744930">
        <w:t>therefore conclude</w:t>
      </w:r>
      <w:r w:rsidRPr="001B6D09" w:rsidR="008F24EF">
        <w:t>s</w:t>
      </w:r>
      <w:r w:rsidRPr="001B6D09" w:rsidR="00744930">
        <w:t xml:space="preserve"> that the interaction</w:t>
      </w:r>
      <w:r w:rsidRPr="001B6D09" w:rsidR="003F41CD">
        <w:t xml:space="preserve"> and coordination</w:t>
      </w:r>
      <w:r w:rsidRPr="001B6D09" w:rsidR="00744930">
        <w:t xml:space="preserve"> between the two courts was adequate and that the two sets of proceedings formed a coherent whole</w:t>
      </w:r>
      <w:r w:rsidRPr="001B6D09" w:rsidR="00B44A04">
        <w:t>.</w:t>
      </w:r>
      <w:r w:rsidRPr="001B6D09" w:rsidR="00744930">
        <w:t xml:space="preserve"> </w:t>
      </w:r>
      <w:r w:rsidRPr="001B6D09" w:rsidR="00F25A43">
        <w:t xml:space="preserve">(see, </w:t>
      </w:r>
      <w:r w:rsidRPr="001B6D09" w:rsidR="00F25A43">
        <w:rPr>
          <w:i/>
        </w:rPr>
        <w:t>a contrario</w:t>
      </w:r>
      <w:r w:rsidRPr="001B6D09" w:rsidR="00F25A43">
        <w:t xml:space="preserve">, </w:t>
      </w:r>
      <w:r w:rsidRPr="001B6D09" w:rsidR="00F25A43">
        <w:rPr>
          <w:i/>
        </w:rPr>
        <w:t>Kapetanios and Others v. Greece</w:t>
      </w:r>
      <w:r w:rsidRPr="001B6D09" w:rsidR="00F25A43">
        <w:t xml:space="preserve">, nos. 3453/12 and 2 others, §§ 65-74, 30 April 2015, where the applicants had first been acquitted in criminal proceedings, and later on </w:t>
      </w:r>
      <w:r w:rsidRPr="001B6D09" w:rsidR="008F0FE3">
        <w:t>received</w:t>
      </w:r>
      <w:r w:rsidRPr="001B6D09" w:rsidR="00F25A43">
        <w:t xml:space="preserve"> severe administrative fines for the same conduct). </w:t>
      </w:r>
      <w:r w:rsidRPr="001B6D09" w:rsidR="00744930">
        <w:t>Consequently, the applicant has not suffered a disadvantage associated with the duplication of proceedings, beyond what was strictly necessary.</w:t>
      </w:r>
    </w:p>
    <w:p w:rsidRPr="001B6D09" w:rsidR="00D67739" w:rsidP="001B6D09" w:rsidRDefault="00A460B6" w14:paraId="3B997B17" w14:textId="41D4E2AF">
      <w:pPr>
        <w:pStyle w:val="JuPara"/>
        <w:jc w:val="both"/>
        <w:rPr>
          <w:rFonts w:eastAsia="Times New Roman"/>
        </w:rPr>
      </w:pPr>
      <w:r w:rsidRPr="001B6D09">
        <w:fldChar w:fldCharType="begin"/>
      </w:r>
      <w:r w:rsidRPr="001B6D09">
        <w:instrText xml:space="preserve"> SEQ level0 \*arabic </w:instrText>
      </w:r>
      <w:r w:rsidRPr="001B6D09">
        <w:fldChar w:fldCharType="separate"/>
      </w:r>
      <w:r w:rsidRPr="001B6D09" w:rsidR="001B6D09">
        <w:rPr>
          <w:noProof/>
        </w:rPr>
        <w:t>121</w:t>
      </w:r>
      <w:r w:rsidRPr="001B6D09">
        <w:fldChar w:fldCharType="end"/>
      </w:r>
      <w:r w:rsidRPr="001B6D09">
        <w:t>.  </w:t>
      </w:r>
      <w:r w:rsidRPr="001B6D09" w:rsidR="00744930">
        <w:t>As regards the sa</w:t>
      </w:r>
      <w:r w:rsidRPr="001B6D09" w:rsidR="00ED097F">
        <w:t>n</w:t>
      </w:r>
      <w:r w:rsidRPr="001B6D09" w:rsidR="00744930">
        <w:t>ctions imposed, t</w:t>
      </w:r>
      <w:r w:rsidRPr="001B6D09" w:rsidR="004F6C14">
        <w:t xml:space="preserve">he Court </w:t>
      </w:r>
      <w:r w:rsidRPr="001B6D09" w:rsidR="00561D25">
        <w:t xml:space="preserve">firstly </w:t>
      </w:r>
      <w:r w:rsidRPr="001B6D09" w:rsidR="004F6C14">
        <w:t>notes that</w:t>
      </w:r>
      <w:r w:rsidRPr="001B6D09">
        <w:t xml:space="preserve"> </w:t>
      </w:r>
      <w:r w:rsidRPr="001B6D09" w:rsidR="0051140A">
        <w:t xml:space="preserve">each of </w:t>
      </w:r>
      <w:r w:rsidRPr="001B6D09" w:rsidR="00561D25">
        <w:t>the applicant</w:t>
      </w:r>
      <w:r w:rsidRPr="001B6D09" w:rsidR="001B6D09">
        <w:t>’</w:t>
      </w:r>
      <w:r w:rsidRPr="001B6D09" w:rsidR="00561D25">
        <w:t xml:space="preserve">s </w:t>
      </w:r>
      <w:r w:rsidRPr="001B6D09" w:rsidR="0051140A">
        <w:t xml:space="preserve">minor-offence </w:t>
      </w:r>
      <w:r w:rsidRPr="001B6D09" w:rsidR="00561D25">
        <w:t>conviction</w:t>
      </w:r>
      <w:r w:rsidRPr="001B6D09" w:rsidR="0051140A">
        <w:t xml:space="preserve">s took into account the penalty imposed on him </w:t>
      </w:r>
      <w:r w:rsidRPr="001B6D09" w:rsidR="00561D25">
        <w:t xml:space="preserve">in the </w:t>
      </w:r>
      <w:r w:rsidRPr="001B6D09" w:rsidR="00915354">
        <w:t xml:space="preserve">previous </w:t>
      </w:r>
      <w:r w:rsidRPr="001B6D09" w:rsidR="00561D25">
        <w:t xml:space="preserve">minor-offence </w:t>
      </w:r>
      <w:r w:rsidRPr="001B6D09" w:rsidR="006B03A2">
        <w:t>proceedings</w:t>
      </w:r>
      <w:r w:rsidRPr="001B6D09" w:rsidR="00561D25">
        <w:t xml:space="preserve"> (see paragraph</w:t>
      </w:r>
      <w:r w:rsidRPr="001B6D09" w:rsidR="0051140A">
        <w:t>s</w:t>
      </w:r>
      <w:r w:rsidRPr="001B6D09" w:rsidR="003D2EA8">
        <w:t> </w:t>
      </w:r>
      <w:r w:rsidRPr="001B6D09" w:rsidR="00225216">
        <w:fldChar w:fldCharType="begin"/>
      </w:r>
      <w:r w:rsidRPr="001B6D09" w:rsidR="00225216">
        <w:instrText xml:space="preserve"> REF second_minor_offence_judgment \h </w:instrText>
      </w:r>
      <w:r w:rsidRPr="001B6D09" w:rsidR="00B809F5">
        <w:instrText xml:space="preserve"> \* MERGEFORMAT </w:instrText>
      </w:r>
      <w:r w:rsidRPr="001B6D09" w:rsidR="00225216">
        <w:fldChar w:fldCharType="separate"/>
      </w:r>
      <w:r w:rsidRPr="001B6D09" w:rsidR="001B6D09">
        <w:rPr>
          <w:noProof/>
        </w:rPr>
        <w:t>7</w:t>
      </w:r>
      <w:r w:rsidRPr="001B6D09" w:rsidR="00225216">
        <w:fldChar w:fldCharType="end"/>
      </w:r>
      <w:r w:rsidRPr="001B6D09" w:rsidR="00225216">
        <w:t xml:space="preserve">, </w:t>
      </w:r>
      <w:r w:rsidRPr="001B6D09" w:rsidR="00225216">
        <w:fldChar w:fldCharType="begin"/>
      </w:r>
      <w:r w:rsidRPr="001B6D09" w:rsidR="00225216">
        <w:instrText xml:space="preserve"> REF fourth_minor_offence_judgment \h </w:instrText>
      </w:r>
      <w:r w:rsidRPr="001B6D09" w:rsidR="00B809F5">
        <w:instrText xml:space="preserve"> \* MERGEFORMAT </w:instrText>
      </w:r>
      <w:r w:rsidRPr="001B6D09" w:rsidR="00225216">
        <w:fldChar w:fldCharType="separate"/>
      </w:r>
      <w:r w:rsidRPr="001B6D09" w:rsidR="001B6D09">
        <w:rPr>
          <w:noProof/>
        </w:rPr>
        <w:t>9</w:t>
      </w:r>
      <w:r w:rsidRPr="001B6D09" w:rsidR="00225216">
        <w:fldChar w:fldCharType="end"/>
      </w:r>
      <w:r w:rsidRPr="001B6D09" w:rsidR="0051140A">
        <w:t xml:space="preserve"> and</w:t>
      </w:r>
      <w:r w:rsidRPr="001B6D09" w:rsidR="00561D25">
        <w:t xml:space="preserve"> </w:t>
      </w:r>
      <w:r w:rsidRPr="001B6D09" w:rsidR="00561D25">
        <w:fldChar w:fldCharType="begin"/>
      </w:r>
      <w:r w:rsidRPr="001B6D09" w:rsidR="00561D25">
        <w:instrText xml:space="preserve"> REF minor_offence_judgment \h </w:instrText>
      </w:r>
      <w:r w:rsidRPr="001B6D09" w:rsidR="00915354">
        <w:instrText xml:space="preserve"> \* MERGEFORMAT </w:instrText>
      </w:r>
      <w:r w:rsidRPr="001B6D09" w:rsidR="00561D25">
        <w:fldChar w:fldCharType="separate"/>
      </w:r>
      <w:r w:rsidRPr="001B6D09" w:rsidR="001B6D09">
        <w:rPr>
          <w:noProof/>
        </w:rPr>
        <w:t>13</w:t>
      </w:r>
      <w:r w:rsidRPr="001B6D09" w:rsidR="00561D25">
        <w:fldChar w:fldCharType="end"/>
      </w:r>
      <w:r w:rsidRPr="001B6D09" w:rsidR="00561D25">
        <w:t xml:space="preserve"> above). Subsequently, </w:t>
      </w:r>
      <w:r w:rsidRPr="001B6D09">
        <w:t xml:space="preserve">the </w:t>
      </w:r>
      <w:r w:rsidRPr="001B6D09" w:rsidR="00744930">
        <w:t>criminal court</w:t>
      </w:r>
      <w:r w:rsidRPr="001B6D09">
        <w:t xml:space="preserve"> </w:t>
      </w:r>
      <w:r w:rsidRPr="001B6D09" w:rsidR="00893190">
        <w:t xml:space="preserve">expressly </w:t>
      </w:r>
      <w:r w:rsidRPr="001B6D09">
        <w:t xml:space="preserve">acknowledged that the applicant had already been </w:t>
      </w:r>
      <w:r w:rsidRPr="001B6D09" w:rsidR="00744930">
        <w:t>punished</w:t>
      </w:r>
      <w:r w:rsidRPr="001B6D09">
        <w:t xml:space="preserve"> in </w:t>
      </w:r>
      <w:r w:rsidRPr="001B6D09" w:rsidR="0051140A">
        <w:t xml:space="preserve">five sets of </w:t>
      </w:r>
      <w:r w:rsidRPr="001B6D09">
        <w:t>minor</w:t>
      </w:r>
      <w:r w:rsidRPr="001B6D09" w:rsidR="00915354">
        <w:t xml:space="preserve"> </w:t>
      </w:r>
      <w:r w:rsidRPr="001B6D09">
        <w:t>offence proceedings</w:t>
      </w:r>
      <w:r w:rsidRPr="001B6D09" w:rsidR="0051140A">
        <w:t>. It also</w:t>
      </w:r>
      <w:r w:rsidRPr="001B6D09">
        <w:t xml:space="preserve"> </w:t>
      </w:r>
      <w:r w:rsidRPr="001B6D09" w:rsidR="0051140A">
        <w:t xml:space="preserve">deducted from his sentence the </w:t>
      </w:r>
      <w:r w:rsidRPr="001B6D09" w:rsidR="00225216">
        <w:t>period which</w:t>
      </w:r>
      <w:r w:rsidRPr="001B6D09" w:rsidR="0051140A">
        <w:t xml:space="preserve"> the applicant had spent in detention on the basis of the </w:t>
      </w:r>
      <w:r w:rsidRPr="001B6D09" w:rsidR="00225216">
        <w:t xml:space="preserve">two </w:t>
      </w:r>
      <w:r w:rsidRPr="001B6D09" w:rsidR="0051140A">
        <w:t>minor</w:t>
      </w:r>
      <w:r w:rsidRPr="001B6D09" w:rsidR="003D2EA8">
        <w:noBreakHyphen/>
      </w:r>
      <w:r w:rsidRPr="001B6D09" w:rsidR="0051140A">
        <w:t xml:space="preserve">offence convictions </w:t>
      </w:r>
      <w:r w:rsidRPr="001B6D09" w:rsidR="00225216">
        <w:t xml:space="preserve">complained of, dated </w:t>
      </w:r>
      <w:r w:rsidRPr="001B6D09" w:rsidR="0051140A">
        <w:t>10 January 2008 and 17</w:t>
      </w:r>
      <w:r w:rsidRPr="001B6D09" w:rsidR="003D2EA8">
        <w:t> </w:t>
      </w:r>
      <w:r w:rsidRPr="001B6D09" w:rsidR="0051140A">
        <w:t>November 200</w:t>
      </w:r>
      <w:r w:rsidRPr="001B6D09" w:rsidR="00E36C3E">
        <w:t>8</w:t>
      </w:r>
      <w:r w:rsidRPr="001B6D09" w:rsidR="0051140A">
        <w:t xml:space="preserve"> (see paragraph </w:t>
      </w:r>
      <w:r w:rsidRPr="001B6D09" w:rsidR="0051140A">
        <w:fldChar w:fldCharType="begin"/>
      </w:r>
      <w:r w:rsidRPr="001B6D09" w:rsidR="0051140A">
        <w:instrText xml:space="preserve"> REF minor_offence_judgment \h  \* MERGEFORMAT </w:instrText>
      </w:r>
      <w:r w:rsidRPr="001B6D09" w:rsidR="0051140A">
        <w:fldChar w:fldCharType="separate"/>
      </w:r>
      <w:r w:rsidRPr="001B6D09" w:rsidR="001B6D09">
        <w:rPr>
          <w:noProof/>
        </w:rPr>
        <w:t>13</w:t>
      </w:r>
      <w:r w:rsidRPr="001B6D09" w:rsidR="0051140A">
        <w:fldChar w:fldCharType="end"/>
      </w:r>
      <w:r w:rsidRPr="001B6D09" w:rsidR="0051140A">
        <w:t xml:space="preserve"> above)</w:t>
      </w:r>
      <w:r w:rsidRPr="001B6D09" w:rsidR="00E537B8">
        <w:t xml:space="preserve">. Consequently the </w:t>
      </w:r>
      <w:r w:rsidRPr="001B6D09" w:rsidR="00565A1F">
        <w:t>domestic courts applied the principle of deduction</w:t>
      </w:r>
      <w:r w:rsidRPr="001B6D09" w:rsidR="00E537B8">
        <w:t xml:space="preserve"> and ensured that the overall amount of penalties imposed </w:t>
      </w:r>
      <w:r w:rsidRPr="001B6D09" w:rsidR="00D67739">
        <w:t xml:space="preserve">on the applicant </w:t>
      </w:r>
      <w:r w:rsidRPr="001B6D09" w:rsidR="00E537B8">
        <w:t>was proportionate to the seriousness of the offence</w:t>
      </w:r>
      <w:r w:rsidRPr="001B6D09" w:rsidR="00BD665D">
        <w:t xml:space="preserve"> concerned</w:t>
      </w:r>
      <w:r w:rsidRPr="001B6D09" w:rsidR="00565A1F">
        <w:t xml:space="preserve"> </w:t>
      </w:r>
      <w:r w:rsidRPr="001B6D09">
        <w:t xml:space="preserve">(compare </w:t>
      </w:r>
      <w:r w:rsidRPr="001B6D09">
        <w:rPr>
          <w:i/>
        </w:rPr>
        <w:t>A and B</w:t>
      </w:r>
      <w:r w:rsidRPr="001B6D09">
        <w:t xml:space="preserve">, cited above, § 144; and contrast </w:t>
      </w:r>
      <w:r w:rsidRPr="001B6D09">
        <w:rPr>
          <w:i/>
        </w:rPr>
        <w:t>Glantz v. Finland</w:t>
      </w:r>
      <w:r w:rsidRPr="001B6D09">
        <w:rPr>
          <w:snapToGrid w:val="0"/>
        </w:rPr>
        <w:t xml:space="preserve">, </w:t>
      </w:r>
      <w:r w:rsidRPr="001B6D09">
        <w:t xml:space="preserve">no. 37394/11, § 61, 20 May 2014, and </w:t>
      </w:r>
      <w:r w:rsidRPr="001B6D09">
        <w:rPr>
          <w:i/>
        </w:rPr>
        <w:t>Nykänen v. Finland</w:t>
      </w:r>
      <w:r w:rsidRPr="001B6D09">
        <w:rPr>
          <w:snapToGrid w:val="0"/>
        </w:rPr>
        <w:t xml:space="preserve">, </w:t>
      </w:r>
      <w:r w:rsidRPr="001B6D09">
        <w:t xml:space="preserve">no. 11828/11, § 51, 20 May 2014). </w:t>
      </w:r>
      <w:r w:rsidRPr="001B6D09" w:rsidR="00744930">
        <w:t>It can</w:t>
      </w:r>
      <w:r w:rsidRPr="001B6D09" w:rsidR="008F0FE3">
        <w:t>not</w:t>
      </w:r>
      <w:r w:rsidRPr="001B6D09" w:rsidR="00744930">
        <w:t xml:space="preserve"> therefore be said that the applicant was </w:t>
      </w:r>
      <w:r w:rsidRPr="001B6D09" w:rsidR="00744930">
        <w:rPr>
          <w:rFonts w:eastAsia="Times New Roman"/>
        </w:rPr>
        <w:t xml:space="preserve">made to bear an excessive burden (see the relevant criteria set out in </w:t>
      </w:r>
      <w:r w:rsidRPr="001B6D09" w:rsidR="00744930">
        <w:rPr>
          <w:rFonts w:eastAsia="Times New Roman"/>
          <w:i/>
        </w:rPr>
        <w:t>A and B v. Norway</w:t>
      </w:r>
      <w:r w:rsidRPr="001B6D09" w:rsidR="00744930">
        <w:rPr>
          <w:rFonts w:eastAsia="Times New Roman"/>
        </w:rPr>
        <w:t xml:space="preserve">, cited at paragraph </w:t>
      </w:r>
      <w:r w:rsidRPr="001B6D09" w:rsidR="00742228">
        <w:rPr>
          <w:rFonts w:eastAsia="Times New Roman"/>
        </w:rPr>
        <w:fldChar w:fldCharType="begin"/>
      </w:r>
      <w:r w:rsidRPr="001B6D09" w:rsidR="00742228">
        <w:rPr>
          <w:rFonts w:eastAsia="Times New Roman"/>
        </w:rPr>
        <w:instrText xml:space="preserve"> REF AB_Norway \h </w:instrText>
      </w:r>
      <w:r w:rsidRPr="001B6D09" w:rsidR="00915354">
        <w:rPr>
          <w:rFonts w:eastAsia="Times New Roman"/>
        </w:rPr>
        <w:instrText xml:space="preserve"> \* MERGEFORMAT </w:instrText>
      </w:r>
      <w:r w:rsidRPr="001B6D09" w:rsidR="00742228">
        <w:rPr>
          <w:rFonts w:eastAsia="Times New Roman"/>
        </w:rPr>
      </w:r>
      <w:r w:rsidRPr="001B6D09" w:rsidR="00742228">
        <w:rPr>
          <w:rFonts w:eastAsia="Times New Roman"/>
        </w:rPr>
        <w:fldChar w:fldCharType="separate"/>
      </w:r>
      <w:r w:rsidRPr="001B6D09" w:rsidR="001B6D09">
        <w:rPr>
          <w:noProof/>
        </w:rPr>
        <w:t>113</w:t>
      </w:r>
      <w:r w:rsidRPr="001B6D09" w:rsidR="00742228">
        <w:rPr>
          <w:rFonts w:eastAsia="Times New Roman"/>
        </w:rPr>
        <w:fldChar w:fldCharType="end"/>
      </w:r>
      <w:r w:rsidRPr="001B6D09" w:rsidR="00742228">
        <w:rPr>
          <w:rFonts w:eastAsia="Times New Roman"/>
        </w:rPr>
        <w:t xml:space="preserve"> </w:t>
      </w:r>
      <w:r w:rsidRPr="001B6D09" w:rsidR="00744930">
        <w:rPr>
          <w:rFonts w:eastAsia="Times New Roman"/>
        </w:rPr>
        <w:t>above).</w:t>
      </w:r>
    </w:p>
    <w:p w:rsidRPr="001B6D09" w:rsidR="00EB6D85" w:rsidP="001B6D09" w:rsidRDefault="004F6C14" w14:paraId="260D7552" w14:textId="61BEB8FF">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122</w:t>
      </w:r>
      <w:r w:rsidRPr="001B6D09">
        <w:rPr>
          <w:noProof/>
        </w:rPr>
        <w:fldChar w:fldCharType="end"/>
      </w:r>
      <w:r w:rsidRPr="001B6D09">
        <w:t xml:space="preserve">.  Finally, turning to the connection in time between the </w:t>
      </w:r>
      <w:r w:rsidRPr="001B6D09" w:rsidR="00561D25">
        <w:t>va</w:t>
      </w:r>
      <w:r w:rsidRPr="001B6D09" w:rsidR="00DF60A0">
        <w:t>r</w:t>
      </w:r>
      <w:r w:rsidRPr="001B6D09" w:rsidR="00561D25">
        <w:t xml:space="preserve">ious </w:t>
      </w:r>
      <w:r w:rsidRPr="001B6D09" w:rsidR="00DF60A0">
        <w:t xml:space="preserve">sets of </w:t>
      </w:r>
      <w:r w:rsidRPr="001B6D09">
        <w:t xml:space="preserve">proceedings, the Court notes that the </w:t>
      </w:r>
      <w:r w:rsidRPr="001B6D09" w:rsidR="00561D25">
        <w:t xml:space="preserve">time element in the </w:t>
      </w:r>
      <w:r w:rsidRPr="001B6D09" w:rsidR="00CD335E">
        <w:t>specific</w:t>
      </w:r>
      <w:r w:rsidRPr="001B6D09" w:rsidR="00561D25">
        <w:t xml:space="preserve"> context of domestic violence </w:t>
      </w:r>
      <w:r w:rsidRPr="001B6D09" w:rsidR="00205056">
        <w:t xml:space="preserve">bearing in mind its </w:t>
      </w:r>
      <w:r w:rsidRPr="001B6D09" w:rsidR="00393D94">
        <w:t xml:space="preserve">specific </w:t>
      </w:r>
      <w:r w:rsidRPr="001B6D09" w:rsidR="00205056">
        <w:t>dynamics (see paragraph</w:t>
      </w:r>
      <w:r w:rsidRPr="001B6D09" w:rsidR="003D2EA8">
        <w:t> </w:t>
      </w:r>
      <w:r w:rsidRPr="001B6D09" w:rsidR="0083499D">
        <w:fldChar w:fldCharType="begin"/>
      </w:r>
      <w:r w:rsidRPr="001B6D09" w:rsidR="0083499D">
        <w:instrText xml:space="preserve"> REF dynamics_DV \h  \* MERGEFORMAT </w:instrText>
      </w:r>
      <w:r w:rsidRPr="001B6D09" w:rsidR="0083499D">
        <w:fldChar w:fldCharType="separate"/>
      </w:r>
      <w:r w:rsidRPr="001B6D09" w:rsidR="001B6D09">
        <w:rPr>
          <w:rFonts w:ascii="Times New Roman" w:hAnsi="Times New Roman" w:eastAsia="Times New Roman" w:cs="Times New Roman"/>
          <w:noProof/>
          <w:lang w:eastAsia="en-GB"/>
        </w:rPr>
        <w:t>116</w:t>
      </w:r>
      <w:r w:rsidRPr="001B6D09" w:rsidR="0083499D">
        <w:fldChar w:fldCharType="end"/>
      </w:r>
      <w:r w:rsidRPr="001B6D09" w:rsidR="0083499D">
        <w:t xml:space="preserve"> </w:t>
      </w:r>
      <w:r w:rsidRPr="001B6D09" w:rsidR="00205056">
        <w:t xml:space="preserve">above) </w:t>
      </w:r>
      <w:r w:rsidRPr="001B6D09" w:rsidR="00561D25">
        <w:t xml:space="preserve">takes on a </w:t>
      </w:r>
      <w:r w:rsidRPr="001B6D09" w:rsidR="00CD335E">
        <w:t>particular</w:t>
      </w:r>
      <w:r w:rsidRPr="001B6D09" w:rsidR="00561D25">
        <w:t xml:space="preserve"> meaning. </w:t>
      </w:r>
      <w:r w:rsidRPr="001B6D09" w:rsidR="00033902">
        <w:t xml:space="preserve">What is important in this context is </w:t>
      </w:r>
      <w:r w:rsidRPr="001B6D09" w:rsidR="00DF60A0">
        <w:t>for</w:t>
      </w:r>
      <w:r w:rsidRPr="001B6D09" w:rsidR="00033902">
        <w:t xml:space="preserve"> the domestic criminal-law system to effectively deal with instances of domestic violence,</w:t>
      </w:r>
      <w:r w:rsidRPr="001B6D09" w:rsidR="00393D94">
        <w:t xml:space="preserve"> individual</w:t>
      </w:r>
      <w:r w:rsidRPr="001B6D09" w:rsidR="00271A3C">
        <w:t>ly</w:t>
      </w:r>
      <w:r w:rsidRPr="001B6D09" w:rsidR="00393D94">
        <w:t xml:space="preserve"> and in their aggregate,</w:t>
      </w:r>
      <w:r w:rsidRPr="001B6D09" w:rsidR="00033902">
        <w:t xml:space="preserve"> by producing adequate deterrent effects capable of ensuring the effective prevention </w:t>
      </w:r>
      <w:r w:rsidRPr="001B6D09" w:rsidR="00700C6F">
        <w:t>of</w:t>
      </w:r>
      <w:r w:rsidRPr="001B6D09" w:rsidR="00033902">
        <w:t xml:space="preserve"> unlawful acts (see</w:t>
      </w:r>
      <w:r w:rsidRPr="001B6D09" w:rsidR="00700C6F">
        <w:t>, for example,</w:t>
      </w:r>
      <w:r w:rsidRPr="001B6D09" w:rsidR="00033902">
        <w:t xml:space="preserve"> </w:t>
      </w:r>
      <w:r w:rsidRPr="001B6D09" w:rsidR="001972E2">
        <w:rPr>
          <w:i/>
          <w:iCs/>
        </w:rPr>
        <w:t>Bălşan v. Romania</w:t>
      </w:r>
      <w:r w:rsidRPr="001B6D09" w:rsidR="001972E2">
        <w:t>, no.</w:t>
      </w:r>
      <w:r w:rsidRPr="001B6D09" w:rsidR="003D2EA8">
        <w:t> </w:t>
      </w:r>
      <w:r w:rsidRPr="001B6D09" w:rsidR="001972E2">
        <w:t>49645/09, §§ 71 and 87, 23 May 2017</w:t>
      </w:r>
      <w:r w:rsidRPr="001B6D09" w:rsidR="003223B3">
        <w:t xml:space="preserve">; see also paragraph </w:t>
      </w:r>
      <w:r w:rsidRPr="001B6D09" w:rsidR="003223B3">
        <w:fldChar w:fldCharType="begin"/>
      </w:r>
      <w:r w:rsidRPr="001B6D09" w:rsidR="003223B3">
        <w:instrText xml:space="preserve"> REF istanbul_convention \h </w:instrText>
      </w:r>
      <w:r w:rsidRPr="001B6D09" w:rsidR="00B809F5">
        <w:instrText xml:space="preserve"> \* MERGEFORMAT </w:instrText>
      </w:r>
      <w:r w:rsidRPr="001B6D09" w:rsidR="003223B3">
        <w:fldChar w:fldCharType="separate"/>
      </w:r>
      <w:r w:rsidRPr="001B6D09" w:rsidR="001B6D09">
        <w:rPr>
          <w:noProof/>
        </w:rPr>
        <w:t>71</w:t>
      </w:r>
      <w:r w:rsidRPr="001B6D09" w:rsidR="003223B3">
        <w:fldChar w:fldCharType="end"/>
      </w:r>
      <w:r w:rsidRPr="001B6D09" w:rsidR="003223B3">
        <w:t xml:space="preserve"> above</w:t>
      </w:r>
      <w:r w:rsidRPr="001B6D09" w:rsidR="00033902">
        <w:t xml:space="preserve">). </w:t>
      </w:r>
      <w:r w:rsidRPr="001B6D09" w:rsidR="001972E2">
        <w:t>In the present case, as already stated, the authorities intervened</w:t>
      </w:r>
      <w:r w:rsidRPr="001B6D09" w:rsidR="005F3CF5">
        <w:t>, when informed,</w:t>
      </w:r>
      <w:r w:rsidRPr="001B6D09" w:rsidR="001972E2">
        <w:t xml:space="preserve"> each time there had been an isolated incident of domestic violence in the family in order to provide immediate relief to its victims (see paragraphs </w:t>
      </w:r>
      <w:r w:rsidRPr="001B6D09" w:rsidR="00271A3C">
        <w:fldChar w:fldCharType="begin"/>
      </w:r>
      <w:r w:rsidRPr="001B6D09" w:rsidR="00271A3C">
        <w:instrText xml:space="preserve"> REF first_minor_offence_judgment \h </w:instrText>
      </w:r>
      <w:r w:rsidRPr="001B6D09" w:rsidR="00961945">
        <w:instrText xml:space="preserve"> \* MERGEFORMAT </w:instrText>
      </w:r>
      <w:r w:rsidRPr="001B6D09" w:rsidR="00271A3C">
        <w:fldChar w:fldCharType="separate"/>
      </w:r>
      <w:r w:rsidRPr="001B6D09" w:rsidR="001B6D09">
        <w:rPr>
          <w:noProof/>
        </w:rPr>
        <w:t>6</w:t>
      </w:r>
      <w:r w:rsidRPr="001B6D09" w:rsidR="00271A3C">
        <w:fldChar w:fldCharType="end"/>
      </w:r>
      <w:r w:rsidRPr="001B6D09" w:rsidR="00271A3C">
        <w:t xml:space="preserve">, </w:t>
      </w:r>
      <w:r w:rsidRPr="001B6D09" w:rsidR="00271A3C">
        <w:fldChar w:fldCharType="begin"/>
      </w:r>
      <w:r w:rsidRPr="001B6D09" w:rsidR="00271A3C">
        <w:instrText xml:space="preserve"> REF second_minor_offence_judgment \h </w:instrText>
      </w:r>
      <w:r w:rsidRPr="001B6D09" w:rsidR="00961945">
        <w:instrText xml:space="preserve"> \* MERGEFORMAT </w:instrText>
      </w:r>
      <w:r w:rsidRPr="001B6D09" w:rsidR="00271A3C">
        <w:fldChar w:fldCharType="separate"/>
      </w:r>
      <w:r w:rsidRPr="001B6D09" w:rsidR="001B6D09">
        <w:rPr>
          <w:noProof/>
        </w:rPr>
        <w:t>7</w:t>
      </w:r>
      <w:r w:rsidRPr="001B6D09" w:rsidR="00271A3C">
        <w:fldChar w:fldCharType="end"/>
      </w:r>
      <w:r w:rsidRPr="001B6D09" w:rsidR="00271A3C">
        <w:t xml:space="preserve">, </w:t>
      </w:r>
      <w:r w:rsidRPr="001B6D09" w:rsidR="00271A3C">
        <w:fldChar w:fldCharType="begin"/>
      </w:r>
      <w:r w:rsidRPr="001B6D09" w:rsidR="00271A3C">
        <w:instrText xml:space="preserve"> REF third_minor_offence_judgment \h </w:instrText>
      </w:r>
      <w:r w:rsidRPr="001B6D09" w:rsidR="00961945">
        <w:instrText xml:space="preserve"> \* MERGEFORMAT </w:instrText>
      </w:r>
      <w:r w:rsidRPr="001B6D09" w:rsidR="00271A3C">
        <w:fldChar w:fldCharType="separate"/>
      </w:r>
      <w:r w:rsidRPr="001B6D09" w:rsidR="001B6D09">
        <w:rPr>
          <w:noProof/>
        </w:rPr>
        <w:t>8</w:t>
      </w:r>
      <w:r w:rsidRPr="001B6D09" w:rsidR="00271A3C">
        <w:fldChar w:fldCharType="end"/>
      </w:r>
      <w:r w:rsidRPr="001B6D09" w:rsidR="00271A3C">
        <w:t xml:space="preserve">, </w:t>
      </w:r>
      <w:r w:rsidRPr="001B6D09" w:rsidR="00271A3C">
        <w:fldChar w:fldCharType="begin"/>
      </w:r>
      <w:r w:rsidRPr="001B6D09" w:rsidR="00271A3C">
        <w:instrText xml:space="preserve"> REF fourth_minor_offence_judgment \h </w:instrText>
      </w:r>
      <w:r w:rsidRPr="001B6D09" w:rsidR="00961945">
        <w:instrText xml:space="preserve"> \* MERGEFORMAT </w:instrText>
      </w:r>
      <w:r w:rsidRPr="001B6D09" w:rsidR="00271A3C">
        <w:fldChar w:fldCharType="separate"/>
      </w:r>
      <w:r w:rsidRPr="001B6D09" w:rsidR="001B6D09">
        <w:rPr>
          <w:noProof/>
        </w:rPr>
        <w:t>9</w:t>
      </w:r>
      <w:r w:rsidRPr="001B6D09" w:rsidR="00271A3C">
        <w:fldChar w:fldCharType="end"/>
      </w:r>
      <w:r w:rsidRPr="001B6D09" w:rsidR="00271A3C">
        <w:t xml:space="preserve"> and </w:t>
      </w:r>
      <w:r w:rsidRPr="001B6D09" w:rsidR="00271A3C">
        <w:fldChar w:fldCharType="begin"/>
      </w:r>
      <w:r w:rsidRPr="001B6D09" w:rsidR="00271A3C">
        <w:instrText xml:space="preserve"> REF fifth_minor_offence_judgment \h </w:instrText>
      </w:r>
      <w:r w:rsidRPr="001B6D09" w:rsidR="00961945">
        <w:instrText xml:space="preserve"> \* MERGEFORMAT </w:instrText>
      </w:r>
      <w:r w:rsidRPr="001B6D09" w:rsidR="00271A3C">
        <w:fldChar w:fldCharType="separate"/>
      </w:r>
      <w:r w:rsidRPr="001B6D09" w:rsidR="001B6D09">
        <w:rPr>
          <w:noProof/>
        </w:rPr>
        <w:t>13</w:t>
      </w:r>
      <w:r w:rsidRPr="001B6D09" w:rsidR="00271A3C">
        <w:fldChar w:fldCharType="end"/>
      </w:r>
      <w:r w:rsidRPr="001B6D09" w:rsidR="00271A3C">
        <w:t xml:space="preserve"> </w:t>
      </w:r>
      <w:r w:rsidRPr="001B6D09" w:rsidR="001972E2">
        <w:t xml:space="preserve">above). After </w:t>
      </w:r>
      <w:r w:rsidRPr="001B6D09" w:rsidR="00D67739">
        <w:t xml:space="preserve">a </w:t>
      </w:r>
      <w:r w:rsidRPr="001B6D09" w:rsidR="00393D94">
        <w:t>number of incidents occurring relatively close together in time</w:t>
      </w:r>
      <w:r w:rsidRPr="001B6D09" w:rsidR="00BC55DF">
        <w:t>, namely</w:t>
      </w:r>
      <w:r w:rsidRPr="001B6D09" w:rsidR="00393D94">
        <w:t xml:space="preserve"> over </w:t>
      </w:r>
      <w:r w:rsidRPr="001B6D09" w:rsidR="00D67739">
        <w:t>a</w:t>
      </w:r>
      <w:r w:rsidRPr="001B6D09" w:rsidR="00393D94">
        <w:t xml:space="preserve"> period of </w:t>
      </w:r>
      <w:r w:rsidRPr="001B6D09" w:rsidR="006B03A2">
        <w:t xml:space="preserve">some </w:t>
      </w:r>
      <w:r w:rsidRPr="001B6D09" w:rsidR="00393D94">
        <w:t>three years</w:t>
      </w:r>
      <w:r w:rsidRPr="001B6D09" w:rsidR="00BC55DF">
        <w:t>,</w:t>
      </w:r>
      <w:r w:rsidRPr="001B6D09" w:rsidR="005F3CF5">
        <w:t xml:space="preserve"> </w:t>
      </w:r>
      <w:r w:rsidRPr="001B6D09" w:rsidR="001972E2">
        <w:t>reached a certain degree of severity and “culminated” (as the domestic criminal court stated</w:t>
      </w:r>
      <w:r w:rsidRPr="001B6D09" w:rsidR="008F0FE3">
        <w:t>;</w:t>
      </w:r>
      <w:r w:rsidRPr="001B6D09" w:rsidR="00271A3C">
        <w:t xml:space="preserve"> see paragraph </w:t>
      </w:r>
      <w:r w:rsidRPr="001B6D09" w:rsidR="00271A3C">
        <w:fldChar w:fldCharType="begin"/>
      </w:r>
      <w:r w:rsidRPr="001B6D09" w:rsidR="00271A3C">
        <w:instrText xml:space="preserve"> REF second_criminal_judgment \h </w:instrText>
      </w:r>
      <w:r w:rsidRPr="001B6D09" w:rsidR="00961945">
        <w:instrText xml:space="preserve"> \* MERGEFORMAT </w:instrText>
      </w:r>
      <w:r w:rsidRPr="001B6D09" w:rsidR="00271A3C">
        <w:fldChar w:fldCharType="separate"/>
      </w:r>
      <w:r w:rsidRPr="001B6D09" w:rsidR="001B6D09">
        <w:rPr>
          <w:noProof/>
        </w:rPr>
        <w:t>33</w:t>
      </w:r>
      <w:r w:rsidRPr="001B6D09" w:rsidR="00271A3C">
        <w:fldChar w:fldCharType="end"/>
      </w:r>
      <w:r w:rsidRPr="001B6D09" w:rsidR="00271A3C">
        <w:t xml:space="preserve"> above</w:t>
      </w:r>
      <w:r w:rsidRPr="001B6D09" w:rsidR="001972E2">
        <w:t>) in the event of 3 November 2008, the authorities initiated</w:t>
      </w:r>
      <w:r w:rsidRPr="001B6D09" w:rsidR="0083499D">
        <w:t xml:space="preserve"> the</w:t>
      </w:r>
      <w:r w:rsidRPr="001B6D09" w:rsidR="001972E2">
        <w:t xml:space="preserve"> </w:t>
      </w:r>
      <w:r w:rsidRPr="001B6D09" w:rsidR="00D67739">
        <w:t>last</w:t>
      </w:r>
      <w:r w:rsidRPr="001B6D09" w:rsidR="00033902">
        <w:t xml:space="preserve"> set of </w:t>
      </w:r>
      <w:r w:rsidRPr="001B6D09" w:rsidR="00051100">
        <w:t>minor-offence</w:t>
      </w:r>
      <w:r w:rsidRPr="001B6D09" w:rsidR="00542CFA">
        <w:t xml:space="preserve"> proceedings</w:t>
      </w:r>
      <w:r w:rsidRPr="001B6D09" w:rsidR="00051100">
        <w:t xml:space="preserve">, </w:t>
      </w:r>
      <w:r w:rsidRPr="001B6D09" w:rsidR="001972E2">
        <w:t>and, about a month thereafter,</w:t>
      </w:r>
      <w:r w:rsidRPr="001B6D09" w:rsidR="00051100">
        <w:t xml:space="preserve"> t</w:t>
      </w:r>
      <w:r w:rsidRPr="001B6D09">
        <w:t>he proceedings on indictment</w:t>
      </w:r>
      <w:r w:rsidRPr="001B6D09" w:rsidR="00393D94">
        <w:t xml:space="preserve"> for the continuous offence of domestic violence under Article 215a of the Criminal Code</w:t>
      </w:r>
      <w:r w:rsidRPr="001B6D09">
        <w:t xml:space="preserve"> </w:t>
      </w:r>
      <w:r w:rsidRPr="001B6D09" w:rsidR="00051100">
        <w:t xml:space="preserve">(see paragraphs </w:t>
      </w:r>
      <w:r w:rsidRPr="001B6D09" w:rsidR="004313D9">
        <w:fldChar w:fldCharType="begin"/>
      </w:r>
      <w:r w:rsidRPr="001B6D09" w:rsidR="004313D9">
        <w:instrText xml:space="preserve"> REF instituted_MO_proc \h </w:instrText>
      </w:r>
      <w:r w:rsidRPr="001B6D09" w:rsidR="00961945">
        <w:instrText xml:space="preserve"> \* MERGEFORMAT </w:instrText>
      </w:r>
      <w:r w:rsidRPr="001B6D09" w:rsidR="004313D9">
        <w:fldChar w:fldCharType="separate"/>
      </w:r>
      <w:r w:rsidRPr="001B6D09" w:rsidR="001B6D09">
        <w:rPr>
          <w:noProof/>
        </w:rPr>
        <w:t>11</w:t>
      </w:r>
      <w:r w:rsidRPr="001B6D09" w:rsidR="004313D9">
        <w:fldChar w:fldCharType="end"/>
      </w:r>
      <w:r w:rsidRPr="001B6D09" w:rsidR="004313D9">
        <w:t xml:space="preserve"> and </w:t>
      </w:r>
      <w:r w:rsidRPr="001B6D09" w:rsidR="004313D9">
        <w:fldChar w:fldCharType="begin"/>
      </w:r>
      <w:r w:rsidRPr="001B6D09" w:rsidR="004313D9">
        <w:instrText xml:space="preserve"> REF instituted_crim_proc \h </w:instrText>
      </w:r>
      <w:r w:rsidRPr="001B6D09" w:rsidR="00961945">
        <w:instrText xml:space="preserve"> \* MERGEFORMAT </w:instrText>
      </w:r>
      <w:r w:rsidRPr="001B6D09" w:rsidR="004313D9">
        <w:fldChar w:fldCharType="separate"/>
      </w:r>
      <w:r w:rsidRPr="001B6D09" w:rsidR="001B6D09">
        <w:rPr>
          <w:noProof/>
        </w:rPr>
        <w:t>17</w:t>
      </w:r>
      <w:r w:rsidRPr="001B6D09" w:rsidR="004313D9">
        <w:fldChar w:fldCharType="end"/>
      </w:r>
      <w:r w:rsidRPr="001B6D09" w:rsidR="00051100">
        <w:t xml:space="preserve"> above</w:t>
      </w:r>
      <w:r w:rsidRPr="001B6D09" w:rsidR="00393D94">
        <w:t xml:space="preserve">, see also </w:t>
      </w:r>
      <w:r w:rsidRPr="001B6D09" w:rsidR="00393D94">
        <w:rPr>
          <w:i/>
          <w:iCs/>
        </w:rPr>
        <w:t>Rohlena</w:t>
      </w:r>
      <w:r w:rsidRPr="001B6D09" w:rsidR="00393D94">
        <w:t>, cited above, §</w:t>
      </w:r>
      <w:r w:rsidRPr="001B6D09" w:rsidR="009E2FFD">
        <w:t>§</w:t>
      </w:r>
      <w:r w:rsidRPr="001B6D09" w:rsidR="00393D94">
        <w:t xml:space="preserve"> </w:t>
      </w:r>
      <w:r w:rsidRPr="001B6D09" w:rsidR="009E2FFD">
        <w:t>20, 33, 61</w:t>
      </w:r>
      <w:r w:rsidRPr="001B6D09" w:rsidR="00D67739">
        <w:t xml:space="preserve"> and</w:t>
      </w:r>
      <w:r w:rsidRPr="001B6D09" w:rsidR="009E2FFD">
        <w:t xml:space="preserve"> 72</w:t>
      </w:r>
      <w:r w:rsidRPr="001B6D09" w:rsidR="00051100">
        <w:t>)</w:t>
      </w:r>
      <w:r w:rsidRPr="001B6D09">
        <w:t xml:space="preserve">. </w:t>
      </w:r>
      <w:r w:rsidRPr="001B6D09" w:rsidR="003223B3">
        <w:t xml:space="preserve">In fact, the criminal investigation started on 3 December 2009, after the Zagreb Minor Offence Court had found the applicant guilty of domestic violence </w:t>
      </w:r>
      <w:r w:rsidRPr="001B6D09" w:rsidR="008F0FE3">
        <w:t xml:space="preserve">in respect of the last incident </w:t>
      </w:r>
      <w:r w:rsidRPr="001B6D09" w:rsidR="003223B3">
        <w:t xml:space="preserve">(see paragraph </w:t>
      </w:r>
      <w:r w:rsidRPr="001B6D09" w:rsidR="003223B3">
        <w:fldChar w:fldCharType="begin"/>
      </w:r>
      <w:r w:rsidRPr="001B6D09" w:rsidR="003223B3">
        <w:instrText xml:space="preserve"> REF fifth_minor_offence_judgment \h </w:instrText>
      </w:r>
      <w:r w:rsidRPr="001B6D09" w:rsidR="00B809F5">
        <w:instrText xml:space="preserve"> \* MERGEFORMAT </w:instrText>
      </w:r>
      <w:r w:rsidRPr="001B6D09" w:rsidR="003223B3">
        <w:fldChar w:fldCharType="separate"/>
      </w:r>
      <w:r w:rsidRPr="001B6D09" w:rsidR="001B6D09">
        <w:rPr>
          <w:noProof/>
        </w:rPr>
        <w:t>13</w:t>
      </w:r>
      <w:r w:rsidRPr="001B6D09" w:rsidR="003223B3">
        <w:fldChar w:fldCharType="end"/>
      </w:r>
      <w:r w:rsidRPr="001B6D09" w:rsidR="003223B3">
        <w:t xml:space="preserve"> above) and he was indicted on 26 January 2009, two days before the judgment in the minor offence proceedings had become final (see paragraphs </w:t>
      </w:r>
      <w:r w:rsidRPr="001B6D09" w:rsidR="003223B3">
        <w:fldChar w:fldCharType="begin"/>
      </w:r>
      <w:r w:rsidRPr="001B6D09" w:rsidR="003223B3">
        <w:instrText xml:space="preserve"> REF instituted_crim_proc \h  \* MERGEFORMAT </w:instrText>
      </w:r>
      <w:r w:rsidRPr="001B6D09" w:rsidR="003223B3">
        <w:fldChar w:fldCharType="separate"/>
      </w:r>
      <w:r w:rsidRPr="001B6D09" w:rsidR="001B6D09">
        <w:rPr>
          <w:noProof/>
        </w:rPr>
        <w:t>17</w:t>
      </w:r>
      <w:r w:rsidRPr="001B6D09" w:rsidR="003223B3">
        <w:fldChar w:fldCharType="end"/>
      </w:r>
      <w:r w:rsidRPr="001B6D09" w:rsidR="003223B3">
        <w:t xml:space="preserve"> and </w:t>
      </w:r>
      <w:r w:rsidRPr="001B6D09" w:rsidR="003223B3">
        <w:fldChar w:fldCharType="begin"/>
      </w:r>
      <w:r w:rsidRPr="001B6D09" w:rsidR="003223B3">
        <w:instrText xml:space="preserve"> REF criminal_indictment \h  \* MERGEFORMAT </w:instrText>
      </w:r>
      <w:r w:rsidRPr="001B6D09" w:rsidR="003223B3">
        <w:fldChar w:fldCharType="separate"/>
      </w:r>
      <w:r w:rsidRPr="001B6D09" w:rsidR="001B6D09">
        <w:rPr>
          <w:noProof/>
        </w:rPr>
        <w:t>23</w:t>
      </w:r>
      <w:r w:rsidRPr="001B6D09" w:rsidR="003223B3">
        <w:fldChar w:fldCharType="end"/>
      </w:r>
      <w:r w:rsidRPr="001B6D09" w:rsidR="003223B3">
        <w:t xml:space="preserve"> above). Any disadvantage that might have ensued for the applicant from conducting these two proceedings in parallel for such a short period of time was thus negligible.</w:t>
      </w:r>
      <w:r w:rsidRPr="001B6D09" w:rsidR="00051100">
        <w:t xml:space="preserve"> </w:t>
      </w:r>
      <w:r w:rsidRPr="001B6D09">
        <w:t>The</w:t>
      </w:r>
      <w:r w:rsidRPr="001B6D09" w:rsidR="00051100">
        <w:t xml:space="preserve"> criminal </w:t>
      </w:r>
      <w:r w:rsidRPr="001B6D09" w:rsidR="00033902">
        <w:t>proceedings</w:t>
      </w:r>
      <w:r w:rsidRPr="001B6D09" w:rsidR="00051100">
        <w:t xml:space="preserve"> </w:t>
      </w:r>
      <w:r w:rsidRPr="001B6D09" w:rsidR="006B03A2">
        <w:t xml:space="preserve">thereafter </w:t>
      </w:r>
      <w:r w:rsidRPr="001B6D09" w:rsidR="00051100">
        <w:t xml:space="preserve">continued </w:t>
      </w:r>
      <w:r w:rsidRPr="001B6D09">
        <w:t xml:space="preserve">for eight months </w:t>
      </w:r>
      <w:r w:rsidRPr="001B6D09" w:rsidR="00051100">
        <w:t>at</w:t>
      </w:r>
      <w:r w:rsidRPr="001B6D09">
        <w:t xml:space="preserve"> first instance and </w:t>
      </w:r>
      <w:r w:rsidRPr="001B6D09" w:rsidR="00051100">
        <w:t>another</w:t>
      </w:r>
      <w:r w:rsidRPr="001B6D09">
        <w:t xml:space="preserve"> two and half years on appeal and before the Constitutional Court. Thus, </w:t>
      </w:r>
      <w:r w:rsidRPr="001B6D09" w:rsidR="00051100">
        <w:t xml:space="preserve">the Court is satisfied that the </w:t>
      </w:r>
      <w:r w:rsidRPr="001B6D09" w:rsidR="001972E2">
        <w:t xml:space="preserve">various </w:t>
      </w:r>
      <w:r w:rsidRPr="001B6D09" w:rsidR="00051100">
        <w:t xml:space="preserve">proceedings were sufficiently connected in time </w:t>
      </w:r>
      <w:r w:rsidRPr="001B6D09" w:rsidR="00D67739">
        <w:t xml:space="preserve">so that the subsequent institution of criminal proceedings could not be seen as abusive </w:t>
      </w:r>
      <w:r w:rsidRPr="001B6D09">
        <w:t>(</w:t>
      </w:r>
      <w:r w:rsidRPr="001B6D09" w:rsidR="003F2A90">
        <w:t xml:space="preserve">see, </w:t>
      </w:r>
      <w:r w:rsidRPr="001B6D09" w:rsidR="003F2A90">
        <w:rPr>
          <w:i/>
        </w:rPr>
        <w:t>mutatis mutandis</w:t>
      </w:r>
      <w:r w:rsidRPr="001B6D09" w:rsidR="003F2A90">
        <w:t xml:space="preserve">, </w:t>
      </w:r>
      <w:r w:rsidRPr="001B6D09" w:rsidR="003F2A90">
        <w:rPr>
          <w:i/>
        </w:rPr>
        <w:t>A and B v. Norway</w:t>
      </w:r>
      <w:r w:rsidRPr="001B6D09" w:rsidR="003F2A90">
        <w:t xml:space="preserve">, cited above, § 151; and </w:t>
      </w:r>
      <w:r w:rsidRPr="001B6D09">
        <w:t xml:space="preserve">contrast </w:t>
      </w:r>
      <w:r w:rsidRPr="001B6D09">
        <w:rPr>
          <w:i/>
        </w:rPr>
        <w:t>Johannesson and Others v. Iceland</w:t>
      </w:r>
      <w:r w:rsidRPr="001B6D09">
        <w:t>, no. 22007/11, § 54, 18 May 2017</w:t>
      </w:r>
      <w:r w:rsidRPr="001B6D09" w:rsidR="003F2A90">
        <w:t xml:space="preserve">; and </w:t>
      </w:r>
      <w:r w:rsidRPr="001B6D09" w:rsidR="003F2A90">
        <w:rPr>
          <w:i/>
        </w:rPr>
        <w:t>Kapetanios</w:t>
      </w:r>
      <w:r w:rsidRPr="001B6D09" w:rsidR="003F2A90">
        <w:t xml:space="preserve">, cited above, </w:t>
      </w:r>
      <w:r w:rsidRPr="001B6D09" w:rsidR="003F2A90">
        <w:rPr>
          <w:rFonts w:cstheme="minorHAnsi"/>
        </w:rPr>
        <w:t>§</w:t>
      </w:r>
      <w:r w:rsidRPr="001B6D09" w:rsidR="003F2A90">
        <w:t xml:space="preserve"> 67</w:t>
      </w:r>
      <w:r w:rsidRPr="001B6D09" w:rsidR="00D67739">
        <w:t>)</w:t>
      </w:r>
      <w:r w:rsidRPr="001B6D09" w:rsidR="00D8590D">
        <w:t>.</w:t>
      </w:r>
    </w:p>
    <w:p w:rsidRPr="001B6D09" w:rsidR="00A460B6" w:rsidP="001B6D09" w:rsidRDefault="00A460B6" w14:paraId="1A75907A" w14:textId="06B44779">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123</w:t>
      </w:r>
      <w:r w:rsidRPr="001B6D09">
        <w:fldChar w:fldCharType="end"/>
      </w:r>
      <w:r w:rsidRPr="001B6D09">
        <w:t>.  </w:t>
      </w:r>
      <w:r w:rsidRPr="001B6D09" w:rsidR="009F50C1">
        <w:rPr>
          <w:rFonts w:eastAsia="Times New Roman"/>
        </w:rPr>
        <w:t>In conclusion, in the Court</w:t>
      </w:r>
      <w:r w:rsidRPr="001B6D09" w:rsidR="001B6D09">
        <w:rPr>
          <w:rFonts w:eastAsia="Times New Roman"/>
        </w:rPr>
        <w:t>’</w:t>
      </w:r>
      <w:r w:rsidRPr="001B6D09" w:rsidR="009F50C1">
        <w:rPr>
          <w:rFonts w:eastAsia="Times New Roman"/>
        </w:rPr>
        <w:t xml:space="preserve">s opinion, the aims of punishment, whereby different aspects of the same conduct are addressed, ought to be considered as a whole and have in the present case been realised through two foreseeable complementary </w:t>
      </w:r>
      <w:r w:rsidRPr="001B6D09" w:rsidR="00CE2175">
        <w:rPr>
          <w:rFonts w:eastAsia="Times New Roman"/>
        </w:rPr>
        <w:t xml:space="preserve">types </w:t>
      </w:r>
      <w:r w:rsidRPr="001B6D09" w:rsidR="009F50C1">
        <w:rPr>
          <w:rFonts w:eastAsia="Times New Roman"/>
        </w:rPr>
        <w:t>of proceedings, which were sufficiently connected in substance and in time, as required by the Court</w:t>
      </w:r>
      <w:r w:rsidRPr="001B6D09" w:rsidR="001B6D09">
        <w:rPr>
          <w:rFonts w:eastAsia="Times New Roman"/>
        </w:rPr>
        <w:t>’</w:t>
      </w:r>
      <w:r w:rsidRPr="001B6D09" w:rsidR="009F50C1">
        <w:rPr>
          <w:rFonts w:eastAsia="Times New Roman"/>
        </w:rPr>
        <w:t xml:space="preserve">s case-law, to be considered to form part of an integral scheme of sanctions under Croatian law for </w:t>
      </w:r>
      <w:r w:rsidRPr="001B6D09" w:rsidR="006F293A">
        <w:rPr>
          <w:rFonts w:eastAsia="Times New Roman"/>
        </w:rPr>
        <w:t xml:space="preserve">offences of </w:t>
      </w:r>
      <w:r w:rsidRPr="001B6D09" w:rsidR="00BC55DF">
        <w:rPr>
          <w:rFonts w:eastAsia="Times New Roman"/>
        </w:rPr>
        <w:t xml:space="preserve">domestic </w:t>
      </w:r>
      <w:r w:rsidRPr="001B6D09" w:rsidR="00893190">
        <w:rPr>
          <w:rStyle w:val="ECHRParaChar"/>
        </w:rPr>
        <w:t>violen</w:t>
      </w:r>
      <w:r w:rsidRPr="001B6D09" w:rsidR="00BC55DF">
        <w:rPr>
          <w:rStyle w:val="ECHRParaChar"/>
        </w:rPr>
        <w:t>ce</w:t>
      </w:r>
      <w:r w:rsidRPr="001B6D09" w:rsidR="009F50C1">
        <w:rPr>
          <w:rFonts w:eastAsia="Times New Roman"/>
        </w:rPr>
        <w:t>. There was an adequate level of interaction between the courts in th</w:t>
      </w:r>
      <w:r w:rsidRPr="001B6D09" w:rsidR="00271A3C">
        <w:rPr>
          <w:rFonts w:eastAsia="Times New Roman"/>
        </w:rPr>
        <w:t>o</w:t>
      </w:r>
      <w:r w:rsidRPr="001B6D09" w:rsidR="009F50C1">
        <w:rPr>
          <w:rFonts w:eastAsia="Times New Roman"/>
        </w:rPr>
        <w:t xml:space="preserve">se proceedings, </w:t>
      </w:r>
      <w:r w:rsidRPr="001B6D09" w:rsidR="009F50C1">
        <w:rPr>
          <w:rFonts w:ascii="Times" w:hAnsi="Times" w:eastAsia="Times New Roman" w:cs="Times"/>
          <w:bCs/>
        </w:rPr>
        <w:t>and the punishments</w:t>
      </w:r>
      <w:r w:rsidRPr="001B6D09" w:rsidR="009F50C1">
        <w:rPr>
          <w:rFonts w:ascii="Times" w:hAnsi="Times" w:eastAsia="Times New Roman" w:cs="Times"/>
          <w:b/>
          <w:bCs/>
        </w:rPr>
        <w:t xml:space="preserve"> </w:t>
      </w:r>
      <w:r w:rsidRPr="001B6D09" w:rsidR="009F50C1">
        <w:rPr>
          <w:rFonts w:ascii="Times" w:hAnsi="Times" w:eastAsia="Times New Roman" w:cs="Times"/>
          <w:bCs/>
        </w:rPr>
        <w:t xml:space="preserve">imposed, taken together, did not make the applicant bear an excessive burden, but were </w:t>
      </w:r>
      <w:r w:rsidRPr="001B6D09" w:rsidR="00FC623D">
        <w:rPr>
          <w:rFonts w:ascii="Times" w:hAnsi="Times" w:eastAsia="Times New Roman" w:cs="Times"/>
          <w:bCs/>
        </w:rPr>
        <w:t>proportionate</w:t>
      </w:r>
      <w:r w:rsidRPr="001B6D09" w:rsidR="009F50C1">
        <w:rPr>
          <w:rFonts w:ascii="Times" w:hAnsi="Times" w:eastAsia="Times New Roman" w:cs="Times"/>
          <w:bCs/>
        </w:rPr>
        <w:t xml:space="preserve"> to the seriousness of the offence</w:t>
      </w:r>
      <w:r w:rsidRPr="001B6D09" w:rsidR="009F50C1">
        <w:rPr>
          <w:rFonts w:eastAsia="Times New Roman"/>
        </w:rPr>
        <w:t xml:space="preserve">. In </w:t>
      </w:r>
      <w:r w:rsidRPr="001B6D09" w:rsidR="008F0FE3">
        <w:rPr>
          <w:rFonts w:eastAsia="Times New Roman"/>
        </w:rPr>
        <w:t>view</w:t>
      </w:r>
      <w:r w:rsidRPr="001B6D09" w:rsidR="009F50C1">
        <w:rPr>
          <w:rFonts w:eastAsia="Times New Roman"/>
        </w:rPr>
        <w:t xml:space="preserve"> of the foregoing, the Court finds no abuse of the State</w:t>
      </w:r>
      <w:r w:rsidRPr="001B6D09" w:rsidR="001B6D09">
        <w:rPr>
          <w:rFonts w:eastAsia="Times New Roman"/>
        </w:rPr>
        <w:t>’</w:t>
      </w:r>
      <w:r w:rsidRPr="001B6D09" w:rsidR="009F50C1">
        <w:rPr>
          <w:rFonts w:eastAsia="Times New Roman"/>
        </w:rPr>
        <w:t>s right to impose a punishment (</w:t>
      </w:r>
      <w:r w:rsidRPr="001B6D09" w:rsidR="009F50C1">
        <w:rPr>
          <w:rFonts w:eastAsia="Times New Roman"/>
          <w:i/>
          <w:iCs/>
        </w:rPr>
        <w:t>jus puniendi</w:t>
      </w:r>
      <w:r w:rsidRPr="001B6D09" w:rsidR="009F50C1">
        <w:rPr>
          <w:rFonts w:eastAsia="Times New Roman"/>
        </w:rPr>
        <w:t>), nor can it conclude that the applicant suffered any disproportionate prejudice resulting from the duplication of proceedings and penalties</w:t>
      </w:r>
      <w:r w:rsidRPr="001B6D09" w:rsidR="0037037F">
        <w:rPr>
          <w:rFonts w:eastAsia="Times New Roman"/>
        </w:rPr>
        <w:t xml:space="preserve"> when </w:t>
      </w:r>
      <w:r w:rsidRPr="001B6D09" w:rsidR="00B44A04">
        <w:rPr>
          <w:rFonts w:eastAsia="Times New Roman"/>
        </w:rPr>
        <w:t xml:space="preserve">criminal proceedings for a continuous offence of domestic violence were conducted following </w:t>
      </w:r>
      <w:r w:rsidRPr="001B6D09" w:rsidR="00271A3C">
        <w:rPr>
          <w:rFonts w:eastAsia="Times New Roman"/>
        </w:rPr>
        <w:t>five</w:t>
      </w:r>
      <w:r w:rsidRPr="001B6D09" w:rsidR="00B44A04">
        <w:rPr>
          <w:rFonts w:eastAsia="Times New Roman"/>
        </w:rPr>
        <w:t xml:space="preserve"> </w:t>
      </w:r>
      <w:r w:rsidRPr="001B6D09" w:rsidR="00CE2175">
        <w:rPr>
          <w:rFonts w:eastAsia="Times New Roman"/>
        </w:rPr>
        <w:t xml:space="preserve">previous </w:t>
      </w:r>
      <w:r w:rsidRPr="001B6D09" w:rsidR="00B44A04">
        <w:rPr>
          <w:rFonts w:eastAsia="Times New Roman"/>
        </w:rPr>
        <w:t>conviction</w:t>
      </w:r>
      <w:r w:rsidRPr="001B6D09" w:rsidR="00CE2175">
        <w:rPr>
          <w:rFonts w:eastAsia="Times New Roman"/>
        </w:rPr>
        <w:t>s</w:t>
      </w:r>
      <w:r w:rsidRPr="001B6D09" w:rsidR="00B44A04">
        <w:rPr>
          <w:rFonts w:eastAsia="Times New Roman"/>
        </w:rPr>
        <w:t xml:space="preserve"> in </w:t>
      </w:r>
      <w:r w:rsidRPr="001B6D09" w:rsidR="008F0FE3">
        <w:rPr>
          <w:rFonts w:eastAsia="Times New Roman"/>
        </w:rPr>
        <w:t xml:space="preserve">the </w:t>
      </w:r>
      <w:r w:rsidRPr="001B6D09" w:rsidR="00B44A04">
        <w:rPr>
          <w:rFonts w:eastAsia="Times New Roman"/>
        </w:rPr>
        <w:t>minor</w:t>
      </w:r>
      <w:r w:rsidRPr="001B6D09" w:rsidR="00CE2175">
        <w:rPr>
          <w:rFonts w:eastAsia="Times New Roman"/>
        </w:rPr>
        <w:t>-</w:t>
      </w:r>
      <w:r w:rsidRPr="001B6D09" w:rsidR="00B44A04">
        <w:rPr>
          <w:rFonts w:eastAsia="Times New Roman"/>
        </w:rPr>
        <w:t>offence proceedings for individual acts which form</w:t>
      </w:r>
      <w:r w:rsidRPr="001B6D09" w:rsidR="00CE2175">
        <w:rPr>
          <w:rFonts w:eastAsia="Times New Roman"/>
        </w:rPr>
        <w:t>ed an</w:t>
      </w:r>
      <w:r w:rsidRPr="001B6D09" w:rsidR="00B44A04">
        <w:rPr>
          <w:rFonts w:eastAsia="Times New Roman"/>
        </w:rPr>
        <w:t xml:space="preserve"> integral part of the pattern of </w:t>
      </w:r>
      <w:r w:rsidRPr="001B6D09" w:rsidR="00271A3C">
        <w:rPr>
          <w:rFonts w:eastAsia="Times New Roman"/>
        </w:rPr>
        <w:t>the applicant</w:t>
      </w:r>
      <w:r w:rsidRPr="001B6D09" w:rsidR="001B6D09">
        <w:rPr>
          <w:rFonts w:eastAsia="Times New Roman"/>
        </w:rPr>
        <w:t>’</w:t>
      </w:r>
      <w:r w:rsidRPr="001B6D09" w:rsidR="00271A3C">
        <w:rPr>
          <w:rFonts w:eastAsia="Times New Roman"/>
        </w:rPr>
        <w:t xml:space="preserve">s </w:t>
      </w:r>
      <w:r w:rsidRPr="001B6D09" w:rsidR="00B44A04">
        <w:rPr>
          <w:rFonts w:eastAsia="Times New Roman"/>
        </w:rPr>
        <w:t>behaviour</w:t>
      </w:r>
      <w:r w:rsidRPr="001B6D09" w:rsidR="00F25A43">
        <w:rPr>
          <w:rFonts w:eastAsia="Times New Roman"/>
        </w:rPr>
        <w:t xml:space="preserve"> </w:t>
      </w:r>
      <w:r w:rsidRPr="001B6D09" w:rsidR="00F25A43">
        <w:t xml:space="preserve">(see, </w:t>
      </w:r>
      <w:r w:rsidRPr="001B6D09" w:rsidR="00F25A43">
        <w:rPr>
          <w:i/>
        </w:rPr>
        <w:t>a contrario</w:t>
      </w:r>
      <w:r w:rsidRPr="001B6D09" w:rsidR="00F25A43">
        <w:t xml:space="preserve">, </w:t>
      </w:r>
      <w:r w:rsidRPr="001B6D09" w:rsidR="00F25A43">
        <w:rPr>
          <w:i/>
        </w:rPr>
        <w:t>Kapetanios and Others</w:t>
      </w:r>
      <w:r w:rsidRPr="001B6D09" w:rsidR="00F25A43">
        <w:t xml:space="preserve">, </w:t>
      </w:r>
      <w:r w:rsidRPr="001B6D09" w:rsidR="00271A3C">
        <w:t>cited above</w:t>
      </w:r>
      <w:r w:rsidRPr="001B6D09" w:rsidR="00F25A43">
        <w:t>, §§ 65-74</w:t>
      </w:r>
      <w:r w:rsidRPr="001B6D09" w:rsidR="00C434A0">
        <w:t xml:space="preserve">; see also </w:t>
      </w:r>
      <w:r w:rsidRPr="001B6D09" w:rsidR="00271A3C">
        <w:t xml:space="preserve">the </w:t>
      </w:r>
      <w:r w:rsidRPr="001B6D09" w:rsidR="00C434A0">
        <w:t xml:space="preserve">relevant CJEU case-law cited in paragraph </w:t>
      </w:r>
      <w:r w:rsidRPr="001B6D09" w:rsidR="00527DA1">
        <w:fldChar w:fldCharType="begin"/>
      </w:r>
      <w:r w:rsidRPr="001B6D09" w:rsidR="00527DA1">
        <w:instrText xml:space="preserve"> REF CJEU \h  \* MERGEFORMAT </w:instrText>
      </w:r>
      <w:r w:rsidRPr="001B6D09" w:rsidR="00527DA1">
        <w:fldChar w:fldCharType="separate"/>
      </w:r>
      <w:r w:rsidRPr="001B6D09" w:rsidR="001B6D09">
        <w:t>70</w:t>
      </w:r>
      <w:r w:rsidRPr="001B6D09" w:rsidR="00527DA1">
        <w:fldChar w:fldCharType="end"/>
      </w:r>
      <w:r w:rsidRPr="001B6D09" w:rsidR="00527DA1">
        <w:t xml:space="preserve"> </w:t>
      </w:r>
      <w:r w:rsidRPr="001B6D09" w:rsidR="00C434A0">
        <w:t>above</w:t>
      </w:r>
      <w:r w:rsidRPr="001B6D09" w:rsidR="00F25A43">
        <w:t>)</w:t>
      </w:r>
      <w:r w:rsidRPr="001B6D09" w:rsidR="009F50C1">
        <w:rPr>
          <w:rFonts w:eastAsia="Times New Roman"/>
        </w:rPr>
        <w:t>. Rather, those proceedings and penalties formed a coherent and proportionate whole</w:t>
      </w:r>
      <w:r w:rsidRPr="001B6D09" w:rsidR="00271A3C">
        <w:rPr>
          <w:rFonts w:eastAsia="Times New Roman"/>
        </w:rPr>
        <w:t>,</w:t>
      </w:r>
      <w:r w:rsidRPr="001B6D09" w:rsidR="009F50C1">
        <w:rPr>
          <w:rFonts w:eastAsia="Times New Roman"/>
        </w:rPr>
        <w:t xml:space="preserve"> </w:t>
      </w:r>
      <w:r w:rsidRPr="001B6D09" w:rsidR="00B44A04">
        <w:rPr>
          <w:rFonts w:eastAsia="Times New Roman"/>
        </w:rPr>
        <w:t xml:space="preserve">which enabled punishing both the individual acts committed </w:t>
      </w:r>
      <w:r w:rsidRPr="001B6D09" w:rsidR="00C434A0">
        <w:rPr>
          <w:rFonts w:eastAsia="Times New Roman"/>
        </w:rPr>
        <w:t xml:space="preserve">by the applicant </w:t>
      </w:r>
      <w:r w:rsidRPr="001B6D09" w:rsidR="00B44A04">
        <w:rPr>
          <w:rFonts w:eastAsia="Times New Roman"/>
        </w:rPr>
        <w:t xml:space="preserve">and </w:t>
      </w:r>
      <w:r w:rsidRPr="001B6D09" w:rsidR="00C434A0">
        <w:rPr>
          <w:rFonts w:eastAsia="Times New Roman"/>
        </w:rPr>
        <w:t>his</w:t>
      </w:r>
      <w:r w:rsidRPr="001B6D09" w:rsidR="00B44A04">
        <w:rPr>
          <w:rFonts w:eastAsia="Times New Roman"/>
        </w:rPr>
        <w:t xml:space="preserve"> pattern of behaviour in an effective, proportionate and dissuasive manner </w:t>
      </w:r>
      <w:r w:rsidRPr="001B6D09" w:rsidR="009F50C1">
        <w:rPr>
          <w:rFonts w:eastAsia="Times New Roman"/>
        </w:rPr>
        <w:t xml:space="preserve">(see, </w:t>
      </w:r>
      <w:r w:rsidRPr="001B6D09" w:rsidR="009F50C1">
        <w:rPr>
          <w:rFonts w:eastAsia="Times New Roman"/>
          <w:i/>
        </w:rPr>
        <w:t>mutatis mutandis</w:t>
      </w:r>
      <w:r w:rsidRPr="001B6D09" w:rsidR="009F50C1">
        <w:rPr>
          <w:rFonts w:eastAsia="Times New Roman"/>
        </w:rPr>
        <w:t xml:space="preserve">, </w:t>
      </w:r>
      <w:r w:rsidRPr="001B6D09" w:rsidR="009F50C1">
        <w:rPr>
          <w:rFonts w:eastAsia="Times New Roman"/>
          <w:i/>
        </w:rPr>
        <w:t>A and B v. Norway</w:t>
      </w:r>
      <w:r w:rsidRPr="001B6D09" w:rsidR="009F50C1">
        <w:rPr>
          <w:rFonts w:eastAsia="Times New Roman"/>
        </w:rPr>
        <w:t xml:space="preserve">, cited above, </w:t>
      </w:r>
      <w:r w:rsidRPr="001B6D09" w:rsidR="009F50C1">
        <w:rPr>
          <w:rFonts w:eastAsia="Times New Roman" w:cstheme="minorHAnsi"/>
        </w:rPr>
        <w:t>§§</w:t>
      </w:r>
      <w:r w:rsidRPr="001B6D09" w:rsidR="009F50C1">
        <w:rPr>
          <w:rFonts w:eastAsia="Times New Roman"/>
        </w:rPr>
        <w:t> 112, 130 and 147</w:t>
      </w:r>
      <w:r w:rsidRPr="001B6D09" w:rsidR="00DF60A0">
        <w:rPr>
          <w:rFonts w:eastAsia="Times New Roman"/>
        </w:rPr>
        <w:t xml:space="preserve">; and </w:t>
      </w:r>
      <w:r w:rsidRPr="001B6D09" w:rsidR="001B5B2C">
        <w:rPr>
          <w:i/>
        </w:rPr>
        <w:t>Baj</w:t>
      </w:r>
      <w:r w:rsidRPr="001B6D09" w:rsidR="001B5B2C">
        <w:rPr>
          <w:rFonts w:cstheme="minorHAnsi"/>
          <w:i/>
        </w:rPr>
        <w:t>č</w:t>
      </w:r>
      <w:r w:rsidRPr="001B6D09" w:rsidR="001B5B2C">
        <w:rPr>
          <w:i/>
        </w:rPr>
        <w:t>ić</w:t>
      </w:r>
      <w:r w:rsidRPr="001B6D09" w:rsidR="001B5B2C">
        <w:t xml:space="preserve">, </w:t>
      </w:r>
      <w:r w:rsidRPr="001B6D09" w:rsidR="00C434A0">
        <w:t>cited above</w:t>
      </w:r>
      <w:r w:rsidRPr="001B6D09" w:rsidR="001B5B2C">
        <w:t xml:space="preserve">, § </w:t>
      </w:r>
      <w:r w:rsidRPr="001B6D09" w:rsidR="00C434A0">
        <w:t>46</w:t>
      </w:r>
      <w:r w:rsidRPr="001B6D09" w:rsidR="009F50C1">
        <w:rPr>
          <w:rFonts w:eastAsia="Times New Roman"/>
        </w:rPr>
        <w:t>)</w:t>
      </w:r>
      <w:r w:rsidRPr="001B6D09" w:rsidR="00C434A0">
        <w:rPr>
          <w:rFonts w:eastAsia="Times New Roman"/>
        </w:rPr>
        <w:t>.</w:t>
      </w:r>
    </w:p>
    <w:p w:rsidRPr="001B6D09" w:rsidR="009E6070" w:rsidP="001B6D09" w:rsidRDefault="00A460B6" w14:paraId="49F74EE3" w14:textId="2A0CCF0D">
      <w:pPr>
        <w:pStyle w:val="JuPara"/>
        <w:jc w:val="both"/>
        <w:rPr>
          <w:rFonts w:eastAsiaTheme="majorEastAsia"/>
        </w:rPr>
      </w:pPr>
      <w:r w:rsidRPr="001B6D09">
        <w:rPr>
          <w:rFonts w:eastAsiaTheme="majorEastAsia"/>
        </w:rPr>
        <w:fldChar w:fldCharType="begin"/>
      </w:r>
      <w:r w:rsidRPr="001B6D09">
        <w:rPr>
          <w:rFonts w:eastAsiaTheme="majorEastAsia"/>
        </w:rPr>
        <w:instrText xml:space="preserve"> SEQ level0 \*arabic </w:instrText>
      </w:r>
      <w:r w:rsidRPr="001B6D09">
        <w:rPr>
          <w:rFonts w:eastAsiaTheme="majorEastAsia"/>
        </w:rPr>
        <w:fldChar w:fldCharType="separate"/>
      </w:r>
      <w:r w:rsidRPr="001B6D09" w:rsidR="001B6D09">
        <w:rPr>
          <w:rFonts w:eastAsiaTheme="majorEastAsia"/>
          <w:noProof/>
        </w:rPr>
        <w:t>124</w:t>
      </w:r>
      <w:r w:rsidRPr="001B6D09">
        <w:rPr>
          <w:rFonts w:eastAsiaTheme="majorEastAsia"/>
        </w:rPr>
        <w:fldChar w:fldCharType="end"/>
      </w:r>
      <w:r w:rsidRPr="001B6D09">
        <w:rPr>
          <w:rFonts w:eastAsiaTheme="majorEastAsia"/>
        </w:rPr>
        <w:t>.  </w:t>
      </w:r>
      <w:r w:rsidRPr="001B6D09" w:rsidR="009F50C1">
        <w:rPr>
          <w:rFonts w:eastAsiaTheme="majorEastAsia"/>
        </w:rPr>
        <w:t>It follows</w:t>
      </w:r>
      <w:r w:rsidRPr="001B6D09">
        <w:rPr>
          <w:rFonts w:eastAsiaTheme="majorEastAsia"/>
        </w:rPr>
        <w:t xml:space="preserve"> that there has been no violation of Article 4 of Protocol</w:t>
      </w:r>
      <w:r w:rsidRPr="001B6D09" w:rsidR="00B809F5">
        <w:rPr>
          <w:rFonts w:eastAsiaTheme="majorEastAsia"/>
        </w:rPr>
        <w:t> </w:t>
      </w:r>
      <w:r w:rsidRPr="001B6D09">
        <w:rPr>
          <w:rFonts w:eastAsiaTheme="majorEastAsia"/>
        </w:rPr>
        <w:t>No. 7 to the Convention.</w:t>
      </w:r>
    </w:p>
    <w:p w:rsidRPr="001B6D09" w:rsidR="00D420F3" w:rsidP="001B6D09" w:rsidRDefault="0077175D" w14:paraId="0FBA0961" w14:textId="3436F162">
      <w:pPr>
        <w:pStyle w:val="JuHIRoman"/>
        <w:keepNext w:val="0"/>
        <w:keepLines w:val="0"/>
      </w:pPr>
      <w:r w:rsidRPr="001B6D09">
        <w:t>APPLICATION OF ARTICLE 41 OF THE CONVENTION</w:t>
      </w:r>
    </w:p>
    <w:p w:rsidRPr="001B6D09" w:rsidR="00D420F3" w:rsidP="001B6D09" w:rsidRDefault="006374CD" w14:paraId="6F06939F" w14:textId="7CC22EE2">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125</w:t>
      </w:r>
      <w:r w:rsidRPr="001B6D09">
        <w:fldChar w:fldCharType="end"/>
      </w:r>
      <w:r w:rsidRPr="001B6D09" w:rsidR="0077175D">
        <w:t>.  Article 41 of the Convention provides:</w:t>
      </w:r>
    </w:p>
    <w:p w:rsidRPr="001B6D09" w:rsidR="00D420F3" w:rsidP="001B6D09" w:rsidRDefault="0077175D" w14:paraId="6A5A1C3E" w14:textId="77777777">
      <w:pPr>
        <w:pStyle w:val="JuQuot"/>
        <w:jc w:val="both"/>
      </w:pPr>
      <w:r w:rsidRPr="001B6D0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1B6D09" w:rsidR="00D420F3" w:rsidP="001B6D09" w:rsidRDefault="0077175D" w14:paraId="1DFA5C81" w14:textId="52836681">
      <w:pPr>
        <w:pStyle w:val="JuHA"/>
      </w:pPr>
      <w:r w:rsidRPr="001B6D09">
        <w:t>Damage</w:t>
      </w:r>
    </w:p>
    <w:p w:rsidRPr="001B6D09" w:rsidR="00D420F3" w:rsidP="001B6D09" w:rsidRDefault="006374CD" w14:paraId="28BB7C82" w14:textId="4A5C3777">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126</w:t>
      </w:r>
      <w:r w:rsidRPr="001B6D09">
        <w:fldChar w:fldCharType="end"/>
      </w:r>
      <w:r w:rsidRPr="001B6D09" w:rsidR="0077175D">
        <w:t xml:space="preserve">.  The </w:t>
      </w:r>
      <w:r w:rsidRPr="001B6D09" w:rsidR="00E63136">
        <w:t>claimed</w:t>
      </w:r>
      <w:r w:rsidRPr="001B6D09" w:rsidR="0077175D">
        <w:t xml:space="preserve"> </w:t>
      </w:r>
      <w:r w:rsidRPr="001B6D09" w:rsidR="005232D7">
        <w:t>856</w:t>
      </w:r>
      <w:r w:rsidRPr="001B6D09" w:rsidR="00B05F85">
        <w:t xml:space="preserve">,000 </w:t>
      </w:r>
      <w:r w:rsidRPr="001B6D09" w:rsidR="00321391">
        <w:t>Croatian kunas (HRK</w:t>
      </w:r>
      <w:r w:rsidRPr="001B6D09" w:rsidR="00E63136">
        <w:t xml:space="preserve">; approximately </w:t>
      </w:r>
      <w:r w:rsidRPr="001B6D09" w:rsidR="005232D7">
        <w:t>114</w:t>
      </w:r>
      <w:r w:rsidRPr="001B6D09" w:rsidR="00E63136">
        <w:t>,</w:t>
      </w:r>
      <w:r w:rsidRPr="001B6D09" w:rsidR="005232D7">
        <w:t>1</w:t>
      </w:r>
      <w:r w:rsidRPr="001B6D09" w:rsidR="00E63136">
        <w:t>30 euros (EUR)</w:t>
      </w:r>
      <w:r w:rsidRPr="001B6D09" w:rsidR="00321391">
        <w:t xml:space="preserve">) </w:t>
      </w:r>
      <w:r w:rsidRPr="001B6D09" w:rsidR="0077175D">
        <w:t xml:space="preserve">in respect of pecuniary </w:t>
      </w:r>
      <w:r w:rsidRPr="001B6D09" w:rsidR="00B05F85">
        <w:t>damage on account of his los</w:t>
      </w:r>
      <w:r w:rsidRPr="001B6D09" w:rsidR="00FD12C1">
        <w:t>s of</w:t>
      </w:r>
      <w:r w:rsidRPr="001B6D09" w:rsidR="00B05F85">
        <w:t xml:space="preserve"> salar</w:t>
      </w:r>
      <w:r w:rsidRPr="001B6D09" w:rsidR="00FD12C1">
        <w:t>y</w:t>
      </w:r>
      <w:r w:rsidRPr="001B6D09" w:rsidR="00B05F85">
        <w:t xml:space="preserve"> </w:t>
      </w:r>
      <w:r w:rsidRPr="001B6D09" w:rsidR="00FD12C1">
        <w:t xml:space="preserve">during </w:t>
      </w:r>
      <w:r w:rsidRPr="001B6D09" w:rsidR="00B05F85">
        <w:t xml:space="preserve">the period </w:t>
      </w:r>
      <w:r w:rsidRPr="001B6D09" w:rsidR="00FD12C1">
        <w:t xml:space="preserve">when </w:t>
      </w:r>
      <w:r w:rsidRPr="001B6D09" w:rsidR="00B05F85">
        <w:t>he had been detained and serv</w:t>
      </w:r>
      <w:r w:rsidRPr="001B6D09" w:rsidR="00FD12C1">
        <w:t>ing</w:t>
      </w:r>
      <w:r w:rsidRPr="001B6D09" w:rsidR="00B05F85">
        <w:t xml:space="preserve"> his prison term</w:t>
      </w:r>
      <w:r w:rsidRPr="001B6D09" w:rsidR="005232D7">
        <w:t>, loss of profit and not maintaining his house</w:t>
      </w:r>
      <w:r w:rsidRPr="001B6D09" w:rsidR="00B05F85">
        <w:t>. He also claimed</w:t>
      </w:r>
      <w:r w:rsidRPr="001B6D09" w:rsidR="0077175D">
        <w:t xml:space="preserve"> </w:t>
      </w:r>
      <w:r w:rsidRPr="001B6D09" w:rsidR="00FD12C1">
        <w:t xml:space="preserve">compensation for </w:t>
      </w:r>
      <w:r w:rsidRPr="001B6D09" w:rsidR="0077175D">
        <w:t>non-pecuniary damage</w:t>
      </w:r>
      <w:r w:rsidRPr="001B6D09" w:rsidR="00B05F85">
        <w:t xml:space="preserve"> in the amount of HRK 700,000</w:t>
      </w:r>
      <w:r w:rsidRPr="001B6D09" w:rsidR="00E63136">
        <w:t xml:space="preserve"> (approximately EUR 9</w:t>
      </w:r>
      <w:r w:rsidRPr="001B6D09" w:rsidR="005232D7">
        <w:t>3</w:t>
      </w:r>
      <w:r w:rsidRPr="001B6D09" w:rsidR="00E63136">
        <w:t>,</w:t>
      </w:r>
      <w:r w:rsidRPr="001B6D09" w:rsidR="005232D7">
        <w:t>3</w:t>
      </w:r>
      <w:r w:rsidRPr="001B6D09" w:rsidR="00E63136">
        <w:t>00)</w:t>
      </w:r>
      <w:r w:rsidRPr="001B6D09" w:rsidR="0077175D">
        <w:t>.</w:t>
      </w:r>
    </w:p>
    <w:p w:rsidRPr="001B6D09" w:rsidR="00D420F3" w:rsidP="001B6D09" w:rsidRDefault="006374CD" w14:paraId="3BA4512E" w14:textId="3A1EF64E">
      <w:pPr>
        <w:pStyle w:val="JuPara"/>
        <w:tabs>
          <w:tab w:val="right" w:pos="7358"/>
        </w:tabs>
        <w:jc w:val="both"/>
      </w:pPr>
      <w:r w:rsidRPr="001B6D09">
        <w:fldChar w:fldCharType="begin"/>
      </w:r>
      <w:r w:rsidRPr="001B6D09">
        <w:instrText xml:space="preserve"> SEQ level0 \*arabic </w:instrText>
      </w:r>
      <w:r w:rsidRPr="001B6D09">
        <w:fldChar w:fldCharType="separate"/>
      </w:r>
      <w:r w:rsidRPr="001B6D09" w:rsidR="001B6D09">
        <w:rPr>
          <w:noProof/>
        </w:rPr>
        <w:t>127</w:t>
      </w:r>
      <w:r w:rsidRPr="001B6D09">
        <w:fldChar w:fldCharType="end"/>
      </w:r>
      <w:r w:rsidRPr="001B6D09" w:rsidR="0077175D">
        <w:t xml:space="preserve">.  The Government </w:t>
      </w:r>
      <w:r w:rsidRPr="001B6D09" w:rsidR="00422183">
        <w:t>deemed these claims excessive, unfounded and unsubstantiated</w:t>
      </w:r>
      <w:r w:rsidRPr="001B6D09">
        <w:t>.</w:t>
      </w:r>
    </w:p>
    <w:p w:rsidRPr="001B6D09" w:rsidR="00D8527F" w:rsidP="001B6D09" w:rsidRDefault="006374CD" w14:paraId="50E6DE16" w14:textId="01111A96">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128</w:t>
      </w:r>
      <w:r w:rsidRPr="001B6D09">
        <w:fldChar w:fldCharType="end"/>
      </w:r>
      <w:r w:rsidRPr="001B6D09" w:rsidR="0077175D">
        <w:t xml:space="preserve">.  The Court does not discern any causal link between the violation found and the pecuniary damage alleged; it therefore rejects this claim. </w:t>
      </w:r>
      <w:r w:rsidRPr="001B6D09" w:rsidR="00D8527F">
        <w:t xml:space="preserve">On the other hand, it finds that the applicants must have suffered non-pecuniary damage </w:t>
      </w:r>
      <w:r w:rsidRPr="001B6D09" w:rsidR="005232D7">
        <w:t xml:space="preserve">as a result of the violation of Article 6 §§ 1 and 3 (c) of the Convention found, </w:t>
      </w:r>
      <w:r w:rsidRPr="001B6D09" w:rsidR="00D8527F">
        <w:t>which cannot be compensated for solely by the finding of a violation. Making its assessment on an equitable basis, the Court awards him EUR 1,</w:t>
      </w:r>
      <w:r w:rsidRPr="001B6D09" w:rsidR="00AE4304">
        <w:t>5</w:t>
      </w:r>
      <w:r w:rsidRPr="001B6D09" w:rsidR="00D8527F">
        <w:t xml:space="preserve">00 </w:t>
      </w:r>
      <w:r w:rsidRPr="001B6D09" w:rsidR="005232D7">
        <w:t>under this head</w:t>
      </w:r>
      <w:r w:rsidRPr="001B6D09" w:rsidR="00D8527F">
        <w:t>, plus any tax that may be chargeable to him.</w:t>
      </w:r>
    </w:p>
    <w:p w:rsidRPr="001B6D09" w:rsidR="00156153" w:rsidP="001B6D09" w:rsidRDefault="00156153" w14:paraId="73ED9F66" w14:textId="026D04A2">
      <w:pPr>
        <w:pStyle w:val="JuHA"/>
      </w:pPr>
      <w:r w:rsidRPr="001B6D09">
        <w:t>Costs and expenses</w:t>
      </w:r>
    </w:p>
    <w:p w:rsidRPr="001B6D09" w:rsidR="00D420F3" w:rsidP="001B6D09" w:rsidRDefault="006374CD" w14:paraId="7E08FDF1" w14:textId="5AF2D03C">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129</w:t>
      </w:r>
      <w:r w:rsidRPr="001B6D09">
        <w:fldChar w:fldCharType="end"/>
      </w:r>
      <w:r w:rsidRPr="001B6D09" w:rsidR="0077175D">
        <w:t xml:space="preserve">.  The applicant also claimed </w:t>
      </w:r>
      <w:r w:rsidRPr="001B6D09" w:rsidR="00501FB2">
        <w:t>HRK 10,000</w:t>
      </w:r>
      <w:r w:rsidRPr="001B6D09" w:rsidR="00E63136">
        <w:t xml:space="preserve"> (approximately EUR</w:t>
      </w:r>
      <w:r w:rsidRPr="001B6D09" w:rsidR="00AC08C5">
        <w:t> </w:t>
      </w:r>
      <w:r w:rsidRPr="001B6D09" w:rsidR="00E63136">
        <w:t>1,360)</w:t>
      </w:r>
      <w:r w:rsidRPr="001B6D09" w:rsidR="00501FB2">
        <w:t xml:space="preserve"> </w:t>
      </w:r>
      <w:r w:rsidRPr="001B6D09" w:rsidR="00C0518E">
        <w:t>in respect of</w:t>
      </w:r>
      <w:r w:rsidRPr="001B6D09" w:rsidR="00501FB2">
        <w:t xml:space="preserve"> </w:t>
      </w:r>
      <w:r w:rsidRPr="001B6D09" w:rsidR="007B3B7A">
        <w:t xml:space="preserve">costs </w:t>
      </w:r>
      <w:r w:rsidRPr="001B6D09" w:rsidR="005232D7">
        <w:t>and expenses incurred</w:t>
      </w:r>
      <w:r w:rsidRPr="001B6D09" w:rsidR="007B3B7A">
        <w:t xml:space="preserve"> before</w:t>
      </w:r>
      <w:r w:rsidRPr="001B6D09" w:rsidR="00501FB2">
        <w:t xml:space="preserve"> the Court.</w:t>
      </w:r>
    </w:p>
    <w:p w:rsidRPr="001B6D09" w:rsidR="00D420F3" w:rsidP="001B6D09" w:rsidRDefault="006374CD" w14:paraId="3A030A5A" w14:textId="6940032F">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130</w:t>
      </w:r>
      <w:r w:rsidRPr="001B6D09">
        <w:fldChar w:fldCharType="end"/>
      </w:r>
      <w:r w:rsidRPr="001B6D09" w:rsidR="0077175D">
        <w:t xml:space="preserve">.  The Government </w:t>
      </w:r>
      <w:r w:rsidRPr="001B6D09" w:rsidR="00422183">
        <w:t>deemed that claim excessive, unfounded and unsubstantiated</w:t>
      </w:r>
      <w:r w:rsidRPr="001B6D09">
        <w:t>.</w:t>
      </w:r>
    </w:p>
    <w:p w:rsidRPr="001B6D09" w:rsidR="00D420F3" w:rsidP="001B6D09" w:rsidRDefault="006374CD" w14:paraId="21B0E5A8" w14:textId="432580F1">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131</w:t>
      </w:r>
      <w:r w:rsidRPr="001B6D09">
        <w:fldChar w:fldCharType="end"/>
      </w:r>
      <w:r w:rsidRPr="001B6D09" w:rsidR="0077175D">
        <w:t>.  </w:t>
      </w:r>
      <w:r w:rsidRPr="001B6D09" w:rsidR="00C0518E">
        <w:t>The Court observes that the applicant failed to comply with the requirements set out in Rule 60 § 2 of the Rules of Court in that he did not submit itemised particulars of his claim for costs and expenses or any relevant supporting documents, even though he was invited to do so. In these circumstances, the Court makes no award under this head (Rule</w:t>
      </w:r>
      <w:r w:rsidRPr="001B6D09" w:rsidR="00AC08C5">
        <w:t> </w:t>
      </w:r>
      <w:r w:rsidRPr="001B6D09" w:rsidR="00C0518E">
        <w:t>60</w:t>
      </w:r>
      <w:r w:rsidRPr="001B6D09" w:rsidR="00B809F5">
        <w:t xml:space="preserve"> </w:t>
      </w:r>
      <w:r w:rsidRPr="001B6D09" w:rsidR="00C0518E">
        <w:t>§ 3).</w:t>
      </w:r>
    </w:p>
    <w:p w:rsidRPr="001B6D09" w:rsidR="00D420F3" w:rsidP="001B6D09" w:rsidRDefault="0077175D" w14:paraId="1A671209" w14:textId="5251C77E">
      <w:pPr>
        <w:pStyle w:val="JuHA"/>
      </w:pPr>
      <w:r w:rsidRPr="001B6D09">
        <w:t>Default interest</w:t>
      </w:r>
    </w:p>
    <w:p w:rsidRPr="001B6D09" w:rsidR="00D420F3" w:rsidP="001B6D09" w:rsidRDefault="006374CD" w14:paraId="7F2B98FD" w14:textId="5135D42A">
      <w:pPr>
        <w:pStyle w:val="JuPara"/>
        <w:jc w:val="both"/>
      </w:pPr>
      <w:r w:rsidRPr="001B6D09">
        <w:fldChar w:fldCharType="begin"/>
      </w:r>
      <w:r w:rsidRPr="001B6D09">
        <w:instrText xml:space="preserve"> SEQ level0 \*arabic </w:instrText>
      </w:r>
      <w:r w:rsidRPr="001B6D09">
        <w:fldChar w:fldCharType="separate"/>
      </w:r>
      <w:r w:rsidRPr="001B6D09" w:rsidR="001B6D09">
        <w:rPr>
          <w:noProof/>
        </w:rPr>
        <w:t>132</w:t>
      </w:r>
      <w:r w:rsidRPr="001B6D09">
        <w:fldChar w:fldCharType="end"/>
      </w:r>
      <w:r w:rsidRPr="001B6D09" w:rsidR="0077175D">
        <w:t>.  The Court considers it appropriate that the default interest rate should be based on the marginal lending rate of the European Central Bank, to which should be added three percentage points.</w:t>
      </w:r>
    </w:p>
    <w:p w:rsidRPr="001B6D09" w:rsidR="00D420F3" w:rsidP="001B6D09" w:rsidRDefault="0077175D" w14:paraId="46992B2E" w14:textId="7BC096E2">
      <w:pPr>
        <w:pStyle w:val="JuHHead"/>
      </w:pPr>
      <w:r w:rsidRPr="001B6D09">
        <w:t>FOR THESE REASONS, THE COURT</w:t>
      </w:r>
      <w:r w:rsidRPr="001B6D09" w:rsidR="006374CD">
        <w:t>, UNANIMOUSLY,</w:t>
      </w:r>
    </w:p>
    <w:p w:rsidRPr="001B6D09" w:rsidR="00D420F3" w:rsidP="001B6D09" w:rsidRDefault="0077175D" w14:paraId="7D1A548E" w14:textId="69E7D20C">
      <w:pPr>
        <w:pStyle w:val="JuList"/>
        <w:jc w:val="both"/>
      </w:pPr>
      <w:r w:rsidRPr="001B6D09">
        <w:rPr>
          <w:i/>
        </w:rPr>
        <w:t>Declares</w:t>
      </w:r>
      <w:r w:rsidRPr="001B6D09" w:rsidR="006374CD">
        <w:t xml:space="preserve"> </w:t>
      </w:r>
      <w:r w:rsidRPr="001B6D09">
        <w:t xml:space="preserve">the </w:t>
      </w:r>
      <w:r w:rsidRPr="001B6D09" w:rsidR="006374CD">
        <w:t>application</w:t>
      </w:r>
      <w:r w:rsidRPr="001B6D09">
        <w:t xml:space="preserve"> admissible;</w:t>
      </w:r>
    </w:p>
    <w:p w:rsidRPr="001B6D09" w:rsidR="00D420F3" w:rsidP="001B6D09" w:rsidRDefault="0077175D" w14:paraId="62CA76D9" w14:textId="4F0BA55F">
      <w:pPr>
        <w:pStyle w:val="JuList"/>
        <w:jc w:val="both"/>
      </w:pPr>
      <w:r w:rsidRPr="001B6D09">
        <w:rPr>
          <w:i/>
        </w:rPr>
        <w:t>Holds</w:t>
      </w:r>
      <w:r w:rsidRPr="001B6D09" w:rsidR="006374CD">
        <w:t xml:space="preserve"> </w:t>
      </w:r>
      <w:r w:rsidRPr="001B6D09">
        <w:t xml:space="preserve">that there has been </w:t>
      </w:r>
      <w:r w:rsidRPr="001B6D09" w:rsidR="009E1D77">
        <w:t>no</w:t>
      </w:r>
      <w:r w:rsidRPr="001B6D09">
        <w:t xml:space="preserve"> violation of Article </w:t>
      </w:r>
      <w:r w:rsidRPr="001B6D09" w:rsidR="009E1D77">
        <w:t xml:space="preserve">6 </w:t>
      </w:r>
      <w:r w:rsidRPr="001B6D09" w:rsidR="009E1D77">
        <w:rPr>
          <w:rFonts w:cstheme="minorHAnsi"/>
        </w:rPr>
        <w:t>§§</w:t>
      </w:r>
      <w:r w:rsidRPr="001B6D09" w:rsidR="009E1D77">
        <w:t xml:space="preserve"> 1 and 3</w:t>
      </w:r>
      <w:r w:rsidRPr="001B6D09" w:rsidR="00321391">
        <w:t xml:space="preserve"> </w:t>
      </w:r>
      <w:r w:rsidRPr="001B6D09" w:rsidR="009E1D77">
        <w:t>(b) and (c)</w:t>
      </w:r>
      <w:r w:rsidRPr="001B6D09">
        <w:t xml:space="preserve"> of the Convention</w:t>
      </w:r>
      <w:r w:rsidRPr="001B6D09" w:rsidR="009E1D77">
        <w:t xml:space="preserve"> </w:t>
      </w:r>
      <w:r w:rsidRPr="001B6D09" w:rsidR="007B3B7A">
        <w:t xml:space="preserve">as regards </w:t>
      </w:r>
      <w:r w:rsidRPr="001B6D09" w:rsidR="009E1D77">
        <w:t xml:space="preserve">the brevity of the </w:t>
      </w:r>
      <w:r w:rsidRPr="001B6D09" w:rsidR="007B3B7A">
        <w:t xml:space="preserve">period </w:t>
      </w:r>
      <w:r w:rsidRPr="001B6D09" w:rsidR="008F0FE3">
        <w:t xml:space="preserve">during </w:t>
      </w:r>
      <w:r w:rsidRPr="001B6D09" w:rsidR="007B3B7A">
        <w:t xml:space="preserve">which </w:t>
      </w:r>
      <w:r w:rsidRPr="001B6D09" w:rsidR="006A7657">
        <w:t>t</w:t>
      </w:r>
      <w:r w:rsidRPr="001B6D09" w:rsidR="007B3B7A">
        <w:t xml:space="preserve">he </w:t>
      </w:r>
      <w:r w:rsidRPr="001B6D09" w:rsidR="006A7657">
        <w:t xml:space="preserve">applicant </w:t>
      </w:r>
      <w:r w:rsidRPr="001B6D09" w:rsidR="007B3B7A">
        <w:t xml:space="preserve">had </w:t>
      </w:r>
      <w:r w:rsidRPr="001B6D09" w:rsidR="009E1D77">
        <w:t>to prepare his defence before the appeal court session</w:t>
      </w:r>
      <w:r w:rsidRPr="001B6D09">
        <w:t>;</w:t>
      </w:r>
    </w:p>
    <w:p w:rsidRPr="001B6D09" w:rsidR="00D420F3" w:rsidP="001B6D09" w:rsidRDefault="0077175D" w14:paraId="4FC9292F" w14:textId="5FEAFCB7">
      <w:pPr>
        <w:pStyle w:val="JuList"/>
        <w:jc w:val="both"/>
      </w:pPr>
      <w:r w:rsidRPr="001B6D09">
        <w:rPr>
          <w:i/>
        </w:rPr>
        <w:t>Holds</w:t>
      </w:r>
      <w:r w:rsidRPr="001B6D09" w:rsidR="006374CD">
        <w:t xml:space="preserve"> </w:t>
      </w:r>
      <w:r w:rsidRPr="001B6D09">
        <w:t xml:space="preserve">that there </w:t>
      </w:r>
      <w:r w:rsidRPr="001B6D09" w:rsidR="009E1D77">
        <w:t xml:space="preserve">has been a violation of </w:t>
      </w:r>
      <w:r w:rsidRPr="001B6D09">
        <w:t xml:space="preserve">Article </w:t>
      </w:r>
      <w:r w:rsidRPr="001B6D09" w:rsidR="009E1D77">
        <w:t xml:space="preserve">6 </w:t>
      </w:r>
      <w:r w:rsidRPr="001B6D09" w:rsidR="009E1D77">
        <w:rPr>
          <w:rFonts w:cstheme="minorHAnsi"/>
        </w:rPr>
        <w:t>§§</w:t>
      </w:r>
      <w:r w:rsidRPr="001B6D09" w:rsidR="009E1D77">
        <w:t xml:space="preserve"> 1 and 3</w:t>
      </w:r>
      <w:r w:rsidRPr="001B6D09" w:rsidR="00321391">
        <w:t xml:space="preserve"> </w:t>
      </w:r>
      <w:r w:rsidRPr="001B6D09" w:rsidR="009E1D77">
        <w:t>(c)</w:t>
      </w:r>
      <w:r w:rsidRPr="001B6D09">
        <w:t xml:space="preserve"> of the Convention</w:t>
      </w:r>
      <w:r w:rsidRPr="001B6D09" w:rsidR="009E1D77">
        <w:t xml:space="preserve"> </w:t>
      </w:r>
      <w:r w:rsidRPr="001B6D09" w:rsidR="006A7657">
        <w:t>as regards</w:t>
      </w:r>
      <w:r w:rsidRPr="001B6D09" w:rsidR="009E1D77">
        <w:t xml:space="preserve"> </w:t>
      </w:r>
      <w:r w:rsidRPr="001B6D09" w:rsidR="007B3B7A">
        <w:t>the applicant</w:t>
      </w:r>
      <w:r w:rsidRPr="001B6D09" w:rsidR="001B6D09">
        <w:t>’</w:t>
      </w:r>
      <w:r w:rsidRPr="001B6D09" w:rsidR="007B3B7A">
        <w:t xml:space="preserve">s </w:t>
      </w:r>
      <w:r w:rsidRPr="001B6D09" w:rsidR="009E1D77">
        <w:t xml:space="preserve">absence from the appeal </w:t>
      </w:r>
      <w:r w:rsidRPr="001B6D09" w:rsidR="006A7657">
        <w:t xml:space="preserve">court </w:t>
      </w:r>
      <w:r w:rsidRPr="001B6D09" w:rsidR="009E1D77">
        <w:t>session</w:t>
      </w:r>
      <w:r w:rsidRPr="001B6D09">
        <w:t>;</w:t>
      </w:r>
    </w:p>
    <w:p w:rsidRPr="001B6D09" w:rsidR="00D420F3" w:rsidP="001B6D09" w:rsidRDefault="0077175D" w14:paraId="247DA76C" w14:textId="2D6A6DCA">
      <w:pPr>
        <w:pStyle w:val="JuList"/>
        <w:jc w:val="both"/>
      </w:pPr>
      <w:r w:rsidRPr="001B6D09">
        <w:rPr>
          <w:i/>
        </w:rPr>
        <w:t>Holds</w:t>
      </w:r>
      <w:r w:rsidRPr="001B6D09" w:rsidR="006374CD">
        <w:t xml:space="preserve"> </w:t>
      </w:r>
      <w:r w:rsidRPr="001B6D09">
        <w:t xml:space="preserve">that there has been </w:t>
      </w:r>
      <w:r w:rsidRPr="001B6D09" w:rsidR="009E1D77">
        <w:t>no</w:t>
      </w:r>
      <w:r w:rsidRPr="001B6D09">
        <w:t xml:space="preserve"> violation of Article </w:t>
      </w:r>
      <w:r w:rsidRPr="001B6D09" w:rsidR="009E1D77">
        <w:t>4 of Protocol No. 7 to</w:t>
      </w:r>
      <w:r w:rsidRPr="001B6D09">
        <w:t xml:space="preserve"> the Convention;</w:t>
      </w:r>
    </w:p>
    <w:p w:rsidRPr="001B6D09" w:rsidR="00B809F5" w:rsidP="001B6D09" w:rsidRDefault="00156153" w14:paraId="0C81E93D" w14:textId="77777777">
      <w:pPr>
        <w:pStyle w:val="JuList"/>
        <w:jc w:val="both"/>
      </w:pPr>
      <w:r w:rsidRPr="001B6D09">
        <w:rPr>
          <w:i/>
        </w:rPr>
        <w:t>Holds</w:t>
      </w:r>
    </w:p>
    <w:p w:rsidRPr="001B6D09" w:rsidR="00156153" w:rsidP="001B6D09" w:rsidRDefault="00156153" w14:paraId="75A56067" w14:textId="334F83D9">
      <w:pPr>
        <w:pStyle w:val="JuLista"/>
        <w:jc w:val="both"/>
      </w:pPr>
      <w:r w:rsidRPr="001B6D09">
        <w:t xml:space="preserve">that the respondent State is to pay the applicant, within three months from the date on which the judgment becomes final in accordance with Article 44 § 2 of the Convention, EUR </w:t>
      </w:r>
      <w:r w:rsidRPr="001B6D09" w:rsidR="00D8527F">
        <w:t>1,</w:t>
      </w:r>
      <w:r w:rsidRPr="001B6D09" w:rsidR="00AE4304">
        <w:t>5</w:t>
      </w:r>
      <w:r w:rsidRPr="001B6D09" w:rsidR="00D8527F">
        <w:t>00</w:t>
      </w:r>
      <w:r w:rsidRPr="001B6D09">
        <w:t xml:space="preserve"> (</w:t>
      </w:r>
      <w:r w:rsidRPr="001B6D09" w:rsidR="00D8527F">
        <w:t>one thousand</w:t>
      </w:r>
      <w:r w:rsidRPr="001B6D09">
        <w:t xml:space="preserve"> </w:t>
      </w:r>
      <w:r w:rsidRPr="001B6D09" w:rsidR="00AE4304">
        <w:t xml:space="preserve">five hundred </w:t>
      </w:r>
      <w:r w:rsidRPr="001B6D09">
        <w:t xml:space="preserve">euros), plus any tax that may be chargeable to the applicant, in respect of </w:t>
      </w:r>
      <w:r w:rsidRPr="001B6D09" w:rsidR="00D8527F">
        <w:t>non-pecuniary damage</w:t>
      </w:r>
      <w:r w:rsidRPr="001B6D09">
        <w:t>,</w:t>
      </w:r>
      <w:r w:rsidRPr="001B6D09">
        <w:rPr>
          <w:b/>
        </w:rPr>
        <w:t xml:space="preserve"> </w:t>
      </w:r>
      <w:r w:rsidRPr="001B6D09">
        <w:t>to be converted into Croatian kunas at the rate applicable at the date of settlement</w:t>
      </w:r>
      <w:r w:rsidRPr="001B6D09" w:rsidR="00D8527F">
        <w:t>;</w:t>
      </w:r>
    </w:p>
    <w:p w:rsidRPr="001B6D09" w:rsidR="00156153" w:rsidP="001B6D09" w:rsidRDefault="00156153" w14:paraId="64704D72" w14:textId="641A7607">
      <w:pPr>
        <w:pStyle w:val="JuLista"/>
        <w:jc w:val="both"/>
      </w:pPr>
      <w:r w:rsidRPr="001B6D09">
        <w:t>that from the expiry of the above-mentioned three months until settlement simple interest shall be payable on the above amount at a rate equal to the marginal lending rate of the European Central Bank during the default period plus three percentage points;</w:t>
      </w:r>
    </w:p>
    <w:p w:rsidRPr="001B6D09" w:rsidR="00D420F3" w:rsidP="001B6D09" w:rsidRDefault="0077175D" w14:paraId="217834A1" w14:textId="466A7A44">
      <w:pPr>
        <w:pStyle w:val="JuList"/>
        <w:jc w:val="both"/>
      </w:pPr>
      <w:r w:rsidRPr="001B6D09">
        <w:rPr>
          <w:i/>
        </w:rPr>
        <w:t>Dismisses</w:t>
      </w:r>
      <w:r w:rsidRPr="001B6D09">
        <w:rPr>
          <w:color w:val="000000"/>
        </w:rPr>
        <w:t xml:space="preserve"> </w:t>
      </w:r>
      <w:r w:rsidRPr="001B6D09">
        <w:t>the remainder of the applicant</w:t>
      </w:r>
      <w:r w:rsidRPr="001B6D09" w:rsidR="001B6D09">
        <w:t>’</w:t>
      </w:r>
      <w:r w:rsidRPr="001B6D09" w:rsidR="006374CD">
        <w:t>s</w:t>
      </w:r>
      <w:r w:rsidRPr="001B6D09" w:rsidR="00321391">
        <w:t xml:space="preserve"> claim for just satisfaction.</w:t>
      </w:r>
    </w:p>
    <w:p w:rsidRPr="001B6D09" w:rsidR="00D420F3" w:rsidP="001B6D09" w:rsidRDefault="0077175D" w14:paraId="1B87BF9C" w14:textId="04F9C145">
      <w:pPr>
        <w:pStyle w:val="JuParaLast"/>
        <w:jc w:val="both"/>
      </w:pPr>
      <w:r w:rsidRPr="001B6D09">
        <w:t xml:space="preserve">Done in English, and notified in writing on </w:t>
      </w:r>
      <w:r w:rsidRPr="001B6D09" w:rsidR="00AC08C5">
        <w:t>31 August 2021</w:t>
      </w:r>
      <w:r w:rsidRPr="001B6D09" w:rsidR="00976797">
        <w:t xml:space="preserve">, </w:t>
      </w:r>
      <w:r w:rsidRPr="001B6D09">
        <w:t>pursuant to Rule 77 §§ 2 and 3 of the Rules of Court.</w:t>
      </w:r>
    </w:p>
    <w:p w:rsidRPr="001B6D09" w:rsidR="00D323E4" w:rsidP="001B6D09" w:rsidRDefault="0077175D" w14:paraId="0328F9BC" w14:textId="109C31DE">
      <w:pPr>
        <w:pStyle w:val="JuSigned"/>
        <w:tabs>
          <w:tab w:val="clear" w:pos="6407"/>
          <w:tab w:val="center" w:pos="6237"/>
        </w:tabs>
      </w:pPr>
      <w:r w:rsidRPr="001B6D09">
        <w:tab/>
      </w:r>
      <w:r w:rsidRPr="001B6D09" w:rsidR="0092505C">
        <w:t>Renata Degener</w:t>
      </w:r>
      <w:r w:rsidRPr="001B6D09">
        <w:tab/>
      </w:r>
      <w:r w:rsidRPr="001B6D09" w:rsidR="00D8527F">
        <w:t>P</w:t>
      </w:r>
      <w:r w:rsidRPr="001B6D09" w:rsidR="00D8527F">
        <w:rPr>
          <w:rFonts w:cstheme="minorHAnsi"/>
        </w:rPr>
        <w:t>é</w:t>
      </w:r>
      <w:r w:rsidRPr="001B6D09" w:rsidR="00D8527F">
        <w:t>ter Paczolay</w:t>
      </w:r>
      <w:r w:rsidRPr="001B6D09">
        <w:br/>
      </w:r>
      <w:r w:rsidRPr="001B6D09">
        <w:tab/>
      </w:r>
      <w:r w:rsidRPr="001B6D09" w:rsidR="006374CD">
        <w:rPr>
          <w:iCs/>
        </w:rPr>
        <w:t>Registrar</w:t>
      </w:r>
      <w:r w:rsidRPr="001B6D09">
        <w:tab/>
        <w:t>President</w:t>
      </w:r>
    </w:p>
    <w:sectPr w:rsidRPr="001B6D09" w:rsidR="00D323E4" w:rsidSect="00297B56">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C46A" w14:textId="77777777" w:rsidR="005B12FD" w:rsidRDefault="005B12FD">
      <w:r>
        <w:separator/>
      </w:r>
    </w:p>
    <w:p w14:paraId="790D627F" w14:textId="77777777" w:rsidR="005B12FD" w:rsidRDefault="005B12FD"/>
  </w:endnote>
  <w:endnote w:type="continuationSeparator" w:id="0">
    <w:p w14:paraId="5BBF413E" w14:textId="77777777" w:rsidR="005B12FD" w:rsidRDefault="005B12FD">
      <w:r>
        <w:continuationSeparator/>
      </w:r>
    </w:p>
    <w:p w14:paraId="6A061240" w14:textId="77777777" w:rsidR="005B12FD" w:rsidRDefault="005B1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008EA" w14:textId="77777777" w:rsidR="005B12FD" w:rsidRPr="00297B56" w:rsidRDefault="005B12FD">
    <w:pPr>
      <w:pStyle w:val="Footer"/>
      <w:jc w:val="center"/>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7B5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297B5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297B5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297B56">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297B56">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679654"/>
      <w:docPartObj>
        <w:docPartGallery w:val="Page Numbers (Bottom of Page)"/>
        <w:docPartUnique/>
      </w:docPartObj>
    </w:sdtPr>
    <w:sdtEndPr>
      <w:rPr>
        <w:noProof/>
      </w:rPr>
    </w:sdtEndPr>
    <w:sdtContent>
      <w:p w14:paraId="4D9F3FA2" w14:textId="7F56EA50" w:rsidR="005B12FD" w:rsidRDefault="005B12FD">
        <w:pPr>
          <w:pStyle w:val="Footer"/>
          <w:jc w:val="center"/>
        </w:pPr>
        <w:r w:rsidRPr="00297B56">
          <w:rPr>
            <w:sz w:val="18"/>
            <w:szCs w:val="18"/>
          </w:rPr>
          <w:fldChar w:fldCharType="begin"/>
        </w:r>
        <w:r w:rsidRPr="00297B56">
          <w:rPr>
            <w:sz w:val="18"/>
            <w:szCs w:val="18"/>
          </w:rPr>
          <w:instrText xml:space="preserve"> PAGE   \* MERGEFORMAT </w:instrText>
        </w:r>
        <w:r w:rsidRPr="00297B56">
          <w:rPr>
            <w:sz w:val="18"/>
            <w:szCs w:val="18"/>
          </w:rPr>
          <w:fldChar w:fldCharType="separate"/>
        </w:r>
        <w:r w:rsidRPr="00297B56">
          <w:rPr>
            <w:noProof/>
            <w:sz w:val="18"/>
            <w:szCs w:val="18"/>
          </w:rPr>
          <w:t>2</w:t>
        </w:r>
        <w:r w:rsidRPr="00297B56">
          <w:rPr>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2130" w14:textId="5F7ACB5C" w:rsidR="005B12FD" w:rsidRDefault="005B12FD" w:rsidP="008D6E46">
    <w:pPr>
      <w:pStyle w:val="Footer"/>
      <w:jc w:val="center"/>
    </w:pPr>
    <w:r>
      <w:rPr>
        <w:noProof/>
        <w:lang w:val="en-US" w:eastAsia="ja-JP"/>
      </w:rPr>
      <w:drawing>
        <wp:inline distT="0" distB="0" distL="0" distR="0" wp14:anchorId="04D86051" wp14:editId="7BF3B95F">
          <wp:extent cx="771525" cy="619125"/>
          <wp:effectExtent l="0" t="0" r="9525" b="9525"/>
          <wp:docPr id="12" name="Picture 1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D58A7" w14:textId="77777777" w:rsidR="005B12FD" w:rsidRPr="00297B56" w:rsidRDefault="005B12FD">
    <w:pPr>
      <w:pStyle w:val="Footer"/>
      <w:jc w:val="center"/>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7B5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297B5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297B5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297B56">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297B56">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092DE975" w14:textId="77777777" w:rsidR="005B12FD" w:rsidRDefault="005B12F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961286"/>
      <w:docPartObj>
        <w:docPartGallery w:val="Page Numbers (Bottom of Page)"/>
        <w:docPartUnique/>
      </w:docPartObj>
    </w:sdtPr>
    <w:sdtEndPr>
      <w:rPr>
        <w:noProof/>
      </w:rPr>
    </w:sdtEndPr>
    <w:sdtContent>
      <w:p w14:paraId="7D468A42" w14:textId="77777777" w:rsidR="005B12FD" w:rsidRPr="00297B56" w:rsidRDefault="005B12FD">
        <w:pPr>
          <w:pStyle w:val="Footer"/>
          <w:jc w:val="center"/>
          <w:rPr>
            <w:sz w:val="18"/>
            <w:szCs w:val="18"/>
          </w:rPr>
        </w:pPr>
        <w:r w:rsidRPr="00297B56">
          <w:rPr>
            <w:sz w:val="18"/>
            <w:szCs w:val="18"/>
          </w:rPr>
          <w:fldChar w:fldCharType="begin"/>
        </w:r>
        <w:r w:rsidRPr="00297B56">
          <w:rPr>
            <w:sz w:val="18"/>
            <w:szCs w:val="18"/>
          </w:rPr>
          <w:instrText xml:space="preserve"> PAGE   \* MERGEFORMAT </w:instrText>
        </w:r>
        <w:r w:rsidRPr="00297B56">
          <w:rPr>
            <w:sz w:val="18"/>
            <w:szCs w:val="18"/>
          </w:rPr>
          <w:fldChar w:fldCharType="separate"/>
        </w:r>
        <w:r w:rsidRPr="00297B56">
          <w:rPr>
            <w:noProof/>
            <w:sz w:val="18"/>
            <w:szCs w:val="18"/>
          </w:rPr>
          <w:t>2</w:t>
        </w:r>
        <w:r w:rsidRPr="00297B56">
          <w:rPr>
            <w:noProof/>
            <w:sz w:val="18"/>
            <w:szCs w:val="18"/>
          </w:rPr>
          <w:fldChar w:fldCharType="end"/>
        </w:r>
      </w:p>
    </w:sdtContent>
  </w:sdt>
  <w:p w14:paraId="77B65613" w14:textId="77777777" w:rsidR="005B12FD" w:rsidRDefault="005B12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A45C6" w14:textId="77777777" w:rsidR="005B12FD" w:rsidRPr="003152BA" w:rsidRDefault="005B12FD" w:rsidP="00D420F3">
      <w:r w:rsidRPr="003152BA">
        <w:separator/>
      </w:r>
    </w:p>
    <w:p w14:paraId="4D6D685A" w14:textId="77777777" w:rsidR="005B12FD" w:rsidRDefault="005B12FD"/>
  </w:footnote>
  <w:footnote w:type="continuationSeparator" w:id="0">
    <w:p w14:paraId="4ECA601A" w14:textId="77777777" w:rsidR="005B12FD" w:rsidRPr="003152BA" w:rsidRDefault="005B12FD" w:rsidP="00D420F3">
      <w:r w:rsidRPr="003152BA">
        <w:continuationSeparator/>
      </w:r>
    </w:p>
    <w:p w14:paraId="055D7B99" w14:textId="77777777" w:rsidR="005B12FD" w:rsidRDefault="005B12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DE0C9" w14:textId="15FA2CAA" w:rsidR="005B12FD" w:rsidRPr="003152BA" w:rsidRDefault="005B12FD" w:rsidP="00D420F3">
    <w:pPr>
      <w:pStyle w:val="JuHeader"/>
    </w:pPr>
    <w:r w:rsidRPr="003152BA">
      <w:tab/>
    </w:r>
    <w:r>
      <w:t>GALOVIĆ v. CROATIA</w:t>
    </w:r>
    <w:r w:rsidRPr="003152BA">
      <w:t xml:space="preserve"> – </w:t>
    </w:r>
    <w:r>
      <w:t>JUDGMENT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F977C" w14:textId="2BA3D6EE" w:rsidR="005B12FD" w:rsidRDefault="005B12FD" w:rsidP="00BE67E7">
    <w:pPr>
      <w:pStyle w:val="JuHeader"/>
      <w:tabs>
        <w:tab w:val="right" w:pos="7358"/>
      </w:tabs>
    </w:pPr>
    <w:r w:rsidRPr="003152BA">
      <w:tab/>
    </w:r>
    <w:r>
      <w:rPr>
        <w:noProof/>
        <w:lang w:val="en-US"/>
      </w:rPr>
      <w:t>GALOVIĆ V. CROATIA - JUDGMENT</w:t>
    </w:r>
    <w:r>
      <w:tab/>
    </w:r>
  </w:p>
  <w:p w14:paraId="380BB1CD" w14:textId="77777777" w:rsidR="005B12FD" w:rsidRPr="003152BA" w:rsidRDefault="005B12FD" w:rsidP="00D420F3">
    <w:pPr>
      <w:pStyle w:val="Ju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24235" w14:textId="7DFBDDCC" w:rsidR="005B12FD" w:rsidRDefault="005B12FD" w:rsidP="00BE67E7">
    <w:pPr>
      <w:pStyle w:val="Header"/>
      <w:tabs>
        <w:tab w:val="clear" w:pos="4536"/>
        <w:tab w:val="clear" w:pos="9072"/>
        <w:tab w:val="left" w:pos="2949"/>
      </w:tabs>
      <w:jc w:val="center"/>
    </w:pPr>
    <w:r>
      <w:rPr>
        <w:noProof/>
        <w:lang w:val="en-US" w:eastAsia="ja-JP"/>
      </w:rPr>
      <w:drawing>
        <wp:inline distT="0" distB="0" distL="0" distR="0" wp14:anchorId="4278E2F4" wp14:editId="32A7909F">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8BBE3" w14:textId="77777777" w:rsidR="005B12FD" w:rsidRPr="003152BA" w:rsidRDefault="005B12FD" w:rsidP="00D420F3">
    <w:pPr>
      <w:pStyle w:val="JuHeader"/>
    </w:pPr>
    <w:r w:rsidRPr="003152BA">
      <w:tab/>
    </w:r>
    <w:r>
      <w:t>GALOVIĆ v. CROATIA</w:t>
    </w:r>
    <w:r w:rsidRPr="003152BA">
      <w:t xml:space="preserve"> – </w:t>
    </w:r>
    <w:r>
      <w:t>JUDGMENT</w:t>
    </w:r>
  </w:p>
  <w:p w14:paraId="689683EA" w14:textId="77777777" w:rsidR="005B12FD" w:rsidRDefault="005B12F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EDEB7" w14:textId="463FD486" w:rsidR="005B12FD" w:rsidRPr="003152BA" w:rsidRDefault="005B12FD" w:rsidP="00D420F3">
    <w:pPr>
      <w:pStyle w:val="JuHeader"/>
    </w:pPr>
    <w:r w:rsidRPr="003152BA">
      <w:tab/>
    </w:r>
    <w:r>
      <w:rPr>
        <w:noProof/>
        <w:lang w:val="en-US"/>
      </w:rPr>
      <w:t>GALOVIĆ v. CROATIA - JUDGMENT</w:t>
    </w:r>
  </w:p>
  <w:p w14:paraId="7407739D" w14:textId="77777777" w:rsidR="005B12FD" w:rsidRDefault="005B12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135E7E6C">
      <w:start w:val="1"/>
      <w:numFmt w:val="bullet"/>
      <w:pStyle w:val="ListBullet"/>
      <w:lvlText w:val=""/>
      <w:lvlJc w:val="left"/>
      <w:pPr>
        <w:tabs>
          <w:tab w:val="num" w:pos="851"/>
        </w:tabs>
        <w:ind w:left="568" w:firstLine="0"/>
      </w:pPr>
      <w:rPr>
        <w:rFonts w:ascii="Wingdings" w:hAnsi="Wingdings" w:hint="default"/>
        <w:color w:val="808080"/>
        <w:sz w:val="16"/>
      </w:rPr>
    </w:lvl>
    <w:lvl w:ilvl="1" w:tplc="810288C4" w:tentative="1">
      <w:start w:val="1"/>
      <w:numFmt w:val="bullet"/>
      <w:lvlText w:val="o"/>
      <w:lvlJc w:val="left"/>
      <w:pPr>
        <w:tabs>
          <w:tab w:val="num" w:pos="1724"/>
        </w:tabs>
        <w:ind w:left="1724" w:hanging="360"/>
      </w:pPr>
      <w:rPr>
        <w:rFonts w:ascii="Courier New" w:hAnsi="Courier New" w:cs="Courier New" w:hint="default"/>
      </w:rPr>
    </w:lvl>
    <w:lvl w:ilvl="2" w:tplc="4470F988" w:tentative="1">
      <w:start w:val="1"/>
      <w:numFmt w:val="bullet"/>
      <w:lvlText w:val=""/>
      <w:lvlJc w:val="left"/>
      <w:pPr>
        <w:tabs>
          <w:tab w:val="num" w:pos="2444"/>
        </w:tabs>
        <w:ind w:left="2444" w:hanging="360"/>
      </w:pPr>
      <w:rPr>
        <w:rFonts w:ascii="Wingdings" w:hAnsi="Wingdings" w:hint="default"/>
      </w:rPr>
    </w:lvl>
    <w:lvl w:ilvl="3" w:tplc="5FACB78A" w:tentative="1">
      <w:start w:val="1"/>
      <w:numFmt w:val="bullet"/>
      <w:lvlText w:val=""/>
      <w:lvlJc w:val="left"/>
      <w:pPr>
        <w:tabs>
          <w:tab w:val="num" w:pos="3164"/>
        </w:tabs>
        <w:ind w:left="3164" w:hanging="360"/>
      </w:pPr>
      <w:rPr>
        <w:rFonts w:ascii="Symbol" w:hAnsi="Symbol" w:hint="default"/>
      </w:rPr>
    </w:lvl>
    <w:lvl w:ilvl="4" w:tplc="B63E179C" w:tentative="1">
      <w:start w:val="1"/>
      <w:numFmt w:val="bullet"/>
      <w:lvlText w:val="o"/>
      <w:lvlJc w:val="left"/>
      <w:pPr>
        <w:tabs>
          <w:tab w:val="num" w:pos="3884"/>
        </w:tabs>
        <w:ind w:left="3884" w:hanging="360"/>
      </w:pPr>
      <w:rPr>
        <w:rFonts w:ascii="Courier New" w:hAnsi="Courier New" w:cs="Courier New" w:hint="default"/>
      </w:rPr>
    </w:lvl>
    <w:lvl w:ilvl="5" w:tplc="204A3DC2" w:tentative="1">
      <w:start w:val="1"/>
      <w:numFmt w:val="bullet"/>
      <w:lvlText w:val=""/>
      <w:lvlJc w:val="left"/>
      <w:pPr>
        <w:tabs>
          <w:tab w:val="num" w:pos="4604"/>
        </w:tabs>
        <w:ind w:left="4604" w:hanging="360"/>
      </w:pPr>
      <w:rPr>
        <w:rFonts w:ascii="Wingdings" w:hAnsi="Wingdings" w:hint="default"/>
      </w:rPr>
    </w:lvl>
    <w:lvl w:ilvl="6" w:tplc="C58C412E" w:tentative="1">
      <w:start w:val="1"/>
      <w:numFmt w:val="bullet"/>
      <w:lvlText w:val=""/>
      <w:lvlJc w:val="left"/>
      <w:pPr>
        <w:tabs>
          <w:tab w:val="num" w:pos="5324"/>
        </w:tabs>
        <w:ind w:left="5324" w:hanging="360"/>
      </w:pPr>
      <w:rPr>
        <w:rFonts w:ascii="Symbol" w:hAnsi="Symbol" w:hint="default"/>
      </w:rPr>
    </w:lvl>
    <w:lvl w:ilvl="7" w:tplc="D4D47A0A" w:tentative="1">
      <w:start w:val="1"/>
      <w:numFmt w:val="bullet"/>
      <w:lvlText w:val="o"/>
      <w:lvlJc w:val="left"/>
      <w:pPr>
        <w:tabs>
          <w:tab w:val="num" w:pos="6044"/>
        </w:tabs>
        <w:ind w:left="6044" w:hanging="360"/>
      </w:pPr>
      <w:rPr>
        <w:rFonts w:ascii="Courier New" w:hAnsi="Courier New" w:cs="Courier New" w:hint="default"/>
      </w:rPr>
    </w:lvl>
    <w:lvl w:ilvl="8" w:tplc="4AF04BF4"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6374CD"/>
    <w:rsid w:val="00003201"/>
    <w:rsid w:val="000046D1"/>
    <w:rsid w:val="00005D55"/>
    <w:rsid w:val="00006A29"/>
    <w:rsid w:val="00007D96"/>
    <w:rsid w:val="000163E5"/>
    <w:rsid w:val="00020D0C"/>
    <w:rsid w:val="00021269"/>
    <w:rsid w:val="00031B7D"/>
    <w:rsid w:val="00033454"/>
    <w:rsid w:val="00033902"/>
    <w:rsid w:val="00040C5F"/>
    <w:rsid w:val="00042EE9"/>
    <w:rsid w:val="00045AFC"/>
    <w:rsid w:val="000462FE"/>
    <w:rsid w:val="00047EA8"/>
    <w:rsid w:val="00051100"/>
    <w:rsid w:val="0006023D"/>
    <w:rsid w:val="0006157F"/>
    <w:rsid w:val="00063A1F"/>
    <w:rsid w:val="00063FD6"/>
    <w:rsid w:val="00071138"/>
    <w:rsid w:val="00071849"/>
    <w:rsid w:val="00071D6F"/>
    <w:rsid w:val="0007320F"/>
    <w:rsid w:val="0007600A"/>
    <w:rsid w:val="000762D1"/>
    <w:rsid w:val="000772CF"/>
    <w:rsid w:val="00077E39"/>
    <w:rsid w:val="000821D0"/>
    <w:rsid w:val="00082EBE"/>
    <w:rsid w:val="00086679"/>
    <w:rsid w:val="000909BA"/>
    <w:rsid w:val="000929EF"/>
    <w:rsid w:val="0009309C"/>
    <w:rsid w:val="000959DE"/>
    <w:rsid w:val="00096D7B"/>
    <w:rsid w:val="000A1097"/>
    <w:rsid w:val="000B17E0"/>
    <w:rsid w:val="000B3BB4"/>
    <w:rsid w:val="000C00FD"/>
    <w:rsid w:val="000C75D9"/>
    <w:rsid w:val="000C75EF"/>
    <w:rsid w:val="000C772D"/>
    <w:rsid w:val="000D1247"/>
    <w:rsid w:val="000D477C"/>
    <w:rsid w:val="000D54B4"/>
    <w:rsid w:val="000D7F5B"/>
    <w:rsid w:val="000E0731"/>
    <w:rsid w:val="000E336F"/>
    <w:rsid w:val="000E4E11"/>
    <w:rsid w:val="000E54FE"/>
    <w:rsid w:val="000E647E"/>
    <w:rsid w:val="000E7BB4"/>
    <w:rsid w:val="000F270B"/>
    <w:rsid w:val="000F4405"/>
    <w:rsid w:val="000F7E1B"/>
    <w:rsid w:val="00101A2F"/>
    <w:rsid w:val="0010495C"/>
    <w:rsid w:val="00110130"/>
    <w:rsid w:val="00111B37"/>
    <w:rsid w:val="00115A05"/>
    <w:rsid w:val="00116560"/>
    <w:rsid w:val="001208BC"/>
    <w:rsid w:val="00121C94"/>
    <w:rsid w:val="001221E7"/>
    <w:rsid w:val="001225A3"/>
    <w:rsid w:val="0012672E"/>
    <w:rsid w:val="00126998"/>
    <w:rsid w:val="00130D0D"/>
    <w:rsid w:val="00134481"/>
    <w:rsid w:val="00135D88"/>
    <w:rsid w:val="00136BFB"/>
    <w:rsid w:val="00137903"/>
    <w:rsid w:val="00142FDF"/>
    <w:rsid w:val="00144CA8"/>
    <w:rsid w:val="001456E2"/>
    <w:rsid w:val="0014798A"/>
    <w:rsid w:val="001479AF"/>
    <w:rsid w:val="00156153"/>
    <w:rsid w:val="00156285"/>
    <w:rsid w:val="001615F7"/>
    <w:rsid w:val="00161F1C"/>
    <w:rsid w:val="001650A0"/>
    <w:rsid w:val="00172481"/>
    <w:rsid w:val="001730BF"/>
    <w:rsid w:val="00173C68"/>
    <w:rsid w:val="00174959"/>
    <w:rsid w:val="00184392"/>
    <w:rsid w:val="001923F8"/>
    <w:rsid w:val="001935ED"/>
    <w:rsid w:val="001961BD"/>
    <w:rsid w:val="001972E2"/>
    <w:rsid w:val="001A25AA"/>
    <w:rsid w:val="001A6AFD"/>
    <w:rsid w:val="001B35C8"/>
    <w:rsid w:val="001B3726"/>
    <w:rsid w:val="001B5B2C"/>
    <w:rsid w:val="001B6D09"/>
    <w:rsid w:val="001B769D"/>
    <w:rsid w:val="001C04AB"/>
    <w:rsid w:val="001C3C57"/>
    <w:rsid w:val="001D55B3"/>
    <w:rsid w:val="001D6AA8"/>
    <w:rsid w:val="001D7575"/>
    <w:rsid w:val="001E3FAE"/>
    <w:rsid w:val="001E70FB"/>
    <w:rsid w:val="001F5B8A"/>
    <w:rsid w:val="00200418"/>
    <w:rsid w:val="00200B4B"/>
    <w:rsid w:val="002021FB"/>
    <w:rsid w:val="0020452A"/>
    <w:rsid w:val="002047BD"/>
    <w:rsid w:val="00205056"/>
    <w:rsid w:val="002053B5"/>
    <w:rsid w:val="002066CD"/>
    <w:rsid w:val="00212F2C"/>
    <w:rsid w:val="00220A9C"/>
    <w:rsid w:val="00224DCB"/>
    <w:rsid w:val="00225216"/>
    <w:rsid w:val="00240BC5"/>
    <w:rsid w:val="00243FA3"/>
    <w:rsid w:val="002462FC"/>
    <w:rsid w:val="00246411"/>
    <w:rsid w:val="0024650C"/>
    <w:rsid w:val="00252A34"/>
    <w:rsid w:val="00252FD6"/>
    <w:rsid w:val="002571BD"/>
    <w:rsid w:val="00271A3C"/>
    <w:rsid w:val="002749C7"/>
    <w:rsid w:val="00280323"/>
    <w:rsid w:val="00282F55"/>
    <w:rsid w:val="00283B56"/>
    <w:rsid w:val="00283C62"/>
    <w:rsid w:val="002842EC"/>
    <w:rsid w:val="00284D84"/>
    <w:rsid w:val="0028749A"/>
    <w:rsid w:val="00292C80"/>
    <w:rsid w:val="00293AFE"/>
    <w:rsid w:val="002944E1"/>
    <w:rsid w:val="002946B1"/>
    <w:rsid w:val="00296B82"/>
    <w:rsid w:val="002973BF"/>
    <w:rsid w:val="00297933"/>
    <w:rsid w:val="00297B56"/>
    <w:rsid w:val="002B0B06"/>
    <w:rsid w:val="002B2B96"/>
    <w:rsid w:val="002B453A"/>
    <w:rsid w:val="002B4AC3"/>
    <w:rsid w:val="002B758B"/>
    <w:rsid w:val="002C22C1"/>
    <w:rsid w:val="002C2E62"/>
    <w:rsid w:val="002D20F1"/>
    <w:rsid w:val="002D6A13"/>
    <w:rsid w:val="002D715F"/>
    <w:rsid w:val="002F0BA9"/>
    <w:rsid w:val="002F43EC"/>
    <w:rsid w:val="002F4874"/>
    <w:rsid w:val="00302139"/>
    <w:rsid w:val="00304FC7"/>
    <w:rsid w:val="00307BF1"/>
    <w:rsid w:val="00314AB7"/>
    <w:rsid w:val="00321391"/>
    <w:rsid w:val="003223B3"/>
    <w:rsid w:val="0032464B"/>
    <w:rsid w:val="00333EC2"/>
    <w:rsid w:val="0033442B"/>
    <w:rsid w:val="00337ABD"/>
    <w:rsid w:val="00341F24"/>
    <w:rsid w:val="00344D33"/>
    <w:rsid w:val="00347171"/>
    <w:rsid w:val="0035108C"/>
    <w:rsid w:val="00352494"/>
    <w:rsid w:val="00354B6C"/>
    <w:rsid w:val="00366D59"/>
    <w:rsid w:val="0037037F"/>
    <w:rsid w:val="003706C9"/>
    <w:rsid w:val="00371468"/>
    <w:rsid w:val="00372AD2"/>
    <w:rsid w:val="003735C3"/>
    <w:rsid w:val="003766EF"/>
    <w:rsid w:val="003825F9"/>
    <w:rsid w:val="00385020"/>
    <w:rsid w:val="00393D94"/>
    <w:rsid w:val="00393F6A"/>
    <w:rsid w:val="003954E4"/>
    <w:rsid w:val="003968AD"/>
    <w:rsid w:val="003A3490"/>
    <w:rsid w:val="003A3722"/>
    <w:rsid w:val="003A5895"/>
    <w:rsid w:val="003C0FE9"/>
    <w:rsid w:val="003C4EC9"/>
    <w:rsid w:val="003C5E43"/>
    <w:rsid w:val="003D06AD"/>
    <w:rsid w:val="003D2EA8"/>
    <w:rsid w:val="003D3C80"/>
    <w:rsid w:val="003D5040"/>
    <w:rsid w:val="003E1F7E"/>
    <w:rsid w:val="003E1FDC"/>
    <w:rsid w:val="003E20F4"/>
    <w:rsid w:val="003E2848"/>
    <w:rsid w:val="003E2DD9"/>
    <w:rsid w:val="003E3AA2"/>
    <w:rsid w:val="003F0831"/>
    <w:rsid w:val="003F0E27"/>
    <w:rsid w:val="003F2A90"/>
    <w:rsid w:val="003F382A"/>
    <w:rsid w:val="003F41CD"/>
    <w:rsid w:val="003F573B"/>
    <w:rsid w:val="00400A6A"/>
    <w:rsid w:val="00402EC7"/>
    <w:rsid w:val="00405D77"/>
    <w:rsid w:val="0041114B"/>
    <w:rsid w:val="00416819"/>
    <w:rsid w:val="004220C7"/>
    <w:rsid w:val="00422183"/>
    <w:rsid w:val="004313D9"/>
    <w:rsid w:val="00436689"/>
    <w:rsid w:val="00443B9A"/>
    <w:rsid w:val="004440AF"/>
    <w:rsid w:val="004449F1"/>
    <w:rsid w:val="00451444"/>
    <w:rsid w:val="004516F0"/>
    <w:rsid w:val="00453B11"/>
    <w:rsid w:val="00454986"/>
    <w:rsid w:val="0045586F"/>
    <w:rsid w:val="00455E00"/>
    <w:rsid w:val="00463C4E"/>
    <w:rsid w:val="00464280"/>
    <w:rsid w:val="004650EA"/>
    <w:rsid w:val="00471B43"/>
    <w:rsid w:val="00471F68"/>
    <w:rsid w:val="004734F2"/>
    <w:rsid w:val="00473530"/>
    <w:rsid w:val="00474C02"/>
    <w:rsid w:val="00474F27"/>
    <w:rsid w:val="00481427"/>
    <w:rsid w:val="00481870"/>
    <w:rsid w:val="00481E63"/>
    <w:rsid w:val="00485F29"/>
    <w:rsid w:val="004868D4"/>
    <w:rsid w:val="004918F2"/>
    <w:rsid w:val="00497618"/>
    <w:rsid w:val="004A117E"/>
    <w:rsid w:val="004A294E"/>
    <w:rsid w:val="004A52D1"/>
    <w:rsid w:val="004B18CB"/>
    <w:rsid w:val="004B6A3F"/>
    <w:rsid w:val="004C1729"/>
    <w:rsid w:val="004C5756"/>
    <w:rsid w:val="004C79F4"/>
    <w:rsid w:val="004D56AB"/>
    <w:rsid w:val="004D6144"/>
    <w:rsid w:val="004E6A02"/>
    <w:rsid w:val="004F0567"/>
    <w:rsid w:val="004F481D"/>
    <w:rsid w:val="004F50A9"/>
    <w:rsid w:val="004F6C14"/>
    <w:rsid w:val="004F727B"/>
    <w:rsid w:val="004F78D6"/>
    <w:rsid w:val="005009D8"/>
    <w:rsid w:val="00501FB2"/>
    <w:rsid w:val="00503B61"/>
    <w:rsid w:val="00503D50"/>
    <w:rsid w:val="00507C48"/>
    <w:rsid w:val="00510216"/>
    <w:rsid w:val="00510D35"/>
    <w:rsid w:val="0051140A"/>
    <w:rsid w:val="00511FA8"/>
    <w:rsid w:val="00512427"/>
    <w:rsid w:val="00512F21"/>
    <w:rsid w:val="00517BAD"/>
    <w:rsid w:val="00522C22"/>
    <w:rsid w:val="005232D7"/>
    <w:rsid w:val="00524D5F"/>
    <w:rsid w:val="00527DA1"/>
    <w:rsid w:val="00540DA0"/>
    <w:rsid w:val="0054208D"/>
    <w:rsid w:val="0054217C"/>
    <w:rsid w:val="00542225"/>
    <w:rsid w:val="00542CFA"/>
    <w:rsid w:val="005436EC"/>
    <w:rsid w:val="005456AC"/>
    <w:rsid w:val="005515D7"/>
    <w:rsid w:val="00551C69"/>
    <w:rsid w:val="0056104F"/>
    <w:rsid w:val="00561D25"/>
    <w:rsid w:val="00563570"/>
    <w:rsid w:val="0056415A"/>
    <w:rsid w:val="00565840"/>
    <w:rsid w:val="00565A1F"/>
    <w:rsid w:val="00567A42"/>
    <w:rsid w:val="00577F9D"/>
    <w:rsid w:val="005854BF"/>
    <w:rsid w:val="0058569D"/>
    <w:rsid w:val="00592166"/>
    <w:rsid w:val="00592CA1"/>
    <w:rsid w:val="0059670D"/>
    <w:rsid w:val="005970BA"/>
    <w:rsid w:val="00597BD3"/>
    <w:rsid w:val="005A5D2F"/>
    <w:rsid w:val="005A6D6D"/>
    <w:rsid w:val="005B09C8"/>
    <w:rsid w:val="005B1052"/>
    <w:rsid w:val="005B12FD"/>
    <w:rsid w:val="005B630A"/>
    <w:rsid w:val="005B63B0"/>
    <w:rsid w:val="005D020A"/>
    <w:rsid w:val="005D1591"/>
    <w:rsid w:val="005D2379"/>
    <w:rsid w:val="005D77EF"/>
    <w:rsid w:val="005E7BC3"/>
    <w:rsid w:val="005F3CF5"/>
    <w:rsid w:val="005F60A2"/>
    <w:rsid w:val="005F68CC"/>
    <w:rsid w:val="005F7526"/>
    <w:rsid w:val="005F7F5F"/>
    <w:rsid w:val="0060276F"/>
    <w:rsid w:val="00603D84"/>
    <w:rsid w:val="0060686B"/>
    <w:rsid w:val="00612D5B"/>
    <w:rsid w:val="0061712A"/>
    <w:rsid w:val="00621012"/>
    <w:rsid w:val="00621587"/>
    <w:rsid w:val="006247CA"/>
    <w:rsid w:val="00627334"/>
    <w:rsid w:val="006349D1"/>
    <w:rsid w:val="006374CD"/>
    <w:rsid w:val="006424E3"/>
    <w:rsid w:val="0064339B"/>
    <w:rsid w:val="006434B0"/>
    <w:rsid w:val="00643D65"/>
    <w:rsid w:val="00644748"/>
    <w:rsid w:val="0064718E"/>
    <w:rsid w:val="0065134B"/>
    <w:rsid w:val="006545BE"/>
    <w:rsid w:val="00654664"/>
    <w:rsid w:val="006549D3"/>
    <w:rsid w:val="00662078"/>
    <w:rsid w:val="00663B05"/>
    <w:rsid w:val="006656F8"/>
    <w:rsid w:val="00667921"/>
    <w:rsid w:val="00670388"/>
    <w:rsid w:val="00670865"/>
    <w:rsid w:val="00672324"/>
    <w:rsid w:val="00673365"/>
    <w:rsid w:val="006761F6"/>
    <w:rsid w:val="00677071"/>
    <w:rsid w:val="00680587"/>
    <w:rsid w:val="00681184"/>
    <w:rsid w:val="006812A0"/>
    <w:rsid w:val="00681AE0"/>
    <w:rsid w:val="00681C2C"/>
    <w:rsid w:val="00682280"/>
    <w:rsid w:val="00684012"/>
    <w:rsid w:val="00684BC7"/>
    <w:rsid w:val="006A03B2"/>
    <w:rsid w:val="006A0651"/>
    <w:rsid w:val="006A2404"/>
    <w:rsid w:val="006A29AF"/>
    <w:rsid w:val="006A361E"/>
    <w:rsid w:val="006A52E4"/>
    <w:rsid w:val="006A54E2"/>
    <w:rsid w:val="006A6DA1"/>
    <w:rsid w:val="006A7657"/>
    <w:rsid w:val="006B0171"/>
    <w:rsid w:val="006B03A2"/>
    <w:rsid w:val="006B08EB"/>
    <w:rsid w:val="006B292B"/>
    <w:rsid w:val="006B307B"/>
    <w:rsid w:val="006B6298"/>
    <w:rsid w:val="006C0280"/>
    <w:rsid w:val="006C2EBE"/>
    <w:rsid w:val="006D129D"/>
    <w:rsid w:val="006D619F"/>
    <w:rsid w:val="006D668A"/>
    <w:rsid w:val="006E27CF"/>
    <w:rsid w:val="006E610F"/>
    <w:rsid w:val="006E7559"/>
    <w:rsid w:val="006F293A"/>
    <w:rsid w:val="00700C6F"/>
    <w:rsid w:val="0070268C"/>
    <w:rsid w:val="00704D3E"/>
    <w:rsid w:val="00707696"/>
    <w:rsid w:val="00707865"/>
    <w:rsid w:val="00712443"/>
    <w:rsid w:val="00714E2B"/>
    <w:rsid w:val="0072584C"/>
    <w:rsid w:val="00734017"/>
    <w:rsid w:val="0073516B"/>
    <w:rsid w:val="00742228"/>
    <w:rsid w:val="00744930"/>
    <w:rsid w:val="007452EF"/>
    <w:rsid w:val="00752733"/>
    <w:rsid w:val="00757B80"/>
    <w:rsid w:val="007666F9"/>
    <w:rsid w:val="007713B4"/>
    <w:rsid w:val="0077175D"/>
    <w:rsid w:val="00773D3B"/>
    <w:rsid w:val="00775127"/>
    <w:rsid w:val="007761F7"/>
    <w:rsid w:val="00777810"/>
    <w:rsid w:val="007778CD"/>
    <w:rsid w:val="00787579"/>
    <w:rsid w:val="00791ED6"/>
    <w:rsid w:val="0079624C"/>
    <w:rsid w:val="00797695"/>
    <w:rsid w:val="00797AB5"/>
    <w:rsid w:val="007A043F"/>
    <w:rsid w:val="007A53A3"/>
    <w:rsid w:val="007B016A"/>
    <w:rsid w:val="007B3B7A"/>
    <w:rsid w:val="007B6591"/>
    <w:rsid w:val="007B666E"/>
    <w:rsid w:val="007B7BD0"/>
    <w:rsid w:val="007B7DC7"/>
    <w:rsid w:val="007C0EB9"/>
    <w:rsid w:val="007C35B5"/>
    <w:rsid w:val="007C4973"/>
    <w:rsid w:val="007C5324"/>
    <w:rsid w:val="007C5DC5"/>
    <w:rsid w:val="007C6D57"/>
    <w:rsid w:val="007C7A36"/>
    <w:rsid w:val="007D06AD"/>
    <w:rsid w:val="007D1E3D"/>
    <w:rsid w:val="007D321A"/>
    <w:rsid w:val="007D374D"/>
    <w:rsid w:val="007D5BAD"/>
    <w:rsid w:val="007E1D8B"/>
    <w:rsid w:val="007E1F93"/>
    <w:rsid w:val="007E2AC0"/>
    <w:rsid w:val="007E3A94"/>
    <w:rsid w:val="007E595A"/>
    <w:rsid w:val="007F54CB"/>
    <w:rsid w:val="0080302A"/>
    <w:rsid w:val="00803186"/>
    <w:rsid w:val="00806706"/>
    <w:rsid w:val="00807602"/>
    <w:rsid w:val="00807928"/>
    <w:rsid w:val="00813620"/>
    <w:rsid w:val="00822FF6"/>
    <w:rsid w:val="0082375F"/>
    <w:rsid w:val="00823C50"/>
    <w:rsid w:val="00827DE8"/>
    <w:rsid w:val="0083200D"/>
    <w:rsid w:val="0083499D"/>
    <w:rsid w:val="008370E9"/>
    <w:rsid w:val="008464E6"/>
    <w:rsid w:val="00850A3A"/>
    <w:rsid w:val="00852BA8"/>
    <w:rsid w:val="00854055"/>
    <w:rsid w:val="0085613A"/>
    <w:rsid w:val="008602B5"/>
    <w:rsid w:val="00862DDB"/>
    <w:rsid w:val="0087361D"/>
    <w:rsid w:val="00873D8E"/>
    <w:rsid w:val="00883379"/>
    <w:rsid w:val="00883934"/>
    <w:rsid w:val="00893190"/>
    <w:rsid w:val="00893887"/>
    <w:rsid w:val="00895EFB"/>
    <w:rsid w:val="00896740"/>
    <w:rsid w:val="008A0078"/>
    <w:rsid w:val="008A1D6C"/>
    <w:rsid w:val="008A27B3"/>
    <w:rsid w:val="008B1DB3"/>
    <w:rsid w:val="008B206E"/>
    <w:rsid w:val="008C21CB"/>
    <w:rsid w:val="008C296C"/>
    <w:rsid w:val="008C4EC8"/>
    <w:rsid w:val="008D6E46"/>
    <w:rsid w:val="008E095E"/>
    <w:rsid w:val="008E2948"/>
    <w:rsid w:val="008E42CE"/>
    <w:rsid w:val="008E569E"/>
    <w:rsid w:val="008F07A4"/>
    <w:rsid w:val="008F0FE3"/>
    <w:rsid w:val="008F24EF"/>
    <w:rsid w:val="008F4EC1"/>
    <w:rsid w:val="0090146A"/>
    <w:rsid w:val="0090320D"/>
    <w:rsid w:val="00903E10"/>
    <w:rsid w:val="00904030"/>
    <w:rsid w:val="009133A7"/>
    <w:rsid w:val="00915354"/>
    <w:rsid w:val="009169D1"/>
    <w:rsid w:val="00920747"/>
    <w:rsid w:val="0092368D"/>
    <w:rsid w:val="0092505C"/>
    <w:rsid w:val="00926853"/>
    <w:rsid w:val="009275E7"/>
    <w:rsid w:val="00927B37"/>
    <w:rsid w:val="009300AB"/>
    <w:rsid w:val="0093198B"/>
    <w:rsid w:val="00937E38"/>
    <w:rsid w:val="0094478F"/>
    <w:rsid w:val="009478C1"/>
    <w:rsid w:val="00955967"/>
    <w:rsid w:val="00961945"/>
    <w:rsid w:val="009629F9"/>
    <w:rsid w:val="00964EB4"/>
    <w:rsid w:val="00965BCE"/>
    <w:rsid w:val="00972830"/>
    <w:rsid w:val="0097554C"/>
    <w:rsid w:val="00976797"/>
    <w:rsid w:val="00976EBA"/>
    <w:rsid w:val="00977071"/>
    <w:rsid w:val="009776DA"/>
    <w:rsid w:val="009809B0"/>
    <w:rsid w:val="0098277A"/>
    <w:rsid w:val="00984B78"/>
    <w:rsid w:val="00986B7A"/>
    <w:rsid w:val="00995BB4"/>
    <w:rsid w:val="009A2F6C"/>
    <w:rsid w:val="009B20A7"/>
    <w:rsid w:val="009B2BC2"/>
    <w:rsid w:val="009C5C6B"/>
    <w:rsid w:val="009C773A"/>
    <w:rsid w:val="009D4114"/>
    <w:rsid w:val="009D7237"/>
    <w:rsid w:val="009D792F"/>
    <w:rsid w:val="009D7F2F"/>
    <w:rsid w:val="009E1D77"/>
    <w:rsid w:val="009E2FFD"/>
    <w:rsid w:val="009E38E4"/>
    <w:rsid w:val="009E4032"/>
    <w:rsid w:val="009E6070"/>
    <w:rsid w:val="009E79B2"/>
    <w:rsid w:val="009F00FA"/>
    <w:rsid w:val="009F50C1"/>
    <w:rsid w:val="00A0505F"/>
    <w:rsid w:val="00A062F4"/>
    <w:rsid w:val="00A15A08"/>
    <w:rsid w:val="00A209EC"/>
    <w:rsid w:val="00A21E7F"/>
    <w:rsid w:val="00A255AF"/>
    <w:rsid w:val="00A4111F"/>
    <w:rsid w:val="00A43EAF"/>
    <w:rsid w:val="00A460B6"/>
    <w:rsid w:val="00A52104"/>
    <w:rsid w:val="00A645C6"/>
    <w:rsid w:val="00A64A28"/>
    <w:rsid w:val="00A76888"/>
    <w:rsid w:val="00A852BB"/>
    <w:rsid w:val="00A87953"/>
    <w:rsid w:val="00A916CA"/>
    <w:rsid w:val="00A9242D"/>
    <w:rsid w:val="00A96E5F"/>
    <w:rsid w:val="00AA07E3"/>
    <w:rsid w:val="00AA4493"/>
    <w:rsid w:val="00AB07F0"/>
    <w:rsid w:val="00AB5383"/>
    <w:rsid w:val="00AB73ED"/>
    <w:rsid w:val="00AB7E78"/>
    <w:rsid w:val="00AC08C5"/>
    <w:rsid w:val="00AC0BFE"/>
    <w:rsid w:val="00AC7653"/>
    <w:rsid w:val="00AD1061"/>
    <w:rsid w:val="00AD1B58"/>
    <w:rsid w:val="00AE2BBB"/>
    <w:rsid w:val="00AE4304"/>
    <w:rsid w:val="00AE5BAB"/>
    <w:rsid w:val="00AE71BD"/>
    <w:rsid w:val="00AF36B6"/>
    <w:rsid w:val="00B05F85"/>
    <w:rsid w:val="00B077DA"/>
    <w:rsid w:val="00B11B0B"/>
    <w:rsid w:val="00B1742D"/>
    <w:rsid w:val="00B24304"/>
    <w:rsid w:val="00B32D38"/>
    <w:rsid w:val="00B34F99"/>
    <w:rsid w:val="00B37306"/>
    <w:rsid w:val="00B44A04"/>
    <w:rsid w:val="00B46142"/>
    <w:rsid w:val="00B51D0C"/>
    <w:rsid w:val="00B52A21"/>
    <w:rsid w:val="00B54240"/>
    <w:rsid w:val="00B60368"/>
    <w:rsid w:val="00B61530"/>
    <w:rsid w:val="00B64638"/>
    <w:rsid w:val="00B66182"/>
    <w:rsid w:val="00B66E1F"/>
    <w:rsid w:val="00B74C10"/>
    <w:rsid w:val="00B809F5"/>
    <w:rsid w:val="00B9627E"/>
    <w:rsid w:val="00BA5E2E"/>
    <w:rsid w:val="00BA6285"/>
    <w:rsid w:val="00BA661C"/>
    <w:rsid w:val="00BA6C33"/>
    <w:rsid w:val="00BB3C85"/>
    <w:rsid w:val="00BB76B9"/>
    <w:rsid w:val="00BC1595"/>
    <w:rsid w:val="00BC30B1"/>
    <w:rsid w:val="00BC55DF"/>
    <w:rsid w:val="00BC7541"/>
    <w:rsid w:val="00BD11AB"/>
    <w:rsid w:val="00BD665D"/>
    <w:rsid w:val="00BE1222"/>
    <w:rsid w:val="00BE13F9"/>
    <w:rsid w:val="00BE1EE7"/>
    <w:rsid w:val="00BE26E1"/>
    <w:rsid w:val="00BE4856"/>
    <w:rsid w:val="00BE488F"/>
    <w:rsid w:val="00BE6028"/>
    <w:rsid w:val="00BE67E7"/>
    <w:rsid w:val="00C0518E"/>
    <w:rsid w:val="00C0518F"/>
    <w:rsid w:val="00C06D94"/>
    <w:rsid w:val="00C07007"/>
    <w:rsid w:val="00C16B04"/>
    <w:rsid w:val="00C17FA0"/>
    <w:rsid w:val="00C244F3"/>
    <w:rsid w:val="00C269DD"/>
    <w:rsid w:val="00C27297"/>
    <w:rsid w:val="00C30319"/>
    <w:rsid w:val="00C36C2C"/>
    <w:rsid w:val="00C37918"/>
    <w:rsid w:val="00C413AD"/>
    <w:rsid w:val="00C434A0"/>
    <w:rsid w:val="00C4588B"/>
    <w:rsid w:val="00C46F4C"/>
    <w:rsid w:val="00C47ACA"/>
    <w:rsid w:val="00C50C9F"/>
    <w:rsid w:val="00C5278B"/>
    <w:rsid w:val="00C55A7C"/>
    <w:rsid w:val="00C641F3"/>
    <w:rsid w:val="00C648CD"/>
    <w:rsid w:val="00C66CB0"/>
    <w:rsid w:val="00C7127A"/>
    <w:rsid w:val="00C74782"/>
    <w:rsid w:val="00C762BD"/>
    <w:rsid w:val="00C84EB8"/>
    <w:rsid w:val="00C874B0"/>
    <w:rsid w:val="00C90B22"/>
    <w:rsid w:val="00CA23CC"/>
    <w:rsid w:val="00CA2B8B"/>
    <w:rsid w:val="00CB20C3"/>
    <w:rsid w:val="00CB50EE"/>
    <w:rsid w:val="00CC2BD0"/>
    <w:rsid w:val="00CC3DE3"/>
    <w:rsid w:val="00CC45DE"/>
    <w:rsid w:val="00CD09D9"/>
    <w:rsid w:val="00CD1EA2"/>
    <w:rsid w:val="00CD335E"/>
    <w:rsid w:val="00CD582A"/>
    <w:rsid w:val="00CE12FB"/>
    <w:rsid w:val="00CE179B"/>
    <w:rsid w:val="00CE2175"/>
    <w:rsid w:val="00CE2ACB"/>
    <w:rsid w:val="00CE3950"/>
    <w:rsid w:val="00CE3F88"/>
    <w:rsid w:val="00CE3FDB"/>
    <w:rsid w:val="00CE4D79"/>
    <w:rsid w:val="00CE52F9"/>
    <w:rsid w:val="00CE62CA"/>
    <w:rsid w:val="00D0790C"/>
    <w:rsid w:val="00D07C3A"/>
    <w:rsid w:val="00D14C09"/>
    <w:rsid w:val="00D17E33"/>
    <w:rsid w:val="00D17F70"/>
    <w:rsid w:val="00D267AB"/>
    <w:rsid w:val="00D323E4"/>
    <w:rsid w:val="00D413DC"/>
    <w:rsid w:val="00D41FA8"/>
    <w:rsid w:val="00D420F3"/>
    <w:rsid w:val="00D42A99"/>
    <w:rsid w:val="00D461EE"/>
    <w:rsid w:val="00D57E19"/>
    <w:rsid w:val="00D61C2F"/>
    <w:rsid w:val="00D67739"/>
    <w:rsid w:val="00D67D33"/>
    <w:rsid w:val="00D77550"/>
    <w:rsid w:val="00D80098"/>
    <w:rsid w:val="00D80EC9"/>
    <w:rsid w:val="00D82287"/>
    <w:rsid w:val="00D8527F"/>
    <w:rsid w:val="00D8590D"/>
    <w:rsid w:val="00D86A75"/>
    <w:rsid w:val="00D90584"/>
    <w:rsid w:val="00D92B61"/>
    <w:rsid w:val="00D97B86"/>
    <w:rsid w:val="00DA56D4"/>
    <w:rsid w:val="00DC34C9"/>
    <w:rsid w:val="00DC4E33"/>
    <w:rsid w:val="00DC605B"/>
    <w:rsid w:val="00DC6EFA"/>
    <w:rsid w:val="00DD0DFA"/>
    <w:rsid w:val="00DE5887"/>
    <w:rsid w:val="00DF2C2B"/>
    <w:rsid w:val="00DF60A0"/>
    <w:rsid w:val="00DF6904"/>
    <w:rsid w:val="00DF738C"/>
    <w:rsid w:val="00DF79B0"/>
    <w:rsid w:val="00E02F9B"/>
    <w:rsid w:val="00E03D09"/>
    <w:rsid w:val="00E04F5E"/>
    <w:rsid w:val="00E14A03"/>
    <w:rsid w:val="00E14C3D"/>
    <w:rsid w:val="00E1585D"/>
    <w:rsid w:val="00E209E9"/>
    <w:rsid w:val="00E2140B"/>
    <w:rsid w:val="00E21CEF"/>
    <w:rsid w:val="00E24CBC"/>
    <w:rsid w:val="00E259BF"/>
    <w:rsid w:val="00E32C4E"/>
    <w:rsid w:val="00E32DB0"/>
    <w:rsid w:val="00E36C3E"/>
    <w:rsid w:val="00E370B3"/>
    <w:rsid w:val="00E40244"/>
    <w:rsid w:val="00E435D8"/>
    <w:rsid w:val="00E43A39"/>
    <w:rsid w:val="00E441BA"/>
    <w:rsid w:val="00E47493"/>
    <w:rsid w:val="00E500DC"/>
    <w:rsid w:val="00E537B8"/>
    <w:rsid w:val="00E563B9"/>
    <w:rsid w:val="00E57CC5"/>
    <w:rsid w:val="00E6161B"/>
    <w:rsid w:val="00E63136"/>
    <w:rsid w:val="00E66DCB"/>
    <w:rsid w:val="00E677C1"/>
    <w:rsid w:val="00E70681"/>
    <w:rsid w:val="00E712C7"/>
    <w:rsid w:val="00E717A2"/>
    <w:rsid w:val="00E71B1E"/>
    <w:rsid w:val="00E71C92"/>
    <w:rsid w:val="00E727A6"/>
    <w:rsid w:val="00E74066"/>
    <w:rsid w:val="00E77AF0"/>
    <w:rsid w:val="00E831F3"/>
    <w:rsid w:val="00E83366"/>
    <w:rsid w:val="00E86C32"/>
    <w:rsid w:val="00E87134"/>
    <w:rsid w:val="00E90B97"/>
    <w:rsid w:val="00E95984"/>
    <w:rsid w:val="00EA331C"/>
    <w:rsid w:val="00EA672D"/>
    <w:rsid w:val="00EA6CC9"/>
    <w:rsid w:val="00EB3860"/>
    <w:rsid w:val="00EB3F9B"/>
    <w:rsid w:val="00EB48B8"/>
    <w:rsid w:val="00EB626F"/>
    <w:rsid w:val="00EB6D85"/>
    <w:rsid w:val="00EB6FDD"/>
    <w:rsid w:val="00EC434B"/>
    <w:rsid w:val="00EC5D88"/>
    <w:rsid w:val="00ED097F"/>
    <w:rsid w:val="00ED3C28"/>
    <w:rsid w:val="00ED3E68"/>
    <w:rsid w:val="00EE57D9"/>
    <w:rsid w:val="00EF3E63"/>
    <w:rsid w:val="00EF432D"/>
    <w:rsid w:val="00EF7AD7"/>
    <w:rsid w:val="00F00618"/>
    <w:rsid w:val="00F043FA"/>
    <w:rsid w:val="00F04465"/>
    <w:rsid w:val="00F11D8F"/>
    <w:rsid w:val="00F1645C"/>
    <w:rsid w:val="00F25A43"/>
    <w:rsid w:val="00F25F5F"/>
    <w:rsid w:val="00F2668D"/>
    <w:rsid w:val="00F27C5D"/>
    <w:rsid w:val="00F305FF"/>
    <w:rsid w:val="00F31FD2"/>
    <w:rsid w:val="00F34100"/>
    <w:rsid w:val="00F347C3"/>
    <w:rsid w:val="00F3520C"/>
    <w:rsid w:val="00F5360F"/>
    <w:rsid w:val="00F5482A"/>
    <w:rsid w:val="00F60762"/>
    <w:rsid w:val="00F628E4"/>
    <w:rsid w:val="00F634D7"/>
    <w:rsid w:val="00F67744"/>
    <w:rsid w:val="00F7140E"/>
    <w:rsid w:val="00F741D8"/>
    <w:rsid w:val="00F87076"/>
    <w:rsid w:val="00F904F1"/>
    <w:rsid w:val="00FA1397"/>
    <w:rsid w:val="00FA346F"/>
    <w:rsid w:val="00FA4F8F"/>
    <w:rsid w:val="00FA51AA"/>
    <w:rsid w:val="00FB1020"/>
    <w:rsid w:val="00FC202D"/>
    <w:rsid w:val="00FC3DB7"/>
    <w:rsid w:val="00FC585F"/>
    <w:rsid w:val="00FC623D"/>
    <w:rsid w:val="00FC7D61"/>
    <w:rsid w:val="00FD051F"/>
    <w:rsid w:val="00FD12C1"/>
    <w:rsid w:val="00FD130B"/>
    <w:rsid w:val="00FE0373"/>
    <w:rsid w:val="00FE38E2"/>
    <w:rsid w:val="00FE56A3"/>
    <w:rsid w:val="00FE58C1"/>
    <w:rsid w:val="00FF5EF3"/>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FFF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B12FD"/>
    <w:rPr>
      <w:sz w:val="24"/>
      <w:szCs w:val="24"/>
      <w:lang w:val="en-GB"/>
    </w:rPr>
  </w:style>
  <w:style w:type="paragraph" w:styleId="Heading1">
    <w:name w:val="heading 1"/>
    <w:basedOn w:val="Normal"/>
    <w:next w:val="Normal"/>
    <w:link w:val="Heading1Char"/>
    <w:uiPriority w:val="98"/>
    <w:semiHidden/>
    <w:rsid w:val="005B12F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5B12F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5B12FD"/>
    <w:pPr>
      <w:spacing w:before="200" w:line="271" w:lineRule="auto"/>
      <w:outlineLvl w:val="2"/>
    </w:pPr>
    <w:rPr>
      <w:rFonts w:asciiTheme="majorHAnsi" w:eastAsiaTheme="majorEastAsia" w:hAnsiTheme="majorHAnsi" w:cstheme="majorBidi"/>
      <w:b/>
      <w:bCs/>
      <w:color w:val="5F5F5F"/>
      <w:sz w:val="22"/>
    </w:rPr>
  </w:style>
  <w:style w:type="paragraph" w:styleId="Heading4">
    <w:name w:val="heading 4"/>
    <w:basedOn w:val="Normal"/>
    <w:next w:val="Normal"/>
    <w:link w:val="Heading4Char"/>
    <w:uiPriority w:val="98"/>
    <w:semiHidden/>
    <w:rsid w:val="005B12FD"/>
    <w:pPr>
      <w:spacing w:before="200"/>
      <w:outlineLvl w:val="3"/>
    </w:pPr>
    <w:rPr>
      <w:rFonts w:asciiTheme="majorHAnsi" w:eastAsiaTheme="majorEastAsia" w:hAnsiTheme="majorHAnsi" w:cstheme="majorBidi"/>
      <w:b/>
      <w:bCs/>
      <w:i/>
      <w:iCs/>
      <w:color w:val="777777"/>
      <w:sz w:val="22"/>
    </w:rPr>
  </w:style>
  <w:style w:type="paragraph" w:styleId="Heading5">
    <w:name w:val="heading 5"/>
    <w:basedOn w:val="Normal"/>
    <w:next w:val="Normal"/>
    <w:link w:val="Heading5Char"/>
    <w:uiPriority w:val="98"/>
    <w:semiHidden/>
    <w:qFormat/>
    <w:rsid w:val="005B12FD"/>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8"/>
    <w:semiHidden/>
    <w:rsid w:val="005B12FD"/>
    <w:pPr>
      <w:spacing w:line="271" w:lineRule="auto"/>
      <w:outlineLvl w:val="5"/>
    </w:pPr>
    <w:rPr>
      <w:rFonts w:asciiTheme="majorHAnsi" w:eastAsiaTheme="majorEastAsia" w:hAnsiTheme="majorHAnsi" w:cstheme="majorBidi"/>
      <w:b/>
      <w:bCs/>
      <w:i/>
      <w:iCs/>
      <w:color w:val="7F7F7F" w:themeColor="text1" w:themeTint="80"/>
      <w:sz w:val="22"/>
      <w:lang w:bidi="en-US"/>
    </w:rPr>
  </w:style>
  <w:style w:type="paragraph" w:styleId="Heading7">
    <w:name w:val="heading 7"/>
    <w:basedOn w:val="Normal"/>
    <w:next w:val="Normal"/>
    <w:link w:val="Heading7Char"/>
    <w:uiPriority w:val="98"/>
    <w:semiHidden/>
    <w:qFormat/>
    <w:rsid w:val="005B12FD"/>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8"/>
    <w:semiHidden/>
    <w:qFormat/>
    <w:rsid w:val="005B12F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5B12F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5B12FD"/>
    <w:rPr>
      <w:rFonts w:ascii="Tahoma" w:hAnsi="Tahoma" w:cs="Tahoma"/>
      <w:sz w:val="16"/>
      <w:szCs w:val="16"/>
    </w:rPr>
  </w:style>
  <w:style w:type="character" w:customStyle="1" w:styleId="BalloonTextChar">
    <w:name w:val="Balloon Text Char"/>
    <w:basedOn w:val="DefaultParagraphFont"/>
    <w:link w:val="BalloonText"/>
    <w:uiPriority w:val="98"/>
    <w:semiHidden/>
    <w:rsid w:val="005B12FD"/>
    <w:rPr>
      <w:rFonts w:ascii="Tahoma" w:hAnsi="Tahoma" w:cs="Tahoma"/>
      <w:sz w:val="16"/>
      <w:szCs w:val="16"/>
      <w:lang w:val="en-GB"/>
    </w:rPr>
  </w:style>
  <w:style w:type="character" w:styleId="BookTitle">
    <w:name w:val="Book Title"/>
    <w:uiPriority w:val="98"/>
    <w:semiHidden/>
    <w:qFormat/>
    <w:rsid w:val="005B12FD"/>
    <w:rPr>
      <w:i/>
      <w:iCs/>
      <w:smallCaps/>
      <w:spacing w:val="5"/>
    </w:rPr>
  </w:style>
  <w:style w:type="paragraph" w:customStyle="1" w:styleId="JuHeader">
    <w:name w:val="Ju_Header"/>
    <w:aliases w:val="_Header"/>
    <w:basedOn w:val="Header"/>
    <w:uiPriority w:val="29"/>
    <w:qFormat/>
    <w:rsid w:val="005B12FD"/>
    <w:pPr>
      <w:tabs>
        <w:tab w:val="clear" w:pos="4536"/>
        <w:tab w:val="clear" w:pos="9072"/>
      </w:tabs>
      <w:jc w:val="center"/>
    </w:pPr>
    <w:rPr>
      <w:sz w:val="18"/>
    </w:rPr>
  </w:style>
  <w:style w:type="paragraph" w:customStyle="1" w:styleId="ECHRFooter">
    <w:name w:val="ECHR_Footer"/>
    <w:aliases w:val="_Footer"/>
    <w:basedOn w:val="Footer"/>
    <w:uiPriority w:val="30"/>
    <w:semiHidden/>
    <w:rsid w:val="005B12FD"/>
    <w:rPr>
      <w:sz w:val="8"/>
    </w:rPr>
  </w:style>
  <w:style w:type="character" w:styleId="Strong">
    <w:name w:val="Strong"/>
    <w:uiPriority w:val="98"/>
    <w:semiHidden/>
    <w:qFormat/>
    <w:rsid w:val="005B12FD"/>
    <w:rPr>
      <w:b/>
      <w:bCs/>
    </w:rPr>
  </w:style>
  <w:style w:type="paragraph" w:styleId="NoSpacing">
    <w:name w:val="No Spacing"/>
    <w:basedOn w:val="Normal"/>
    <w:link w:val="NoSpacingChar"/>
    <w:uiPriority w:val="98"/>
    <w:semiHidden/>
    <w:qFormat/>
    <w:rsid w:val="005B12FD"/>
  </w:style>
  <w:style w:type="character" w:customStyle="1" w:styleId="NoSpacingChar">
    <w:name w:val="No Spacing Char"/>
    <w:basedOn w:val="DefaultParagraphFont"/>
    <w:link w:val="NoSpacing"/>
    <w:uiPriority w:val="98"/>
    <w:semiHidden/>
    <w:rsid w:val="005B12FD"/>
    <w:rPr>
      <w:sz w:val="24"/>
      <w:szCs w:val="24"/>
      <w:lang w:val="en-GB"/>
    </w:rPr>
  </w:style>
  <w:style w:type="paragraph" w:customStyle="1" w:styleId="ECHRFooterLine">
    <w:name w:val="ECHR_Footer_Line"/>
    <w:aliases w:val="_Footer_Line"/>
    <w:basedOn w:val="Normal"/>
    <w:next w:val="ECHRFooter"/>
    <w:uiPriority w:val="30"/>
    <w:semiHidden/>
    <w:rsid w:val="005B12FD"/>
    <w:pPr>
      <w:pBdr>
        <w:top w:val="single" w:sz="6" w:space="1" w:color="5F5F5F"/>
      </w:pBdr>
      <w:tabs>
        <w:tab w:val="center" w:pos="3686"/>
        <w:tab w:val="right" w:pos="7371"/>
      </w:tabs>
      <w:ind w:left="-1474" w:right="-1474"/>
    </w:pPr>
    <w:rPr>
      <w:color w:val="5F5F5F"/>
    </w:rPr>
  </w:style>
  <w:style w:type="paragraph" w:customStyle="1" w:styleId="DecHTitle">
    <w:name w:val="Dec_H_Title"/>
    <w:basedOn w:val="ECHRTitleCentre1"/>
    <w:uiPriority w:val="7"/>
    <w:semiHidden/>
    <w:qFormat/>
    <w:rsid w:val="00670865"/>
  </w:style>
  <w:style w:type="paragraph" w:customStyle="1" w:styleId="DecList">
    <w:name w:val="Dec_List"/>
    <w:aliases w:val="_List"/>
    <w:basedOn w:val="Normal"/>
    <w:uiPriority w:val="22"/>
    <w:rsid w:val="005B12FD"/>
    <w:pPr>
      <w:spacing w:before="280" w:after="60"/>
      <w:ind w:left="284"/>
    </w:pPr>
  </w:style>
  <w:style w:type="paragraph" w:customStyle="1" w:styleId="ECHRBullet1">
    <w:name w:val="ECHR_Bullet_1"/>
    <w:aliases w:val="_Bul_1"/>
    <w:basedOn w:val="Normal"/>
    <w:uiPriority w:val="23"/>
    <w:semiHidden/>
    <w:qFormat/>
    <w:rsid w:val="005B12FD"/>
    <w:pPr>
      <w:numPr>
        <w:numId w:val="6"/>
      </w:numPr>
      <w:spacing w:before="60" w:after="60"/>
    </w:pPr>
  </w:style>
  <w:style w:type="paragraph" w:customStyle="1" w:styleId="ECHRTitleCentre3">
    <w:name w:val="ECHR_Title_Centre_3"/>
    <w:aliases w:val="_Title_C_3"/>
    <w:basedOn w:val="Normal"/>
    <w:next w:val="Normal"/>
    <w:uiPriority w:val="26"/>
    <w:qFormat/>
    <w:rsid w:val="005B12FD"/>
    <w:pPr>
      <w:keepNext/>
      <w:keepLines/>
      <w:spacing w:before="240"/>
      <w:contextualSpacing/>
      <w:jc w:val="center"/>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5B12FD"/>
    <w:pPr>
      <w:keepNext/>
      <w:keepLines/>
      <w:spacing w:before="240"/>
      <w:contextualSpacing/>
      <w:jc w:val="center"/>
    </w:pPr>
    <w:rPr>
      <w:rFonts w:asciiTheme="majorHAnsi" w:hAnsiTheme="majorHAnsi"/>
      <w:b/>
      <w:color w:val="2F2F2F" w:themeColor="accent3" w:themeShade="80"/>
      <w:sz w:val="32"/>
    </w:rPr>
  </w:style>
  <w:style w:type="paragraph" w:customStyle="1" w:styleId="JuAppQuestion">
    <w:name w:val="Ju_App_Question"/>
    <w:basedOn w:val="Normal"/>
    <w:uiPriority w:val="5"/>
    <w:semiHidden/>
    <w:qFormat/>
    <w:rsid w:val="00670865"/>
    <w:pPr>
      <w:numPr>
        <w:numId w:val="1"/>
      </w:numPr>
    </w:pPr>
    <w:rPr>
      <w:b/>
    </w:rPr>
  </w:style>
  <w:style w:type="paragraph" w:customStyle="1" w:styleId="JuCourt">
    <w:name w:val="Ju_Court"/>
    <w:aliases w:val="_Court_Names"/>
    <w:basedOn w:val="Normal"/>
    <w:next w:val="Normal"/>
    <w:uiPriority w:val="32"/>
    <w:qFormat/>
    <w:rsid w:val="005B12FD"/>
    <w:pPr>
      <w:tabs>
        <w:tab w:val="left" w:pos="907"/>
        <w:tab w:val="left" w:pos="1701"/>
        <w:tab w:val="right" w:pos="7371"/>
      </w:tabs>
      <w:spacing w:before="240"/>
      <w:ind w:left="397" w:hanging="397"/>
    </w:pPr>
    <w:rPr>
      <w:lang w:bidi="en-US"/>
    </w:rPr>
  </w:style>
  <w:style w:type="paragraph" w:customStyle="1" w:styleId="JuHeaderLandscape">
    <w:name w:val="Ju_Header_Landscape"/>
    <w:basedOn w:val="JuHeader"/>
    <w:uiPriority w:val="4"/>
    <w:qFormat/>
    <w:rsid w:val="00670865"/>
    <w:pPr>
      <w:tabs>
        <w:tab w:val="center" w:pos="6146"/>
        <w:tab w:val="right" w:pos="12293"/>
      </w:tabs>
    </w:pPr>
  </w:style>
  <w:style w:type="paragraph" w:customStyle="1" w:styleId="DecHCase">
    <w:name w:val="Dec_H_Case"/>
    <w:aliases w:val="_Title_3"/>
    <w:basedOn w:val="JuPara"/>
    <w:next w:val="JuPara"/>
    <w:uiPriority w:val="38"/>
    <w:qFormat/>
    <w:rsid w:val="005B12FD"/>
    <w:pPr>
      <w:keepNext/>
      <w:keepLines/>
      <w:spacing w:after="280"/>
      <w:ind w:firstLine="0"/>
      <w:jc w:val="center"/>
    </w:pPr>
    <w:rPr>
      <w:rFonts w:asciiTheme="majorHAnsi" w:hAnsiTheme="majorHAnsi"/>
    </w:rPr>
  </w:style>
  <w:style w:type="paragraph" w:customStyle="1" w:styleId="JuInitialled">
    <w:name w:val="Ju_Initialled"/>
    <w:aliases w:val="_Right"/>
    <w:basedOn w:val="Normal"/>
    <w:uiPriority w:val="30"/>
    <w:qFormat/>
    <w:rsid w:val="005B12FD"/>
    <w:pPr>
      <w:tabs>
        <w:tab w:val="center" w:pos="6407"/>
      </w:tabs>
      <w:spacing w:before="720"/>
      <w:jc w:val="right"/>
    </w:pPr>
  </w:style>
  <w:style w:type="paragraph" w:styleId="Title">
    <w:name w:val="Title"/>
    <w:basedOn w:val="Normal"/>
    <w:next w:val="Normal"/>
    <w:link w:val="TitleChar"/>
    <w:uiPriority w:val="98"/>
    <w:semiHidden/>
    <w:qFormat/>
    <w:rsid w:val="005B12F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5B12FD"/>
    <w:rPr>
      <w:rFonts w:asciiTheme="majorHAnsi" w:eastAsiaTheme="majorEastAsia" w:hAnsiTheme="majorHAnsi" w:cstheme="majorBidi"/>
      <w:spacing w:val="5"/>
      <w:sz w:val="52"/>
      <w:szCs w:val="52"/>
      <w:lang w:val="en-GB" w:bidi="en-US"/>
    </w:rPr>
  </w:style>
  <w:style w:type="paragraph" w:customStyle="1" w:styleId="JuH1">
    <w:name w:val="Ju_H_1."/>
    <w:aliases w:val="_Head_4"/>
    <w:basedOn w:val="Heading4"/>
    <w:next w:val="Normal"/>
    <w:uiPriority w:val="17"/>
    <w:rsid w:val="005B12FD"/>
    <w:pPr>
      <w:keepNext/>
      <w:keepLines/>
      <w:numPr>
        <w:ilvl w:val="3"/>
        <w:numId w:val="2"/>
      </w:numPr>
      <w:spacing w:before="100" w:beforeAutospacing="1" w:after="120"/>
    </w:pPr>
    <w:rPr>
      <w:b w:val="0"/>
      <w:color w:val="auto"/>
    </w:rPr>
  </w:style>
  <w:style w:type="paragraph" w:customStyle="1" w:styleId="JuHa0">
    <w:name w:val="Ju_H_a"/>
    <w:aliases w:val="_Head_5"/>
    <w:basedOn w:val="Heading5"/>
    <w:next w:val="Normal"/>
    <w:uiPriority w:val="17"/>
    <w:rsid w:val="005B12FD"/>
    <w:pPr>
      <w:keepNext/>
      <w:keepLines/>
      <w:numPr>
        <w:ilvl w:val="4"/>
        <w:numId w:val="2"/>
      </w:numPr>
      <w:spacing w:before="100" w:beforeAutospacing="1" w:after="120"/>
    </w:pPr>
    <w:rPr>
      <w:color w:val="auto"/>
      <w:sz w:val="20"/>
    </w:rPr>
  </w:style>
  <w:style w:type="paragraph" w:customStyle="1" w:styleId="JuHi">
    <w:name w:val="Ju_H_i"/>
    <w:aliases w:val="_Head_6"/>
    <w:basedOn w:val="Heading6"/>
    <w:next w:val="Normal"/>
    <w:uiPriority w:val="17"/>
    <w:rsid w:val="005B12FD"/>
    <w:pPr>
      <w:keepNext/>
      <w:keepLines/>
      <w:numPr>
        <w:ilvl w:val="5"/>
        <w:numId w:val="2"/>
      </w:numPr>
      <w:tabs>
        <w:tab w:val="left" w:pos="1077"/>
        <w:tab w:val="left" w:pos="1134"/>
        <w:tab w:val="left" w:pos="1191"/>
        <w:tab w:val="left" w:pos="1247"/>
      </w:tabs>
      <w:spacing w:before="100" w:beforeAutospacing="1" w:after="120"/>
    </w:pPr>
    <w:rPr>
      <w:b w:val="0"/>
      <w:color w:val="auto"/>
      <w:sz w:val="20"/>
    </w:rPr>
  </w:style>
  <w:style w:type="paragraph" w:customStyle="1" w:styleId="JuHalpha">
    <w:name w:val="Ju_H_alpha"/>
    <w:aliases w:val="_Head_7"/>
    <w:basedOn w:val="Heading7"/>
    <w:next w:val="Normal"/>
    <w:uiPriority w:val="17"/>
    <w:rsid w:val="005B12FD"/>
    <w:pPr>
      <w:keepNext/>
      <w:keepLines/>
      <w:numPr>
        <w:ilvl w:val="6"/>
        <w:numId w:val="2"/>
      </w:numPr>
      <w:tabs>
        <w:tab w:val="left" w:pos="1361"/>
      </w:tabs>
      <w:spacing w:before="100" w:beforeAutospacing="1" w:after="120"/>
    </w:pPr>
    <w:rPr>
      <w:i w:val="0"/>
      <w:sz w:val="20"/>
    </w:rPr>
  </w:style>
  <w:style w:type="paragraph" w:customStyle="1" w:styleId="JuH">
    <w:name w:val="Ju_H_–"/>
    <w:aliases w:val="_Head_8"/>
    <w:basedOn w:val="Heading8"/>
    <w:next w:val="Normal"/>
    <w:uiPriority w:val="17"/>
    <w:rsid w:val="005B12FD"/>
    <w:pPr>
      <w:keepNext/>
      <w:keepLines/>
      <w:numPr>
        <w:ilvl w:val="7"/>
        <w:numId w:val="2"/>
      </w:numPr>
      <w:spacing w:before="100" w:beforeAutospacing="1" w:after="120"/>
    </w:pPr>
    <w:rPr>
      <w:i/>
    </w:rPr>
  </w:style>
  <w:style w:type="paragraph" w:customStyle="1" w:styleId="JuQuotSub">
    <w:name w:val="Ju_Quot_Sub"/>
    <w:basedOn w:val="JuQuot"/>
    <w:uiPriority w:val="15"/>
    <w:qFormat/>
    <w:rsid w:val="00670865"/>
    <w:pPr>
      <w:ind w:left="567"/>
    </w:pPr>
  </w:style>
  <w:style w:type="paragraph" w:customStyle="1" w:styleId="JuListi">
    <w:name w:val="Ju_List_i"/>
    <w:aliases w:val="_List_3"/>
    <w:basedOn w:val="Normal"/>
    <w:uiPriority w:val="23"/>
    <w:rsid w:val="005B12FD"/>
    <w:pPr>
      <w:numPr>
        <w:ilvl w:val="2"/>
        <w:numId w:val="7"/>
      </w:numPr>
    </w:pPr>
  </w:style>
  <w:style w:type="character" w:customStyle="1" w:styleId="JUNAMES">
    <w:name w:val="JU_NAMES"/>
    <w:aliases w:val="_Ju_Names"/>
    <w:uiPriority w:val="33"/>
    <w:qFormat/>
    <w:rsid w:val="005B12FD"/>
    <w:rPr>
      <w:caps w:val="0"/>
      <w:smallCaps/>
    </w:rPr>
  </w:style>
  <w:style w:type="paragraph" w:styleId="Header">
    <w:name w:val="header"/>
    <w:basedOn w:val="Normal"/>
    <w:link w:val="HeaderChar"/>
    <w:uiPriority w:val="98"/>
    <w:semiHidden/>
    <w:rsid w:val="005B12FD"/>
    <w:pPr>
      <w:tabs>
        <w:tab w:val="center" w:pos="4536"/>
        <w:tab w:val="right" w:pos="9072"/>
      </w:tabs>
    </w:pPr>
  </w:style>
  <w:style w:type="character" w:customStyle="1" w:styleId="HeaderChar">
    <w:name w:val="Header Char"/>
    <w:basedOn w:val="DefaultParagraphFont"/>
    <w:link w:val="Header"/>
    <w:uiPriority w:val="98"/>
    <w:semiHidden/>
    <w:rsid w:val="005B12FD"/>
    <w:rPr>
      <w:sz w:val="24"/>
      <w:szCs w:val="24"/>
      <w:lang w:val="en-GB"/>
    </w:rPr>
  </w:style>
  <w:style w:type="character" w:customStyle="1" w:styleId="Heading1Char">
    <w:name w:val="Heading 1 Char"/>
    <w:basedOn w:val="DefaultParagraphFont"/>
    <w:link w:val="Heading1"/>
    <w:uiPriority w:val="98"/>
    <w:semiHidden/>
    <w:rsid w:val="005B12FD"/>
    <w:rPr>
      <w:rFonts w:asciiTheme="majorHAnsi" w:eastAsiaTheme="majorEastAsia" w:hAnsiTheme="majorHAnsi" w:cstheme="majorBidi"/>
      <w:b/>
      <w:bCs/>
      <w:color w:val="333333"/>
      <w:sz w:val="28"/>
      <w:szCs w:val="28"/>
      <w:lang w:val="en-GB"/>
    </w:rPr>
  </w:style>
  <w:style w:type="paragraph" w:customStyle="1" w:styleId="JuHIRoman">
    <w:name w:val="Ju_H_I_Roman"/>
    <w:aliases w:val="_Head_2"/>
    <w:basedOn w:val="Heading2"/>
    <w:next w:val="Normal"/>
    <w:uiPriority w:val="17"/>
    <w:qFormat/>
    <w:rsid w:val="005B12FD"/>
    <w:pPr>
      <w:keepNext/>
      <w:keepLines/>
      <w:numPr>
        <w:ilvl w:val="1"/>
        <w:numId w:val="2"/>
      </w:numPr>
      <w:tabs>
        <w:tab w:val="left" w:pos="454"/>
        <w:tab w:val="left" w:pos="567"/>
        <w:tab w:val="left" w:pos="680"/>
      </w:tabs>
      <w:spacing w:before="100" w:beforeAutospacing="1" w:after="240"/>
    </w:pPr>
    <w:rPr>
      <w:b w:val="0"/>
      <w:caps/>
      <w:color w:val="auto"/>
      <w:sz w:val="24"/>
    </w:rPr>
  </w:style>
  <w:style w:type="paragraph" w:customStyle="1" w:styleId="JuHA">
    <w:name w:val="Ju_H_A"/>
    <w:aliases w:val="_Head_3"/>
    <w:basedOn w:val="Heading3"/>
    <w:next w:val="Normal"/>
    <w:link w:val="JuHAChar"/>
    <w:uiPriority w:val="17"/>
    <w:qFormat/>
    <w:rsid w:val="005B12FD"/>
    <w:pPr>
      <w:keepNext/>
      <w:keepLines/>
      <w:numPr>
        <w:ilvl w:val="2"/>
        <w:numId w:val="2"/>
      </w:numPr>
      <w:spacing w:before="100" w:beforeAutospacing="1" w:after="240" w:line="240" w:lineRule="auto"/>
    </w:pPr>
    <w:rPr>
      <w:color w:val="auto"/>
    </w:rPr>
  </w:style>
  <w:style w:type="character" w:customStyle="1" w:styleId="Heading2Char">
    <w:name w:val="Heading 2 Char"/>
    <w:basedOn w:val="DefaultParagraphFont"/>
    <w:link w:val="Heading2"/>
    <w:uiPriority w:val="98"/>
    <w:semiHidden/>
    <w:rsid w:val="005B12FD"/>
    <w:rPr>
      <w:rFonts w:asciiTheme="majorHAnsi" w:eastAsiaTheme="majorEastAsia" w:hAnsiTheme="majorHAnsi" w:cstheme="majorBidi"/>
      <w:b/>
      <w:bCs/>
      <w:color w:val="4D4D4D"/>
      <w:sz w:val="26"/>
      <w:szCs w:val="26"/>
      <w:lang w:val="en-GB"/>
    </w:rPr>
  </w:style>
  <w:style w:type="paragraph" w:customStyle="1" w:styleId="JuParaSub">
    <w:name w:val="Ju_Para_Sub"/>
    <w:basedOn w:val="JuPara"/>
    <w:uiPriority w:val="13"/>
    <w:qFormat/>
    <w:rsid w:val="00670865"/>
    <w:pPr>
      <w:ind w:left="284"/>
    </w:pPr>
  </w:style>
  <w:style w:type="paragraph" w:customStyle="1" w:styleId="JuCase">
    <w:name w:val="Ju_Case"/>
    <w:aliases w:val="_Case_Name"/>
    <w:basedOn w:val="Normal"/>
    <w:next w:val="Normal"/>
    <w:uiPriority w:val="32"/>
    <w:rsid w:val="005B12FD"/>
    <w:pPr>
      <w:ind w:firstLine="284"/>
    </w:pPr>
    <w:rPr>
      <w:b/>
    </w:rPr>
  </w:style>
  <w:style w:type="character" w:customStyle="1" w:styleId="Heading3Char">
    <w:name w:val="Heading 3 Char"/>
    <w:basedOn w:val="DefaultParagraphFont"/>
    <w:link w:val="Heading3"/>
    <w:uiPriority w:val="98"/>
    <w:semiHidden/>
    <w:rsid w:val="005B12FD"/>
    <w:rPr>
      <w:rFonts w:asciiTheme="majorHAnsi" w:eastAsiaTheme="majorEastAsia" w:hAnsiTheme="majorHAnsi" w:cstheme="majorBidi"/>
      <w:b/>
      <w:bCs/>
      <w:color w:val="5F5F5F"/>
      <w:lang w:val="en-GB"/>
    </w:rPr>
  </w:style>
  <w:style w:type="character" w:customStyle="1" w:styleId="Heading4Char">
    <w:name w:val="Heading 4 Char"/>
    <w:basedOn w:val="DefaultParagraphFont"/>
    <w:link w:val="Heading4"/>
    <w:uiPriority w:val="98"/>
    <w:semiHidden/>
    <w:rsid w:val="005B12FD"/>
    <w:rPr>
      <w:rFonts w:asciiTheme="majorHAnsi" w:eastAsiaTheme="majorEastAsia" w:hAnsiTheme="majorHAnsi" w:cstheme="majorBidi"/>
      <w:b/>
      <w:bCs/>
      <w:i/>
      <w:iCs/>
      <w:color w:val="777777"/>
      <w:lang w:val="en-GB"/>
    </w:rPr>
  </w:style>
  <w:style w:type="character" w:customStyle="1" w:styleId="Heading5Char">
    <w:name w:val="Heading 5 Char"/>
    <w:basedOn w:val="DefaultParagraphFont"/>
    <w:link w:val="Heading5"/>
    <w:uiPriority w:val="98"/>
    <w:semiHidden/>
    <w:rsid w:val="005B12FD"/>
    <w:rPr>
      <w:rFonts w:asciiTheme="majorHAnsi" w:eastAsiaTheme="majorEastAsia" w:hAnsiTheme="majorHAnsi" w:cstheme="majorBidi"/>
      <w:b/>
      <w:bCs/>
      <w:color w:val="808080"/>
      <w:lang w:val="en-GB"/>
    </w:rPr>
  </w:style>
  <w:style w:type="character" w:styleId="SubtleEmphasis">
    <w:name w:val="Subtle Emphasis"/>
    <w:uiPriority w:val="98"/>
    <w:semiHidden/>
    <w:qFormat/>
    <w:rsid w:val="005B12FD"/>
    <w:rPr>
      <w:i/>
      <w:iCs/>
    </w:rPr>
  </w:style>
  <w:style w:type="table" w:customStyle="1" w:styleId="ECHRTable">
    <w:name w:val="ECHR_Table"/>
    <w:basedOn w:val="TableNormal"/>
    <w:rsid w:val="005B12F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B12F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HHead">
    <w:name w:val="Ju_H_Head"/>
    <w:aliases w:val="_Head_1"/>
    <w:basedOn w:val="Heading1"/>
    <w:next w:val="Normal"/>
    <w:uiPriority w:val="17"/>
    <w:qFormat/>
    <w:rsid w:val="005B12FD"/>
    <w:pPr>
      <w:keepNext/>
      <w:keepLines/>
      <w:numPr>
        <w:numId w:val="2"/>
      </w:numPr>
      <w:spacing w:before="100" w:beforeAutospacing="1" w:after="240"/>
      <w:contextualSpacing w:val="0"/>
    </w:pPr>
    <w:rPr>
      <w:b w:val="0"/>
      <w:caps/>
      <w:color w:val="auto"/>
    </w:rPr>
  </w:style>
  <w:style w:type="character" w:styleId="Emphasis">
    <w:name w:val="Emphasis"/>
    <w:uiPriority w:val="98"/>
    <w:semiHidden/>
    <w:qFormat/>
    <w:rsid w:val="005B12FD"/>
    <w:rPr>
      <w:b/>
      <w:bCs/>
      <w:i/>
      <w:iCs/>
      <w:spacing w:val="10"/>
      <w:bdr w:val="none" w:sz="0" w:space="0" w:color="auto"/>
      <w:shd w:val="clear" w:color="auto" w:fill="auto"/>
    </w:rPr>
  </w:style>
  <w:style w:type="paragraph" w:styleId="Footer">
    <w:name w:val="footer"/>
    <w:basedOn w:val="Normal"/>
    <w:link w:val="FooterChar"/>
    <w:uiPriority w:val="98"/>
    <w:semiHidden/>
    <w:rsid w:val="005B12FD"/>
    <w:pPr>
      <w:tabs>
        <w:tab w:val="center" w:pos="3686"/>
        <w:tab w:val="right" w:pos="7371"/>
      </w:tabs>
    </w:pPr>
  </w:style>
  <w:style w:type="character" w:customStyle="1" w:styleId="FooterChar">
    <w:name w:val="Footer Char"/>
    <w:basedOn w:val="DefaultParagraphFont"/>
    <w:link w:val="Footer"/>
    <w:uiPriority w:val="98"/>
    <w:rsid w:val="005B12FD"/>
    <w:rPr>
      <w:sz w:val="24"/>
      <w:szCs w:val="24"/>
      <w:lang w:val="en-GB"/>
    </w:rPr>
  </w:style>
  <w:style w:type="character" w:styleId="FootnoteReference">
    <w:name w:val="footnote reference"/>
    <w:basedOn w:val="DefaultParagraphFont"/>
    <w:uiPriority w:val="98"/>
    <w:semiHidden/>
    <w:rsid w:val="005B12FD"/>
    <w:rPr>
      <w:vertAlign w:val="superscript"/>
    </w:rPr>
  </w:style>
  <w:style w:type="paragraph" w:styleId="FootnoteText">
    <w:name w:val="footnote text"/>
    <w:basedOn w:val="Normal"/>
    <w:link w:val="FootnoteTextChar"/>
    <w:uiPriority w:val="98"/>
    <w:semiHidden/>
    <w:rsid w:val="005B12FD"/>
    <w:rPr>
      <w:sz w:val="20"/>
      <w:szCs w:val="20"/>
    </w:rPr>
  </w:style>
  <w:style w:type="character" w:customStyle="1" w:styleId="FootnoteTextChar">
    <w:name w:val="Footnote Text Char"/>
    <w:basedOn w:val="DefaultParagraphFont"/>
    <w:link w:val="FootnoteText"/>
    <w:uiPriority w:val="98"/>
    <w:semiHidden/>
    <w:rsid w:val="005B12FD"/>
    <w:rPr>
      <w:sz w:val="20"/>
      <w:szCs w:val="20"/>
      <w:lang w:val="en-GB"/>
    </w:rPr>
  </w:style>
  <w:style w:type="character" w:customStyle="1" w:styleId="Heading6Char">
    <w:name w:val="Heading 6 Char"/>
    <w:basedOn w:val="DefaultParagraphFont"/>
    <w:link w:val="Heading6"/>
    <w:uiPriority w:val="98"/>
    <w:semiHidden/>
    <w:rsid w:val="005B12FD"/>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5B12FD"/>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5B12FD"/>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5B12FD"/>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5B12FD"/>
    <w:rPr>
      <w:color w:val="0072BC" w:themeColor="hyperlink"/>
      <w:u w:val="single"/>
    </w:rPr>
  </w:style>
  <w:style w:type="character" w:styleId="IntenseEmphasis">
    <w:name w:val="Intense Emphasis"/>
    <w:uiPriority w:val="98"/>
    <w:semiHidden/>
    <w:qFormat/>
    <w:rsid w:val="005B12FD"/>
    <w:rPr>
      <w:b/>
      <w:bCs/>
    </w:rPr>
  </w:style>
  <w:style w:type="paragraph" w:styleId="IntenseQuote">
    <w:name w:val="Intense Quote"/>
    <w:basedOn w:val="Normal"/>
    <w:next w:val="Normal"/>
    <w:link w:val="IntenseQuoteChar"/>
    <w:uiPriority w:val="98"/>
    <w:semiHidden/>
    <w:qFormat/>
    <w:rsid w:val="005B12FD"/>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5B12FD"/>
    <w:rPr>
      <w:b/>
      <w:bCs/>
      <w:i/>
      <w:iCs/>
      <w:sz w:val="24"/>
      <w:szCs w:val="24"/>
      <w:lang w:val="en-GB" w:bidi="en-US"/>
    </w:rPr>
  </w:style>
  <w:style w:type="character" w:styleId="IntenseReference">
    <w:name w:val="Intense Reference"/>
    <w:uiPriority w:val="98"/>
    <w:semiHidden/>
    <w:qFormat/>
    <w:rsid w:val="005B12FD"/>
    <w:rPr>
      <w:smallCaps/>
      <w:spacing w:val="5"/>
      <w:u w:val="single"/>
    </w:rPr>
  </w:style>
  <w:style w:type="paragraph" w:styleId="ListParagraph">
    <w:name w:val="List Paragraph"/>
    <w:basedOn w:val="Normal"/>
    <w:uiPriority w:val="98"/>
    <w:semiHidden/>
    <w:qFormat/>
    <w:rsid w:val="005B12FD"/>
    <w:pPr>
      <w:ind w:left="720"/>
      <w:contextualSpacing/>
    </w:pPr>
  </w:style>
  <w:style w:type="table" w:customStyle="1" w:styleId="LtrTableAddress">
    <w:name w:val="Ltr_Table_Address"/>
    <w:aliases w:val="ECHR_Ltr_Table_Address"/>
    <w:basedOn w:val="TableNormal"/>
    <w:uiPriority w:val="99"/>
    <w:rsid w:val="005B12FD"/>
    <w:rPr>
      <w:sz w:val="24"/>
      <w:szCs w:val="24"/>
    </w:rPr>
    <w:tblPr>
      <w:tblInd w:w="5103" w:type="dxa"/>
    </w:tblPr>
  </w:style>
  <w:style w:type="paragraph" w:styleId="Quote">
    <w:name w:val="Quote"/>
    <w:basedOn w:val="Normal"/>
    <w:next w:val="Normal"/>
    <w:link w:val="QuoteChar"/>
    <w:uiPriority w:val="98"/>
    <w:semiHidden/>
    <w:qFormat/>
    <w:rsid w:val="005B12FD"/>
    <w:pPr>
      <w:spacing w:before="200"/>
      <w:ind w:left="360" w:right="360"/>
    </w:pPr>
    <w:rPr>
      <w:i/>
      <w:iCs/>
      <w:lang w:bidi="en-US"/>
    </w:rPr>
  </w:style>
  <w:style w:type="character" w:customStyle="1" w:styleId="QuoteChar">
    <w:name w:val="Quote Char"/>
    <w:basedOn w:val="DefaultParagraphFont"/>
    <w:link w:val="Quote"/>
    <w:uiPriority w:val="98"/>
    <w:semiHidden/>
    <w:rsid w:val="005B12FD"/>
    <w:rPr>
      <w:i/>
      <w:iCs/>
      <w:sz w:val="24"/>
      <w:szCs w:val="24"/>
      <w:lang w:val="en-GB" w:bidi="en-US"/>
    </w:rPr>
  </w:style>
  <w:style w:type="character" w:styleId="SubtleReference">
    <w:name w:val="Subtle Reference"/>
    <w:uiPriority w:val="98"/>
    <w:semiHidden/>
    <w:qFormat/>
    <w:rsid w:val="005B12FD"/>
    <w:rPr>
      <w:smallCaps/>
    </w:rPr>
  </w:style>
  <w:style w:type="table" w:styleId="TableGrid">
    <w:name w:val="Table Grid"/>
    <w:basedOn w:val="TableNormal"/>
    <w:uiPriority w:val="59"/>
    <w:semiHidden/>
    <w:rsid w:val="005B12F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5B12F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B12F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B12F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B12FD"/>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B12F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5B12F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5B12F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B12F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5B12F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B12F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B12F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5B12F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5B12F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Quot">
    <w:name w:val="Ju_Quot"/>
    <w:aliases w:val="_Quote"/>
    <w:basedOn w:val="Normal"/>
    <w:link w:val="JuQuotChar"/>
    <w:uiPriority w:val="20"/>
    <w:qFormat/>
    <w:rsid w:val="005B12FD"/>
    <w:pPr>
      <w:spacing w:before="120" w:after="120"/>
      <w:ind w:left="425" w:firstLine="142"/>
    </w:pPr>
    <w:rPr>
      <w:sz w:val="20"/>
    </w:rPr>
  </w:style>
  <w:style w:type="paragraph" w:customStyle="1" w:styleId="JuPara">
    <w:name w:val="Ju_Para"/>
    <w:aliases w:val="_Para"/>
    <w:basedOn w:val="Normal"/>
    <w:link w:val="ECHRParaChar"/>
    <w:uiPriority w:val="4"/>
    <w:qFormat/>
    <w:rsid w:val="005B12FD"/>
    <w:pPr>
      <w:ind w:firstLine="284"/>
    </w:pPr>
  </w:style>
  <w:style w:type="table" w:customStyle="1" w:styleId="ECHRTableSimpleBox">
    <w:name w:val="ECHR_Table_Simple_Box"/>
    <w:basedOn w:val="TableNormal"/>
    <w:uiPriority w:val="99"/>
    <w:rsid w:val="005B12F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B12F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B12F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B12F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5B12F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5B12F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_Decision_Body"/>
    <w:basedOn w:val="Normal"/>
    <w:uiPriority w:val="54"/>
    <w:rsid w:val="005B12FD"/>
    <w:pPr>
      <w:tabs>
        <w:tab w:val="left" w:pos="567"/>
        <w:tab w:val="left" w:pos="1134"/>
      </w:tabs>
      <w:spacing w:line="240" w:lineRule="exact"/>
    </w:pPr>
  </w:style>
  <w:style w:type="table" w:customStyle="1" w:styleId="ECHRHeaderTableReduced">
    <w:name w:val="ECHR_Header_Table_Reduced"/>
    <w:basedOn w:val="TableNormal"/>
    <w:uiPriority w:val="99"/>
    <w:rsid w:val="005B12F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aliases w:val="_List_1"/>
    <w:basedOn w:val="Normal"/>
    <w:uiPriority w:val="23"/>
    <w:qFormat/>
    <w:rsid w:val="005B12FD"/>
    <w:pPr>
      <w:numPr>
        <w:numId w:val="7"/>
      </w:numPr>
      <w:spacing w:before="280" w:after="60"/>
    </w:pPr>
  </w:style>
  <w:style w:type="paragraph" w:customStyle="1" w:styleId="JuSigned">
    <w:name w:val="Ju_Signed"/>
    <w:aliases w:val="_Signature"/>
    <w:basedOn w:val="Normal"/>
    <w:next w:val="JuPara"/>
    <w:uiPriority w:val="31"/>
    <w:qFormat/>
    <w:rsid w:val="005B12FD"/>
    <w:pPr>
      <w:tabs>
        <w:tab w:val="center" w:pos="851"/>
        <w:tab w:val="center" w:pos="6407"/>
      </w:tabs>
      <w:spacing w:before="720"/>
    </w:pPr>
  </w:style>
  <w:style w:type="paragraph" w:customStyle="1" w:styleId="JuParaLast">
    <w:name w:val="Ju_Para_Last"/>
    <w:aliases w:val="_Para_Spaced"/>
    <w:basedOn w:val="Normal"/>
    <w:uiPriority w:val="5"/>
    <w:qFormat/>
    <w:rsid w:val="005B12FD"/>
    <w:pPr>
      <w:keepNext/>
      <w:keepLines/>
      <w:spacing w:before="240" w:after="240"/>
      <w:ind w:firstLine="284"/>
    </w:pPr>
  </w:style>
  <w:style w:type="paragraph" w:customStyle="1" w:styleId="JuTitle">
    <w:name w:val="Ju_Title"/>
    <w:aliases w:val="_Title_2"/>
    <w:basedOn w:val="Normal"/>
    <w:next w:val="JuPara"/>
    <w:uiPriority w:val="38"/>
    <w:qFormat/>
    <w:rsid w:val="005B12FD"/>
    <w:pPr>
      <w:keepNext/>
      <w:keepLines/>
      <w:spacing w:before="1320" w:after="280"/>
      <w:contextualSpacing/>
      <w:jc w:val="center"/>
    </w:pPr>
    <w:rPr>
      <w:b/>
    </w:rPr>
  </w:style>
  <w:style w:type="character" w:styleId="PageNumber">
    <w:name w:val="page number"/>
    <w:uiPriority w:val="98"/>
    <w:semiHidden/>
    <w:rsid w:val="005B12FD"/>
    <w:rPr>
      <w:sz w:val="18"/>
    </w:rPr>
  </w:style>
  <w:style w:type="paragraph" w:customStyle="1" w:styleId="JuLista">
    <w:name w:val="Ju_List_a"/>
    <w:aliases w:val="_List_2"/>
    <w:basedOn w:val="Normal"/>
    <w:uiPriority w:val="23"/>
    <w:rsid w:val="005B12FD"/>
    <w:pPr>
      <w:numPr>
        <w:ilvl w:val="1"/>
        <w:numId w:val="7"/>
      </w:numPr>
    </w:pPr>
  </w:style>
  <w:style w:type="paragraph" w:customStyle="1" w:styleId="ECHRBullet2">
    <w:name w:val="ECHR_Bullet_2"/>
    <w:aliases w:val="_Bul_2"/>
    <w:basedOn w:val="ECHRBullet1"/>
    <w:uiPriority w:val="23"/>
    <w:semiHidden/>
    <w:rsid w:val="005B12FD"/>
    <w:pPr>
      <w:numPr>
        <w:ilvl w:val="1"/>
      </w:numPr>
    </w:pPr>
  </w:style>
  <w:style w:type="character" w:styleId="CommentReference">
    <w:name w:val="annotation reference"/>
    <w:basedOn w:val="DefaultParagraphFont"/>
    <w:uiPriority w:val="98"/>
    <w:semiHidden/>
    <w:rsid w:val="005B12FD"/>
    <w:rPr>
      <w:sz w:val="16"/>
      <w:szCs w:val="16"/>
    </w:rPr>
  </w:style>
  <w:style w:type="paragraph" w:styleId="CommentText">
    <w:name w:val="annotation text"/>
    <w:basedOn w:val="Normal"/>
    <w:link w:val="CommentTextChar"/>
    <w:uiPriority w:val="98"/>
    <w:semiHidden/>
    <w:rsid w:val="005B12FD"/>
    <w:rPr>
      <w:sz w:val="20"/>
      <w:szCs w:val="20"/>
    </w:rPr>
  </w:style>
  <w:style w:type="character" w:customStyle="1" w:styleId="CommentTextChar">
    <w:name w:val="Comment Text Char"/>
    <w:basedOn w:val="DefaultParagraphFont"/>
    <w:link w:val="CommentText"/>
    <w:uiPriority w:val="98"/>
    <w:semiHidden/>
    <w:rsid w:val="005B12FD"/>
    <w:rPr>
      <w:sz w:val="20"/>
      <w:szCs w:val="20"/>
      <w:lang w:val="en-GB"/>
    </w:rPr>
  </w:style>
  <w:style w:type="paragraph" w:styleId="CommentSubject">
    <w:name w:val="annotation subject"/>
    <w:basedOn w:val="CommentText"/>
    <w:next w:val="CommentText"/>
    <w:link w:val="CommentSubjectChar"/>
    <w:uiPriority w:val="98"/>
    <w:semiHidden/>
    <w:rsid w:val="005B12FD"/>
    <w:rPr>
      <w:b/>
      <w:bCs/>
    </w:rPr>
  </w:style>
  <w:style w:type="character" w:customStyle="1" w:styleId="CommentSubjectChar">
    <w:name w:val="Comment Subject Char"/>
    <w:basedOn w:val="CommentTextChar"/>
    <w:link w:val="CommentSubject"/>
    <w:uiPriority w:val="98"/>
    <w:semiHidden/>
    <w:rsid w:val="005B12FD"/>
    <w:rPr>
      <w:b/>
      <w:bCs/>
      <w:sz w:val="20"/>
      <w:szCs w:val="20"/>
      <w:lang w:val="en-GB"/>
    </w:rPr>
  </w:style>
  <w:style w:type="character" w:styleId="EndnoteReference">
    <w:name w:val="endnote reference"/>
    <w:basedOn w:val="DefaultParagraphFont"/>
    <w:uiPriority w:val="98"/>
    <w:semiHidden/>
    <w:rsid w:val="005B12FD"/>
    <w:rPr>
      <w:vertAlign w:val="superscript"/>
    </w:rPr>
  </w:style>
  <w:style w:type="paragraph" w:styleId="EndnoteText">
    <w:name w:val="endnote text"/>
    <w:basedOn w:val="Normal"/>
    <w:link w:val="EndnoteTextChar"/>
    <w:uiPriority w:val="98"/>
    <w:semiHidden/>
    <w:rsid w:val="005B12FD"/>
    <w:rPr>
      <w:sz w:val="20"/>
      <w:szCs w:val="20"/>
    </w:rPr>
  </w:style>
  <w:style w:type="character" w:customStyle="1" w:styleId="EndnoteTextChar">
    <w:name w:val="Endnote Text Char"/>
    <w:basedOn w:val="DefaultParagraphFont"/>
    <w:link w:val="EndnoteText"/>
    <w:uiPriority w:val="98"/>
    <w:semiHidden/>
    <w:rsid w:val="005B12FD"/>
    <w:rPr>
      <w:sz w:val="20"/>
      <w:szCs w:val="20"/>
      <w:lang w:val="en-GB"/>
    </w:rPr>
  </w:style>
  <w:style w:type="character" w:styleId="FollowedHyperlink">
    <w:name w:val="FollowedHyperlink"/>
    <w:basedOn w:val="DefaultParagraphFont"/>
    <w:uiPriority w:val="98"/>
    <w:semiHidden/>
    <w:rsid w:val="005B12FD"/>
    <w:rPr>
      <w:color w:val="7030A0" w:themeColor="followedHyperlink"/>
      <w:u w:val="single"/>
    </w:rPr>
  </w:style>
  <w:style w:type="paragraph" w:styleId="DocumentMap">
    <w:name w:val="Document Map"/>
    <w:basedOn w:val="Normal"/>
    <w:link w:val="DocumentMapChar"/>
    <w:uiPriority w:val="98"/>
    <w:semiHidden/>
    <w:rsid w:val="005B12FD"/>
    <w:rPr>
      <w:rFonts w:ascii="Tahoma" w:hAnsi="Tahoma" w:cs="Tahoma"/>
      <w:sz w:val="16"/>
      <w:szCs w:val="16"/>
    </w:rPr>
  </w:style>
  <w:style w:type="character" w:customStyle="1" w:styleId="DocumentMapChar">
    <w:name w:val="Document Map Char"/>
    <w:basedOn w:val="DefaultParagraphFont"/>
    <w:link w:val="DocumentMap"/>
    <w:uiPriority w:val="98"/>
    <w:semiHidden/>
    <w:rsid w:val="005B12FD"/>
    <w:rPr>
      <w:rFonts w:ascii="Tahoma" w:hAnsi="Tahoma" w:cs="Tahoma"/>
      <w:sz w:val="16"/>
      <w:szCs w:val="16"/>
      <w:lang w:val="en-GB"/>
    </w:rPr>
  </w:style>
  <w:style w:type="paragraph" w:customStyle="1" w:styleId="ECHRBullet3">
    <w:name w:val="ECHR_Bullet_3"/>
    <w:aliases w:val="_Bul_3"/>
    <w:basedOn w:val="ECHRBullet2"/>
    <w:uiPriority w:val="23"/>
    <w:semiHidden/>
    <w:rsid w:val="005B12FD"/>
    <w:pPr>
      <w:numPr>
        <w:ilvl w:val="2"/>
      </w:numPr>
    </w:pPr>
  </w:style>
  <w:style w:type="paragraph" w:styleId="ListBullet">
    <w:name w:val="List Bullet"/>
    <w:basedOn w:val="Normal"/>
    <w:uiPriority w:val="98"/>
    <w:semiHidden/>
    <w:rsid w:val="005B12FD"/>
    <w:pPr>
      <w:numPr>
        <w:numId w:val="9"/>
      </w:numPr>
    </w:pPr>
  </w:style>
  <w:style w:type="character" w:customStyle="1" w:styleId="JuITMark">
    <w:name w:val="Ju_ITMark"/>
    <w:aliases w:val="_ITMark"/>
    <w:basedOn w:val="DefaultParagraphFont"/>
    <w:uiPriority w:val="54"/>
    <w:qFormat/>
    <w:rsid w:val="005B12FD"/>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8"/>
    <w:semiHidden/>
    <w:qFormat/>
    <w:rsid w:val="005B12FD"/>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5B12FD"/>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B12FD"/>
    <w:pPr>
      <w:numPr>
        <w:numId w:val="3"/>
      </w:numPr>
    </w:pPr>
  </w:style>
  <w:style w:type="numbering" w:styleId="1ai">
    <w:name w:val="Outline List 1"/>
    <w:basedOn w:val="NoList"/>
    <w:uiPriority w:val="99"/>
    <w:semiHidden/>
    <w:unhideWhenUsed/>
    <w:rsid w:val="005B12FD"/>
    <w:pPr>
      <w:numPr>
        <w:numId w:val="4"/>
      </w:numPr>
    </w:pPr>
  </w:style>
  <w:style w:type="numbering" w:styleId="ArticleSection">
    <w:name w:val="Outline List 3"/>
    <w:basedOn w:val="NoList"/>
    <w:uiPriority w:val="99"/>
    <w:semiHidden/>
    <w:unhideWhenUsed/>
    <w:rsid w:val="005B12FD"/>
    <w:pPr>
      <w:numPr>
        <w:numId w:val="5"/>
      </w:numPr>
    </w:pPr>
  </w:style>
  <w:style w:type="paragraph" w:styleId="Bibliography">
    <w:name w:val="Bibliography"/>
    <w:basedOn w:val="Normal"/>
    <w:next w:val="Normal"/>
    <w:uiPriority w:val="98"/>
    <w:semiHidden/>
    <w:rsid w:val="005B12FD"/>
  </w:style>
  <w:style w:type="paragraph" w:styleId="BlockText">
    <w:name w:val="Block Text"/>
    <w:basedOn w:val="Normal"/>
    <w:uiPriority w:val="98"/>
    <w:semiHidden/>
    <w:rsid w:val="005B12F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8"/>
    <w:semiHidden/>
    <w:rsid w:val="005B12FD"/>
    <w:pPr>
      <w:spacing w:after="120"/>
    </w:pPr>
  </w:style>
  <w:style w:type="character" w:customStyle="1" w:styleId="BodyTextChar">
    <w:name w:val="Body Text Char"/>
    <w:basedOn w:val="DefaultParagraphFont"/>
    <w:link w:val="BodyText"/>
    <w:uiPriority w:val="98"/>
    <w:semiHidden/>
    <w:rsid w:val="005B12FD"/>
    <w:rPr>
      <w:sz w:val="24"/>
      <w:szCs w:val="24"/>
      <w:lang w:val="en-GB"/>
    </w:rPr>
  </w:style>
  <w:style w:type="paragraph" w:styleId="BodyText2">
    <w:name w:val="Body Text 2"/>
    <w:basedOn w:val="Normal"/>
    <w:link w:val="BodyText2Char"/>
    <w:uiPriority w:val="98"/>
    <w:semiHidden/>
    <w:rsid w:val="005B12FD"/>
    <w:pPr>
      <w:spacing w:after="120" w:line="480" w:lineRule="auto"/>
    </w:pPr>
  </w:style>
  <w:style w:type="character" w:customStyle="1" w:styleId="BodyText2Char">
    <w:name w:val="Body Text 2 Char"/>
    <w:basedOn w:val="DefaultParagraphFont"/>
    <w:link w:val="BodyText2"/>
    <w:uiPriority w:val="98"/>
    <w:semiHidden/>
    <w:rsid w:val="005B12FD"/>
    <w:rPr>
      <w:sz w:val="24"/>
      <w:szCs w:val="24"/>
      <w:lang w:val="en-GB"/>
    </w:rPr>
  </w:style>
  <w:style w:type="paragraph" w:styleId="BodyText3">
    <w:name w:val="Body Text 3"/>
    <w:basedOn w:val="Normal"/>
    <w:link w:val="BodyText3Char"/>
    <w:uiPriority w:val="98"/>
    <w:semiHidden/>
    <w:rsid w:val="005B12FD"/>
    <w:pPr>
      <w:spacing w:after="120"/>
    </w:pPr>
    <w:rPr>
      <w:sz w:val="16"/>
      <w:szCs w:val="16"/>
    </w:rPr>
  </w:style>
  <w:style w:type="character" w:customStyle="1" w:styleId="BodyText3Char">
    <w:name w:val="Body Text 3 Char"/>
    <w:basedOn w:val="DefaultParagraphFont"/>
    <w:link w:val="BodyText3"/>
    <w:uiPriority w:val="98"/>
    <w:semiHidden/>
    <w:rsid w:val="005B12FD"/>
    <w:rPr>
      <w:sz w:val="16"/>
      <w:szCs w:val="16"/>
      <w:lang w:val="en-GB"/>
    </w:rPr>
  </w:style>
  <w:style w:type="paragraph" w:styleId="BodyTextFirstIndent">
    <w:name w:val="Body Text First Indent"/>
    <w:basedOn w:val="BodyText"/>
    <w:link w:val="BodyTextFirstIndentChar"/>
    <w:uiPriority w:val="98"/>
    <w:semiHidden/>
    <w:rsid w:val="005B12FD"/>
    <w:pPr>
      <w:spacing w:after="0"/>
      <w:ind w:firstLine="360"/>
    </w:pPr>
  </w:style>
  <w:style w:type="character" w:customStyle="1" w:styleId="BodyTextFirstIndentChar">
    <w:name w:val="Body Text First Indent Char"/>
    <w:basedOn w:val="BodyTextChar"/>
    <w:link w:val="BodyTextFirstIndent"/>
    <w:uiPriority w:val="98"/>
    <w:semiHidden/>
    <w:rsid w:val="005B12FD"/>
    <w:rPr>
      <w:sz w:val="24"/>
      <w:szCs w:val="24"/>
      <w:lang w:val="en-GB"/>
    </w:rPr>
  </w:style>
  <w:style w:type="paragraph" w:styleId="BodyTextIndent">
    <w:name w:val="Body Text Indent"/>
    <w:basedOn w:val="Normal"/>
    <w:link w:val="BodyTextIndentChar"/>
    <w:uiPriority w:val="98"/>
    <w:semiHidden/>
    <w:rsid w:val="005B12FD"/>
    <w:pPr>
      <w:spacing w:after="120"/>
      <w:ind w:left="283"/>
    </w:pPr>
  </w:style>
  <w:style w:type="character" w:customStyle="1" w:styleId="BodyTextIndentChar">
    <w:name w:val="Body Text Indent Char"/>
    <w:basedOn w:val="DefaultParagraphFont"/>
    <w:link w:val="BodyTextIndent"/>
    <w:uiPriority w:val="98"/>
    <w:semiHidden/>
    <w:rsid w:val="005B12FD"/>
    <w:rPr>
      <w:sz w:val="24"/>
      <w:szCs w:val="24"/>
      <w:lang w:val="en-GB"/>
    </w:rPr>
  </w:style>
  <w:style w:type="paragraph" w:styleId="BodyTextFirstIndent2">
    <w:name w:val="Body Text First Indent 2"/>
    <w:basedOn w:val="BodyTextIndent"/>
    <w:link w:val="BodyTextFirstIndent2Char"/>
    <w:uiPriority w:val="98"/>
    <w:semiHidden/>
    <w:rsid w:val="005B12FD"/>
    <w:pPr>
      <w:spacing w:after="0"/>
      <w:ind w:left="360" w:firstLine="360"/>
    </w:pPr>
  </w:style>
  <w:style w:type="character" w:customStyle="1" w:styleId="BodyTextFirstIndent2Char">
    <w:name w:val="Body Text First Indent 2 Char"/>
    <w:basedOn w:val="BodyTextIndentChar"/>
    <w:link w:val="BodyTextFirstIndent2"/>
    <w:uiPriority w:val="98"/>
    <w:semiHidden/>
    <w:rsid w:val="005B12FD"/>
    <w:rPr>
      <w:sz w:val="24"/>
      <w:szCs w:val="24"/>
      <w:lang w:val="en-GB"/>
    </w:rPr>
  </w:style>
  <w:style w:type="paragraph" w:styleId="BodyTextIndent2">
    <w:name w:val="Body Text Indent 2"/>
    <w:basedOn w:val="Normal"/>
    <w:link w:val="BodyTextIndent2Char"/>
    <w:uiPriority w:val="98"/>
    <w:semiHidden/>
    <w:rsid w:val="005B12FD"/>
    <w:pPr>
      <w:spacing w:after="120" w:line="480" w:lineRule="auto"/>
      <w:ind w:left="283"/>
    </w:pPr>
  </w:style>
  <w:style w:type="character" w:customStyle="1" w:styleId="BodyTextIndent2Char">
    <w:name w:val="Body Text Indent 2 Char"/>
    <w:basedOn w:val="DefaultParagraphFont"/>
    <w:link w:val="BodyTextIndent2"/>
    <w:uiPriority w:val="98"/>
    <w:semiHidden/>
    <w:rsid w:val="005B12FD"/>
    <w:rPr>
      <w:sz w:val="24"/>
      <w:szCs w:val="24"/>
      <w:lang w:val="en-GB"/>
    </w:rPr>
  </w:style>
  <w:style w:type="paragraph" w:styleId="BodyTextIndent3">
    <w:name w:val="Body Text Indent 3"/>
    <w:basedOn w:val="Normal"/>
    <w:link w:val="BodyTextIndent3Char"/>
    <w:uiPriority w:val="98"/>
    <w:semiHidden/>
    <w:rsid w:val="005B12FD"/>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5B12FD"/>
    <w:rPr>
      <w:sz w:val="16"/>
      <w:szCs w:val="16"/>
      <w:lang w:val="en-GB"/>
    </w:rPr>
  </w:style>
  <w:style w:type="paragraph" w:styleId="Caption">
    <w:name w:val="caption"/>
    <w:basedOn w:val="Normal"/>
    <w:next w:val="Normal"/>
    <w:uiPriority w:val="98"/>
    <w:semiHidden/>
    <w:qFormat/>
    <w:rsid w:val="005B12FD"/>
    <w:pPr>
      <w:spacing w:after="200"/>
    </w:pPr>
    <w:rPr>
      <w:b/>
      <w:bCs/>
      <w:color w:val="0072BC" w:themeColor="accent1"/>
      <w:sz w:val="18"/>
      <w:szCs w:val="18"/>
    </w:rPr>
  </w:style>
  <w:style w:type="paragraph" w:styleId="Closing">
    <w:name w:val="Closing"/>
    <w:basedOn w:val="Normal"/>
    <w:link w:val="ClosingChar"/>
    <w:uiPriority w:val="98"/>
    <w:semiHidden/>
    <w:rsid w:val="005B12FD"/>
    <w:pPr>
      <w:ind w:left="4252"/>
    </w:pPr>
  </w:style>
  <w:style w:type="character" w:customStyle="1" w:styleId="ClosingChar">
    <w:name w:val="Closing Char"/>
    <w:basedOn w:val="DefaultParagraphFont"/>
    <w:link w:val="Closing"/>
    <w:uiPriority w:val="98"/>
    <w:semiHidden/>
    <w:rsid w:val="005B12FD"/>
    <w:rPr>
      <w:sz w:val="24"/>
      <w:szCs w:val="24"/>
      <w:lang w:val="en-GB"/>
    </w:rPr>
  </w:style>
  <w:style w:type="table" w:styleId="ColorfulGrid">
    <w:name w:val="Colorful Grid"/>
    <w:basedOn w:val="TableNormal"/>
    <w:uiPriority w:val="73"/>
    <w:semiHidden/>
    <w:rsid w:val="005B12F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B12F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B12F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B12F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B12F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B12F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B12F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B12F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B12F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B12F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B12F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B12F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B12F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B12F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B12F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B12F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B12F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B12F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B12F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B12F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B12F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B12F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B12F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B12F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B12F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B12F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B12F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B12F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5B12FD"/>
  </w:style>
  <w:style w:type="character" w:customStyle="1" w:styleId="DateChar">
    <w:name w:val="Date Char"/>
    <w:basedOn w:val="DefaultParagraphFont"/>
    <w:link w:val="Date"/>
    <w:uiPriority w:val="98"/>
    <w:semiHidden/>
    <w:rsid w:val="005B12FD"/>
    <w:rPr>
      <w:sz w:val="24"/>
      <w:szCs w:val="24"/>
      <w:lang w:val="en-GB"/>
    </w:rPr>
  </w:style>
  <w:style w:type="paragraph" w:styleId="E-mailSignature">
    <w:name w:val="E-mail Signature"/>
    <w:basedOn w:val="Normal"/>
    <w:link w:val="E-mailSignatureChar"/>
    <w:uiPriority w:val="98"/>
    <w:semiHidden/>
    <w:rsid w:val="005B12FD"/>
  </w:style>
  <w:style w:type="character" w:customStyle="1" w:styleId="E-mailSignatureChar">
    <w:name w:val="E-mail Signature Char"/>
    <w:basedOn w:val="DefaultParagraphFont"/>
    <w:link w:val="E-mailSignature"/>
    <w:uiPriority w:val="98"/>
    <w:semiHidden/>
    <w:rsid w:val="005B12FD"/>
    <w:rPr>
      <w:sz w:val="24"/>
      <w:szCs w:val="24"/>
      <w:lang w:val="en-GB"/>
    </w:rPr>
  </w:style>
  <w:style w:type="paragraph" w:styleId="EnvelopeAddress">
    <w:name w:val="envelope address"/>
    <w:basedOn w:val="Normal"/>
    <w:uiPriority w:val="98"/>
    <w:semiHidden/>
    <w:rsid w:val="005B12FD"/>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5B12FD"/>
    <w:rPr>
      <w:rFonts w:asciiTheme="majorHAnsi" w:eastAsiaTheme="majorEastAsia" w:hAnsiTheme="majorHAnsi" w:cstheme="majorBidi"/>
      <w:sz w:val="20"/>
      <w:szCs w:val="20"/>
    </w:rPr>
  </w:style>
  <w:style w:type="character" w:styleId="HTMLAcronym">
    <w:name w:val="HTML Acronym"/>
    <w:basedOn w:val="DefaultParagraphFont"/>
    <w:uiPriority w:val="98"/>
    <w:semiHidden/>
    <w:rsid w:val="005B12FD"/>
  </w:style>
  <w:style w:type="paragraph" w:styleId="HTMLAddress">
    <w:name w:val="HTML Address"/>
    <w:basedOn w:val="Normal"/>
    <w:link w:val="HTMLAddressChar"/>
    <w:uiPriority w:val="98"/>
    <w:semiHidden/>
    <w:rsid w:val="005B12FD"/>
    <w:rPr>
      <w:i/>
      <w:iCs/>
    </w:rPr>
  </w:style>
  <w:style w:type="character" w:customStyle="1" w:styleId="HTMLAddressChar">
    <w:name w:val="HTML Address Char"/>
    <w:basedOn w:val="DefaultParagraphFont"/>
    <w:link w:val="HTMLAddress"/>
    <w:uiPriority w:val="98"/>
    <w:semiHidden/>
    <w:rsid w:val="005B12FD"/>
    <w:rPr>
      <w:i/>
      <w:iCs/>
      <w:sz w:val="24"/>
      <w:szCs w:val="24"/>
      <w:lang w:val="en-GB"/>
    </w:rPr>
  </w:style>
  <w:style w:type="character" w:styleId="HTMLCite">
    <w:name w:val="HTML Cite"/>
    <w:basedOn w:val="DefaultParagraphFont"/>
    <w:uiPriority w:val="98"/>
    <w:semiHidden/>
    <w:rsid w:val="005B12FD"/>
    <w:rPr>
      <w:i/>
      <w:iCs/>
    </w:rPr>
  </w:style>
  <w:style w:type="character" w:styleId="HTMLCode">
    <w:name w:val="HTML Code"/>
    <w:basedOn w:val="DefaultParagraphFont"/>
    <w:uiPriority w:val="98"/>
    <w:semiHidden/>
    <w:rsid w:val="005B12FD"/>
    <w:rPr>
      <w:rFonts w:ascii="Consolas" w:hAnsi="Consolas" w:cs="Consolas"/>
      <w:sz w:val="20"/>
      <w:szCs w:val="20"/>
    </w:rPr>
  </w:style>
  <w:style w:type="character" w:styleId="HTMLDefinition">
    <w:name w:val="HTML Definition"/>
    <w:basedOn w:val="DefaultParagraphFont"/>
    <w:uiPriority w:val="98"/>
    <w:semiHidden/>
    <w:rsid w:val="005B12FD"/>
    <w:rPr>
      <w:i/>
      <w:iCs/>
    </w:rPr>
  </w:style>
  <w:style w:type="character" w:styleId="HTMLKeyboard">
    <w:name w:val="HTML Keyboard"/>
    <w:basedOn w:val="DefaultParagraphFont"/>
    <w:uiPriority w:val="98"/>
    <w:semiHidden/>
    <w:rsid w:val="005B12FD"/>
    <w:rPr>
      <w:rFonts w:ascii="Consolas" w:hAnsi="Consolas" w:cs="Consolas"/>
      <w:sz w:val="20"/>
      <w:szCs w:val="20"/>
    </w:rPr>
  </w:style>
  <w:style w:type="paragraph" w:styleId="HTMLPreformatted">
    <w:name w:val="HTML Preformatted"/>
    <w:basedOn w:val="Normal"/>
    <w:link w:val="HTMLPreformattedChar"/>
    <w:uiPriority w:val="98"/>
    <w:semiHidden/>
    <w:rsid w:val="005B12FD"/>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5B12FD"/>
    <w:rPr>
      <w:rFonts w:ascii="Consolas" w:hAnsi="Consolas" w:cs="Consolas"/>
      <w:sz w:val="20"/>
      <w:szCs w:val="20"/>
      <w:lang w:val="en-GB"/>
    </w:rPr>
  </w:style>
  <w:style w:type="character" w:styleId="HTMLSample">
    <w:name w:val="HTML Sample"/>
    <w:basedOn w:val="DefaultParagraphFont"/>
    <w:uiPriority w:val="98"/>
    <w:semiHidden/>
    <w:rsid w:val="005B12FD"/>
    <w:rPr>
      <w:rFonts w:ascii="Consolas" w:hAnsi="Consolas" w:cs="Consolas"/>
      <w:sz w:val="24"/>
      <w:szCs w:val="24"/>
    </w:rPr>
  </w:style>
  <w:style w:type="character" w:styleId="HTMLTypewriter">
    <w:name w:val="HTML Typewriter"/>
    <w:basedOn w:val="DefaultParagraphFont"/>
    <w:uiPriority w:val="98"/>
    <w:semiHidden/>
    <w:rsid w:val="005B12FD"/>
    <w:rPr>
      <w:rFonts w:ascii="Consolas" w:hAnsi="Consolas" w:cs="Consolas"/>
      <w:sz w:val="20"/>
      <w:szCs w:val="20"/>
    </w:rPr>
  </w:style>
  <w:style w:type="character" w:styleId="HTMLVariable">
    <w:name w:val="HTML Variable"/>
    <w:basedOn w:val="DefaultParagraphFont"/>
    <w:uiPriority w:val="98"/>
    <w:semiHidden/>
    <w:rsid w:val="005B12FD"/>
    <w:rPr>
      <w:i/>
      <w:iCs/>
    </w:rPr>
  </w:style>
  <w:style w:type="paragraph" w:styleId="Index1">
    <w:name w:val="index 1"/>
    <w:basedOn w:val="Normal"/>
    <w:next w:val="Normal"/>
    <w:autoRedefine/>
    <w:uiPriority w:val="98"/>
    <w:semiHidden/>
    <w:rsid w:val="005B12FD"/>
    <w:pPr>
      <w:ind w:left="240" w:hanging="240"/>
    </w:pPr>
  </w:style>
  <w:style w:type="paragraph" w:styleId="Index2">
    <w:name w:val="index 2"/>
    <w:basedOn w:val="Normal"/>
    <w:next w:val="Normal"/>
    <w:autoRedefine/>
    <w:uiPriority w:val="98"/>
    <w:semiHidden/>
    <w:rsid w:val="005B12FD"/>
    <w:pPr>
      <w:ind w:left="480" w:hanging="240"/>
    </w:pPr>
  </w:style>
  <w:style w:type="paragraph" w:styleId="Index3">
    <w:name w:val="index 3"/>
    <w:basedOn w:val="Normal"/>
    <w:next w:val="Normal"/>
    <w:autoRedefine/>
    <w:uiPriority w:val="98"/>
    <w:semiHidden/>
    <w:rsid w:val="005B12FD"/>
    <w:pPr>
      <w:ind w:left="720" w:hanging="240"/>
    </w:pPr>
  </w:style>
  <w:style w:type="paragraph" w:styleId="Index4">
    <w:name w:val="index 4"/>
    <w:basedOn w:val="Normal"/>
    <w:next w:val="Normal"/>
    <w:autoRedefine/>
    <w:uiPriority w:val="98"/>
    <w:semiHidden/>
    <w:rsid w:val="005B12FD"/>
    <w:pPr>
      <w:ind w:left="960" w:hanging="240"/>
    </w:pPr>
  </w:style>
  <w:style w:type="paragraph" w:styleId="Index5">
    <w:name w:val="index 5"/>
    <w:basedOn w:val="Normal"/>
    <w:next w:val="Normal"/>
    <w:autoRedefine/>
    <w:uiPriority w:val="98"/>
    <w:semiHidden/>
    <w:rsid w:val="005B12FD"/>
    <w:pPr>
      <w:ind w:left="1200" w:hanging="240"/>
    </w:pPr>
  </w:style>
  <w:style w:type="paragraph" w:styleId="Index6">
    <w:name w:val="index 6"/>
    <w:basedOn w:val="Normal"/>
    <w:next w:val="Normal"/>
    <w:autoRedefine/>
    <w:uiPriority w:val="98"/>
    <w:semiHidden/>
    <w:rsid w:val="005B12FD"/>
    <w:pPr>
      <w:ind w:left="1440" w:hanging="240"/>
    </w:pPr>
  </w:style>
  <w:style w:type="paragraph" w:styleId="Index7">
    <w:name w:val="index 7"/>
    <w:basedOn w:val="Normal"/>
    <w:next w:val="Normal"/>
    <w:autoRedefine/>
    <w:uiPriority w:val="98"/>
    <w:semiHidden/>
    <w:rsid w:val="005B12FD"/>
    <w:pPr>
      <w:ind w:left="1680" w:hanging="240"/>
    </w:pPr>
  </w:style>
  <w:style w:type="paragraph" w:styleId="Index8">
    <w:name w:val="index 8"/>
    <w:basedOn w:val="Normal"/>
    <w:next w:val="Normal"/>
    <w:autoRedefine/>
    <w:uiPriority w:val="98"/>
    <w:semiHidden/>
    <w:rsid w:val="005B12FD"/>
    <w:pPr>
      <w:ind w:left="1920" w:hanging="240"/>
    </w:pPr>
  </w:style>
  <w:style w:type="paragraph" w:styleId="Index9">
    <w:name w:val="index 9"/>
    <w:basedOn w:val="Normal"/>
    <w:next w:val="Normal"/>
    <w:autoRedefine/>
    <w:uiPriority w:val="98"/>
    <w:semiHidden/>
    <w:rsid w:val="005B12FD"/>
    <w:pPr>
      <w:ind w:left="2160" w:hanging="240"/>
    </w:pPr>
  </w:style>
  <w:style w:type="paragraph" w:styleId="IndexHeading">
    <w:name w:val="index heading"/>
    <w:basedOn w:val="Normal"/>
    <w:next w:val="Index1"/>
    <w:uiPriority w:val="98"/>
    <w:semiHidden/>
    <w:rsid w:val="005B12FD"/>
    <w:rPr>
      <w:rFonts w:asciiTheme="majorHAnsi" w:eastAsiaTheme="majorEastAsia" w:hAnsiTheme="majorHAnsi" w:cstheme="majorBidi"/>
      <w:b/>
      <w:bCs/>
    </w:rPr>
  </w:style>
  <w:style w:type="table" w:styleId="LightGrid">
    <w:name w:val="Light Grid"/>
    <w:basedOn w:val="TableNormal"/>
    <w:uiPriority w:val="62"/>
    <w:semiHidden/>
    <w:rsid w:val="005B12F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B12F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B12F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B12F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B12F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B12F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B12F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B12F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B12F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B12F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B12F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B12F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B12F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B12F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B12F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B12F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B12F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B12F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B12F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B12F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B12F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5B12FD"/>
  </w:style>
  <w:style w:type="paragraph" w:styleId="List">
    <w:name w:val="List"/>
    <w:basedOn w:val="Normal"/>
    <w:uiPriority w:val="98"/>
    <w:semiHidden/>
    <w:rsid w:val="005B12FD"/>
    <w:pPr>
      <w:ind w:left="283" w:hanging="283"/>
      <w:contextualSpacing/>
    </w:pPr>
  </w:style>
  <w:style w:type="paragraph" w:styleId="List2">
    <w:name w:val="List 2"/>
    <w:basedOn w:val="Normal"/>
    <w:uiPriority w:val="98"/>
    <w:semiHidden/>
    <w:rsid w:val="005B12FD"/>
    <w:pPr>
      <w:ind w:left="566" w:hanging="283"/>
      <w:contextualSpacing/>
    </w:pPr>
  </w:style>
  <w:style w:type="paragraph" w:styleId="List3">
    <w:name w:val="List 3"/>
    <w:basedOn w:val="Normal"/>
    <w:uiPriority w:val="98"/>
    <w:semiHidden/>
    <w:rsid w:val="005B12FD"/>
    <w:pPr>
      <w:ind w:left="849" w:hanging="283"/>
      <w:contextualSpacing/>
    </w:pPr>
  </w:style>
  <w:style w:type="paragraph" w:styleId="List4">
    <w:name w:val="List 4"/>
    <w:basedOn w:val="Normal"/>
    <w:uiPriority w:val="98"/>
    <w:semiHidden/>
    <w:rsid w:val="005B12FD"/>
    <w:pPr>
      <w:ind w:left="1132" w:hanging="283"/>
      <w:contextualSpacing/>
    </w:pPr>
  </w:style>
  <w:style w:type="paragraph" w:styleId="List5">
    <w:name w:val="List 5"/>
    <w:basedOn w:val="Normal"/>
    <w:uiPriority w:val="98"/>
    <w:semiHidden/>
    <w:rsid w:val="005B12FD"/>
    <w:pPr>
      <w:ind w:left="1415" w:hanging="283"/>
      <w:contextualSpacing/>
    </w:pPr>
  </w:style>
  <w:style w:type="paragraph" w:styleId="ListBullet2">
    <w:name w:val="List Bullet 2"/>
    <w:basedOn w:val="Normal"/>
    <w:uiPriority w:val="98"/>
    <w:semiHidden/>
    <w:rsid w:val="005B12FD"/>
    <w:pPr>
      <w:numPr>
        <w:numId w:val="10"/>
      </w:numPr>
      <w:contextualSpacing/>
    </w:pPr>
  </w:style>
  <w:style w:type="paragraph" w:styleId="ListBullet3">
    <w:name w:val="List Bullet 3"/>
    <w:basedOn w:val="Normal"/>
    <w:uiPriority w:val="98"/>
    <w:semiHidden/>
    <w:rsid w:val="005B12FD"/>
    <w:pPr>
      <w:numPr>
        <w:numId w:val="11"/>
      </w:numPr>
      <w:contextualSpacing/>
    </w:pPr>
  </w:style>
  <w:style w:type="paragraph" w:styleId="ListBullet4">
    <w:name w:val="List Bullet 4"/>
    <w:basedOn w:val="Normal"/>
    <w:uiPriority w:val="98"/>
    <w:semiHidden/>
    <w:rsid w:val="005B12FD"/>
    <w:pPr>
      <w:numPr>
        <w:numId w:val="12"/>
      </w:numPr>
      <w:contextualSpacing/>
    </w:pPr>
  </w:style>
  <w:style w:type="paragraph" w:styleId="ListBullet5">
    <w:name w:val="List Bullet 5"/>
    <w:basedOn w:val="Normal"/>
    <w:uiPriority w:val="98"/>
    <w:semiHidden/>
    <w:rsid w:val="005B12FD"/>
    <w:pPr>
      <w:numPr>
        <w:numId w:val="13"/>
      </w:numPr>
      <w:contextualSpacing/>
    </w:pPr>
  </w:style>
  <w:style w:type="paragraph" w:styleId="ListContinue">
    <w:name w:val="List Continue"/>
    <w:basedOn w:val="Normal"/>
    <w:uiPriority w:val="98"/>
    <w:semiHidden/>
    <w:rsid w:val="005B12FD"/>
    <w:pPr>
      <w:spacing w:after="120"/>
      <w:ind w:left="283"/>
      <w:contextualSpacing/>
    </w:pPr>
  </w:style>
  <w:style w:type="paragraph" w:styleId="ListContinue2">
    <w:name w:val="List Continue 2"/>
    <w:basedOn w:val="Normal"/>
    <w:uiPriority w:val="98"/>
    <w:semiHidden/>
    <w:rsid w:val="005B12FD"/>
    <w:pPr>
      <w:spacing w:after="120"/>
      <w:ind w:left="566"/>
      <w:contextualSpacing/>
    </w:pPr>
  </w:style>
  <w:style w:type="paragraph" w:styleId="ListContinue3">
    <w:name w:val="List Continue 3"/>
    <w:basedOn w:val="Normal"/>
    <w:uiPriority w:val="98"/>
    <w:semiHidden/>
    <w:rsid w:val="005B12FD"/>
    <w:pPr>
      <w:spacing w:after="120"/>
      <w:ind w:left="849"/>
      <w:contextualSpacing/>
    </w:pPr>
  </w:style>
  <w:style w:type="paragraph" w:styleId="ListContinue4">
    <w:name w:val="List Continue 4"/>
    <w:basedOn w:val="Normal"/>
    <w:uiPriority w:val="98"/>
    <w:semiHidden/>
    <w:rsid w:val="005B12FD"/>
    <w:pPr>
      <w:spacing w:after="120"/>
      <w:ind w:left="1132"/>
      <w:contextualSpacing/>
    </w:pPr>
  </w:style>
  <w:style w:type="paragraph" w:styleId="ListContinue5">
    <w:name w:val="List Continue 5"/>
    <w:basedOn w:val="Normal"/>
    <w:uiPriority w:val="98"/>
    <w:semiHidden/>
    <w:rsid w:val="005B12FD"/>
    <w:pPr>
      <w:spacing w:after="120"/>
      <w:ind w:left="1415"/>
      <w:contextualSpacing/>
    </w:pPr>
  </w:style>
  <w:style w:type="paragraph" w:styleId="ListNumber">
    <w:name w:val="List Number"/>
    <w:basedOn w:val="Normal"/>
    <w:uiPriority w:val="98"/>
    <w:semiHidden/>
    <w:rsid w:val="005B12FD"/>
    <w:pPr>
      <w:numPr>
        <w:numId w:val="14"/>
      </w:numPr>
      <w:contextualSpacing/>
    </w:pPr>
  </w:style>
  <w:style w:type="paragraph" w:styleId="ListNumber2">
    <w:name w:val="List Number 2"/>
    <w:basedOn w:val="Normal"/>
    <w:uiPriority w:val="98"/>
    <w:semiHidden/>
    <w:rsid w:val="005B12FD"/>
    <w:pPr>
      <w:numPr>
        <w:numId w:val="15"/>
      </w:numPr>
      <w:contextualSpacing/>
    </w:pPr>
  </w:style>
  <w:style w:type="paragraph" w:styleId="ListNumber3">
    <w:name w:val="List Number 3"/>
    <w:basedOn w:val="Normal"/>
    <w:uiPriority w:val="98"/>
    <w:semiHidden/>
    <w:rsid w:val="005B12FD"/>
    <w:pPr>
      <w:numPr>
        <w:numId w:val="16"/>
      </w:numPr>
      <w:contextualSpacing/>
    </w:pPr>
  </w:style>
  <w:style w:type="paragraph" w:styleId="ListNumber4">
    <w:name w:val="List Number 4"/>
    <w:basedOn w:val="Normal"/>
    <w:uiPriority w:val="98"/>
    <w:semiHidden/>
    <w:rsid w:val="005B12FD"/>
    <w:pPr>
      <w:numPr>
        <w:numId w:val="17"/>
      </w:numPr>
      <w:contextualSpacing/>
    </w:pPr>
  </w:style>
  <w:style w:type="paragraph" w:styleId="ListNumber5">
    <w:name w:val="List Number 5"/>
    <w:basedOn w:val="Normal"/>
    <w:uiPriority w:val="98"/>
    <w:semiHidden/>
    <w:rsid w:val="005B12FD"/>
    <w:pPr>
      <w:numPr>
        <w:numId w:val="18"/>
      </w:numPr>
      <w:contextualSpacing/>
    </w:pPr>
  </w:style>
  <w:style w:type="paragraph" w:styleId="MacroText">
    <w:name w:val="macro"/>
    <w:link w:val="MacroTextChar"/>
    <w:uiPriority w:val="98"/>
    <w:semiHidden/>
    <w:rsid w:val="005B12F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5B12FD"/>
    <w:rPr>
      <w:rFonts w:ascii="Consolas" w:eastAsiaTheme="minorEastAsia" w:hAnsi="Consolas" w:cs="Consolas"/>
      <w:sz w:val="20"/>
      <w:szCs w:val="20"/>
    </w:rPr>
  </w:style>
  <w:style w:type="table" w:styleId="MediumGrid1">
    <w:name w:val="Medium Grid 1"/>
    <w:basedOn w:val="TableNormal"/>
    <w:uiPriority w:val="67"/>
    <w:semiHidden/>
    <w:rsid w:val="005B12F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B12F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B12F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B12F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B12F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B12F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B12F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B12F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B12F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B12F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B12F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B12F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B12F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B12F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B12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B12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B12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B12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B12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B12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B12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B12F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B12F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B12F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B12F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B12F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B12F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B12F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B12F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B12F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B12F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B12F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B12F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B12F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B12F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B12F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B12F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B12F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B12F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B12F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B12F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B12F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B12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B12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B12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B12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B12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B12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B12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B12F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5B12F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5B12FD"/>
    <w:rPr>
      <w:rFonts w:ascii="Times New Roman" w:hAnsi="Times New Roman" w:cs="Times New Roman"/>
    </w:rPr>
  </w:style>
  <w:style w:type="paragraph" w:styleId="NormalIndent">
    <w:name w:val="Normal Indent"/>
    <w:basedOn w:val="Normal"/>
    <w:uiPriority w:val="98"/>
    <w:semiHidden/>
    <w:rsid w:val="005B12FD"/>
    <w:pPr>
      <w:ind w:left="720"/>
    </w:pPr>
  </w:style>
  <w:style w:type="paragraph" w:customStyle="1" w:styleId="ECHRBullet4">
    <w:name w:val="ECHR_Bullet_4"/>
    <w:aliases w:val="_Bul_4"/>
    <w:basedOn w:val="ECHRBullet3"/>
    <w:uiPriority w:val="23"/>
    <w:semiHidden/>
    <w:rsid w:val="005B12FD"/>
    <w:pPr>
      <w:numPr>
        <w:ilvl w:val="3"/>
      </w:numPr>
    </w:pPr>
  </w:style>
  <w:style w:type="paragraph" w:customStyle="1" w:styleId="ECHRConfidential">
    <w:name w:val="ECHR_Confidential"/>
    <w:aliases w:val="_Confidential"/>
    <w:basedOn w:val="Normal"/>
    <w:next w:val="Normal"/>
    <w:uiPriority w:val="42"/>
    <w:semiHidden/>
    <w:qFormat/>
    <w:rsid w:val="005B12FD"/>
    <w:pPr>
      <w:jc w:val="right"/>
    </w:pPr>
    <w:rPr>
      <w:color w:val="C00000"/>
      <w:sz w:val="20"/>
    </w:rPr>
  </w:style>
  <w:style w:type="character" w:styleId="PlaceholderText">
    <w:name w:val="Placeholder Text"/>
    <w:basedOn w:val="DefaultParagraphFont"/>
    <w:uiPriority w:val="98"/>
    <w:semiHidden/>
    <w:rsid w:val="005B12FD"/>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5B12FD"/>
    <w:rPr>
      <w:rFonts w:ascii="Consolas" w:hAnsi="Consolas" w:cs="Consolas"/>
      <w:sz w:val="21"/>
      <w:szCs w:val="21"/>
    </w:rPr>
  </w:style>
  <w:style w:type="character" w:customStyle="1" w:styleId="PlainTextChar">
    <w:name w:val="Plain Text Char"/>
    <w:basedOn w:val="DefaultParagraphFont"/>
    <w:link w:val="PlainText"/>
    <w:uiPriority w:val="98"/>
    <w:semiHidden/>
    <w:rsid w:val="005B12FD"/>
    <w:rPr>
      <w:rFonts w:ascii="Consolas" w:hAnsi="Consolas" w:cs="Consolas"/>
      <w:sz w:val="21"/>
      <w:szCs w:val="21"/>
      <w:lang w:val="en-GB"/>
    </w:rPr>
  </w:style>
  <w:style w:type="paragraph" w:styleId="Salutation">
    <w:name w:val="Salutation"/>
    <w:basedOn w:val="Normal"/>
    <w:next w:val="Normal"/>
    <w:link w:val="SalutationChar"/>
    <w:uiPriority w:val="98"/>
    <w:semiHidden/>
    <w:rsid w:val="005B12FD"/>
  </w:style>
  <w:style w:type="character" w:customStyle="1" w:styleId="SalutationChar">
    <w:name w:val="Salutation Char"/>
    <w:basedOn w:val="DefaultParagraphFont"/>
    <w:link w:val="Salutation"/>
    <w:uiPriority w:val="98"/>
    <w:semiHidden/>
    <w:rsid w:val="005B12FD"/>
    <w:rPr>
      <w:sz w:val="24"/>
      <w:szCs w:val="24"/>
      <w:lang w:val="en-GB"/>
    </w:rPr>
  </w:style>
  <w:style w:type="paragraph" w:styleId="Signature">
    <w:name w:val="Signature"/>
    <w:basedOn w:val="Normal"/>
    <w:link w:val="SignatureChar"/>
    <w:uiPriority w:val="98"/>
    <w:semiHidden/>
    <w:rsid w:val="005B12FD"/>
    <w:pPr>
      <w:ind w:left="4252"/>
    </w:pPr>
  </w:style>
  <w:style w:type="character" w:customStyle="1" w:styleId="SignatureChar">
    <w:name w:val="Signature Char"/>
    <w:basedOn w:val="DefaultParagraphFont"/>
    <w:link w:val="Signature"/>
    <w:uiPriority w:val="98"/>
    <w:semiHidden/>
    <w:rsid w:val="005B12FD"/>
    <w:rPr>
      <w:sz w:val="24"/>
      <w:szCs w:val="24"/>
      <w:lang w:val="en-GB"/>
    </w:rPr>
  </w:style>
  <w:style w:type="table" w:styleId="Table3Deffects1">
    <w:name w:val="Table 3D effects 1"/>
    <w:basedOn w:val="TableNormal"/>
    <w:uiPriority w:val="99"/>
    <w:semiHidden/>
    <w:unhideWhenUsed/>
    <w:rsid w:val="005B12F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B12F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B12F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B12F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B12F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B12F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B12F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B12F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B12F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B12F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B12F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B12F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B12F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B12F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B12F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B12F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B12F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B12F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B12F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B12F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B12F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B12F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B12F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B12F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B12F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B12F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B12F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B12F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B12F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B12F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B12F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B12F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B12F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B12FD"/>
    <w:pPr>
      <w:ind w:left="240" w:hanging="240"/>
    </w:pPr>
  </w:style>
  <w:style w:type="paragraph" w:styleId="TableofFigures">
    <w:name w:val="table of figures"/>
    <w:basedOn w:val="Normal"/>
    <w:next w:val="Normal"/>
    <w:uiPriority w:val="98"/>
    <w:semiHidden/>
    <w:rsid w:val="005B12FD"/>
  </w:style>
  <w:style w:type="table" w:styleId="TableProfessional">
    <w:name w:val="Table Professional"/>
    <w:basedOn w:val="TableNormal"/>
    <w:uiPriority w:val="99"/>
    <w:semiHidden/>
    <w:unhideWhenUsed/>
    <w:rsid w:val="005B12F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B12F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B12F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B12F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B12F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B12F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B12F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B12F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B12F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B12F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5B12F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B12F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B12FD"/>
    <w:pPr>
      <w:spacing w:after="100"/>
      <w:ind w:left="1680"/>
    </w:pPr>
  </w:style>
  <w:style w:type="paragraph" w:styleId="TOC9">
    <w:name w:val="toc 9"/>
    <w:basedOn w:val="Normal"/>
    <w:next w:val="Normal"/>
    <w:autoRedefine/>
    <w:uiPriority w:val="98"/>
    <w:semiHidden/>
    <w:rsid w:val="005B12FD"/>
    <w:pPr>
      <w:spacing w:after="100"/>
      <w:ind w:left="1920"/>
    </w:pPr>
  </w:style>
  <w:style w:type="paragraph" w:customStyle="1" w:styleId="ECHRDivisionName">
    <w:name w:val="ECHR_DivisionName"/>
    <w:aliases w:val="_Div_Name"/>
    <w:basedOn w:val="Normal"/>
    <w:link w:val="ECHRDivisionNameChar"/>
    <w:uiPriority w:val="41"/>
    <w:semiHidden/>
    <w:qFormat/>
    <w:rsid w:val="005B12FD"/>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5B12FD"/>
    <w:rPr>
      <w:rFonts w:ascii="Arial" w:hAnsi="Arial"/>
      <w:i/>
      <w:color w:val="002856"/>
      <w:sz w:val="32"/>
      <w:szCs w:val="24"/>
      <w:lang w:val="en-GB"/>
    </w:rPr>
  </w:style>
  <w:style w:type="paragraph" w:customStyle="1" w:styleId="DummyStyle">
    <w:name w:val="Dummy_Style"/>
    <w:aliases w:val="_Dummy"/>
    <w:basedOn w:val="Normal"/>
    <w:semiHidden/>
    <w:qFormat/>
    <w:rsid w:val="005B12FD"/>
    <w:rPr>
      <w:color w:val="00B050"/>
      <w:sz w:val="22"/>
    </w:rPr>
  </w:style>
  <w:style w:type="paragraph" w:customStyle="1" w:styleId="ECHRFooterLineLandscape">
    <w:name w:val="ECHR_Footer_Line_Landscape"/>
    <w:aliases w:val="_Footer_Line_Landscape"/>
    <w:basedOn w:val="Normal"/>
    <w:uiPriority w:val="30"/>
    <w:semiHidden/>
    <w:rsid w:val="005B12F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
    <w:uiPriority w:val="8"/>
    <w:semiHidden/>
    <w:qFormat/>
    <w:rsid w:val="005B12FD"/>
    <w:pPr>
      <w:ind w:left="567" w:hanging="567"/>
    </w:pPr>
  </w:style>
  <w:style w:type="paragraph" w:styleId="NoteHeading">
    <w:name w:val="Note Heading"/>
    <w:basedOn w:val="Normal"/>
    <w:next w:val="Normal"/>
    <w:link w:val="NoteHeadingChar"/>
    <w:uiPriority w:val="98"/>
    <w:semiHidden/>
    <w:rsid w:val="005B12FD"/>
  </w:style>
  <w:style w:type="character" w:customStyle="1" w:styleId="NoteHeadingChar">
    <w:name w:val="Note Heading Char"/>
    <w:basedOn w:val="DefaultParagraphFont"/>
    <w:link w:val="NoteHeading"/>
    <w:uiPriority w:val="98"/>
    <w:semiHidden/>
    <w:rsid w:val="005B12FD"/>
    <w:rPr>
      <w:sz w:val="24"/>
      <w:szCs w:val="24"/>
      <w:lang w:val="en-GB"/>
    </w:rPr>
  </w:style>
  <w:style w:type="character" w:customStyle="1" w:styleId="ECHRParaChar">
    <w:name w:val="ECHR_Para Char"/>
    <w:aliases w:val="Ju_Para Char"/>
    <w:link w:val="JuPara"/>
    <w:uiPriority w:val="4"/>
    <w:rsid w:val="008C21CB"/>
    <w:rPr>
      <w:sz w:val="24"/>
      <w:szCs w:val="24"/>
      <w:lang w:val="en-GB"/>
    </w:rPr>
  </w:style>
  <w:style w:type="character" w:customStyle="1" w:styleId="JuQuotChar">
    <w:name w:val="Ju_Quot Char"/>
    <w:link w:val="JuQuot"/>
    <w:uiPriority w:val="20"/>
    <w:rsid w:val="008C21CB"/>
    <w:rPr>
      <w:sz w:val="20"/>
      <w:szCs w:val="24"/>
      <w:lang w:val="en-GB"/>
    </w:rPr>
  </w:style>
  <w:style w:type="paragraph" w:customStyle="1" w:styleId="ECHRParaSpaced">
    <w:name w:val="ECHR_Para_Spaced"/>
    <w:aliases w:val="Para_Spaced"/>
    <w:basedOn w:val="JuPara"/>
    <w:uiPriority w:val="4"/>
    <w:rsid w:val="00471B43"/>
    <w:pPr>
      <w:spacing w:before="120" w:after="120"/>
      <w:ind w:firstLine="0"/>
    </w:pPr>
    <w:rPr>
      <w:sz w:val="22"/>
    </w:rPr>
  </w:style>
  <w:style w:type="character" w:customStyle="1" w:styleId="JuHAChar">
    <w:name w:val="Ju_H_A Char"/>
    <w:basedOn w:val="DefaultParagraphFont"/>
    <w:link w:val="JuHA"/>
    <w:uiPriority w:val="17"/>
    <w:rsid w:val="001221E7"/>
    <w:rPr>
      <w:rFonts w:asciiTheme="majorHAnsi" w:eastAsiaTheme="majorEastAsia" w:hAnsiTheme="majorHAnsi" w:cstheme="majorBidi"/>
      <w:b/>
      <w:bCs/>
      <w:szCs w:val="24"/>
      <w:lang w:val="en-GB"/>
    </w:rPr>
  </w:style>
  <w:style w:type="paragraph" w:styleId="Revision">
    <w:name w:val="Revision"/>
    <w:hidden/>
    <w:uiPriority w:val="99"/>
    <w:semiHidden/>
    <w:rsid w:val="00EF7AD7"/>
    <w:rPr>
      <w:rFonts w:eastAsiaTheme="minorEastAsia"/>
      <w:sz w:val="24"/>
      <w:lang w:val="en-GB"/>
    </w:rPr>
  </w:style>
  <w:style w:type="paragraph" w:customStyle="1" w:styleId="ECHRHeaderLandscape">
    <w:name w:val="ECHR_Header_Landscape"/>
    <w:aliases w:val="_Header_Landscape"/>
    <w:basedOn w:val="JuHeader"/>
    <w:uiPriority w:val="29"/>
    <w:semiHidden/>
    <w:rsid w:val="005B12FD"/>
    <w:pPr>
      <w:tabs>
        <w:tab w:val="center" w:pos="6146"/>
        <w:tab w:val="right" w:pos="13778"/>
      </w:tabs>
      <w:ind w:left="-1474" w:right="-1474"/>
    </w:pPr>
  </w:style>
  <w:style w:type="paragraph" w:customStyle="1" w:styleId="ECHRParaIndent">
    <w:name w:val="ECHR_Para_Indent"/>
    <w:aliases w:val="_Indent"/>
    <w:basedOn w:val="Normal"/>
    <w:uiPriority w:val="7"/>
    <w:semiHidden/>
    <w:qFormat/>
    <w:rsid w:val="005B12FD"/>
    <w:pPr>
      <w:spacing w:before="120" w:after="120"/>
      <w:ind w:left="284"/>
    </w:pPr>
  </w:style>
  <w:style w:type="paragraph" w:customStyle="1" w:styleId="JuJudges">
    <w:name w:val="Ju_Judges"/>
    <w:aliases w:val="_Judges"/>
    <w:basedOn w:val="Normal"/>
    <w:uiPriority w:val="32"/>
    <w:qFormat/>
    <w:rsid w:val="005B12FD"/>
    <w:pPr>
      <w:tabs>
        <w:tab w:val="left" w:pos="567"/>
        <w:tab w:val="left" w:pos="1134"/>
      </w:tabs>
    </w:pPr>
  </w:style>
  <w:style w:type="paragraph" w:customStyle="1" w:styleId="ECHRLine">
    <w:name w:val="ECHR_Line"/>
    <w:aliases w:val="_Line"/>
    <w:basedOn w:val="Normal"/>
    <w:next w:val="Normal"/>
    <w:uiPriority w:val="46"/>
    <w:semiHidden/>
    <w:rsid w:val="005B12FD"/>
    <w:pPr>
      <w:pBdr>
        <w:bottom w:val="single" w:sz="12" w:space="1" w:color="949494" w:themeColor="text2" w:themeShade="BF"/>
      </w:pBdr>
      <w:spacing w:after="120"/>
    </w:pPr>
    <w:rPr>
      <w:sz w:val="12"/>
    </w:rPr>
  </w:style>
  <w:style w:type="paragraph" w:customStyle="1" w:styleId="ECHRHeading9">
    <w:name w:val="ECHR_Heading_9"/>
    <w:aliases w:val="_Head_9"/>
    <w:basedOn w:val="Heading9"/>
    <w:uiPriority w:val="17"/>
    <w:semiHidden/>
    <w:rsid w:val="005B12FD"/>
    <w:pPr>
      <w:keepNext/>
      <w:keepLines/>
      <w:numPr>
        <w:ilvl w:val="8"/>
        <w:numId w:val="2"/>
      </w:numPr>
      <w:spacing w:before="100" w:beforeAutospacing="1"/>
      <w:contextualSpacing/>
    </w:pPr>
    <w:rPr>
      <w:i w:val="0"/>
      <w:sz w:val="18"/>
    </w:rPr>
  </w:style>
  <w:style w:type="paragraph" w:customStyle="1" w:styleId="ECHRCoverTitle1">
    <w:name w:val="ECHR_Cover_Title_1"/>
    <w:aliases w:val="_Title_1"/>
    <w:basedOn w:val="Normal"/>
    <w:next w:val="Normal"/>
    <w:uiPriority w:val="38"/>
    <w:qFormat/>
    <w:rsid w:val="00BE67E7"/>
    <w:pPr>
      <w:spacing w:before="840"/>
      <w:contextualSpacing/>
      <w:jc w:val="center"/>
    </w:pPr>
    <w:rPr>
      <w:color w:val="2F2F2F" w:themeColor="accent3" w:themeShade="80"/>
      <w:sz w:val="36"/>
    </w:rPr>
  </w:style>
  <w:style w:type="paragraph" w:customStyle="1" w:styleId="ECHRNumberedList1">
    <w:name w:val="ECHR_Numbered_List_1"/>
    <w:aliases w:val="_Num_1"/>
    <w:basedOn w:val="Normal"/>
    <w:uiPriority w:val="23"/>
    <w:semiHidden/>
    <w:qFormat/>
    <w:rsid w:val="005B12FD"/>
    <w:pPr>
      <w:numPr>
        <w:numId w:val="8"/>
      </w:numPr>
      <w:spacing w:before="60" w:after="60"/>
    </w:pPr>
  </w:style>
  <w:style w:type="paragraph" w:customStyle="1" w:styleId="ECHRNumberedList2">
    <w:name w:val="ECHR_Numbered_List_2"/>
    <w:aliases w:val="_Num_2"/>
    <w:basedOn w:val="ECHRNumberedList1"/>
    <w:uiPriority w:val="23"/>
    <w:semiHidden/>
    <w:rsid w:val="005B12FD"/>
    <w:pPr>
      <w:numPr>
        <w:ilvl w:val="1"/>
      </w:numPr>
    </w:pPr>
  </w:style>
  <w:style w:type="paragraph" w:customStyle="1" w:styleId="ECHRNumberedList3">
    <w:name w:val="ECHR_Numbered_List_3"/>
    <w:aliases w:val="_Num_3"/>
    <w:basedOn w:val="ECHRNumberedList2"/>
    <w:uiPriority w:val="23"/>
    <w:semiHidden/>
    <w:rsid w:val="005B12FD"/>
    <w:pPr>
      <w:numPr>
        <w:ilvl w:val="2"/>
      </w:numPr>
    </w:pPr>
  </w:style>
  <w:style w:type="paragraph" w:customStyle="1" w:styleId="ECHRPlaceholder">
    <w:name w:val="ECHR_Placeholder"/>
    <w:aliases w:val="_Placeholder"/>
    <w:basedOn w:val="Normal"/>
    <w:uiPriority w:val="31"/>
    <w:rsid w:val="005B12FD"/>
    <w:pPr>
      <w:tabs>
        <w:tab w:val="center" w:pos="851"/>
        <w:tab w:val="center" w:pos="6407"/>
      </w:tabs>
      <w:spacing w:before="720"/>
    </w:pPr>
    <w:rPr>
      <w:color w:val="FFFFFF"/>
    </w:rPr>
  </w:style>
  <w:style w:type="character" w:customStyle="1" w:styleId="ECHRRed">
    <w:name w:val="ECHR_Red"/>
    <w:aliases w:val="_Red"/>
    <w:basedOn w:val="DefaultParagraphFont"/>
    <w:uiPriority w:val="15"/>
    <w:semiHidden/>
    <w:qFormat/>
    <w:rsid w:val="005B12FD"/>
    <w:rPr>
      <w:color w:val="C00000" w:themeColor="accent2"/>
    </w:rPr>
  </w:style>
  <w:style w:type="paragraph" w:customStyle="1" w:styleId="ECHRHeaderDate">
    <w:name w:val="ECHR_Header_Date"/>
    <w:aliases w:val="_Ref_Date"/>
    <w:basedOn w:val="Normal"/>
    <w:uiPriority w:val="44"/>
    <w:semiHidden/>
    <w:qFormat/>
    <w:rsid w:val="005B12FD"/>
    <w:pPr>
      <w:jc w:val="right"/>
    </w:pPr>
    <w:rPr>
      <w:sz w:val="20"/>
    </w:rPr>
  </w:style>
  <w:style w:type="paragraph" w:customStyle="1" w:styleId="ECHRHeaderRefIt">
    <w:name w:val="ECHR_Header_Ref_It"/>
    <w:aliases w:val="_Ref_Ital"/>
    <w:basedOn w:val="Normal"/>
    <w:next w:val="ECHRHeaderDate"/>
    <w:uiPriority w:val="43"/>
    <w:semiHidden/>
    <w:qFormat/>
    <w:rsid w:val="005B12FD"/>
    <w:pPr>
      <w:jc w:val="right"/>
    </w:pPr>
    <w:rPr>
      <w:i/>
      <w:sz w:val="20"/>
    </w:rPr>
  </w:style>
  <w:style w:type="paragraph" w:customStyle="1" w:styleId="ECHRSpacer">
    <w:name w:val="ECHR_Spacer"/>
    <w:aliases w:val="_Spacer"/>
    <w:basedOn w:val="Normal"/>
    <w:uiPriority w:val="45"/>
    <w:semiHidden/>
    <w:rsid w:val="005B12FD"/>
    <w:rPr>
      <w:sz w:val="4"/>
    </w:rPr>
  </w:style>
  <w:style w:type="paragraph" w:customStyle="1" w:styleId="ECHRCoverTitle4">
    <w:name w:val="ECHR_Cover_Title_4"/>
    <w:aliases w:val="_Title_4"/>
    <w:basedOn w:val="JuPara"/>
    <w:next w:val="JuPara"/>
    <w:uiPriority w:val="38"/>
    <w:qFormat/>
    <w:rsid w:val="005B12FD"/>
    <w:pPr>
      <w:keepNext/>
      <w:keepLines/>
      <w:tabs>
        <w:tab w:val="right" w:pos="7938"/>
      </w:tabs>
      <w:ind w:firstLine="0"/>
      <w:jc w:val="center"/>
    </w:pPr>
    <w:rPr>
      <w:i/>
    </w:rPr>
  </w:style>
  <w:style w:type="paragraph" w:customStyle="1" w:styleId="ECHRTitleCentre2">
    <w:name w:val="ECHR_Title_Centre_2"/>
    <w:aliases w:val="_Title_C_2"/>
    <w:basedOn w:val="Normal"/>
    <w:next w:val="Normal"/>
    <w:uiPriority w:val="26"/>
    <w:semiHidden/>
    <w:qFormat/>
    <w:rsid w:val="005B12F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TOC1">
    <w:name w:val="ECHR_Title_Centre_TOC_1"/>
    <w:aliases w:val="_Title_C_TOC"/>
    <w:basedOn w:val="ECHRTitleCentre1"/>
    <w:next w:val="Normal"/>
    <w:uiPriority w:val="25"/>
    <w:semiHidden/>
    <w:qFormat/>
    <w:rsid w:val="005B12FD"/>
    <w:pPr>
      <w:outlineLvl w:val="0"/>
    </w:pPr>
  </w:style>
  <w:style w:type="paragraph" w:customStyle="1" w:styleId="ECHRTitle1">
    <w:name w:val="ECHR_Title_1"/>
    <w:aliases w:val="_Title_L_1"/>
    <w:basedOn w:val="Normal"/>
    <w:next w:val="Normal"/>
    <w:uiPriority w:val="28"/>
    <w:semiHidden/>
    <w:qFormat/>
    <w:rsid w:val="005B12F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5B12F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5B12F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5B12FD"/>
    <w:pPr>
      <w:outlineLvl w:val="0"/>
    </w:pPr>
  </w:style>
  <w:style w:type="paragraph" w:customStyle="1" w:styleId="JuHArticle">
    <w:name w:val="Ju_H_Article"/>
    <w:aliases w:val="_Title_Quote"/>
    <w:basedOn w:val="Normal"/>
    <w:next w:val="JuQuot"/>
    <w:uiPriority w:val="19"/>
    <w:qFormat/>
    <w:rsid w:val="005B12FD"/>
    <w:pPr>
      <w:keepNext/>
      <w:spacing w:before="100" w:beforeAutospacing="1" w:after="120"/>
      <w:contextualSpacing/>
      <w:jc w:val="center"/>
    </w:pPr>
    <w:rPr>
      <w:b/>
      <w:sz w:val="20"/>
    </w:rPr>
  </w:style>
  <w:style w:type="numbering" w:customStyle="1" w:styleId="ECHRA1StyleBulletedSquare">
    <w:name w:val="ECHR_A1_Style_Bulleted_Square"/>
    <w:basedOn w:val="NoList"/>
    <w:rsid w:val="005B12FD"/>
    <w:pPr>
      <w:numPr>
        <w:numId w:val="6"/>
      </w:numPr>
    </w:pPr>
  </w:style>
  <w:style w:type="numbering" w:customStyle="1" w:styleId="ECHRA1StyleList">
    <w:name w:val="ECHR_A1_Style_List"/>
    <w:basedOn w:val="NoList"/>
    <w:uiPriority w:val="99"/>
    <w:rsid w:val="005B12FD"/>
    <w:pPr>
      <w:numPr>
        <w:numId w:val="7"/>
      </w:numPr>
    </w:pPr>
  </w:style>
  <w:style w:type="numbering" w:customStyle="1" w:styleId="ECHRA1StyleNumberedList">
    <w:name w:val="ECHR_A1_Style_Numbered_List"/>
    <w:basedOn w:val="NoList"/>
    <w:rsid w:val="005B12FD"/>
    <w:pPr>
      <w:numPr>
        <w:numId w:val="8"/>
      </w:numPr>
    </w:pPr>
  </w:style>
  <w:style w:type="table" w:customStyle="1" w:styleId="ECHRTable2">
    <w:name w:val="ECHR_Table_2"/>
    <w:basedOn w:val="TableNormal"/>
    <w:uiPriority w:val="99"/>
    <w:rsid w:val="005B12F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B12F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2019">
    <w:name w:val="ECHR_Table_2019"/>
    <w:basedOn w:val="TableNormal"/>
    <w:uiPriority w:val="99"/>
    <w:rsid w:val="005B12F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Grey">
    <w:name w:val="ECHR_Table_Grey"/>
    <w:basedOn w:val="TableNormal"/>
    <w:uiPriority w:val="99"/>
    <w:rsid w:val="005B12F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paragraph" w:customStyle="1" w:styleId="NormalJustified">
    <w:name w:val="Normal_Justified"/>
    <w:basedOn w:val="Normal"/>
    <w:semiHidden/>
    <w:rsid w:val="005B12FD"/>
    <w:pPr>
      <w:jc w:val="both"/>
    </w:pPr>
  </w:style>
  <w:style w:type="table" w:styleId="GridTable1Light">
    <w:name w:val="Grid Table 1 Light"/>
    <w:basedOn w:val="TableNormal"/>
    <w:uiPriority w:val="46"/>
    <w:semiHidden/>
    <w:rsid w:val="005B12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B12F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B12F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B12F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B12F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B12F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B12F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B12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B12F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5B12F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5B12F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5B12F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5B12F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5B12F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5B12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B12F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5B12F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5B12F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5B12F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5B12F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5B12F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5B12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B12F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5B12F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5B12F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5B12F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5B12F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5B12F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5B12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B12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5B12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5B12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5B12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5B12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5B12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5B12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B12F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5B12F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5B12F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5B12F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5B12F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5B12F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5B12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B12F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5B12F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5B12F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5B12F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5B12F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5B12F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5B12FD"/>
    <w:rPr>
      <w:color w:val="2B579A"/>
      <w:shd w:val="clear" w:color="auto" w:fill="E1DFDD"/>
    </w:rPr>
  </w:style>
  <w:style w:type="table" w:styleId="ListTable1Light">
    <w:name w:val="List Table 1 Light"/>
    <w:basedOn w:val="TableNormal"/>
    <w:uiPriority w:val="46"/>
    <w:semiHidden/>
    <w:rsid w:val="005B12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B12F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5B12F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5B12F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5B12F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5B12F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5B12F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5B12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B12F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5B12F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5B12F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5B12F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5B12F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5B12F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5B12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B12F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5B12F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5B12F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5B12F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5B12F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5B12F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5B12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B12F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5B12F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5B12F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5B12F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5B12F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5B12F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5B12F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B12F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B12F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B12F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B12F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B12F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B12F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B12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B12F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5B12F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5B12F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5B12F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5B12F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5B12F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5B12F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B12F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B12F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B12F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B12F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B12F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B12F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5B12FD"/>
    <w:rPr>
      <w:color w:val="2B579A"/>
      <w:shd w:val="clear" w:color="auto" w:fill="E1DFDD"/>
    </w:rPr>
  </w:style>
  <w:style w:type="table" w:styleId="PlainTable1">
    <w:name w:val="Plain Table 1"/>
    <w:basedOn w:val="TableNormal"/>
    <w:uiPriority w:val="41"/>
    <w:semiHidden/>
    <w:rsid w:val="005B12F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5B12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5B12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B12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5B12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5B12FD"/>
    <w:rPr>
      <w:u w:val="dotted"/>
    </w:rPr>
  </w:style>
  <w:style w:type="character" w:customStyle="1" w:styleId="SmartLink">
    <w:name w:val="Smart Link"/>
    <w:basedOn w:val="DefaultParagraphFont"/>
    <w:uiPriority w:val="99"/>
    <w:semiHidden/>
    <w:unhideWhenUsed/>
    <w:rsid w:val="005B12FD"/>
    <w:rPr>
      <w:color w:val="0000FF"/>
      <w:u w:val="single"/>
      <w:shd w:val="clear" w:color="auto" w:fill="F3F2F1"/>
    </w:rPr>
  </w:style>
  <w:style w:type="table" w:styleId="TableGridLight">
    <w:name w:val="Grid Table Light"/>
    <w:basedOn w:val="TableNormal"/>
    <w:uiPriority w:val="40"/>
    <w:semiHidden/>
    <w:rsid w:val="005B12F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5B1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6948">
      <w:bodyDiv w:val="1"/>
      <w:marLeft w:val="0"/>
      <w:marRight w:val="0"/>
      <w:marTop w:val="0"/>
      <w:marBottom w:val="0"/>
      <w:divBdr>
        <w:top w:val="none" w:sz="0" w:space="0" w:color="auto"/>
        <w:left w:val="none" w:sz="0" w:space="0" w:color="auto"/>
        <w:bottom w:val="none" w:sz="0" w:space="0" w:color="auto"/>
        <w:right w:val="none" w:sz="0" w:space="0" w:color="auto"/>
      </w:divBdr>
      <w:divsChild>
        <w:div w:id="525018842">
          <w:marLeft w:val="0"/>
          <w:marRight w:val="0"/>
          <w:marTop w:val="0"/>
          <w:marBottom w:val="0"/>
          <w:divBdr>
            <w:top w:val="none" w:sz="0" w:space="0" w:color="auto"/>
            <w:left w:val="none" w:sz="0" w:space="0" w:color="auto"/>
            <w:bottom w:val="none" w:sz="0" w:space="0" w:color="auto"/>
            <w:right w:val="none" w:sz="0" w:space="0" w:color="auto"/>
          </w:divBdr>
          <w:divsChild>
            <w:div w:id="240606208">
              <w:marLeft w:val="0"/>
              <w:marRight w:val="0"/>
              <w:marTop w:val="0"/>
              <w:marBottom w:val="0"/>
              <w:divBdr>
                <w:top w:val="none" w:sz="0" w:space="0" w:color="auto"/>
                <w:left w:val="none" w:sz="0" w:space="0" w:color="auto"/>
                <w:bottom w:val="none" w:sz="0" w:space="0" w:color="auto"/>
                <w:right w:val="none" w:sz="0" w:space="0" w:color="auto"/>
              </w:divBdr>
              <w:divsChild>
                <w:div w:id="994917761">
                  <w:marLeft w:val="0"/>
                  <w:marRight w:val="0"/>
                  <w:marTop w:val="0"/>
                  <w:marBottom w:val="0"/>
                  <w:divBdr>
                    <w:top w:val="none" w:sz="0" w:space="0" w:color="auto"/>
                    <w:left w:val="none" w:sz="0" w:space="0" w:color="auto"/>
                    <w:bottom w:val="none" w:sz="0" w:space="0" w:color="auto"/>
                    <w:right w:val="none" w:sz="0" w:space="0" w:color="auto"/>
                  </w:divBdr>
                  <w:divsChild>
                    <w:div w:id="2083871058">
                      <w:marLeft w:val="0"/>
                      <w:marRight w:val="0"/>
                      <w:marTop w:val="0"/>
                      <w:marBottom w:val="0"/>
                      <w:divBdr>
                        <w:top w:val="none" w:sz="0" w:space="0" w:color="auto"/>
                        <w:left w:val="none" w:sz="0" w:space="0" w:color="auto"/>
                        <w:bottom w:val="none" w:sz="0" w:space="0" w:color="auto"/>
                        <w:right w:val="none" w:sz="0" w:space="0" w:color="auto"/>
                      </w:divBdr>
                      <w:divsChild>
                        <w:div w:id="1534532329">
                          <w:marLeft w:val="0"/>
                          <w:marRight w:val="0"/>
                          <w:marTop w:val="0"/>
                          <w:marBottom w:val="0"/>
                          <w:divBdr>
                            <w:top w:val="none" w:sz="0" w:space="0" w:color="auto"/>
                            <w:left w:val="none" w:sz="0" w:space="0" w:color="auto"/>
                            <w:bottom w:val="none" w:sz="0" w:space="0" w:color="auto"/>
                            <w:right w:val="none" w:sz="0" w:space="0" w:color="auto"/>
                          </w:divBdr>
                          <w:divsChild>
                            <w:div w:id="11827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0889">
      <w:bodyDiv w:val="1"/>
      <w:marLeft w:val="0"/>
      <w:marRight w:val="0"/>
      <w:marTop w:val="0"/>
      <w:marBottom w:val="0"/>
      <w:divBdr>
        <w:top w:val="none" w:sz="0" w:space="0" w:color="auto"/>
        <w:left w:val="none" w:sz="0" w:space="0" w:color="auto"/>
        <w:bottom w:val="none" w:sz="0" w:space="0" w:color="auto"/>
        <w:right w:val="none" w:sz="0" w:space="0" w:color="auto"/>
      </w:divBdr>
      <w:divsChild>
        <w:div w:id="605116749">
          <w:marLeft w:val="0"/>
          <w:marRight w:val="0"/>
          <w:marTop w:val="0"/>
          <w:marBottom w:val="0"/>
          <w:divBdr>
            <w:top w:val="none" w:sz="0" w:space="0" w:color="auto"/>
            <w:left w:val="none" w:sz="0" w:space="0" w:color="auto"/>
            <w:bottom w:val="none" w:sz="0" w:space="0" w:color="auto"/>
            <w:right w:val="none" w:sz="0" w:space="0" w:color="auto"/>
          </w:divBdr>
          <w:divsChild>
            <w:div w:id="2095589887">
              <w:marLeft w:val="0"/>
              <w:marRight w:val="0"/>
              <w:marTop w:val="0"/>
              <w:marBottom w:val="0"/>
              <w:divBdr>
                <w:top w:val="none" w:sz="0" w:space="0" w:color="auto"/>
                <w:left w:val="none" w:sz="0" w:space="0" w:color="auto"/>
                <w:bottom w:val="none" w:sz="0" w:space="0" w:color="auto"/>
                <w:right w:val="none" w:sz="0" w:space="0" w:color="auto"/>
              </w:divBdr>
              <w:divsChild>
                <w:div w:id="1944418612">
                  <w:marLeft w:val="0"/>
                  <w:marRight w:val="0"/>
                  <w:marTop w:val="0"/>
                  <w:marBottom w:val="0"/>
                  <w:divBdr>
                    <w:top w:val="none" w:sz="0" w:space="0" w:color="auto"/>
                    <w:left w:val="none" w:sz="0" w:space="0" w:color="auto"/>
                    <w:bottom w:val="none" w:sz="0" w:space="0" w:color="auto"/>
                    <w:right w:val="none" w:sz="0" w:space="0" w:color="auto"/>
                  </w:divBdr>
                  <w:divsChild>
                    <w:div w:id="1132288463">
                      <w:marLeft w:val="0"/>
                      <w:marRight w:val="0"/>
                      <w:marTop w:val="0"/>
                      <w:marBottom w:val="0"/>
                      <w:divBdr>
                        <w:top w:val="none" w:sz="0" w:space="0" w:color="auto"/>
                        <w:left w:val="none" w:sz="0" w:space="0" w:color="auto"/>
                        <w:bottom w:val="none" w:sz="0" w:space="0" w:color="auto"/>
                        <w:right w:val="none" w:sz="0" w:space="0" w:color="auto"/>
                      </w:divBdr>
                      <w:divsChild>
                        <w:div w:id="43212138">
                          <w:marLeft w:val="0"/>
                          <w:marRight w:val="0"/>
                          <w:marTop w:val="0"/>
                          <w:marBottom w:val="0"/>
                          <w:divBdr>
                            <w:top w:val="none" w:sz="0" w:space="0" w:color="auto"/>
                            <w:left w:val="none" w:sz="0" w:space="0" w:color="auto"/>
                            <w:bottom w:val="none" w:sz="0" w:space="0" w:color="auto"/>
                            <w:right w:val="none" w:sz="0" w:space="0" w:color="auto"/>
                          </w:divBdr>
                          <w:divsChild>
                            <w:div w:id="6473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9191">
      <w:bodyDiv w:val="1"/>
      <w:marLeft w:val="0"/>
      <w:marRight w:val="0"/>
      <w:marTop w:val="0"/>
      <w:marBottom w:val="0"/>
      <w:divBdr>
        <w:top w:val="none" w:sz="0" w:space="0" w:color="auto"/>
        <w:left w:val="none" w:sz="0" w:space="0" w:color="auto"/>
        <w:bottom w:val="none" w:sz="0" w:space="0" w:color="auto"/>
        <w:right w:val="none" w:sz="0" w:space="0" w:color="auto"/>
      </w:divBdr>
      <w:divsChild>
        <w:div w:id="939021054">
          <w:marLeft w:val="0"/>
          <w:marRight w:val="0"/>
          <w:marTop w:val="0"/>
          <w:marBottom w:val="0"/>
          <w:divBdr>
            <w:top w:val="none" w:sz="0" w:space="0" w:color="auto"/>
            <w:left w:val="none" w:sz="0" w:space="0" w:color="auto"/>
            <w:bottom w:val="none" w:sz="0" w:space="0" w:color="auto"/>
            <w:right w:val="none" w:sz="0" w:space="0" w:color="auto"/>
          </w:divBdr>
          <w:divsChild>
            <w:div w:id="1381437940">
              <w:marLeft w:val="0"/>
              <w:marRight w:val="0"/>
              <w:marTop w:val="0"/>
              <w:marBottom w:val="0"/>
              <w:divBdr>
                <w:top w:val="none" w:sz="0" w:space="0" w:color="auto"/>
                <w:left w:val="none" w:sz="0" w:space="0" w:color="auto"/>
                <w:bottom w:val="none" w:sz="0" w:space="0" w:color="auto"/>
                <w:right w:val="none" w:sz="0" w:space="0" w:color="auto"/>
              </w:divBdr>
              <w:divsChild>
                <w:div w:id="832136862">
                  <w:marLeft w:val="0"/>
                  <w:marRight w:val="0"/>
                  <w:marTop w:val="0"/>
                  <w:marBottom w:val="0"/>
                  <w:divBdr>
                    <w:top w:val="none" w:sz="0" w:space="0" w:color="auto"/>
                    <w:left w:val="none" w:sz="0" w:space="0" w:color="auto"/>
                    <w:bottom w:val="none" w:sz="0" w:space="0" w:color="auto"/>
                    <w:right w:val="none" w:sz="0" w:space="0" w:color="auto"/>
                  </w:divBdr>
                  <w:divsChild>
                    <w:div w:id="86274404">
                      <w:marLeft w:val="0"/>
                      <w:marRight w:val="0"/>
                      <w:marTop w:val="0"/>
                      <w:marBottom w:val="0"/>
                      <w:divBdr>
                        <w:top w:val="none" w:sz="0" w:space="0" w:color="auto"/>
                        <w:left w:val="none" w:sz="0" w:space="0" w:color="auto"/>
                        <w:bottom w:val="none" w:sz="0" w:space="0" w:color="auto"/>
                        <w:right w:val="none" w:sz="0" w:space="0" w:color="auto"/>
                      </w:divBdr>
                      <w:divsChild>
                        <w:div w:id="1604387063">
                          <w:marLeft w:val="0"/>
                          <w:marRight w:val="0"/>
                          <w:marTop w:val="0"/>
                          <w:marBottom w:val="0"/>
                          <w:divBdr>
                            <w:top w:val="none" w:sz="0" w:space="0" w:color="auto"/>
                            <w:left w:val="none" w:sz="0" w:space="0" w:color="auto"/>
                            <w:bottom w:val="none" w:sz="0" w:space="0" w:color="auto"/>
                            <w:right w:val="none" w:sz="0" w:space="0" w:color="auto"/>
                          </w:divBdr>
                          <w:divsChild>
                            <w:div w:id="20487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61887">
      <w:bodyDiv w:val="1"/>
      <w:marLeft w:val="0"/>
      <w:marRight w:val="0"/>
      <w:marTop w:val="0"/>
      <w:marBottom w:val="0"/>
      <w:divBdr>
        <w:top w:val="none" w:sz="0" w:space="0" w:color="auto"/>
        <w:left w:val="none" w:sz="0" w:space="0" w:color="auto"/>
        <w:bottom w:val="none" w:sz="0" w:space="0" w:color="auto"/>
        <w:right w:val="none" w:sz="0" w:space="0" w:color="auto"/>
      </w:divBdr>
      <w:divsChild>
        <w:div w:id="978804937">
          <w:marLeft w:val="0"/>
          <w:marRight w:val="0"/>
          <w:marTop w:val="0"/>
          <w:marBottom w:val="0"/>
          <w:divBdr>
            <w:top w:val="none" w:sz="0" w:space="0" w:color="auto"/>
            <w:left w:val="none" w:sz="0" w:space="0" w:color="auto"/>
            <w:bottom w:val="none" w:sz="0" w:space="0" w:color="auto"/>
            <w:right w:val="none" w:sz="0" w:space="0" w:color="auto"/>
          </w:divBdr>
          <w:divsChild>
            <w:div w:id="312565251">
              <w:marLeft w:val="0"/>
              <w:marRight w:val="0"/>
              <w:marTop w:val="0"/>
              <w:marBottom w:val="0"/>
              <w:divBdr>
                <w:top w:val="none" w:sz="0" w:space="0" w:color="auto"/>
                <w:left w:val="none" w:sz="0" w:space="0" w:color="auto"/>
                <w:bottom w:val="none" w:sz="0" w:space="0" w:color="auto"/>
                <w:right w:val="none" w:sz="0" w:space="0" w:color="auto"/>
              </w:divBdr>
              <w:divsChild>
                <w:div w:id="1610355624">
                  <w:marLeft w:val="0"/>
                  <w:marRight w:val="0"/>
                  <w:marTop w:val="0"/>
                  <w:marBottom w:val="0"/>
                  <w:divBdr>
                    <w:top w:val="none" w:sz="0" w:space="0" w:color="auto"/>
                    <w:left w:val="none" w:sz="0" w:space="0" w:color="auto"/>
                    <w:bottom w:val="none" w:sz="0" w:space="0" w:color="auto"/>
                    <w:right w:val="none" w:sz="0" w:space="0" w:color="auto"/>
                  </w:divBdr>
                  <w:divsChild>
                    <w:div w:id="1753237782">
                      <w:marLeft w:val="0"/>
                      <w:marRight w:val="0"/>
                      <w:marTop w:val="0"/>
                      <w:marBottom w:val="0"/>
                      <w:divBdr>
                        <w:top w:val="none" w:sz="0" w:space="0" w:color="auto"/>
                        <w:left w:val="none" w:sz="0" w:space="0" w:color="auto"/>
                        <w:bottom w:val="none" w:sz="0" w:space="0" w:color="auto"/>
                        <w:right w:val="none" w:sz="0" w:space="0" w:color="auto"/>
                      </w:divBdr>
                      <w:divsChild>
                        <w:div w:id="94592743">
                          <w:marLeft w:val="0"/>
                          <w:marRight w:val="0"/>
                          <w:marTop w:val="0"/>
                          <w:marBottom w:val="0"/>
                          <w:divBdr>
                            <w:top w:val="none" w:sz="0" w:space="0" w:color="auto"/>
                            <w:left w:val="none" w:sz="0" w:space="0" w:color="auto"/>
                            <w:bottom w:val="none" w:sz="0" w:space="0" w:color="auto"/>
                            <w:right w:val="none" w:sz="0" w:space="0" w:color="auto"/>
                          </w:divBdr>
                          <w:divsChild>
                            <w:div w:id="13694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905852">
      <w:bodyDiv w:val="1"/>
      <w:marLeft w:val="0"/>
      <w:marRight w:val="0"/>
      <w:marTop w:val="0"/>
      <w:marBottom w:val="0"/>
      <w:divBdr>
        <w:top w:val="none" w:sz="0" w:space="0" w:color="auto"/>
        <w:left w:val="none" w:sz="0" w:space="0" w:color="auto"/>
        <w:bottom w:val="none" w:sz="0" w:space="0" w:color="auto"/>
        <w:right w:val="none" w:sz="0" w:space="0" w:color="auto"/>
      </w:divBdr>
      <w:divsChild>
        <w:div w:id="201942013">
          <w:marLeft w:val="0"/>
          <w:marRight w:val="0"/>
          <w:marTop w:val="0"/>
          <w:marBottom w:val="0"/>
          <w:divBdr>
            <w:top w:val="none" w:sz="0" w:space="0" w:color="auto"/>
            <w:left w:val="none" w:sz="0" w:space="0" w:color="auto"/>
            <w:bottom w:val="none" w:sz="0" w:space="0" w:color="auto"/>
            <w:right w:val="none" w:sz="0" w:space="0" w:color="auto"/>
          </w:divBdr>
          <w:divsChild>
            <w:div w:id="1986080942">
              <w:marLeft w:val="0"/>
              <w:marRight w:val="0"/>
              <w:marTop w:val="0"/>
              <w:marBottom w:val="0"/>
              <w:divBdr>
                <w:top w:val="none" w:sz="0" w:space="0" w:color="auto"/>
                <w:left w:val="none" w:sz="0" w:space="0" w:color="auto"/>
                <w:bottom w:val="none" w:sz="0" w:space="0" w:color="auto"/>
                <w:right w:val="none" w:sz="0" w:space="0" w:color="auto"/>
              </w:divBdr>
              <w:divsChild>
                <w:div w:id="1561358644">
                  <w:marLeft w:val="0"/>
                  <w:marRight w:val="0"/>
                  <w:marTop w:val="0"/>
                  <w:marBottom w:val="0"/>
                  <w:divBdr>
                    <w:top w:val="none" w:sz="0" w:space="0" w:color="auto"/>
                    <w:left w:val="none" w:sz="0" w:space="0" w:color="auto"/>
                    <w:bottom w:val="none" w:sz="0" w:space="0" w:color="auto"/>
                    <w:right w:val="none" w:sz="0" w:space="0" w:color="auto"/>
                  </w:divBdr>
                  <w:divsChild>
                    <w:div w:id="1209342493">
                      <w:marLeft w:val="0"/>
                      <w:marRight w:val="0"/>
                      <w:marTop w:val="0"/>
                      <w:marBottom w:val="0"/>
                      <w:divBdr>
                        <w:top w:val="none" w:sz="0" w:space="0" w:color="auto"/>
                        <w:left w:val="none" w:sz="0" w:space="0" w:color="auto"/>
                        <w:bottom w:val="none" w:sz="0" w:space="0" w:color="auto"/>
                        <w:right w:val="none" w:sz="0" w:space="0" w:color="auto"/>
                      </w:divBdr>
                      <w:divsChild>
                        <w:div w:id="1551455677">
                          <w:marLeft w:val="0"/>
                          <w:marRight w:val="0"/>
                          <w:marTop w:val="0"/>
                          <w:marBottom w:val="0"/>
                          <w:divBdr>
                            <w:top w:val="none" w:sz="0" w:space="0" w:color="auto"/>
                            <w:left w:val="none" w:sz="0" w:space="0" w:color="auto"/>
                            <w:bottom w:val="none" w:sz="0" w:space="0" w:color="auto"/>
                            <w:right w:val="none" w:sz="0" w:space="0" w:color="auto"/>
                          </w:divBdr>
                          <w:divsChild>
                            <w:div w:id="10889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785867">
      <w:bodyDiv w:val="1"/>
      <w:marLeft w:val="0"/>
      <w:marRight w:val="0"/>
      <w:marTop w:val="0"/>
      <w:marBottom w:val="0"/>
      <w:divBdr>
        <w:top w:val="none" w:sz="0" w:space="0" w:color="auto"/>
        <w:left w:val="none" w:sz="0" w:space="0" w:color="auto"/>
        <w:bottom w:val="none" w:sz="0" w:space="0" w:color="auto"/>
        <w:right w:val="none" w:sz="0" w:space="0" w:color="auto"/>
      </w:divBdr>
      <w:divsChild>
        <w:div w:id="1767654709">
          <w:marLeft w:val="0"/>
          <w:marRight w:val="0"/>
          <w:marTop w:val="0"/>
          <w:marBottom w:val="0"/>
          <w:divBdr>
            <w:top w:val="none" w:sz="0" w:space="0" w:color="auto"/>
            <w:left w:val="none" w:sz="0" w:space="0" w:color="auto"/>
            <w:bottom w:val="none" w:sz="0" w:space="0" w:color="auto"/>
            <w:right w:val="none" w:sz="0" w:space="0" w:color="auto"/>
          </w:divBdr>
          <w:divsChild>
            <w:div w:id="1070887600">
              <w:marLeft w:val="0"/>
              <w:marRight w:val="0"/>
              <w:marTop w:val="0"/>
              <w:marBottom w:val="0"/>
              <w:divBdr>
                <w:top w:val="none" w:sz="0" w:space="0" w:color="auto"/>
                <w:left w:val="none" w:sz="0" w:space="0" w:color="auto"/>
                <w:bottom w:val="none" w:sz="0" w:space="0" w:color="auto"/>
                <w:right w:val="none" w:sz="0" w:space="0" w:color="auto"/>
              </w:divBdr>
              <w:divsChild>
                <w:div w:id="809399412">
                  <w:marLeft w:val="0"/>
                  <w:marRight w:val="0"/>
                  <w:marTop w:val="0"/>
                  <w:marBottom w:val="0"/>
                  <w:divBdr>
                    <w:top w:val="none" w:sz="0" w:space="0" w:color="auto"/>
                    <w:left w:val="none" w:sz="0" w:space="0" w:color="auto"/>
                    <w:bottom w:val="none" w:sz="0" w:space="0" w:color="auto"/>
                    <w:right w:val="none" w:sz="0" w:space="0" w:color="auto"/>
                  </w:divBdr>
                  <w:divsChild>
                    <w:div w:id="1481845337">
                      <w:marLeft w:val="0"/>
                      <w:marRight w:val="0"/>
                      <w:marTop w:val="0"/>
                      <w:marBottom w:val="0"/>
                      <w:divBdr>
                        <w:top w:val="none" w:sz="0" w:space="0" w:color="auto"/>
                        <w:left w:val="none" w:sz="0" w:space="0" w:color="auto"/>
                        <w:bottom w:val="none" w:sz="0" w:space="0" w:color="auto"/>
                        <w:right w:val="none" w:sz="0" w:space="0" w:color="auto"/>
                      </w:divBdr>
                      <w:divsChild>
                        <w:div w:id="720792756">
                          <w:marLeft w:val="0"/>
                          <w:marRight w:val="0"/>
                          <w:marTop w:val="0"/>
                          <w:marBottom w:val="0"/>
                          <w:divBdr>
                            <w:top w:val="none" w:sz="0" w:space="0" w:color="auto"/>
                            <w:left w:val="none" w:sz="0" w:space="0" w:color="auto"/>
                            <w:bottom w:val="none" w:sz="0" w:space="0" w:color="auto"/>
                            <w:right w:val="none" w:sz="0" w:space="0" w:color="auto"/>
                          </w:divBdr>
                          <w:divsChild>
                            <w:div w:id="17475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793907">
      <w:bodyDiv w:val="1"/>
      <w:marLeft w:val="0"/>
      <w:marRight w:val="0"/>
      <w:marTop w:val="0"/>
      <w:marBottom w:val="0"/>
      <w:divBdr>
        <w:top w:val="none" w:sz="0" w:space="0" w:color="auto"/>
        <w:left w:val="none" w:sz="0" w:space="0" w:color="auto"/>
        <w:bottom w:val="none" w:sz="0" w:space="0" w:color="auto"/>
        <w:right w:val="none" w:sz="0" w:space="0" w:color="auto"/>
      </w:divBdr>
      <w:divsChild>
        <w:div w:id="1128429077">
          <w:marLeft w:val="0"/>
          <w:marRight w:val="0"/>
          <w:marTop w:val="0"/>
          <w:marBottom w:val="0"/>
          <w:divBdr>
            <w:top w:val="none" w:sz="0" w:space="0" w:color="auto"/>
            <w:left w:val="none" w:sz="0" w:space="0" w:color="auto"/>
            <w:bottom w:val="none" w:sz="0" w:space="0" w:color="auto"/>
            <w:right w:val="none" w:sz="0" w:space="0" w:color="auto"/>
          </w:divBdr>
          <w:divsChild>
            <w:div w:id="152571269">
              <w:marLeft w:val="0"/>
              <w:marRight w:val="0"/>
              <w:marTop w:val="0"/>
              <w:marBottom w:val="0"/>
              <w:divBdr>
                <w:top w:val="none" w:sz="0" w:space="0" w:color="auto"/>
                <w:left w:val="none" w:sz="0" w:space="0" w:color="auto"/>
                <w:bottom w:val="none" w:sz="0" w:space="0" w:color="auto"/>
                <w:right w:val="none" w:sz="0" w:space="0" w:color="auto"/>
              </w:divBdr>
              <w:divsChild>
                <w:div w:id="303200208">
                  <w:marLeft w:val="0"/>
                  <w:marRight w:val="0"/>
                  <w:marTop w:val="0"/>
                  <w:marBottom w:val="0"/>
                  <w:divBdr>
                    <w:top w:val="none" w:sz="0" w:space="0" w:color="auto"/>
                    <w:left w:val="none" w:sz="0" w:space="0" w:color="auto"/>
                    <w:bottom w:val="none" w:sz="0" w:space="0" w:color="auto"/>
                    <w:right w:val="none" w:sz="0" w:space="0" w:color="auto"/>
                  </w:divBdr>
                  <w:divsChild>
                    <w:div w:id="1057433219">
                      <w:marLeft w:val="0"/>
                      <w:marRight w:val="0"/>
                      <w:marTop w:val="0"/>
                      <w:marBottom w:val="0"/>
                      <w:divBdr>
                        <w:top w:val="none" w:sz="0" w:space="0" w:color="auto"/>
                        <w:left w:val="none" w:sz="0" w:space="0" w:color="auto"/>
                        <w:bottom w:val="none" w:sz="0" w:space="0" w:color="auto"/>
                        <w:right w:val="none" w:sz="0" w:space="0" w:color="auto"/>
                      </w:divBdr>
                      <w:divsChild>
                        <w:div w:id="163324462">
                          <w:marLeft w:val="0"/>
                          <w:marRight w:val="0"/>
                          <w:marTop w:val="0"/>
                          <w:marBottom w:val="0"/>
                          <w:divBdr>
                            <w:top w:val="none" w:sz="0" w:space="0" w:color="auto"/>
                            <w:left w:val="none" w:sz="0" w:space="0" w:color="auto"/>
                            <w:bottom w:val="none" w:sz="0" w:space="0" w:color="auto"/>
                            <w:right w:val="none" w:sz="0" w:space="0" w:color="auto"/>
                          </w:divBdr>
                          <w:divsChild>
                            <w:div w:id="5978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34404">
      <w:bodyDiv w:val="1"/>
      <w:marLeft w:val="0"/>
      <w:marRight w:val="0"/>
      <w:marTop w:val="0"/>
      <w:marBottom w:val="0"/>
      <w:divBdr>
        <w:top w:val="none" w:sz="0" w:space="0" w:color="auto"/>
        <w:left w:val="none" w:sz="0" w:space="0" w:color="auto"/>
        <w:bottom w:val="none" w:sz="0" w:space="0" w:color="auto"/>
        <w:right w:val="none" w:sz="0" w:space="0" w:color="auto"/>
      </w:divBdr>
      <w:divsChild>
        <w:div w:id="1663653515">
          <w:marLeft w:val="0"/>
          <w:marRight w:val="0"/>
          <w:marTop w:val="0"/>
          <w:marBottom w:val="0"/>
          <w:divBdr>
            <w:top w:val="none" w:sz="0" w:space="0" w:color="auto"/>
            <w:left w:val="none" w:sz="0" w:space="0" w:color="auto"/>
            <w:bottom w:val="none" w:sz="0" w:space="0" w:color="auto"/>
            <w:right w:val="none" w:sz="0" w:space="0" w:color="auto"/>
          </w:divBdr>
          <w:divsChild>
            <w:div w:id="860822819">
              <w:marLeft w:val="0"/>
              <w:marRight w:val="0"/>
              <w:marTop w:val="0"/>
              <w:marBottom w:val="0"/>
              <w:divBdr>
                <w:top w:val="none" w:sz="0" w:space="0" w:color="auto"/>
                <w:left w:val="none" w:sz="0" w:space="0" w:color="auto"/>
                <w:bottom w:val="none" w:sz="0" w:space="0" w:color="auto"/>
                <w:right w:val="none" w:sz="0" w:space="0" w:color="auto"/>
              </w:divBdr>
              <w:divsChild>
                <w:div w:id="2025396374">
                  <w:marLeft w:val="0"/>
                  <w:marRight w:val="0"/>
                  <w:marTop w:val="0"/>
                  <w:marBottom w:val="0"/>
                  <w:divBdr>
                    <w:top w:val="none" w:sz="0" w:space="0" w:color="auto"/>
                    <w:left w:val="none" w:sz="0" w:space="0" w:color="auto"/>
                    <w:bottom w:val="none" w:sz="0" w:space="0" w:color="auto"/>
                    <w:right w:val="none" w:sz="0" w:space="0" w:color="auto"/>
                  </w:divBdr>
                  <w:divsChild>
                    <w:div w:id="576742483">
                      <w:marLeft w:val="0"/>
                      <w:marRight w:val="0"/>
                      <w:marTop w:val="0"/>
                      <w:marBottom w:val="0"/>
                      <w:divBdr>
                        <w:top w:val="none" w:sz="0" w:space="0" w:color="auto"/>
                        <w:left w:val="none" w:sz="0" w:space="0" w:color="auto"/>
                        <w:bottom w:val="none" w:sz="0" w:space="0" w:color="auto"/>
                        <w:right w:val="none" w:sz="0" w:space="0" w:color="auto"/>
                      </w:divBdr>
                      <w:divsChild>
                        <w:div w:id="1434323062">
                          <w:marLeft w:val="0"/>
                          <w:marRight w:val="0"/>
                          <w:marTop w:val="0"/>
                          <w:marBottom w:val="0"/>
                          <w:divBdr>
                            <w:top w:val="none" w:sz="0" w:space="0" w:color="auto"/>
                            <w:left w:val="none" w:sz="0" w:space="0" w:color="auto"/>
                            <w:bottom w:val="none" w:sz="0" w:space="0" w:color="auto"/>
                            <w:right w:val="none" w:sz="0" w:space="0" w:color="auto"/>
                          </w:divBdr>
                          <w:divsChild>
                            <w:div w:id="16996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36132">
      <w:bodyDiv w:val="1"/>
      <w:marLeft w:val="0"/>
      <w:marRight w:val="0"/>
      <w:marTop w:val="0"/>
      <w:marBottom w:val="0"/>
      <w:divBdr>
        <w:top w:val="none" w:sz="0" w:space="0" w:color="auto"/>
        <w:left w:val="none" w:sz="0" w:space="0" w:color="auto"/>
        <w:bottom w:val="none" w:sz="0" w:space="0" w:color="auto"/>
        <w:right w:val="none" w:sz="0" w:space="0" w:color="auto"/>
      </w:divBdr>
      <w:divsChild>
        <w:div w:id="1816490023">
          <w:marLeft w:val="0"/>
          <w:marRight w:val="0"/>
          <w:marTop w:val="0"/>
          <w:marBottom w:val="0"/>
          <w:divBdr>
            <w:top w:val="none" w:sz="0" w:space="0" w:color="auto"/>
            <w:left w:val="none" w:sz="0" w:space="0" w:color="auto"/>
            <w:bottom w:val="none" w:sz="0" w:space="0" w:color="auto"/>
            <w:right w:val="none" w:sz="0" w:space="0" w:color="auto"/>
          </w:divBdr>
          <w:divsChild>
            <w:div w:id="328221233">
              <w:marLeft w:val="0"/>
              <w:marRight w:val="0"/>
              <w:marTop w:val="0"/>
              <w:marBottom w:val="0"/>
              <w:divBdr>
                <w:top w:val="none" w:sz="0" w:space="0" w:color="auto"/>
                <w:left w:val="none" w:sz="0" w:space="0" w:color="auto"/>
                <w:bottom w:val="none" w:sz="0" w:space="0" w:color="auto"/>
                <w:right w:val="none" w:sz="0" w:space="0" w:color="auto"/>
              </w:divBdr>
              <w:divsChild>
                <w:div w:id="15695391">
                  <w:marLeft w:val="0"/>
                  <w:marRight w:val="0"/>
                  <w:marTop w:val="0"/>
                  <w:marBottom w:val="0"/>
                  <w:divBdr>
                    <w:top w:val="none" w:sz="0" w:space="0" w:color="auto"/>
                    <w:left w:val="none" w:sz="0" w:space="0" w:color="auto"/>
                    <w:bottom w:val="none" w:sz="0" w:space="0" w:color="auto"/>
                    <w:right w:val="none" w:sz="0" w:space="0" w:color="auto"/>
                  </w:divBdr>
                  <w:divsChild>
                    <w:div w:id="765805526">
                      <w:marLeft w:val="0"/>
                      <w:marRight w:val="0"/>
                      <w:marTop w:val="0"/>
                      <w:marBottom w:val="0"/>
                      <w:divBdr>
                        <w:top w:val="none" w:sz="0" w:space="0" w:color="auto"/>
                        <w:left w:val="none" w:sz="0" w:space="0" w:color="auto"/>
                        <w:bottom w:val="none" w:sz="0" w:space="0" w:color="auto"/>
                        <w:right w:val="none" w:sz="0" w:space="0" w:color="auto"/>
                      </w:divBdr>
                      <w:divsChild>
                        <w:div w:id="1153136342">
                          <w:marLeft w:val="0"/>
                          <w:marRight w:val="0"/>
                          <w:marTop w:val="0"/>
                          <w:marBottom w:val="0"/>
                          <w:divBdr>
                            <w:top w:val="none" w:sz="0" w:space="0" w:color="auto"/>
                            <w:left w:val="none" w:sz="0" w:space="0" w:color="auto"/>
                            <w:bottom w:val="none" w:sz="0" w:space="0" w:color="auto"/>
                            <w:right w:val="none" w:sz="0" w:space="0" w:color="auto"/>
                          </w:divBdr>
                          <w:divsChild>
                            <w:div w:id="7217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686291">
      <w:bodyDiv w:val="1"/>
      <w:marLeft w:val="0"/>
      <w:marRight w:val="0"/>
      <w:marTop w:val="0"/>
      <w:marBottom w:val="0"/>
      <w:divBdr>
        <w:top w:val="none" w:sz="0" w:space="0" w:color="auto"/>
        <w:left w:val="none" w:sz="0" w:space="0" w:color="auto"/>
        <w:bottom w:val="none" w:sz="0" w:space="0" w:color="auto"/>
        <w:right w:val="none" w:sz="0" w:space="0" w:color="auto"/>
      </w:divBdr>
      <w:divsChild>
        <w:div w:id="537014797">
          <w:marLeft w:val="0"/>
          <w:marRight w:val="0"/>
          <w:marTop w:val="0"/>
          <w:marBottom w:val="0"/>
          <w:divBdr>
            <w:top w:val="none" w:sz="0" w:space="0" w:color="auto"/>
            <w:left w:val="none" w:sz="0" w:space="0" w:color="auto"/>
            <w:bottom w:val="none" w:sz="0" w:space="0" w:color="auto"/>
            <w:right w:val="none" w:sz="0" w:space="0" w:color="auto"/>
          </w:divBdr>
          <w:divsChild>
            <w:div w:id="15667248">
              <w:marLeft w:val="0"/>
              <w:marRight w:val="0"/>
              <w:marTop w:val="0"/>
              <w:marBottom w:val="0"/>
              <w:divBdr>
                <w:top w:val="none" w:sz="0" w:space="0" w:color="auto"/>
                <w:left w:val="none" w:sz="0" w:space="0" w:color="auto"/>
                <w:bottom w:val="none" w:sz="0" w:space="0" w:color="auto"/>
                <w:right w:val="none" w:sz="0" w:space="0" w:color="auto"/>
              </w:divBdr>
              <w:divsChild>
                <w:div w:id="553085669">
                  <w:marLeft w:val="0"/>
                  <w:marRight w:val="0"/>
                  <w:marTop w:val="0"/>
                  <w:marBottom w:val="0"/>
                  <w:divBdr>
                    <w:top w:val="none" w:sz="0" w:space="0" w:color="auto"/>
                    <w:left w:val="none" w:sz="0" w:space="0" w:color="auto"/>
                    <w:bottom w:val="none" w:sz="0" w:space="0" w:color="auto"/>
                    <w:right w:val="none" w:sz="0" w:space="0" w:color="auto"/>
                  </w:divBdr>
                  <w:divsChild>
                    <w:div w:id="813302498">
                      <w:marLeft w:val="0"/>
                      <w:marRight w:val="0"/>
                      <w:marTop w:val="0"/>
                      <w:marBottom w:val="0"/>
                      <w:divBdr>
                        <w:top w:val="none" w:sz="0" w:space="0" w:color="auto"/>
                        <w:left w:val="none" w:sz="0" w:space="0" w:color="auto"/>
                        <w:bottom w:val="none" w:sz="0" w:space="0" w:color="auto"/>
                        <w:right w:val="none" w:sz="0" w:space="0" w:color="auto"/>
                      </w:divBdr>
                      <w:divsChild>
                        <w:div w:id="662778147">
                          <w:marLeft w:val="0"/>
                          <w:marRight w:val="0"/>
                          <w:marTop w:val="0"/>
                          <w:marBottom w:val="0"/>
                          <w:divBdr>
                            <w:top w:val="none" w:sz="0" w:space="0" w:color="auto"/>
                            <w:left w:val="none" w:sz="0" w:space="0" w:color="auto"/>
                            <w:bottom w:val="none" w:sz="0" w:space="0" w:color="auto"/>
                            <w:right w:val="none" w:sz="0" w:space="0" w:color="auto"/>
                          </w:divBdr>
                          <w:divsChild>
                            <w:div w:id="8028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276907">
      <w:bodyDiv w:val="1"/>
      <w:marLeft w:val="0"/>
      <w:marRight w:val="0"/>
      <w:marTop w:val="0"/>
      <w:marBottom w:val="0"/>
      <w:divBdr>
        <w:top w:val="none" w:sz="0" w:space="0" w:color="auto"/>
        <w:left w:val="none" w:sz="0" w:space="0" w:color="auto"/>
        <w:bottom w:val="none" w:sz="0" w:space="0" w:color="auto"/>
        <w:right w:val="none" w:sz="0" w:space="0" w:color="auto"/>
      </w:divBdr>
      <w:divsChild>
        <w:div w:id="2122606377">
          <w:marLeft w:val="0"/>
          <w:marRight w:val="0"/>
          <w:marTop w:val="0"/>
          <w:marBottom w:val="0"/>
          <w:divBdr>
            <w:top w:val="none" w:sz="0" w:space="0" w:color="auto"/>
            <w:left w:val="none" w:sz="0" w:space="0" w:color="auto"/>
            <w:bottom w:val="none" w:sz="0" w:space="0" w:color="auto"/>
            <w:right w:val="none" w:sz="0" w:space="0" w:color="auto"/>
          </w:divBdr>
          <w:divsChild>
            <w:div w:id="1977562789">
              <w:marLeft w:val="0"/>
              <w:marRight w:val="0"/>
              <w:marTop w:val="0"/>
              <w:marBottom w:val="0"/>
              <w:divBdr>
                <w:top w:val="none" w:sz="0" w:space="0" w:color="auto"/>
                <w:left w:val="none" w:sz="0" w:space="0" w:color="auto"/>
                <w:bottom w:val="none" w:sz="0" w:space="0" w:color="auto"/>
                <w:right w:val="none" w:sz="0" w:space="0" w:color="auto"/>
              </w:divBdr>
              <w:divsChild>
                <w:div w:id="1973169111">
                  <w:marLeft w:val="0"/>
                  <w:marRight w:val="0"/>
                  <w:marTop w:val="0"/>
                  <w:marBottom w:val="0"/>
                  <w:divBdr>
                    <w:top w:val="none" w:sz="0" w:space="0" w:color="auto"/>
                    <w:left w:val="none" w:sz="0" w:space="0" w:color="auto"/>
                    <w:bottom w:val="none" w:sz="0" w:space="0" w:color="auto"/>
                    <w:right w:val="none" w:sz="0" w:space="0" w:color="auto"/>
                  </w:divBdr>
                  <w:divsChild>
                    <w:div w:id="1655331699">
                      <w:marLeft w:val="0"/>
                      <w:marRight w:val="0"/>
                      <w:marTop w:val="0"/>
                      <w:marBottom w:val="0"/>
                      <w:divBdr>
                        <w:top w:val="none" w:sz="0" w:space="0" w:color="auto"/>
                        <w:left w:val="none" w:sz="0" w:space="0" w:color="auto"/>
                        <w:bottom w:val="none" w:sz="0" w:space="0" w:color="auto"/>
                        <w:right w:val="none" w:sz="0" w:space="0" w:color="auto"/>
                      </w:divBdr>
                      <w:divsChild>
                        <w:div w:id="327438354">
                          <w:marLeft w:val="0"/>
                          <w:marRight w:val="0"/>
                          <w:marTop w:val="0"/>
                          <w:marBottom w:val="0"/>
                          <w:divBdr>
                            <w:top w:val="none" w:sz="0" w:space="0" w:color="auto"/>
                            <w:left w:val="none" w:sz="0" w:space="0" w:color="auto"/>
                            <w:bottom w:val="none" w:sz="0" w:space="0" w:color="auto"/>
                            <w:right w:val="none" w:sz="0" w:space="0" w:color="auto"/>
                          </w:divBdr>
                          <w:divsChild>
                            <w:div w:id="2816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62307">
      <w:bodyDiv w:val="1"/>
      <w:marLeft w:val="0"/>
      <w:marRight w:val="0"/>
      <w:marTop w:val="0"/>
      <w:marBottom w:val="0"/>
      <w:divBdr>
        <w:top w:val="none" w:sz="0" w:space="0" w:color="auto"/>
        <w:left w:val="none" w:sz="0" w:space="0" w:color="auto"/>
        <w:bottom w:val="none" w:sz="0" w:space="0" w:color="auto"/>
        <w:right w:val="none" w:sz="0" w:space="0" w:color="auto"/>
      </w:divBdr>
      <w:divsChild>
        <w:div w:id="1376125547">
          <w:marLeft w:val="0"/>
          <w:marRight w:val="0"/>
          <w:marTop w:val="0"/>
          <w:marBottom w:val="0"/>
          <w:divBdr>
            <w:top w:val="none" w:sz="0" w:space="0" w:color="auto"/>
            <w:left w:val="none" w:sz="0" w:space="0" w:color="auto"/>
            <w:bottom w:val="none" w:sz="0" w:space="0" w:color="auto"/>
            <w:right w:val="none" w:sz="0" w:space="0" w:color="auto"/>
          </w:divBdr>
          <w:divsChild>
            <w:div w:id="14044958">
              <w:marLeft w:val="0"/>
              <w:marRight w:val="0"/>
              <w:marTop w:val="0"/>
              <w:marBottom w:val="0"/>
              <w:divBdr>
                <w:top w:val="none" w:sz="0" w:space="0" w:color="auto"/>
                <w:left w:val="none" w:sz="0" w:space="0" w:color="auto"/>
                <w:bottom w:val="none" w:sz="0" w:space="0" w:color="auto"/>
                <w:right w:val="none" w:sz="0" w:space="0" w:color="auto"/>
              </w:divBdr>
              <w:divsChild>
                <w:div w:id="1413695953">
                  <w:marLeft w:val="0"/>
                  <w:marRight w:val="0"/>
                  <w:marTop w:val="0"/>
                  <w:marBottom w:val="0"/>
                  <w:divBdr>
                    <w:top w:val="none" w:sz="0" w:space="0" w:color="auto"/>
                    <w:left w:val="none" w:sz="0" w:space="0" w:color="auto"/>
                    <w:bottom w:val="none" w:sz="0" w:space="0" w:color="auto"/>
                    <w:right w:val="none" w:sz="0" w:space="0" w:color="auto"/>
                  </w:divBdr>
                  <w:divsChild>
                    <w:div w:id="21632761">
                      <w:marLeft w:val="0"/>
                      <w:marRight w:val="0"/>
                      <w:marTop w:val="0"/>
                      <w:marBottom w:val="0"/>
                      <w:divBdr>
                        <w:top w:val="none" w:sz="0" w:space="0" w:color="auto"/>
                        <w:left w:val="none" w:sz="0" w:space="0" w:color="auto"/>
                        <w:bottom w:val="none" w:sz="0" w:space="0" w:color="auto"/>
                        <w:right w:val="none" w:sz="0" w:space="0" w:color="auto"/>
                      </w:divBdr>
                      <w:divsChild>
                        <w:div w:id="1176118131">
                          <w:marLeft w:val="0"/>
                          <w:marRight w:val="0"/>
                          <w:marTop w:val="0"/>
                          <w:marBottom w:val="0"/>
                          <w:divBdr>
                            <w:top w:val="none" w:sz="0" w:space="0" w:color="auto"/>
                            <w:left w:val="none" w:sz="0" w:space="0" w:color="auto"/>
                            <w:bottom w:val="none" w:sz="0" w:space="0" w:color="auto"/>
                            <w:right w:val="none" w:sz="0" w:space="0" w:color="auto"/>
                          </w:divBdr>
                          <w:divsChild>
                            <w:div w:id="207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60305">
      <w:bodyDiv w:val="1"/>
      <w:marLeft w:val="0"/>
      <w:marRight w:val="0"/>
      <w:marTop w:val="0"/>
      <w:marBottom w:val="0"/>
      <w:divBdr>
        <w:top w:val="none" w:sz="0" w:space="0" w:color="auto"/>
        <w:left w:val="none" w:sz="0" w:space="0" w:color="auto"/>
        <w:bottom w:val="none" w:sz="0" w:space="0" w:color="auto"/>
        <w:right w:val="none" w:sz="0" w:space="0" w:color="auto"/>
      </w:divBdr>
      <w:divsChild>
        <w:div w:id="1334644993">
          <w:marLeft w:val="0"/>
          <w:marRight w:val="0"/>
          <w:marTop w:val="0"/>
          <w:marBottom w:val="0"/>
          <w:divBdr>
            <w:top w:val="none" w:sz="0" w:space="0" w:color="auto"/>
            <w:left w:val="none" w:sz="0" w:space="0" w:color="auto"/>
            <w:bottom w:val="none" w:sz="0" w:space="0" w:color="auto"/>
            <w:right w:val="none" w:sz="0" w:space="0" w:color="auto"/>
          </w:divBdr>
          <w:divsChild>
            <w:div w:id="1042172014">
              <w:marLeft w:val="0"/>
              <w:marRight w:val="0"/>
              <w:marTop w:val="0"/>
              <w:marBottom w:val="0"/>
              <w:divBdr>
                <w:top w:val="none" w:sz="0" w:space="0" w:color="auto"/>
                <w:left w:val="none" w:sz="0" w:space="0" w:color="auto"/>
                <w:bottom w:val="none" w:sz="0" w:space="0" w:color="auto"/>
                <w:right w:val="none" w:sz="0" w:space="0" w:color="auto"/>
              </w:divBdr>
              <w:divsChild>
                <w:div w:id="533226191">
                  <w:marLeft w:val="0"/>
                  <w:marRight w:val="0"/>
                  <w:marTop w:val="0"/>
                  <w:marBottom w:val="0"/>
                  <w:divBdr>
                    <w:top w:val="none" w:sz="0" w:space="0" w:color="auto"/>
                    <w:left w:val="none" w:sz="0" w:space="0" w:color="auto"/>
                    <w:bottom w:val="none" w:sz="0" w:space="0" w:color="auto"/>
                    <w:right w:val="none" w:sz="0" w:space="0" w:color="auto"/>
                  </w:divBdr>
                  <w:divsChild>
                    <w:div w:id="222177797">
                      <w:marLeft w:val="0"/>
                      <w:marRight w:val="0"/>
                      <w:marTop w:val="0"/>
                      <w:marBottom w:val="0"/>
                      <w:divBdr>
                        <w:top w:val="none" w:sz="0" w:space="0" w:color="auto"/>
                        <w:left w:val="none" w:sz="0" w:space="0" w:color="auto"/>
                        <w:bottom w:val="none" w:sz="0" w:space="0" w:color="auto"/>
                        <w:right w:val="none" w:sz="0" w:space="0" w:color="auto"/>
                      </w:divBdr>
                      <w:divsChild>
                        <w:div w:id="363673577">
                          <w:marLeft w:val="0"/>
                          <w:marRight w:val="0"/>
                          <w:marTop w:val="0"/>
                          <w:marBottom w:val="0"/>
                          <w:divBdr>
                            <w:top w:val="none" w:sz="0" w:space="0" w:color="auto"/>
                            <w:left w:val="none" w:sz="0" w:space="0" w:color="auto"/>
                            <w:bottom w:val="none" w:sz="0" w:space="0" w:color="auto"/>
                            <w:right w:val="none" w:sz="0" w:space="0" w:color="auto"/>
                          </w:divBdr>
                          <w:divsChild>
                            <w:div w:id="9813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413329">
      <w:bodyDiv w:val="1"/>
      <w:marLeft w:val="0"/>
      <w:marRight w:val="0"/>
      <w:marTop w:val="0"/>
      <w:marBottom w:val="0"/>
      <w:divBdr>
        <w:top w:val="none" w:sz="0" w:space="0" w:color="auto"/>
        <w:left w:val="none" w:sz="0" w:space="0" w:color="auto"/>
        <w:bottom w:val="none" w:sz="0" w:space="0" w:color="auto"/>
        <w:right w:val="none" w:sz="0" w:space="0" w:color="auto"/>
      </w:divBdr>
      <w:divsChild>
        <w:div w:id="269439695">
          <w:marLeft w:val="0"/>
          <w:marRight w:val="0"/>
          <w:marTop w:val="0"/>
          <w:marBottom w:val="0"/>
          <w:divBdr>
            <w:top w:val="none" w:sz="0" w:space="0" w:color="auto"/>
            <w:left w:val="none" w:sz="0" w:space="0" w:color="auto"/>
            <w:bottom w:val="none" w:sz="0" w:space="0" w:color="auto"/>
            <w:right w:val="none" w:sz="0" w:space="0" w:color="auto"/>
          </w:divBdr>
          <w:divsChild>
            <w:div w:id="650908580">
              <w:marLeft w:val="0"/>
              <w:marRight w:val="0"/>
              <w:marTop w:val="0"/>
              <w:marBottom w:val="0"/>
              <w:divBdr>
                <w:top w:val="none" w:sz="0" w:space="0" w:color="auto"/>
                <w:left w:val="none" w:sz="0" w:space="0" w:color="auto"/>
                <w:bottom w:val="none" w:sz="0" w:space="0" w:color="auto"/>
                <w:right w:val="none" w:sz="0" w:space="0" w:color="auto"/>
              </w:divBdr>
              <w:divsChild>
                <w:div w:id="771169940">
                  <w:marLeft w:val="0"/>
                  <w:marRight w:val="0"/>
                  <w:marTop w:val="0"/>
                  <w:marBottom w:val="0"/>
                  <w:divBdr>
                    <w:top w:val="none" w:sz="0" w:space="0" w:color="auto"/>
                    <w:left w:val="none" w:sz="0" w:space="0" w:color="auto"/>
                    <w:bottom w:val="none" w:sz="0" w:space="0" w:color="auto"/>
                    <w:right w:val="none" w:sz="0" w:space="0" w:color="auto"/>
                  </w:divBdr>
                  <w:divsChild>
                    <w:div w:id="1135416746">
                      <w:marLeft w:val="0"/>
                      <w:marRight w:val="0"/>
                      <w:marTop w:val="0"/>
                      <w:marBottom w:val="0"/>
                      <w:divBdr>
                        <w:top w:val="none" w:sz="0" w:space="0" w:color="auto"/>
                        <w:left w:val="none" w:sz="0" w:space="0" w:color="auto"/>
                        <w:bottom w:val="none" w:sz="0" w:space="0" w:color="auto"/>
                        <w:right w:val="none" w:sz="0" w:space="0" w:color="auto"/>
                      </w:divBdr>
                      <w:divsChild>
                        <w:div w:id="370766744">
                          <w:marLeft w:val="0"/>
                          <w:marRight w:val="0"/>
                          <w:marTop w:val="0"/>
                          <w:marBottom w:val="0"/>
                          <w:divBdr>
                            <w:top w:val="none" w:sz="0" w:space="0" w:color="auto"/>
                            <w:left w:val="none" w:sz="0" w:space="0" w:color="auto"/>
                            <w:bottom w:val="none" w:sz="0" w:space="0" w:color="auto"/>
                            <w:right w:val="none" w:sz="0" w:space="0" w:color="auto"/>
                          </w:divBdr>
                          <w:divsChild>
                            <w:div w:id="6622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626959">
      <w:bodyDiv w:val="1"/>
      <w:marLeft w:val="0"/>
      <w:marRight w:val="0"/>
      <w:marTop w:val="0"/>
      <w:marBottom w:val="0"/>
      <w:divBdr>
        <w:top w:val="none" w:sz="0" w:space="0" w:color="auto"/>
        <w:left w:val="none" w:sz="0" w:space="0" w:color="auto"/>
        <w:bottom w:val="none" w:sz="0" w:space="0" w:color="auto"/>
        <w:right w:val="none" w:sz="0" w:space="0" w:color="auto"/>
      </w:divBdr>
      <w:divsChild>
        <w:div w:id="600573898">
          <w:marLeft w:val="0"/>
          <w:marRight w:val="0"/>
          <w:marTop w:val="0"/>
          <w:marBottom w:val="0"/>
          <w:divBdr>
            <w:top w:val="none" w:sz="0" w:space="0" w:color="auto"/>
            <w:left w:val="none" w:sz="0" w:space="0" w:color="auto"/>
            <w:bottom w:val="none" w:sz="0" w:space="0" w:color="auto"/>
            <w:right w:val="none" w:sz="0" w:space="0" w:color="auto"/>
          </w:divBdr>
          <w:divsChild>
            <w:div w:id="467018665">
              <w:marLeft w:val="0"/>
              <w:marRight w:val="0"/>
              <w:marTop w:val="0"/>
              <w:marBottom w:val="0"/>
              <w:divBdr>
                <w:top w:val="none" w:sz="0" w:space="0" w:color="auto"/>
                <w:left w:val="none" w:sz="0" w:space="0" w:color="auto"/>
                <w:bottom w:val="none" w:sz="0" w:space="0" w:color="auto"/>
                <w:right w:val="none" w:sz="0" w:space="0" w:color="auto"/>
              </w:divBdr>
              <w:divsChild>
                <w:div w:id="1369988020">
                  <w:marLeft w:val="0"/>
                  <w:marRight w:val="0"/>
                  <w:marTop w:val="0"/>
                  <w:marBottom w:val="0"/>
                  <w:divBdr>
                    <w:top w:val="none" w:sz="0" w:space="0" w:color="auto"/>
                    <w:left w:val="none" w:sz="0" w:space="0" w:color="auto"/>
                    <w:bottom w:val="none" w:sz="0" w:space="0" w:color="auto"/>
                    <w:right w:val="none" w:sz="0" w:space="0" w:color="auto"/>
                  </w:divBdr>
                  <w:divsChild>
                    <w:div w:id="1738506031">
                      <w:marLeft w:val="0"/>
                      <w:marRight w:val="0"/>
                      <w:marTop w:val="0"/>
                      <w:marBottom w:val="0"/>
                      <w:divBdr>
                        <w:top w:val="none" w:sz="0" w:space="0" w:color="auto"/>
                        <w:left w:val="none" w:sz="0" w:space="0" w:color="auto"/>
                        <w:bottom w:val="none" w:sz="0" w:space="0" w:color="auto"/>
                        <w:right w:val="none" w:sz="0" w:space="0" w:color="auto"/>
                      </w:divBdr>
                      <w:divsChild>
                        <w:div w:id="811488515">
                          <w:marLeft w:val="0"/>
                          <w:marRight w:val="0"/>
                          <w:marTop w:val="0"/>
                          <w:marBottom w:val="0"/>
                          <w:divBdr>
                            <w:top w:val="none" w:sz="0" w:space="0" w:color="auto"/>
                            <w:left w:val="none" w:sz="0" w:space="0" w:color="auto"/>
                            <w:bottom w:val="none" w:sz="0" w:space="0" w:color="auto"/>
                            <w:right w:val="none" w:sz="0" w:space="0" w:color="auto"/>
                          </w:divBdr>
                          <w:divsChild>
                            <w:div w:id="8463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024706">
      <w:bodyDiv w:val="1"/>
      <w:marLeft w:val="0"/>
      <w:marRight w:val="0"/>
      <w:marTop w:val="0"/>
      <w:marBottom w:val="0"/>
      <w:divBdr>
        <w:top w:val="none" w:sz="0" w:space="0" w:color="auto"/>
        <w:left w:val="none" w:sz="0" w:space="0" w:color="auto"/>
        <w:bottom w:val="none" w:sz="0" w:space="0" w:color="auto"/>
        <w:right w:val="none" w:sz="0" w:space="0" w:color="auto"/>
      </w:divBdr>
      <w:divsChild>
        <w:div w:id="1019893021">
          <w:marLeft w:val="0"/>
          <w:marRight w:val="0"/>
          <w:marTop w:val="0"/>
          <w:marBottom w:val="0"/>
          <w:divBdr>
            <w:top w:val="none" w:sz="0" w:space="0" w:color="auto"/>
            <w:left w:val="none" w:sz="0" w:space="0" w:color="auto"/>
            <w:bottom w:val="none" w:sz="0" w:space="0" w:color="auto"/>
            <w:right w:val="none" w:sz="0" w:space="0" w:color="auto"/>
          </w:divBdr>
          <w:divsChild>
            <w:div w:id="1582594161">
              <w:marLeft w:val="0"/>
              <w:marRight w:val="0"/>
              <w:marTop w:val="0"/>
              <w:marBottom w:val="0"/>
              <w:divBdr>
                <w:top w:val="none" w:sz="0" w:space="0" w:color="auto"/>
                <w:left w:val="none" w:sz="0" w:space="0" w:color="auto"/>
                <w:bottom w:val="none" w:sz="0" w:space="0" w:color="auto"/>
                <w:right w:val="none" w:sz="0" w:space="0" w:color="auto"/>
              </w:divBdr>
              <w:divsChild>
                <w:div w:id="2115251019">
                  <w:marLeft w:val="0"/>
                  <w:marRight w:val="0"/>
                  <w:marTop w:val="0"/>
                  <w:marBottom w:val="0"/>
                  <w:divBdr>
                    <w:top w:val="none" w:sz="0" w:space="0" w:color="auto"/>
                    <w:left w:val="none" w:sz="0" w:space="0" w:color="auto"/>
                    <w:bottom w:val="none" w:sz="0" w:space="0" w:color="auto"/>
                    <w:right w:val="none" w:sz="0" w:space="0" w:color="auto"/>
                  </w:divBdr>
                  <w:divsChild>
                    <w:div w:id="1860973962">
                      <w:marLeft w:val="0"/>
                      <w:marRight w:val="0"/>
                      <w:marTop w:val="0"/>
                      <w:marBottom w:val="0"/>
                      <w:divBdr>
                        <w:top w:val="none" w:sz="0" w:space="0" w:color="auto"/>
                        <w:left w:val="none" w:sz="0" w:space="0" w:color="auto"/>
                        <w:bottom w:val="none" w:sz="0" w:space="0" w:color="auto"/>
                        <w:right w:val="none" w:sz="0" w:space="0" w:color="auto"/>
                      </w:divBdr>
                      <w:divsChild>
                        <w:div w:id="1004236974">
                          <w:marLeft w:val="0"/>
                          <w:marRight w:val="0"/>
                          <w:marTop w:val="0"/>
                          <w:marBottom w:val="0"/>
                          <w:divBdr>
                            <w:top w:val="none" w:sz="0" w:space="0" w:color="auto"/>
                            <w:left w:val="none" w:sz="0" w:space="0" w:color="auto"/>
                            <w:bottom w:val="none" w:sz="0" w:space="0" w:color="auto"/>
                            <w:right w:val="none" w:sz="0" w:space="0" w:color="auto"/>
                          </w:divBdr>
                          <w:divsChild>
                            <w:div w:id="15243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25433">
      <w:bodyDiv w:val="1"/>
      <w:marLeft w:val="0"/>
      <w:marRight w:val="0"/>
      <w:marTop w:val="0"/>
      <w:marBottom w:val="0"/>
      <w:divBdr>
        <w:top w:val="none" w:sz="0" w:space="0" w:color="auto"/>
        <w:left w:val="none" w:sz="0" w:space="0" w:color="auto"/>
        <w:bottom w:val="none" w:sz="0" w:space="0" w:color="auto"/>
        <w:right w:val="none" w:sz="0" w:space="0" w:color="auto"/>
      </w:divBdr>
    </w:div>
    <w:div w:id="2046327492">
      <w:bodyDiv w:val="1"/>
      <w:marLeft w:val="0"/>
      <w:marRight w:val="0"/>
      <w:marTop w:val="0"/>
      <w:marBottom w:val="0"/>
      <w:divBdr>
        <w:top w:val="none" w:sz="0" w:space="0" w:color="auto"/>
        <w:left w:val="none" w:sz="0" w:space="0" w:color="auto"/>
        <w:bottom w:val="none" w:sz="0" w:space="0" w:color="auto"/>
        <w:right w:val="none" w:sz="0" w:space="0" w:color="auto"/>
      </w:divBdr>
      <w:divsChild>
        <w:div w:id="987897985">
          <w:marLeft w:val="0"/>
          <w:marRight w:val="0"/>
          <w:marTop w:val="0"/>
          <w:marBottom w:val="0"/>
          <w:divBdr>
            <w:top w:val="none" w:sz="0" w:space="0" w:color="auto"/>
            <w:left w:val="none" w:sz="0" w:space="0" w:color="auto"/>
            <w:bottom w:val="none" w:sz="0" w:space="0" w:color="auto"/>
            <w:right w:val="none" w:sz="0" w:space="0" w:color="auto"/>
          </w:divBdr>
          <w:divsChild>
            <w:div w:id="101997970">
              <w:marLeft w:val="0"/>
              <w:marRight w:val="0"/>
              <w:marTop w:val="0"/>
              <w:marBottom w:val="0"/>
              <w:divBdr>
                <w:top w:val="none" w:sz="0" w:space="0" w:color="auto"/>
                <w:left w:val="none" w:sz="0" w:space="0" w:color="auto"/>
                <w:bottom w:val="none" w:sz="0" w:space="0" w:color="auto"/>
                <w:right w:val="none" w:sz="0" w:space="0" w:color="auto"/>
              </w:divBdr>
              <w:divsChild>
                <w:div w:id="1327630814">
                  <w:marLeft w:val="0"/>
                  <w:marRight w:val="0"/>
                  <w:marTop w:val="0"/>
                  <w:marBottom w:val="0"/>
                  <w:divBdr>
                    <w:top w:val="none" w:sz="0" w:space="0" w:color="auto"/>
                    <w:left w:val="none" w:sz="0" w:space="0" w:color="auto"/>
                    <w:bottom w:val="none" w:sz="0" w:space="0" w:color="auto"/>
                    <w:right w:val="none" w:sz="0" w:space="0" w:color="auto"/>
                  </w:divBdr>
                  <w:divsChild>
                    <w:div w:id="2110271190">
                      <w:marLeft w:val="0"/>
                      <w:marRight w:val="0"/>
                      <w:marTop w:val="0"/>
                      <w:marBottom w:val="0"/>
                      <w:divBdr>
                        <w:top w:val="none" w:sz="0" w:space="0" w:color="auto"/>
                        <w:left w:val="none" w:sz="0" w:space="0" w:color="auto"/>
                        <w:bottom w:val="none" w:sz="0" w:space="0" w:color="auto"/>
                        <w:right w:val="none" w:sz="0" w:space="0" w:color="auto"/>
                      </w:divBdr>
                      <w:divsChild>
                        <w:div w:id="1993368356">
                          <w:marLeft w:val="0"/>
                          <w:marRight w:val="0"/>
                          <w:marTop w:val="0"/>
                          <w:marBottom w:val="0"/>
                          <w:divBdr>
                            <w:top w:val="none" w:sz="0" w:space="0" w:color="auto"/>
                            <w:left w:val="none" w:sz="0" w:space="0" w:color="auto"/>
                            <w:bottom w:val="none" w:sz="0" w:space="0" w:color="auto"/>
                            <w:right w:val="none" w:sz="0" w:space="0" w:color="auto"/>
                          </w:divBdr>
                          <w:divsChild>
                            <w:div w:id="5364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456950">
      <w:bodyDiv w:val="1"/>
      <w:marLeft w:val="0"/>
      <w:marRight w:val="0"/>
      <w:marTop w:val="0"/>
      <w:marBottom w:val="0"/>
      <w:divBdr>
        <w:top w:val="none" w:sz="0" w:space="0" w:color="auto"/>
        <w:left w:val="none" w:sz="0" w:space="0" w:color="auto"/>
        <w:bottom w:val="none" w:sz="0" w:space="0" w:color="auto"/>
        <w:right w:val="none" w:sz="0" w:space="0" w:color="auto"/>
      </w:divBdr>
      <w:divsChild>
        <w:div w:id="587538888">
          <w:marLeft w:val="0"/>
          <w:marRight w:val="0"/>
          <w:marTop w:val="0"/>
          <w:marBottom w:val="0"/>
          <w:divBdr>
            <w:top w:val="none" w:sz="0" w:space="0" w:color="auto"/>
            <w:left w:val="none" w:sz="0" w:space="0" w:color="auto"/>
            <w:bottom w:val="none" w:sz="0" w:space="0" w:color="auto"/>
            <w:right w:val="none" w:sz="0" w:space="0" w:color="auto"/>
          </w:divBdr>
          <w:divsChild>
            <w:div w:id="27343180">
              <w:marLeft w:val="0"/>
              <w:marRight w:val="0"/>
              <w:marTop w:val="0"/>
              <w:marBottom w:val="0"/>
              <w:divBdr>
                <w:top w:val="none" w:sz="0" w:space="0" w:color="auto"/>
                <w:left w:val="none" w:sz="0" w:space="0" w:color="auto"/>
                <w:bottom w:val="none" w:sz="0" w:space="0" w:color="auto"/>
                <w:right w:val="none" w:sz="0" w:space="0" w:color="auto"/>
              </w:divBdr>
              <w:divsChild>
                <w:div w:id="564682045">
                  <w:marLeft w:val="0"/>
                  <w:marRight w:val="0"/>
                  <w:marTop w:val="0"/>
                  <w:marBottom w:val="0"/>
                  <w:divBdr>
                    <w:top w:val="none" w:sz="0" w:space="0" w:color="auto"/>
                    <w:left w:val="none" w:sz="0" w:space="0" w:color="auto"/>
                    <w:bottom w:val="none" w:sz="0" w:space="0" w:color="auto"/>
                    <w:right w:val="none" w:sz="0" w:space="0" w:color="auto"/>
                  </w:divBdr>
                  <w:divsChild>
                    <w:div w:id="1206409486">
                      <w:marLeft w:val="0"/>
                      <w:marRight w:val="0"/>
                      <w:marTop w:val="0"/>
                      <w:marBottom w:val="0"/>
                      <w:divBdr>
                        <w:top w:val="none" w:sz="0" w:space="0" w:color="auto"/>
                        <w:left w:val="none" w:sz="0" w:space="0" w:color="auto"/>
                        <w:bottom w:val="none" w:sz="0" w:space="0" w:color="auto"/>
                        <w:right w:val="none" w:sz="0" w:space="0" w:color="auto"/>
                      </w:divBdr>
                      <w:divsChild>
                        <w:div w:id="949119719">
                          <w:marLeft w:val="0"/>
                          <w:marRight w:val="0"/>
                          <w:marTop w:val="0"/>
                          <w:marBottom w:val="0"/>
                          <w:divBdr>
                            <w:top w:val="none" w:sz="0" w:space="0" w:color="auto"/>
                            <w:left w:val="none" w:sz="0" w:space="0" w:color="auto"/>
                            <w:bottom w:val="none" w:sz="0" w:space="0" w:color="auto"/>
                            <w:right w:val="none" w:sz="0" w:space="0" w:color="auto"/>
                          </w:divBdr>
                          <w:divsChild>
                            <w:div w:id="10236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6130C-1E91-4625-88BE-270563A42468}">
  <ds:schemaRefs>
    <ds:schemaRef ds:uri="http://schemas.openxmlformats.org/officeDocument/2006/bibliography"/>
  </ds:schemaRefs>
</ds:datastoreItem>
</file>

<file path=customXml/itemProps2.xml><?xml version="1.0" encoding="utf-8"?>
<ds:datastoreItem xmlns:ds="http://schemas.openxmlformats.org/officeDocument/2006/customXml" ds:itemID="{C898EB1F-82E1-4D7C-BA32-7B70534DDA28}"/>
</file>

<file path=customXml/itemProps3.xml><?xml version="1.0" encoding="utf-8"?>
<ds:datastoreItem xmlns:ds="http://schemas.openxmlformats.org/officeDocument/2006/customXml" ds:itemID="{A5A68F55-A215-46D0-9FDE-3D1D8644450D}"/>
</file>

<file path=customXml/itemProps4.xml><?xml version="1.0" encoding="utf-8"?>
<ds:datastoreItem xmlns:ds="http://schemas.openxmlformats.org/officeDocument/2006/customXml" ds:itemID="{7D336EA1-CD4D-43DF-9A15-CD9E4EAEE0DA}"/>
</file>

<file path=docProps/app.xml><?xml version="1.0" encoding="utf-8"?>
<Properties xmlns="http://schemas.openxmlformats.org/officeDocument/2006/extended-properties" xmlns:vt="http://schemas.openxmlformats.org/officeDocument/2006/docPropsVTypes">
  <Template>Normal.dotm</Template>
  <TotalTime>0</TotalTime>
  <Pages>1</Pages>
  <Words>12860</Words>
  <Characters>73308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85997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2021-06-08T07:18:00Z</cp:lastPrinted>
  <dcterms:created xsi:type="dcterms:W3CDTF">2021-08-31T07:50:00Z</dcterms:created>
  <dcterms:modified xsi:type="dcterms:W3CDTF">2021-08-31T07:50:00Z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45512/11</vt:lpwstr>
  </property>
  <property fmtid="{D5CDD505-2E9C-101B-9397-08002B2CF9AE}" pid="4" name="CASEID">
    <vt:lpwstr>735039</vt:lpwstr>
  </property>
  <property fmtid="{D5CDD505-2E9C-101B-9397-08002B2CF9AE}" pid="5" name="ContentTypeId">
    <vt:lpwstr>0x010100558EB02BDB9E204AB350EDD385B68E10</vt:lpwstr>
  </property>
</Properties>
</file>