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93D0C" w:rsidR="0098410D" w:rsidP="00693D0C" w:rsidRDefault="00C27006" w14:paraId="7A2C1194" w14:textId="77777777">
      <w:pPr>
        <w:jc w:val="center"/>
      </w:pPr>
    </w:p>
    <w:p w:rsidRPr="00693D0C" w:rsidR="0098410D" w:rsidP="00693D0C" w:rsidRDefault="00C27006" w14:paraId="07AB50A2" w14:textId="77777777">
      <w:pPr>
        <w:jc w:val="center"/>
      </w:pPr>
    </w:p>
    <w:p w:rsidRPr="00693D0C" w:rsidR="0098410D" w:rsidP="00693D0C" w:rsidRDefault="00B949B1" w14:paraId="5240FFB0" w14:textId="77777777">
      <w:pPr>
        <w:pStyle w:val="DecHCase"/>
      </w:pPr>
      <w:r w:rsidRPr="00693D0C">
        <w:t>FOURTH SECTION</w:t>
      </w:r>
    </w:p>
    <w:p w:rsidRPr="00693D0C" w:rsidR="0098410D" w:rsidP="00693D0C" w:rsidRDefault="00245537" w14:paraId="229DDC8E" w14:textId="77777777">
      <w:pPr>
        <w:pStyle w:val="JuTitle"/>
      </w:pPr>
      <w:r w:rsidRPr="00693D0C">
        <w:t xml:space="preserve">CASE OF </w:t>
      </w:r>
      <w:r w:rsidRPr="00693D0C" w:rsidR="00B949B1">
        <w:t>MUQISHTA v. BOSNIA AND HERZEGOVINA</w:t>
      </w:r>
    </w:p>
    <w:p w:rsidRPr="00693D0C" w:rsidR="0098410D" w:rsidP="00693D0C" w:rsidRDefault="00245537" w14:paraId="1D22F05B" w14:textId="77777777">
      <w:pPr>
        <w:pStyle w:val="ECHRCoverTitle4"/>
      </w:pPr>
      <w:r w:rsidRPr="00693D0C">
        <w:t xml:space="preserve">(Application no. </w:t>
      </w:r>
      <w:r w:rsidRPr="00693D0C" w:rsidR="00B949B1">
        <w:t>27994/19</w:t>
      </w:r>
      <w:r w:rsidRPr="00693D0C">
        <w:t>)</w:t>
      </w:r>
    </w:p>
    <w:p w:rsidRPr="00693D0C" w:rsidR="0098410D" w:rsidP="00693D0C" w:rsidRDefault="00C27006" w14:paraId="606B9272" w14:textId="77777777">
      <w:pPr>
        <w:pStyle w:val="DecHCase"/>
      </w:pPr>
    </w:p>
    <w:p w:rsidRPr="00693D0C" w:rsidR="0098410D" w:rsidP="00693D0C" w:rsidRDefault="00C27006" w14:paraId="19DE12E2" w14:textId="77777777">
      <w:pPr>
        <w:pStyle w:val="DecHCase"/>
      </w:pPr>
    </w:p>
    <w:p w:rsidRPr="00693D0C" w:rsidR="00861A27" w:rsidP="00693D0C" w:rsidRDefault="00C27006" w14:paraId="7787180D" w14:textId="77777777">
      <w:pPr>
        <w:pStyle w:val="DecHCase"/>
      </w:pPr>
    </w:p>
    <w:p w:rsidRPr="00693D0C" w:rsidR="00861A27" w:rsidP="00693D0C" w:rsidRDefault="00C27006" w14:paraId="14B2B485" w14:textId="77777777">
      <w:pPr>
        <w:pStyle w:val="DecHCase"/>
      </w:pPr>
    </w:p>
    <w:p w:rsidRPr="00693D0C" w:rsidR="0098410D" w:rsidP="00693D0C" w:rsidRDefault="00C27006" w14:paraId="26C4074B" w14:textId="77777777">
      <w:pPr>
        <w:pStyle w:val="DecHCase"/>
      </w:pPr>
    </w:p>
    <w:p w:rsidRPr="00693D0C" w:rsidR="0098410D" w:rsidP="00693D0C" w:rsidRDefault="00C27006" w14:paraId="49588BD5" w14:textId="77777777">
      <w:pPr>
        <w:pStyle w:val="DecHCase"/>
      </w:pPr>
    </w:p>
    <w:p w:rsidRPr="00693D0C" w:rsidR="0098410D" w:rsidP="00693D0C" w:rsidRDefault="00245537" w14:paraId="64F93E12" w14:textId="42F1D04B">
      <w:pPr>
        <w:pStyle w:val="DecHCase"/>
      </w:pPr>
      <w:r w:rsidRPr="00693D0C">
        <w:t>JUDGMENT</w:t>
      </w:r>
    </w:p>
    <w:p w:rsidRPr="00693D0C" w:rsidR="00B949B1" w:rsidP="00693D0C" w:rsidRDefault="00B949B1" w14:paraId="51D09819" w14:textId="4A67E287">
      <w:pPr>
        <w:pStyle w:val="JuPara"/>
      </w:pPr>
    </w:p>
    <w:p w:rsidRPr="00693D0C" w:rsidR="00B949B1" w:rsidP="00693D0C" w:rsidRDefault="00B949B1" w14:paraId="0E6A4105" w14:textId="77777777">
      <w:pPr>
        <w:pStyle w:val="JuPara"/>
      </w:pPr>
    </w:p>
    <w:p w:rsidRPr="00693D0C" w:rsidR="0098410D" w:rsidP="00693D0C" w:rsidRDefault="00245537" w14:paraId="48CF349F" w14:textId="77777777">
      <w:pPr>
        <w:pStyle w:val="DecHCase"/>
      </w:pPr>
      <w:r w:rsidRPr="00693D0C">
        <w:t>STRASBOURG</w:t>
      </w:r>
    </w:p>
    <w:p w:rsidRPr="00693D0C" w:rsidR="0098410D" w:rsidP="00693D0C" w:rsidRDefault="00B949B1" w14:paraId="502289CF" w14:textId="77777777">
      <w:pPr>
        <w:pStyle w:val="DecHCase"/>
      </w:pPr>
      <w:r w:rsidRPr="00693D0C">
        <w:t>31 August 2021</w:t>
      </w:r>
    </w:p>
    <w:p w:rsidRPr="00693D0C" w:rsidR="0098410D" w:rsidP="00693D0C" w:rsidRDefault="00C27006" w14:paraId="580DA011" w14:textId="1D4D067B">
      <w:pPr>
        <w:pStyle w:val="DecHCase"/>
      </w:pPr>
    </w:p>
    <w:p w:rsidRPr="00693D0C" w:rsidR="00B949B1" w:rsidP="00693D0C" w:rsidRDefault="00B949B1" w14:paraId="2EFE4FDC" w14:textId="77777777">
      <w:pPr>
        <w:pStyle w:val="JuPara"/>
      </w:pPr>
    </w:p>
    <w:p w:rsidRPr="00693D0C" w:rsidR="002422B6" w:rsidP="00693D0C" w:rsidRDefault="00245537" w14:paraId="1DC28C29" w14:textId="77777777">
      <w:pPr>
        <w:pStyle w:val="ECHRCoverTitle4"/>
      </w:pPr>
      <w:r w:rsidRPr="00693D0C">
        <w:t xml:space="preserve">This judgment </w:t>
      </w:r>
      <w:r w:rsidRPr="00693D0C" w:rsidR="00B949B1">
        <w:t xml:space="preserve">is </w:t>
      </w:r>
      <w:proofErr w:type="gramStart"/>
      <w:r w:rsidRPr="00693D0C" w:rsidR="00B949B1">
        <w:t>final</w:t>
      </w:r>
      <w:proofErr w:type="gramEnd"/>
      <w:r w:rsidRPr="00693D0C" w:rsidR="00B949B1">
        <w:t xml:space="preserve"> but it</w:t>
      </w:r>
      <w:r w:rsidRPr="00693D0C">
        <w:t xml:space="preserve"> may be subject to editorial revision.</w:t>
      </w:r>
    </w:p>
    <w:p w:rsidRPr="00693D0C" w:rsidR="0098410D" w:rsidP="00693D0C" w:rsidRDefault="00C27006" w14:paraId="4B87CE85" w14:textId="77777777">
      <w:pPr>
        <w:pStyle w:val="ECHRCoverTitle4"/>
        <w:sectPr w:rsidRPr="00693D0C" w:rsidR="0098410D" w:rsidSect="009746A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numRestart w:val="eachSect"/>
          </w:endnotePr>
          <w:pgSz w:w="11906" w:h="16838" w:code="9"/>
          <w:pgMar w:top="2274" w:right="2274" w:bottom="2274" w:left="2274" w:header="1701" w:footer="720" w:gutter="0"/>
          <w:pgNumType w:start="1"/>
          <w:cols w:space="720"/>
          <w:noEndnote/>
          <w:titlePg/>
        </w:sectPr>
      </w:pPr>
    </w:p>
    <w:p w:rsidRPr="00693D0C" w:rsidR="0098410D" w:rsidP="00693D0C" w:rsidRDefault="00245537" w14:paraId="340AA50D" w14:textId="77777777">
      <w:pPr>
        <w:pStyle w:val="JuCase"/>
      </w:pPr>
      <w:r w:rsidRPr="00693D0C">
        <w:t xml:space="preserve">In the case of </w:t>
      </w:r>
      <w:proofErr w:type="spellStart"/>
      <w:r w:rsidRPr="00693D0C" w:rsidR="00B949B1">
        <w:t>Muqishta</w:t>
      </w:r>
      <w:proofErr w:type="spellEnd"/>
      <w:r w:rsidRPr="00693D0C" w:rsidR="00B949B1">
        <w:t xml:space="preserve"> v. Bosnia and Herzegovina</w:t>
      </w:r>
      <w:r w:rsidRPr="00693D0C">
        <w:t>,</w:t>
      </w:r>
    </w:p>
    <w:p w:rsidRPr="00693D0C" w:rsidR="00B949B1" w:rsidP="00693D0C" w:rsidRDefault="00B949B1" w14:paraId="2DE6D44F" w14:textId="77777777">
      <w:pPr>
        <w:pStyle w:val="JuPara"/>
      </w:pPr>
      <w:r w:rsidRPr="00693D0C">
        <w:t>The European Court of Human Rights (Fourth Section), sitting as a Committee composed of:</w:t>
      </w:r>
    </w:p>
    <w:p w:rsidRPr="00693D0C" w:rsidR="00B949B1" w:rsidP="00693D0C" w:rsidRDefault="00B949B1" w14:paraId="0B6BA781" w14:textId="77777777">
      <w:pPr>
        <w:pStyle w:val="JuJudges"/>
      </w:pPr>
      <w:r w:rsidRPr="00693D0C">
        <w:tab/>
        <w:t>Tim Eicke,</w:t>
      </w:r>
      <w:r w:rsidRPr="00693D0C">
        <w:rPr>
          <w:i/>
        </w:rPr>
        <w:t xml:space="preserve"> President,</w:t>
      </w:r>
      <w:r w:rsidRPr="00693D0C">
        <w:rPr>
          <w:i/>
        </w:rPr>
        <w:br/>
      </w:r>
      <w:r w:rsidRPr="00693D0C">
        <w:tab/>
        <w:t xml:space="preserve">Faris </w:t>
      </w:r>
      <w:proofErr w:type="spellStart"/>
      <w:r w:rsidRPr="00693D0C">
        <w:t>Vehabović</w:t>
      </w:r>
      <w:proofErr w:type="spellEnd"/>
      <w:r w:rsidRPr="00693D0C">
        <w:t>,</w:t>
      </w:r>
      <w:r w:rsidRPr="00693D0C">
        <w:rPr>
          <w:i/>
        </w:rPr>
        <w:br/>
      </w:r>
      <w:r w:rsidRPr="00693D0C">
        <w:tab/>
        <w:t xml:space="preserve">Pere Pastor </w:t>
      </w:r>
      <w:proofErr w:type="spellStart"/>
      <w:r w:rsidRPr="00693D0C">
        <w:t>Vilanova</w:t>
      </w:r>
      <w:proofErr w:type="spellEnd"/>
      <w:r w:rsidRPr="00693D0C">
        <w:t>,</w:t>
      </w:r>
      <w:r w:rsidRPr="00693D0C">
        <w:rPr>
          <w:i/>
        </w:rPr>
        <w:t xml:space="preserve"> judges,</w:t>
      </w:r>
    </w:p>
    <w:p w:rsidRPr="00693D0C" w:rsidR="00B949B1" w:rsidP="00693D0C" w:rsidRDefault="00B949B1" w14:paraId="3C05BA4F" w14:textId="77777777">
      <w:pPr>
        <w:pStyle w:val="JuPara"/>
        <w:rPr>
          <w:i/>
          <w:iCs/>
        </w:rPr>
      </w:pPr>
      <w:r w:rsidRPr="00693D0C">
        <w:t xml:space="preserve">and Ilse Freiwirth, </w:t>
      </w:r>
      <w:r w:rsidRPr="00693D0C">
        <w:rPr>
          <w:i/>
        </w:rPr>
        <w:t xml:space="preserve">Deputy Section </w:t>
      </w:r>
      <w:r w:rsidRPr="00693D0C">
        <w:rPr>
          <w:i/>
          <w:iCs/>
        </w:rPr>
        <w:t>Registrar,</w:t>
      </w:r>
    </w:p>
    <w:p w:rsidRPr="00693D0C" w:rsidR="00B949B1" w:rsidP="00693D0C" w:rsidRDefault="00B949B1" w14:paraId="42C93640" w14:textId="29AF6BB9">
      <w:pPr>
        <w:pStyle w:val="JuPara"/>
      </w:pPr>
      <w:r w:rsidRPr="00693D0C">
        <w:t>Having regard to:</w:t>
      </w:r>
    </w:p>
    <w:p w:rsidRPr="00693D0C" w:rsidR="00B949B1" w:rsidP="00693D0C" w:rsidRDefault="00B949B1" w14:paraId="3C330F04" w14:textId="77777777">
      <w:pPr>
        <w:pStyle w:val="JuPara"/>
      </w:pPr>
      <w:r w:rsidRPr="00693D0C">
        <w:t xml:space="preserve">the application (no. 27994/19) against Bosnia and Herzegovina lodged with the Court under Article 34 of the Convention for the Protection of Human Rights and Fundamental Freedoms (“the Convention”) by a Serbian national, Ms </w:t>
      </w:r>
      <w:proofErr w:type="spellStart"/>
      <w:r w:rsidRPr="00693D0C">
        <w:t>Sabahete</w:t>
      </w:r>
      <w:proofErr w:type="spellEnd"/>
      <w:r w:rsidRPr="00693D0C">
        <w:t xml:space="preserve"> </w:t>
      </w:r>
      <w:proofErr w:type="spellStart"/>
      <w:r w:rsidRPr="00693D0C">
        <w:t>Muqishta</w:t>
      </w:r>
      <w:proofErr w:type="spellEnd"/>
      <w:r w:rsidRPr="00693D0C">
        <w:t xml:space="preserve"> (“the applicant”), on 17 May 2019;</w:t>
      </w:r>
    </w:p>
    <w:p w:rsidRPr="00693D0C" w:rsidR="00B949B1" w:rsidP="00693D0C" w:rsidRDefault="00B949B1" w14:paraId="0DD3D729" w14:textId="77777777">
      <w:pPr>
        <w:pStyle w:val="JuPara"/>
      </w:pPr>
      <w:r w:rsidRPr="00693D0C">
        <w:t>the decision to give notice to the Government of Bosnia and Herzegovina (“the Government”) of the application;</w:t>
      </w:r>
    </w:p>
    <w:p w:rsidRPr="00693D0C" w:rsidR="00B949B1" w:rsidP="00693D0C" w:rsidRDefault="00B949B1" w14:paraId="12F1F70B" w14:textId="70F9671D">
      <w:pPr>
        <w:pStyle w:val="JuPara"/>
      </w:pPr>
      <w:r w:rsidRPr="00693D0C">
        <w:t>the parties</w:t>
      </w:r>
      <w:r w:rsidRPr="00693D0C" w:rsidR="00693D0C">
        <w:t>’</w:t>
      </w:r>
      <w:r w:rsidRPr="00693D0C">
        <w:t xml:space="preserve"> observations;</w:t>
      </w:r>
    </w:p>
    <w:p w:rsidRPr="00693D0C" w:rsidR="00B949B1" w:rsidP="00693D0C" w:rsidRDefault="00B949B1" w14:paraId="679F2ED8" w14:textId="77777777">
      <w:pPr>
        <w:pStyle w:val="JuPara"/>
      </w:pPr>
      <w:r w:rsidRPr="00693D0C">
        <w:t>Having deliberated in private on 29 June 2021,</w:t>
      </w:r>
    </w:p>
    <w:p w:rsidRPr="00693D0C" w:rsidR="00B949B1" w:rsidP="00693D0C" w:rsidRDefault="00B949B1" w14:paraId="60D50A1B" w14:textId="77777777">
      <w:pPr>
        <w:pStyle w:val="JuPara"/>
      </w:pPr>
      <w:r w:rsidRPr="00693D0C">
        <w:t>Delivers the following judgment, which was adopted on that date:</w:t>
      </w:r>
    </w:p>
    <w:p w:rsidRPr="00693D0C" w:rsidR="00B949B1" w:rsidP="00693D0C" w:rsidRDefault="00B949B1" w14:paraId="67F18E64" w14:textId="5F9D4E1D">
      <w:pPr>
        <w:pStyle w:val="JuHHead"/>
        <w:numPr>
          <w:ilvl w:val="0"/>
          <w:numId w:val="0"/>
        </w:numPr>
      </w:pPr>
      <w:r w:rsidRPr="00693D0C">
        <w:t>INTRODUCTION</w:t>
      </w:r>
    </w:p>
    <w:p w:rsidRPr="00693D0C" w:rsidR="00B949B1" w:rsidP="00693D0C" w:rsidRDefault="00B949B1" w14:paraId="38F07157" w14:textId="31C796F5">
      <w:pPr>
        <w:pStyle w:val="JuPara"/>
      </w:pPr>
      <w:r w:rsidRPr="00693D0C">
        <w:fldChar w:fldCharType="begin"/>
      </w:r>
      <w:r w:rsidRPr="00693D0C">
        <w:instrText xml:space="preserve"> SEQ level0 \*arabic </w:instrText>
      </w:r>
      <w:r w:rsidRPr="00693D0C">
        <w:fldChar w:fldCharType="separate"/>
      </w:r>
      <w:r w:rsidRPr="00693D0C" w:rsidR="00693D0C">
        <w:rPr>
          <w:noProof/>
        </w:rPr>
        <w:t>1</w:t>
      </w:r>
      <w:r w:rsidRPr="00693D0C">
        <w:fldChar w:fldCharType="end"/>
      </w:r>
      <w:r w:rsidRPr="00693D0C">
        <w:t>.  The application concerns the applicant</w:t>
      </w:r>
      <w:r w:rsidRPr="00693D0C" w:rsidR="00693D0C">
        <w:t>’</w:t>
      </w:r>
      <w:r w:rsidRPr="00693D0C">
        <w:t>s unsuccessful attempt to obtain social benefits to which she is entitled under domestic law. The applicant invokes Articles 6 and 14 of the Convention, Article 1 of Protocol</w:t>
      </w:r>
      <w:r w:rsidRPr="00693D0C" w:rsidR="00780263">
        <w:t> </w:t>
      </w:r>
      <w:r w:rsidRPr="00693D0C">
        <w:t>No. 1 and Article 1 of Protocol No. 12.</w:t>
      </w:r>
    </w:p>
    <w:p w:rsidRPr="00693D0C" w:rsidR="00B949B1" w:rsidP="00693D0C" w:rsidRDefault="00B949B1" w14:paraId="7B38D65E" w14:textId="77777777">
      <w:pPr>
        <w:pStyle w:val="JuHHead"/>
      </w:pPr>
      <w:r w:rsidRPr="00693D0C">
        <w:t>THE FACTS</w:t>
      </w:r>
    </w:p>
    <w:p w:rsidRPr="00693D0C" w:rsidR="00B949B1" w:rsidP="00693D0C" w:rsidRDefault="00B949B1" w14:paraId="4E84C417" w14:textId="340E45F3">
      <w:pPr>
        <w:pStyle w:val="JuPara"/>
      </w:pPr>
      <w:r w:rsidRPr="00693D0C">
        <w:fldChar w:fldCharType="begin"/>
      </w:r>
      <w:r w:rsidRPr="00693D0C">
        <w:instrText xml:space="preserve"> SEQ level0 \*arabic </w:instrText>
      </w:r>
      <w:r w:rsidRPr="00693D0C">
        <w:fldChar w:fldCharType="separate"/>
      </w:r>
      <w:r w:rsidRPr="00693D0C" w:rsidR="00693D0C">
        <w:rPr>
          <w:noProof/>
        </w:rPr>
        <w:t>2</w:t>
      </w:r>
      <w:r w:rsidRPr="00693D0C">
        <w:fldChar w:fldCharType="end"/>
      </w:r>
      <w:r w:rsidRPr="00693D0C">
        <w:t xml:space="preserve">.  The applicant was born in 1974 and lives in Sarajevo. The applicant was represented by </w:t>
      </w:r>
      <w:proofErr w:type="spellStart"/>
      <w:r w:rsidRPr="00693D0C">
        <w:t>Vaša</w:t>
      </w:r>
      <w:proofErr w:type="spellEnd"/>
      <w:r w:rsidRPr="00693D0C">
        <w:t xml:space="preserve"> </w:t>
      </w:r>
      <w:proofErr w:type="spellStart"/>
      <w:r w:rsidRPr="00693D0C">
        <w:t>prava</w:t>
      </w:r>
      <w:proofErr w:type="spellEnd"/>
      <w:r w:rsidRPr="00693D0C">
        <w:t>, a local non-governmental organisation.</w:t>
      </w:r>
    </w:p>
    <w:p w:rsidRPr="00693D0C" w:rsidR="00B949B1" w:rsidP="00693D0C" w:rsidRDefault="00B949B1" w14:paraId="56638E94" w14:textId="0AC0E973">
      <w:pPr>
        <w:pStyle w:val="JuPara"/>
      </w:pPr>
      <w:r w:rsidRPr="00693D0C">
        <w:fldChar w:fldCharType="begin"/>
      </w:r>
      <w:r w:rsidRPr="00693D0C">
        <w:instrText xml:space="preserve"> SEQ level0 \*arabic </w:instrText>
      </w:r>
      <w:r w:rsidRPr="00693D0C">
        <w:fldChar w:fldCharType="separate"/>
      </w:r>
      <w:r w:rsidRPr="00693D0C" w:rsidR="00693D0C">
        <w:rPr>
          <w:noProof/>
        </w:rPr>
        <w:t>3</w:t>
      </w:r>
      <w:r w:rsidRPr="00693D0C">
        <w:fldChar w:fldCharType="end"/>
      </w:r>
      <w:r w:rsidRPr="00693D0C">
        <w:t xml:space="preserve">.  The Government were represented by their Acting Agent, Ms Jelena </w:t>
      </w:r>
      <w:proofErr w:type="spellStart"/>
      <w:r w:rsidRPr="00693D0C">
        <w:t>Cvijetić</w:t>
      </w:r>
      <w:proofErr w:type="spellEnd"/>
      <w:r w:rsidRPr="00693D0C">
        <w:t>.</w:t>
      </w:r>
    </w:p>
    <w:p w:rsidRPr="00693D0C" w:rsidR="00B949B1" w:rsidP="00693D0C" w:rsidRDefault="00B949B1" w14:paraId="4461B701" w14:textId="127A9A41">
      <w:pPr>
        <w:pStyle w:val="JuPara"/>
      </w:pPr>
      <w:r w:rsidRPr="00693D0C">
        <w:fldChar w:fldCharType="begin"/>
      </w:r>
      <w:r w:rsidRPr="00693D0C">
        <w:instrText xml:space="preserve"> SEQ level0 \*arabic </w:instrText>
      </w:r>
      <w:r w:rsidRPr="00693D0C">
        <w:fldChar w:fldCharType="separate"/>
      </w:r>
      <w:r w:rsidRPr="00693D0C" w:rsidR="00693D0C">
        <w:rPr>
          <w:noProof/>
        </w:rPr>
        <w:t>4</w:t>
      </w:r>
      <w:r w:rsidRPr="00693D0C">
        <w:fldChar w:fldCharType="end"/>
      </w:r>
      <w:r w:rsidRPr="00693D0C">
        <w:t>.  The facts of the case, as submitted by the parties, may be summarised as follows.</w:t>
      </w:r>
    </w:p>
    <w:bookmarkStart w:name="paragraph5" w:id="0"/>
    <w:p w:rsidRPr="00693D0C" w:rsidR="00B949B1" w:rsidP="00693D0C" w:rsidRDefault="00B949B1" w14:paraId="73B68923" w14:textId="1FB1B68E">
      <w:pPr>
        <w:pStyle w:val="JuPara"/>
      </w:pPr>
      <w:r w:rsidRPr="00693D0C">
        <w:fldChar w:fldCharType="begin"/>
      </w:r>
      <w:r w:rsidRPr="00693D0C">
        <w:instrText xml:space="preserve"> SEQ level0 \*arabic </w:instrText>
      </w:r>
      <w:r w:rsidRPr="00693D0C">
        <w:fldChar w:fldCharType="separate"/>
      </w:r>
      <w:r w:rsidRPr="00693D0C" w:rsidR="00693D0C">
        <w:rPr>
          <w:noProof/>
        </w:rPr>
        <w:t>5</w:t>
      </w:r>
      <w:r w:rsidRPr="00693D0C">
        <w:fldChar w:fldCharType="end"/>
      </w:r>
      <w:bookmarkEnd w:id="0"/>
      <w:r w:rsidRPr="00693D0C">
        <w:t>.  The applicant was granted refugee status in Bosnia and Herzegovina in 2004. She is illiterate and has been diagnosed with severe mental disability.</w:t>
      </w:r>
    </w:p>
    <w:bookmarkStart w:name="paragraph6" w:id="1"/>
    <w:p w:rsidRPr="00693D0C" w:rsidR="00B949B1" w:rsidP="00693D0C" w:rsidRDefault="00B949B1" w14:paraId="3CB7F382" w14:textId="51936D60">
      <w:pPr>
        <w:pStyle w:val="JuPara"/>
      </w:pPr>
      <w:r w:rsidRPr="00693D0C">
        <w:fldChar w:fldCharType="begin"/>
      </w:r>
      <w:r w:rsidRPr="00693D0C">
        <w:instrText xml:space="preserve"> SEQ level0 \*arabic </w:instrText>
      </w:r>
      <w:r w:rsidRPr="00693D0C">
        <w:fldChar w:fldCharType="separate"/>
      </w:r>
      <w:r w:rsidRPr="00693D0C" w:rsidR="00693D0C">
        <w:rPr>
          <w:noProof/>
        </w:rPr>
        <w:t>6</w:t>
      </w:r>
      <w:r w:rsidRPr="00693D0C">
        <w:fldChar w:fldCharType="end"/>
      </w:r>
      <w:bookmarkEnd w:id="1"/>
      <w:r w:rsidRPr="00693D0C">
        <w:t>.  In 2011 the competent medical authorities established that the applicant was ninety percent incapacitated and that she needed help to carry out activities of daily living.</w:t>
      </w:r>
    </w:p>
    <w:bookmarkStart w:name="paragraph7" w:id="2"/>
    <w:p w:rsidRPr="00693D0C" w:rsidR="00B949B1" w:rsidP="00693D0C" w:rsidRDefault="00B949B1" w14:paraId="78059C5D" w14:textId="6CEF9803">
      <w:pPr>
        <w:pStyle w:val="JuPara"/>
      </w:pPr>
      <w:r w:rsidRPr="00693D0C">
        <w:fldChar w:fldCharType="begin"/>
      </w:r>
      <w:r w:rsidRPr="00693D0C">
        <w:instrText xml:space="preserve"> SEQ level0 \*arabic </w:instrText>
      </w:r>
      <w:r w:rsidRPr="00693D0C">
        <w:fldChar w:fldCharType="separate"/>
      </w:r>
      <w:r w:rsidRPr="00693D0C" w:rsidR="00693D0C">
        <w:rPr>
          <w:noProof/>
        </w:rPr>
        <w:t>7</w:t>
      </w:r>
      <w:r w:rsidRPr="00693D0C">
        <w:fldChar w:fldCharType="end"/>
      </w:r>
      <w:bookmarkEnd w:id="2"/>
      <w:r w:rsidRPr="00693D0C">
        <w:t>.  On 1 June 2011 the applicant applied for a disability allowance (</w:t>
      </w:r>
      <w:proofErr w:type="spellStart"/>
      <w:r w:rsidRPr="00693D0C">
        <w:rPr>
          <w:i/>
          <w:iCs/>
          <w:lang w:val="bs-Latn-BA"/>
        </w:rPr>
        <w:t>ličn</w:t>
      </w:r>
      <w:proofErr w:type="spellEnd"/>
      <w:r w:rsidRPr="00693D0C">
        <w:rPr>
          <w:i/>
          <w:iCs/>
        </w:rPr>
        <w:t xml:space="preserve">a </w:t>
      </w:r>
      <w:proofErr w:type="spellStart"/>
      <w:r w:rsidRPr="00693D0C">
        <w:rPr>
          <w:i/>
          <w:iCs/>
        </w:rPr>
        <w:t>invalidnina</w:t>
      </w:r>
      <w:proofErr w:type="spellEnd"/>
      <w:r w:rsidRPr="00693D0C">
        <w:t>) and an attendance allowance, without relying on any specific provision.</w:t>
      </w:r>
    </w:p>
    <w:bookmarkStart w:name="paragraph8" w:id="3"/>
    <w:p w:rsidRPr="00693D0C" w:rsidR="00B949B1" w:rsidP="00693D0C" w:rsidRDefault="00B949B1" w14:paraId="0A4C8955" w14:textId="2EC95997">
      <w:pPr>
        <w:pStyle w:val="JuPara"/>
      </w:pPr>
      <w:r w:rsidRPr="00693D0C">
        <w:fldChar w:fldCharType="begin"/>
      </w:r>
      <w:r w:rsidRPr="00693D0C">
        <w:instrText xml:space="preserve"> SEQ level0 \*arabic </w:instrText>
      </w:r>
      <w:r w:rsidRPr="00693D0C">
        <w:fldChar w:fldCharType="separate"/>
      </w:r>
      <w:r w:rsidRPr="00693D0C" w:rsidR="00693D0C">
        <w:rPr>
          <w:noProof/>
        </w:rPr>
        <w:t>8</w:t>
      </w:r>
      <w:r w:rsidRPr="00693D0C">
        <w:fldChar w:fldCharType="end"/>
      </w:r>
      <w:bookmarkEnd w:id="3"/>
      <w:r w:rsidRPr="00693D0C">
        <w:t>.  On 8 June 2011 the competent administrative authorities dismissed her application because she was a foreigner, relying on the social care legislation of the Federation of Bosnia and Herzegovina (see paragraph</w:t>
      </w:r>
      <w:r w:rsidRPr="00693D0C" w:rsidR="00780263">
        <w:t> </w:t>
      </w:r>
      <w:r w:rsidRPr="00693D0C">
        <w:fldChar w:fldCharType="begin"/>
      </w:r>
      <w:r w:rsidRPr="00693D0C">
        <w:instrText xml:space="preserve"> REF paragraph16 \h </w:instrText>
      </w:r>
      <w:r w:rsidRPr="00693D0C">
        <w:fldChar w:fldCharType="separate"/>
      </w:r>
      <w:r w:rsidRPr="00693D0C" w:rsidR="00693D0C">
        <w:rPr>
          <w:noProof/>
        </w:rPr>
        <w:t>15</w:t>
      </w:r>
      <w:r w:rsidRPr="00693D0C">
        <w:fldChar w:fldCharType="end"/>
      </w:r>
      <w:r w:rsidRPr="00693D0C">
        <w:t xml:space="preserve"> below).</w:t>
      </w:r>
    </w:p>
    <w:bookmarkStart w:name="paragraph9" w:id="4"/>
    <w:p w:rsidRPr="00693D0C" w:rsidR="00B949B1" w:rsidP="00693D0C" w:rsidRDefault="00B949B1" w14:paraId="353D4AEF" w14:textId="2EA8812C">
      <w:pPr>
        <w:pStyle w:val="JuPara"/>
      </w:pPr>
      <w:r w:rsidRPr="00693D0C">
        <w:fldChar w:fldCharType="begin"/>
      </w:r>
      <w:r w:rsidRPr="00693D0C">
        <w:instrText xml:space="preserve"> SEQ level0 \*arabic </w:instrText>
      </w:r>
      <w:r w:rsidRPr="00693D0C">
        <w:fldChar w:fldCharType="separate"/>
      </w:r>
      <w:r w:rsidRPr="00693D0C" w:rsidR="00693D0C">
        <w:rPr>
          <w:noProof/>
        </w:rPr>
        <w:t>9</w:t>
      </w:r>
      <w:r w:rsidRPr="00693D0C">
        <w:fldChar w:fldCharType="end"/>
      </w:r>
      <w:bookmarkEnd w:id="4"/>
      <w:r w:rsidRPr="00693D0C">
        <w:t>.  In her appeal of 28 June 2011 the applicant specifically invoked section 8(a) and (b) of the Rulebook on Social Care of Persons in Need of International Protection 2009 (“the 2009 Rulebook”), which provided that refugees with disabilities were entitled to a permanent allowance (</w:t>
      </w:r>
      <w:proofErr w:type="spellStart"/>
      <w:r w:rsidRPr="00693D0C">
        <w:rPr>
          <w:i/>
          <w:iCs/>
        </w:rPr>
        <w:t>stalna</w:t>
      </w:r>
      <w:proofErr w:type="spellEnd"/>
      <w:r w:rsidRPr="00693D0C">
        <w:rPr>
          <w:i/>
          <w:iCs/>
        </w:rPr>
        <w:t xml:space="preserve"> </w:t>
      </w:r>
      <w:proofErr w:type="spellStart"/>
      <w:r w:rsidRPr="00693D0C">
        <w:rPr>
          <w:i/>
          <w:iCs/>
        </w:rPr>
        <w:t>nov</w:t>
      </w:r>
      <w:proofErr w:type="spellEnd"/>
      <w:r w:rsidRPr="00693D0C">
        <w:rPr>
          <w:i/>
          <w:iCs/>
          <w:lang w:val="bs-Latn-BA"/>
        </w:rPr>
        <w:t>č</w:t>
      </w:r>
      <w:r w:rsidRPr="00693D0C">
        <w:rPr>
          <w:i/>
          <w:iCs/>
        </w:rPr>
        <w:t xml:space="preserve">ana </w:t>
      </w:r>
      <w:proofErr w:type="spellStart"/>
      <w:r w:rsidRPr="00693D0C">
        <w:rPr>
          <w:i/>
          <w:iCs/>
        </w:rPr>
        <w:t>pomo</w:t>
      </w:r>
      <w:proofErr w:type="spellEnd"/>
      <w:r w:rsidRPr="00693D0C">
        <w:rPr>
          <w:i/>
          <w:iCs/>
          <w:lang w:val="bs-Latn-BA"/>
        </w:rPr>
        <w:t>ć</w:t>
      </w:r>
      <w:r w:rsidRPr="00693D0C">
        <w:t xml:space="preserve">) and an attendance allowance (see paragraph </w:t>
      </w:r>
      <w:r w:rsidRPr="00693D0C">
        <w:fldChar w:fldCharType="begin"/>
      </w:r>
      <w:r w:rsidRPr="00693D0C">
        <w:instrText xml:space="preserve"> REF paragraph15 \h </w:instrText>
      </w:r>
      <w:r w:rsidRPr="00693D0C">
        <w:fldChar w:fldCharType="separate"/>
      </w:r>
      <w:r w:rsidRPr="00693D0C" w:rsidR="00693D0C">
        <w:rPr>
          <w:noProof/>
        </w:rPr>
        <w:t>14</w:t>
      </w:r>
      <w:r w:rsidRPr="00693D0C">
        <w:fldChar w:fldCharType="end"/>
      </w:r>
      <w:r w:rsidRPr="00693D0C">
        <w:t xml:space="preserve"> below). In December 2011 the competent Ministry upheld the decision of 8 June 2011, ignoring the applicant</w:t>
      </w:r>
      <w:r w:rsidRPr="00693D0C" w:rsidR="00693D0C">
        <w:t>’</w:t>
      </w:r>
      <w:r w:rsidRPr="00693D0C">
        <w:t>s claim under the 2009 Rulebook.</w:t>
      </w:r>
    </w:p>
    <w:p w:rsidRPr="00693D0C" w:rsidR="00B949B1" w:rsidP="00693D0C" w:rsidRDefault="00B949B1" w14:paraId="0B70907D" w14:textId="35EC8E99">
      <w:pPr>
        <w:pStyle w:val="JuPara"/>
      </w:pPr>
      <w:r w:rsidRPr="00693D0C">
        <w:fldChar w:fldCharType="begin"/>
      </w:r>
      <w:r w:rsidRPr="00693D0C">
        <w:instrText xml:space="preserve"> SEQ level0 \*arabic </w:instrText>
      </w:r>
      <w:r w:rsidRPr="00693D0C">
        <w:fldChar w:fldCharType="separate"/>
      </w:r>
      <w:r w:rsidRPr="00693D0C" w:rsidR="00693D0C">
        <w:rPr>
          <w:noProof/>
        </w:rPr>
        <w:t>10</w:t>
      </w:r>
      <w:r w:rsidRPr="00693D0C">
        <w:fldChar w:fldCharType="end"/>
      </w:r>
      <w:r w:rsidRPr="00693D0C">
        <w:t>.  On 4 July 2013 the Sarajevo Cantonal Court quashed that decision and instructed the Ministry to take into consideration the 2009 Rulebook.</w:t>
      </w:r>
    </w:p>
    <w:p w:rsidRPr="00693D0C" w:rsidR="00B949B1" w:rsidP="00693D0C" w:rsidRDefault="00B949B1" w14:paraId="7863C0D5" w14:textId="6C4431F8">
      <w:pPr>
        <w:pStyle w:val="JuPara"/>
      </w:pPr>
      <w:r w:rsidRPr="00693D0C">
        <w:fldChar w:fldCharType="begin"/>
      </w:r>
      <w:r w:rsidRPr="00693D0C">
        <w:instrText xml:space="preserve"> SEQ level0 \*arabic </w:instrText>
      </w:r>
      <w:r w:rsidRPr="00693D0C">
        <w:fldChar w:fldCharType="separate"/>
      </w:r>
      <w:r w:rsidRPr="00693D0C" w:rsidR="00693D0C">
        <w:rPr>
          <w:noProof/>
        </w:rPr>
        <w:t>11</w:t>
      </w:r>
      <w:r w:rsidRPr="00693D0C">
        <w:fldChar w:fldCharType="end"/>
      </w:r>
      <w:r w:rsidRPr="00693D0C">
        <w:t>.  On 5 August 2013 the Ministry examined the case yet again under the social care legislation of the Federation of Bosnia and Herzegovina, which indeed did not provide for any benefits for refugees. It upheld the decision of 8 June 2011.</w:t>
      </w:r>
    </w:p>
    <w:bookmarkStart w:name="paragraph12" w:id="5"/>
    <w:p w:rsidRPr="00693D0C" w:rsidR="00B949B1" w:rsidP="00693D0C" w:rsidRDefault="00B949B1" w14:paraId="25E998C7" w14:textId="13C79900">
      <w:pPr>
        <w:pStyle w:val="JuPara"/>
      </w:pPr>
      <w:r w:rsidRPr="00693D0C">
        <w:fldChar w:fldCharType="begin"/>
      </w:r>
      <w:r w:rsidRPr="00693D0C">
        <w:instrText xml:space="preserve"> SEQ level0 \*arabic </w:instrText>
      </w:r>
      <w:r w:rsidRPr="00693D0C">
        <w:fldChar w:fldCharType="separate"/>
      </w:r>
      <w:r w:rsidRPr="00693D0C" w:rsidR="00693D0C">
        <w:rPr>
          <w:noProof/>
        </w:rPr>
        <w:t>12</w:t>
      </w:r>
      <w:r w:rsidRPr="00693D0C">
        <w:fldChar w:fldCharType="end"/>
      </w:r>
      <w:bookmarkEnd w:id="5"/>
      <w:r w:rsidRPr="00693D0C">
        <w:t xml:space="preserve">.  On 9 August 2016 the Sarajevo Cantonal Court upheld the decision of 5 August 2013. It relied on the fact that the applicant had expressly applied for a disability allowance and an attendance allowance – benefits provided for in the social care legislation of the Federation of Bosnia and Herzegovina and only available to citizens of Bosnia and Herzegovina (see paragraphs </w:t>
      </w:r>
      <w:r w:rsidRPr="00693D0C">
        <w:fldChar w:fldCharType="begin"/>
      </w:r>
      <w:r w:rsidRPr="00693D0C">
        <w:instrText xml:space="preserve"> REF paragraph7 \h </w:instrText>
      </w:r>
      <w:r w:rsidRPr="00693D0C">
        <w:fldChar w:fldCharType="separate"/>
      </w:r>
      <w:r w:rsidRPr="00693D0C" w:rsidR="00693D0C">
        <w:rPr>
          <w:noProof/>
        </w:rPr>
        <w:t>7</w:t>
      </w:r>
      <w:r w:rsidRPr="00693D0C">
        <w:fldChar w:fldCharType="end"/>
      </w:r>
      <w:r w:rsidRPr="00693D0C">
        <w:t xml:space="preserve"> above and </w:t>
      </w:r>
      <w:r w:rsidRPr="00693D0C">
        <w:fldChar w:fldCharType="begin"/>
      </w:r>
      <w:r w:rsidRPr="00693D0C">
        <w:instrText xml:space="preserve"> REF paragraph16 \h </w:instrText>
      </w:r>
      <w:r w:rsidRPr="00693D0C">
        <w:fldChar w:fldCharType="separate"/>
      </w:r>
      <w:r w:rsidRPr="00693D0C" w:rsidR="00693D0C">
        <w:rPr>
          <w:noProof/>
        </w:rPr>
        <w:t>15</w:t>
      </w:r>
      <w:r w:rsidRPr="00693D0C">
        <w:fldChar w:fldCharType="end"/>
      </w:r>
      <w:r w:rsidRPr="00693D0C">
        <w:t xml:space="preserve"> below).</w:t>
      </w:r>
    </w:p>
    <w:bookmarkStart w:name="paragraph13" w:id="6"/>
    <w:p w:rsidRPr="00693D0C" w:rsidR="00B949B1" w:rsidP="00693D0C" w:rsidRDefault="00B949B1" w14:paraId="0D96C544" w14:textId="67BB9337">
      <w:pPr>
        <w:pStyle w:val="JuPara"/>
      </w:pPr>
      <w:r w:rsidRPr="00693D0C">
        <w:fldChar w:fldCharType="begin"/>
      </w:r>
      <w:r w:rsidRPr="00693D0C">
        <w:instrText xml:space="preserve"> SEQ level0 \*arabic </w:instrText>
      </w:r>
      <w:r w:rsidRPr="00693D0C">
        <w:fldChar w:fldCharType="separate"/>
      </w:r>
      <w:r w:rsidRPr="00693D0C" w:rsidR="00693D0C">
        <w:rPr>
          <w:noProof/>
        </w:rPr>
        <w:t>13</w:t>
      </w:r>
      <w:r w:rsidRPr="00693D0C">
        <w:fldChar w:fldCharType="end"/>
      </w:r>
      <w:bookmarkEnd w:id="6"/>
      <w:r w:rsidRPr="00693D0C">
        <w:t>.  In her constitutional appeal, the applicant complained about the length and the outcome of the proceedings described above. On 11</w:t>
      </w:r>
      <w:r w:rsidRPr="00693D0C" w:rsidR="00672F9A">
        <w:t> </w:t>
      </w:r>
      <w:r w:rsidRPr="00693D0C">
        <w:t>October 2018 the Constitutional Court dismissed her appeal. That decision was served on the applicant on 22 November 2018.</w:t>
      </w:r>
    </w:p>
    <w:p w:rsidRPr="00693D0C" w:rsidR="00B949B1" w:rsidP="00693D0C" w:rsidRDefault="00B949B1" w14:paraId="6C1A734E" w14:textId="77777777">
      <w:pPr>
        <w:pStyle w:val="JuHHead"/>
      </w:pPr>
      <w:r w:rsidRPr="00693D0C">
        <w:t>RELEVANT LEGAL FRAMEWORK AND PRACTICE</w:t>
      </w:r>
    </w:p>
    <w:bookmarkStart w:name="paragraph15" w:id="7"/>
    <w:p w:rsidRPr="00693D0C" w:rsidR="00B949B1" w:rsidP="00693D0C" w:rsidRDefault="00B949B1" w14:paraId="4DC65A9E" w14:textId="37307D7F">
      <w:pPr>
        <w:pStyle w:val="JuPara"/>
      </w:pPr>
      <w:r w:rsidRPr="00693D0C">
        <w:fldChar w:fldCharType="begin"/>
      </w:r>
      <w:r w:rsidRPr="00693D0C">
        <w:instrText xml:space="preserve"> SEQ level0 \*arabic </w:instrText>
      </w:r>
      <w:r w:rsidRPr="00693D0C">
        <w:fldChar w:fldCharType="separate"/>
      </w:r>
      <w:r w:rsidRPr="00693D0C" w:rsidR="00693D0C">
        <w:rPr>
          <w:noProof/>
        </w:rPr>
        <w:t>14</w:t>
      </w:r>
      <w:r w:rsidRPr="00693D0C">
        <w:fldChar w:fldCharType="end"/>
      </w:r>
      <w:bookmarkEnd w:id="7"/>
      <w:r w:rsidRPr="00693D0C">
        <w:t xml:space="preserve">.  In Bosnia and Herzegovina, refugees with disabilities are entitled to, </w:t>
      </w:r>
      <w:r w:rsidRPr="00693D0C">
        <w:rPr>
          <w:i/>
          <w:iCs/>
        </w:rPr>
        <w:t>inter alia</w:t>
      </w:r>
      <w:r w:rsidRPr="00693D0C">
        <w:t>, a permanent allowance (</w:t>
      </w:r>
      <w:proofErr w:type="spellStart"/>
      <w:r w:rsidRPr="00693D0C">
        <w:rPr>
          <w:i/>
          <w:iCs/>
        </w:rPr>
        <w:t>stalna</w:t>
      </w:r>
      <w:proofErr w:type="spellEnd"/>
      <w:r w:rsidRPr="00693D0C">
        <w:rPr>
          <w:i/>
          <w:iCs/>
        </w:rPr>
        <w:t xml:space="preserve"> </w:t>
      </w:r>
      <w:proofErr w:type="spellStart"/>
      <w:r w:rsidRPr="00693D0C">
        <w:rPr>
          <w:i/>
          <w:iCs/>
        </w:rPr>
        <w:t>novčana</w:t>
      </w:r>
      <w:proofErr w:type="spellEnd"/>
      <w:r w:rsidRPr="00693D0C">
        <w:rPr>
          <w:i/>
          <w:iCs/>
        </w:rPr>
        <w:t xml:space="preserve"> </w:t>
      </w:r>
      <w:proofErr w:type="spellStart"/>
      <w:r w:rsidRPr="00693D0C">
        <w:rPr>
          <w:i/>
          <w:iCs/>
        </w:rPr>
        <w:t>pomoć</w:t>
      </w:r>
      <w:proofErr w:type="spellEnd"/>
      <w:r w:rsidRPr="00693D0C">
        <w:t>) and an attendance allowance (see section 8(a) and (b) of the Rulebook on Social Care of Persons in Need of International Protection 2009</w:t>
      </w:r>
      <w:r w:rsidRPr="00693D0C">
        <w:rPr>
          <w:vertAlign w:val="superscript"/>
        </w:rPr>
        <w:footnoteReference w:id="1"/>
      </w:r>
      <w:r w:rsidRPr="00693D0C">
        <w:t>, which was in force at the relevant time, and section 7(a) and (b) of the Rulebook on Social Care of Persons in Need of International Protection 2017</w:t>
      </w:r>
      <w:r w:rsidRPr="00693D0C">
        <w:rPr>
          <w:rStyle w:val="FootnoteReference"/>
        </w:rPr>
        <w:footnoteReference w:id="2"/>
      </w:r>
      <w:r w:rsidRPr="00693D0C">
        <w:t xml:space="preserve"> –</w:t>
      </w:r>
      <w:r w:rsidRPr="00693D0C" w:rsidR="00DA15DD">
        <w:t xml:space="preserve"> </w:t>
      </w:r>
      <w:r w:rsidRPr="00693D0C">
        <w:t>“the</w:t>
      </w:r>
      <w:r w:rsidRPr="00693D0C" w:rsidR="00672F9A">
        <w:t> </w:t>
      </w:r>
      <w:r w:rsidRPr="00693D0C">
        <w:t>2017 Rulebook”, which has been in force since 2017).</w:t>
      </w:r>
    </w:p>
    <w:bookmarkStart w:name="paragraph16" w:id="8"/>
    <w:p w:rsidRPr="00693D0C" w:rsidR="00B949B1" w:rsidP="00693D0C" w:rsidRDefault="00B949B1" w14:paraId="4D8F2CCD" w14:textId="1CF09C52">
      <w:pPr>
        <w:pStyle w:val="JuPara"/>
      </w:pPr>
      <w:r w:rsidRPr="00693D0C">
        <w:fldChar w:fldCharType="begin"/>
      </w:r>
      <w:r w:rsidRPr="00693D0C">
        <w:instrText xml:space="preserve"> SEQ level0 \*arabic </w:instrText>
      </w:r>
      <w:r w:rsidRPr="00693D0C">
        <w:fldChar w:fldCharType="separate"/>
      </w:r>
      <w:r w:rsidRPr="00693D0C" w:rsidR="00693D0C">
        <w:rPr>
          <w:noProof/>
        </w:rPr>
        <w:t>15</w:t>
      </w:r>
      <w:r w:rsidRPr="00693D0C">
        <w:fldChar w:fldCharType="end"/>
      </w:r>
      <w:bookmarkEnd w:id="8"/>
      <w:r w:rsidRPr="00693D0C">
        <w:t>.  The regime applicable to citizens of Bosnia and Herzegovina is set out in other pieces of legislation. Notably, under the social care legislation of the Federation of Bosnia and Herzegovina, persons with disabilities are entitled to a disability allowance (</w:t>
      </w:r>
      <w:proofErr w:type="spellStart"/>
      <w:r w:rsidRPr="00693D0C">
        <w:rPr>
          <w:i/>
          <w:iCs/>
        </w:rPr>
        <w:t>lična</w:t>
      </w:r>
      <w:proofErr w:type="spellEnd"/>
      <w:r w:rsidRPr="00693D0C">
        <w:rPr>
          <w:i/>
          <w:iCs/>
        </w:rPr>
        <w:t xml:space="preserve"> </w:t>
      </w:r>
      <w:proofErr w:type="spellStart"/>
      <w:r w:rsidRPr="00693D0C">
        <w:rPr>
          <w:i/>
          <w:iCs/>
        </w:rPr>
        <w:t>invalidnina</w:t>
      </w:r>
      <w:proofErr w:type="spellEnd"/>
      <w:r w:rsidRPr="00693D0C">
        <w:t>) and an attendance allowance (see section 18(a) of the Social Care Act 1999</w:t>
      </w:r>
      <w:r w:rsidRPr="00693D0C">
        <w:rPr>
          <w:vertAlign w:val="superscript"/>
        </w:rPr>
        <w:footnoteReference w:id="3"/>
      </w:r>
      <w:r w:rsidRPr="00693D0C">
        <w:t>).</w:t>
      </w:r>
    </w:p>
    <w:bookmarkStart w:name="paragraph17" w:id="10"/>
    <w:p w:rsidRPr="00693D0C" w:rsidR="00B949B1" w:rsidP="00693D0C" w:rsidRDefault="00B949B1" w14:paraId="08B6804E" w14:textId="3AAFBD21">
      <w:pPr>
        <w:pStyle w:val="JuPara"/>
      </w:pPr>
      <w:r w:rsidRPr="00693D0C">
        <w:fldChar w:fldCharType="begin"/>
      </w:r>
      <w:r w:rsidRPr="00693D0C">
        <w:instrText xml:space="preserve"> SEQ level0 \*arabic </w:instrText>
      </w:r>
      <w:r w:rsidRPr="00693D0C">
        <w:fldChar w:fldCharType="separate"/>
      </w:r>
      <w:r w:rsidRPr="00693D0C" w:rsidR="00693D0C">
        <w:rPr>
          <w:noProof/>
        </w:rPr>
        <w:t>16</w:t>
      </w:r>
      <w:r w:rsidRPr="00693D0C">
        <w:fldChar w:fldCharType="end"/>
      </w:r>
      <w:bookmarkEnd w:id="10"/>
      <w:r w:rsidRPr="00693D0C">
        <w:t>.  The conditions are the same under both regimes (see section 14 of the 2009 Rulebook and section 13 of the 2017 Rulebook). Notably, the applicant must be at least ninety percent incapacitated (see section 18(b) of the Social Care Act 1999). The same administrative authorities deal with all applications for benefits, regardless of whether an application has been filed by a refugee or a citizen of Bosnia and Herzegovina (see section 17 of the 2009 Rulebook and section 16 of the 2017 Rulebook).</w:t>
      </w:r>
    </w:p>
    <w:bookmarkStart w:name="paragraph19" w:id="11"/>
    <w:p w:rsidRPr="00693D0C" w:rsidR="00B949B1" w:rsidP="00693D0C" w:rsidRDefault="00B949B1" w14:paraId="5C64DCEB" w14:textId="17AE8438">
      <w:pPr>
        <w:pStyle w:val="JuPara"/>
      </w:pPr>
      <w:r w:rsidRPr="00693D0C">
        <w:fldChar w:fldCharType="begin"/>
      </w:r>
      <w:r w:rsidRPr="00693D0C">
        <w:instrText xml:space="preserve"> SEQ level0 \*arabic </w:instrText>
      </w:r>
      <w:r w:rsidRPr="00693D0C">
        <w:fldChar w:fldCharType="separate"/>
      </w:r>
      <w:r w:rsidRPr="00693D0C" w:rsidR="00693D0C">
        <w:rPr>
          <w:noProof/>
        </w:rPr>
        <w:t>17</w:t>
      </w:r>
      <w:r w:rsidRPr="00693D0C">
        <w:fldChar w:fldCharType="end"/>
      </w:r>
      <w:bookmarkEnd w:id="11"/>
      <w:r w:rsidRPr="00693D0C">
        <w:t xml:space="preserve">.  The amounts provided under the legislation applicable to refugees have always been higher than those provided under the legislation applicable to citizens. Notably, in 2011, when the applicant in this case applied for benefits (see paragraph </w:t>
      </w:r>
      <w:r w:rsidRPr="00693D0C">
        <w:fldChar w:fldCharType="begin"/>
      </w:r>
      <w:r w:rsidRPr="00693D0C">
        <w:instrText xml:space="preserve"> REF paragraph7 \h </w:instrText>
      </w:r>
      <w:r w:rsidRPr="00693D0C">
        <w:fldChar w:fldCharType="separate"/>
      </w:r>
      <w:r w:rsidRPr="00693D0C" w:rsidR="00693D0C">
        <w:rPr>
          <w:noProof/>
        </w:rPr>
        <w:t>7</w:t>
      </w:r>
      <w:r w:rsidRPr="00693D0C">
        <w:fldChar w:fldCharType="end"/>
      </w:r>
      <w:r w:rsidRPr="00693D0C">
        <w:t xml:space="preserve"> above), the total monthly amount of a permanent allowance and an attendance allowance under the 2009 Rulebook was 559 convertible marks (BAM), whereas the total monthly amount of a disability allowance and an attendance allowance under the legislation of the Federation of Bosnia and Herzegovina was BAM 220.</w:t>
      </w:r>
    </w:p>
    <w:bookmarkStart w:name="paragraph20" w:id="12"/>
    <w:p w:rsidRPr="00693D0C" w:rsidR="00B949B1" w:rsidP="00693D0C" w:rsidRDefault="00B949B1" w14:paraId="247C0022" w14:textId="7251F697">
      <w:pPr>
        <w:pStyle w:val="JuPara"/>
        <w:rPr>
          <w:rFonts w:ascii="Times New Roman" w:hAnsi="Times New Roman" w:cs="Times New Roman"/>
          <w:sz w:val="22"/>
          <w:szCs w:val="22"/>
        </w:rPr>
      </w:pPr>
      <w:r w:rsidRPr="00693D0C">
        <w:fldChar w:fldCharType="begin"/>
      </w:r>
      <w:r w:rsidRPr="00693D0C">
        <w:instrText xml:space="preserve"> SEQ level0 \*arabic </w:instrText>
      </w:r>
      <w:r w:rsidRPr="00693D0C">
        <w:fldChar w:fldCharType="separate"/>
      </w:r>
      <w:r w:rsidRPr="00693D0C" w:rsidR="00693D0C">
        <w:rPr>
          <w:noProof/>
        </w:rPr>
        <w:t>18</w:t>
      </w:r>
      <w:r w:rsidRPr="00693D0C">
        <w:fldChar w:fldCharType="end"/>
      </w:r>
      <w:bookmarkEnd w:id="12"/>
      <w:r w:rsidRPr="00693D0C">
        <w:t>.  Pursuant to section 5 of the Administrative Procedure Act 1998 of the Federation of Bosnia and Herzegovina</w:t>
      </w:r>
      <w:r w:rsidRPr="00693D0C">
        <w:rPr>
          <w:rStyle w:val="FootnoteReference"/>
        </w:rPr>
        <w:footnoteReference w:id="4"/>
      </w:r>
      <w:r w:rsidRPr="00693D0C">
        <w:t>, the administrative authorities must ensure that the parties are aware of their rights and that they are granted the rights for which they are eligible</w:t>
      </w:r>
      <w:r w:rsidRPr="00693D0C">
        <w:rPr>
          <w:rFonts w:ascii="Times New Roman" w:hAnsi="Times New Roman" w:cs="Times New Roman"/>
          <w:sz w:val="22"/>
          <w:szCs w:val="22"/>
        </w:rPr>
        <w:t>.</w:t>
      </w:r>
    </w:p>
    <w:bookmarkStart w:name="paragraph21" w:id="14"/>
    <w:p w:rsidRPr="00693D0C" w:rsidR="00B949B1" w:rsidP="00693D0C" w:rsidRDefault="00B949B1" w14:paraId="441DED3F" w14:textId="269B0FF2">
      <w:pPr>
        <w:pStyle w:val="JuPara"/>
      </w:pPr>
      <w:r w:rsidRPr="00693D0C">
        <w:fldChar w:fldCharType="begin"/>
      </w:r>
      <w:r w:rsidRPr="00693D0C">
        <w:instrText xml:space="preserve"> SEQ level0 \*arabic </w:instrText>
      </w:r>
      <w:r w:rsidRPr="00693D0C">
        <w:fldChar w:fldCharType="separate"/>
      </w:r>
      <w:r w:rsidRPr="00693D0C" w:rsidR="00693D0C">
        <w:rPr>
          <w:noProof/>
        </w:rPr>
        <w:t>19</w:t>
      </w:r>
      <w:r w:rsidRPr="00693D0C">
        <w:fldChar w:fldCharType="end"/>
      </w:r>
      <w:bookmarkEnd w:id="14"/>
      <w:r w:rsidRPr="00693D0C">
        <w:t>.  Section 264a of the Civil Procedure Act 2003</w:t>
      </w:r>
      <w:r w:rsidRPr="00693D0C">
        <w:rPr>
          <w:rStyle w:val="FootnoteReference"/>
        </w:rPr>
        <w:footnoteReference w:id="5"/>
      </w:r>
      <w:r w:rsidRPr="00693D0C">
        <w:t>, to which section 55 of the Administrative Disputes Act 2005</w:t>
      </w:r>
      <w:r w:rsidRPr="00693D0C">
        <w:rPr>
          <w:rStyle w:val="FootnoteReference"/>
        </w:rPr>
        <w:footnoteReference w:id="6"/>
      </w:r>
      <w:r w:rsidRPr="00693D0C">
        <w:t xml:space="preserve"> refers, reads as follows:</w:t>
      </w:r>
    </w:p>
    <w:p w:rsidRPr="00693D0C" w:rsidR="00B949B1" w:rsidP="00693D0C" w:rsidRDefault="00B949B1" w14:paraId="4B235C02" w14:textId="77777777">
      <w:pPr>
        <w:pStyle w:val="JuQuot"/>
      </w:pPr>
      <w:r w:rsidRPr="00693D0C">
        <w:t xml:space="preserve"> “(1) When the European Court of Human Rights has found a violation of a human right or fundamental freedom guaranteed by the Convention for the Protection of Human Rights and Fundamental Freedoms or additional protocols thereto ratified by Bosnia and Herzegovina, a party may, within ninety days of the judgment of the European Court of Human Rights becoming final, file an application with the first-instance court which originally adjudicated the proceedings resulting in the decision violating the human right or fundamental freedom, to set aside the decision by which the human right or fundamental freedom was violated.</w:t>
      </w:r>
    </w:p>
    <w:p w:rsidRPr="00693D0C" w:rsidR="00B949B1" w:rsidP="00693D0C" w:rsidRDefault="00B949B1" w14:paraId="268D9591" w14:textId="77777777">
      <w:pPr>
        <w:pStyle w:val="JuQuot"/>
      </w:pPr>
      <w:r w:rsidRPr="00693D0C">
        <w:t xml:space="preserve">(2) The proceedings referred to in paragraph 1 of this section shall be conducted by applying, </w:t>
      </w:r>
      <w:r w:rsidRPr="00693D0C">
        <w:rPr>
          <w:i/>
          <w:iCs/>
        </w:rPr>
        <w:t>mutatis mutandis</w:t>
      </w:r>
      <w:r w:rsidRPr="00693D0C">
        <w:t>, the provisions in relation to reopening proceedings.</w:t>
      </w:r>
    </w:p>
    <w:p w:rsidRPr="00693D0C" w:rsidR="00B949B1" w:rsidP="00693D0C" w:rsidRDefault="00B949B1" w14:paraId="20AF912D" w14:textId="77777777">
      <w:pPr>
        <w:pStyle w:val="JuQuot"/>
      </w:pPr>
      <w:r w:rsidRPr="00693D0C">
        <w:t>(3) In the reopened proceedings the courts are required to respect the legal opinions expressed in the final judgment of the European Court of Human Rights finding a violation of a fundamental human right or freedom.”</w:t>
      </w:r>
    </w:p>
    <w:p w:rsidRPr="00693D0C" w:rsidR="00B949B1" w:rsidP="00693D0C" w:rsidRDefault="00B949B1" w14:paraId="0A61395A" w14:textId="77777777">
      <w:pPr>
        <w:pStyle w:val="JuHHead"/>
        <w:numPr>
          <w:ilvl w:val="0"/>
          <w:numId w:val="18"/>
        </w:numPr>
      </w:pPr>
      <w:r w:rsidRPr="00693D0C">
        <w:t>THE LAW</w:t>
      </w:r>
    </w:p>
    <w:p w:rsidRPr="00693D0C" w:rsidR="00B949B1" w:rsidP="00693D0C" w:rsidRDefault="00B949B1" w14:paraId="4EE1E88B" w14:textId="77777777">
      <w:pPr>
        <w:pStyle w:val="JuHIRoman"/>
      </w:pPr>
      <w:r w:rsidRPr="00693D0C">
        <w:t xml:space="preserve">ALLEGED VIOLATION OF ARTICLE 6 </w:t>
      </w:r>
      <w:r w:rsidRPr="00693D0C">
        <w:rPr>
          <w:rFonts w:cstheme="majorHAnsi"/>
        </w:rPr>
        <w:t>§</w:t>
      </w:r>
      <w:r w:rsidRPr="00693D0C">
        <w:t xml:space="preserve"> 1 OF THE CONVENTION</w:t>
      </w:r>
    </w:p>
    <w:p w:rsidRPr="00693D0C" w:rsidR="00B949B1" w:rsidP="00693D0C" w:rsidRDefault="00B949B1" w14:paraId="4BA2F4D6" w14:textId="15F0FB77">
      <w:pPr>
        <w:pStyle w:val="JuPara"/>
      </w:pPr>
      <w:r w:rsidRPr="00693D0C">
        <w:fldChar w:fldCharType="begin"/>
      </w:r>
      <w:r w:rsidRPr="00693D0C">
        <w:instrText xml:space="preserve"> SEQ level0 \*arabic </w:instrText>
      </w:r>
      <w:r w:rsidRPr="00693D0C">
        <w:fldChar w:fldCharType="separate"/>
      </w:r>
      <w:r w:rsidRPr="00693D0C" w:rsidR="00693D0C">
        <w:rPr>
          <w:noProof/>
        </w:rPr>
        <w:t>20</w:t>
      </w:r>
      <w:r w:rsidRPr="00693D0C">
        <w:fldChar w:fldCharType="end"/>
      </w:r>
      <w:r w:rsidRPr="00693D0C">
        <w:t xml:space="preserve">.  The applicant complained under Article 6 </w:t>
      </w:r>
      <w:r w:rsidRPr="00693D0C">
        <w:rPr>
          <w:rFonts w:cstheme="minorHAnsi"/>
        </w:rPr>
        <w:t>§</w:t>
      </w:r>
      <w:r w:rsidRPr="00693D0C">
        <w:t xml:space="preserve"> 1 of the Convention about the fairness and length of the administrative proceedings outlined above. The relevant part of that Article reads as follows:</w:t>
      </w:r>
    </w:p>
    <w:p w:rsidRPr="00693D0C" w:rsidR="00B949B1" w:rsidP="00693D0C" w:rsidRDefault="00B949B1" w14:paraId="45979580" w14:textId="77777777">
      <w:pPr>
        <w:pStyle w:val="JuQuot"/>
      </w:pPr>
      <w:r w:rsidRPr="00693D0C">
        <w:t>“In the determination of his civil rights and obligations ... everyone is entitled to a fair ... hearing within a reasonable time by [a] ... tribunal ...”</w:t>
      </w:r>
    </w:p>
    <w:p w:rsidRPr="00693D0C" w:rsidR="00B949B1" w:rsidP="00693D0C" w:rsidRDefault="00B949B1" w14:paraId="634F2E95" w14:textId="77777777">
      <w:pPr>
        <w:pStyle w:val="JuHA"/>
      </w:pPr>
      <w:r w:rsidRPr="00693D0C">
        <w:t>Admissibility</w:t>
      </w:r>
    </w:p>
    <w:p w:rsidRPr="00693D0C" w:rsidR="00B949B1" w:rsidP="00693D0C" w:rsidRDefault="00B949B1" w14:paraId="6FBAF739" w14:textId="1953CB72">
      <w:pPr>
        <w:pStyle w:val="JuPara"/>
      </w:pPr>
      <w:r w:rsidRPr="00693D0C">
        <w:fldChar w:fldCharType="begin"/>
      </w:r>
      <w:r w:rsidRPr="00693D0C">
        <w:instrText xml:space="preserve"> SEQ level0 \*arabic </w:instrText>
      </w:r>
      <w:r w:rsidRPr="00693D0C">
        <w:fldChar w:fldCharType="separate"/>
      </w:r>
      <w:r w:rsidRPr="00693D0C" w:rsidR="00693D0C">
        <w:rPr>
          <w:noProof/>
        </w:rPr>
        <w:t>21</w:t>
      </w:r>
      <w:r w:rsidRPr="00693D0C">
        <w:fldChar w:fldCharType="end"/>
      </w:r>
      <w:r w:rsidRPr="00693D0C">
        <w:t>.  The Government submitted that the application had been lodged out of time in view of the fact that more than six months had passed between the service of the Constitutional Court</w:t>
      </w:r>
      <w:r w:rsidRPr="00693D0C" w:rsidR="00693D0C">
        <w:t>’</w:t>
      </w:r>
      <w:r w:rsidRPr="00693D0C">
        <w:t xml:space="preserve">s decision on the applicant (see paragraph </w:t>
      </w:r>
      <w:r w:rsidRPr="00693D0C">
        <w:fldChar w:fldCharType="begin"/>
      </w:r>
      <w:r w:rsidRPr="00693D0C">
        <w:instrText xml:space="preserve"> REF paragraph13 \h </w:instrText>
      </w:r>
      <w:r w:rsidRPr="00693D0C">
        <w:fldChar w:fldCharType="separate"/>
      </w:r>
      <w:r w:rsidRPr="00693D0C" w:rsidR="00693D0C">
        <w:rPr>
          <w:noProof/>
        </w:rPr>
        <w:t>13</w:t>
      </w:r>
      <w:r w:rsidRPr="00693D0C">
        <w:fldChar w:fldCharType="end"/>
      </w:r>
      <w:r w:rsidRPr="00693D0C">
        <w:t xml:space="preserve"> above) and the date of receipt of the present application by the Court on 23 May 2019.</w:t>
      </w:r>
    </w:p>
    <w:p w:rsidRPr="00693D0C" w:rsidR="00B949B1" w:rsidP="00693D0C" w:rsidRDefault="00B949B1" w14:paraId="72AB3187" w14:textId="75887525">
      <w:pPr>
        <w:pStyle w:val="JuPara"/>
      </w:pPr>
      <w:r w:rsidRPr="00693D0C">
        <w:fldChar w:fldCharType="begin"/>
      </w:r>
      <w:r w:rsidRPr="00693D0C">
        <w:instrText xml:space="preserve"> SEQ level0 \*arabic </w:instrText>
      </w:r>
      <w:r w:rsidRPr="00693D0C">
        <w:fldChar w:fldCharType="separate"/>
      </w:r>
      <w:r w:rsidRPr="00693D0C" w:rsidR="00693D0C">
        <w:rPr>
          <w:noProof/>
        </w:rPr>
        <w:t>22</w:t>
      </w:r>
      <w:r w:rsidRPr="00693D0C">
        <w:fldChar w:fldCharType="end"/>
      </w:r>
      <w:r w:rsidRPr="00693D0C">
        <w:t>.  The applicant disagreed with the Government and emphasised that she had introduced the application on 17 May 2019.</w:t>
      </w:r>
    </w:p>
    <w:p w:rsidRPr="00693D0C" w:rsidR="00B949B1" w:rsidP="00693D0C" w:rsidRDefault="00B949B1" w14:paraId="2C97F092" w14:textId="268FA2CF">
      <w:pPr>
        <w:pStyle w:val="JuPara"/>
      </w:pPr>
      <w:r w:rsidRPr="00693D0C">
        <w:fldChar w:fldCharType="begin"/>
      </w:r>
      <w:r w:rsidRPr="00693D0C">
        <w:instrText xml:space="preserve"> SEQ level0 \*arabic </w:instrText>
      </w:r>
      <w:r w:rsidRPr="00693D0C">
        <w:fldChar w:fldCharType="separate"/>
      </w:r>
      <w:r w:rsidRPr="00693D0C" w:rsidR="00693D0C">
        <w:rPr>
          <w:noProof/>
        </w:rPr>
        <w:t>23</w:t>
      </w:r>
      <w:r w:rsidRPr="00693D0C">
        <w:fldChar w:fldCharType="end"/>
      </w:r>
      <w:r w:rsidRPr="00693D0C">
        <w:t xml:space="preserve">.  The purpose of the six-month rule is to promote legal certainty by ensuring that cases raising issues under the Convention are examined within a reasonable time, and to prevent the authorities and other persons concerned from being kept in a state of uncertainty for a long period of time (see, among other authorities, </w:t>
      </w:r>
      <w:r w:rsidRPr="00693D0C">
        <w:rPr>
          <w:i/>
          <w:iCs/>
        </w:rPr>
        <w:t xml:space="preserve">Sabri </w:t>
      </w:r>
      <w:proofErr w:type="spellStart"/>
      <w:r w:rsidRPr="00693D0C">
        <w:rPr>
          <w:i/>
          <w:iCs/>
        </w:rPr>
        <w:t>Güneş</w:t>
      </w:r>
      <w:proofErr w:type="spellEnd"/>
      <w:r w:rsidRPr="00693D0C">
        <w:rPr>
          <w:i/>
          <w:iCs/>
        </w:rPr>
        <w:t xml:space="preserve"> v. Turkey</w:t>
      </w:r>
      <w:r w:rsidRPr="00693D0C">
        <w:t xml:space="preserve"> [GC], no. 27396/06, §</w:t>
      </w:r>
      <w:r w:rsidRPr="00693D0C" w:rsidR="00672F9A">
        <w:t> </w:t>
      </w:r>
      <w:r w:rsidRPr="00693D0C">
        <w:t>39, 29 June 2012).</w:t>
      </w:r>
    </w:p>
    <w:bookmarkStart w:name="paragraph23" w:id="15"/>
    <w:p w:rsidRPr="00693D0C" w:rsidR="00B949B1" w:rsidP="00693D0C" w:rsidRDefault="00B949B1" w14:paraId="5BF4D380" w14:textId="104AB302">
      <w:pPr>
        <w:pStyle w:val="JuPara"/>
      </w:pPr>
      <w:r w:rsidRPr="00693D0C">
        <w:fldChar w:fldCharType="begin"/>
      </w:r>
      <w:r w:rsidRPr="00693D0C">
        <w:instrText xml:space="preserve"> SEQ level0 \*arabic </w:instrText>
      </w:r>
      <w:r w:rsidRPr="00693D0C">
        <w:fldChar w:fldCharType="separate"/>
      </w:r>
      <w:r w:rsidRPr="00693D0C" w:rsidR="00693D0C">
        <w:rPr>
          <w:noProof/>
        </w:rPr>
        <w:t>24</w:t>
      </w:r>
      <w:r w:rsidRPr="00693D0C">
        <w:fldChar w:fldCharType="end"/>
      </w:r>
      <w:bookmarkEnd w:id="15"/>
      <w:r w:rsidRPr="00693D0C">
        <w:t>.  The date of introduction of an application for the purposes of Article</w:t>
      </w:r>
      <w:r w:rsidRPr="00693D0C" w:rsidR="00672F9A">
        <w:t> </w:t>
      </w:r>
      <w:r w:rsidRPr="00693D0C">
        <w:t xml:space="preserve">35 § 1 of the Convention is the date of the postmark when the applicant dispatched a duly completed application form to the Court (see Rule 47 § 6 (a) of the Rules of Court), and not the date of receipt of the application by the Court (see </w:t>
      </w:r>
      <w:proofErr w:type="spellStart"/>
      <w:r w:rsidRPr="00693D0C">
        <w:rPr>
          <w:i/>
        </w:rPr>
        <w:t>Brežec</w:t>
      </w:r>
      <w:proofErr w:type="spellEnd"/>
      <w:r w:rsidRPr="00693D0C">
        <w:rPr>
          <w:i/>
        </w:rPr>
        <w:t xml:space="preserve"> v. Croatia</w:t>
      </w:r>
      <w:r w:rsidRPr="00693D0C">
        <w:t>, no. 7177/10, § 29, 18</w:t>
      </w:r>
      <w:r w:rsidRPr="00693D0C" w:rsidR="00672F9A">
        <w:t> </w:t>
      </w:r>
      <w:r w:rsidRPr="00693D0C">
        <w:t xml:space="preserve">July 2013). In other words, applicants cannot be held responsible for any delays that may affect their correspondence with the Court in transit; to hold otherwise would mean unjustifiably shortening the six-month period set forth in Article 35 § 1 of the Convention and negatively affecting the right of individual petition (see, </w:t>
      </w:r>
      <w:proofErr w:type="spellStart"/>
      <w:r w:rsidRPr="00693D0C">
        <w:rPr>
          <w:i/>
        </w:rPr>
        <w:t>Anchugov</w:t>
      </w:r>
      <w:proofErr w:type="spellEnd"/>
      <w:r w:rsidRPr="00693D0C">
        <w:rPr>
          <w:i/>
        </w:rPr>
        <w:t xml:space="preserve"> and </w:t>
      </w:r>
      <w:proofErr w:type="spellStart"/>
      <w:r w:rsidRPr="00693D0C">
        <w:rPr>
          <w:i/>
        </w:rPr>
        <w:t>Gladkov</w:t>
      </w:r>
      <w:proofErr w:type="spellEnd"/>
      <w:r w:rsidRPr="00693D0C">
        <w:t xml:space="preserve"> </w:t>
      </w:r>
      <w:r w:rsidRPr="00693D0C">
        <w:rPr>
          <w:i/>
        </w:rPr>
        <w:t>v. Russia</w:t>
      </w:r>
      <w:r w:rsidRPr="00693D0C">
        <w:t>, nos. 11157/04 and 15162/05, § 70, 4 July 2013).</w:t>
      </w:r>
    </w:p>
    <w:p w:rsidRPr="00693D0C" w:rsidR="00B949B1" w:rsidP="00693D0C" w:rsidRDefault="00B949B1" w14:paraId="5A62B3C2" w14:textId="144EB388">
      <w:pPr>
        <w:pStyle w:val="JuPara"/>
      </w:pPr>
      <w:r w:rsidRPr="00693D0C">
        <w:fldChar w:fldCharType="begin"/>
      </w:r>
      <w:r w:rsidRPr="00693D0C">
        <w:instrText xml:space="preserve"> SEQ level0 \*arabic </w:instrText>
      </w:r>
      <w:r w:rsidRPr="00693D0C">
        <w:fldChar w:fldCharType="separate"/>
      </w:r>
      <w:r w:rsidRPr="00693D0C" w:rsidR="00693D0C">
        <w:rPr>
          <w:noProof/>
        </w:rPr>
        <w:t>25</w:t>
      </w:r>
      <w:r w:rsidRPr="00693D0C">
        <w:fldChar w:fldCharType="end"/>
      </w:r>
      <w:r w:rsidRPr="00693D0C">
        <w:t xml:space="preserve">.  Turning to the present case, the Court notes that the applicant sent a duly completed application form to the Court on 17 May 2019. In accordance with the case-law outlined in paragraph </w:t>
      </w:r>
      <w:r w:rsidRPr="00693D0C">
        <w:fldChar w:fldCharType="begin"/>
      </w:r>
      <w:r w:rsidRPr="00693D0C">
        <w:instrText xml:space="preserve"> REF paragraph23 \h </w:instrText>
      </w:r>
      <w:r w:rsidRPr="00693D0C">
        <w:fldChar w:fldCharType="separate"/>
      </w:r>
      <w:r w:rsidRPr="00693D0C" w:rsidR="00693D0C">
        <w:rPr>
          <w:noProof/>
        </w:rPr>
        <w:t>24</w:t>
      </w:r>
      <w:r w:rsidRPr="00693D0C">
        <w:fldChar w:fldCharType="end"/>
      </w:r>
      <w:r w:rsidRPr="00693D0C">
        <w:t xml:space="preserve"> above, 17 May 2019 is therefore the date of introduction of the application for the purposes of Article 35 § 1 of the Convention. Since the date of notification of the Constitutional Court</w:t>
      </w:r>
      <w:r w:rsidRPr="00693D0C" w:rsidR="00693D0C">
        <w:t>’</w:t>
      </w:r>
      <w:r w:rsidRPr="00693D0C">
        <w:t>s decision is 22 November 2018 (see paragraph</w:t>
      </w:r>
      <w:r w:rsidRPr="00693D0C" w:rsidR="00672F9A">
        <w:t> </w:t>
      </w:r>
      <w:r w:rsidRPr="00693D0C">
        <w:fldChar w:fldCharType="begin"/>
      </w:r>
      <w:r w:rsidRPr="00693D0C">
        <w:instrText xml:space="preserve"> REF paragraph13 \h </w:instrText>
      </w:r>
      <w:r w:rsidRPr="00693D0C">
        <w:fldChar w:fldCharType="separate"/>
      </w:r>
      <w:r w:rsidRPr="00693D0C" w:rsidR="00693D0C">
        <w:rPr>
          <w:noProof/>
        </w:rPr>
        <w:t>13</w:t>
      </w:r>
      <w:r w:rsidRPr="00693D0C">
        <w:fldChar w:fldCharType="end"/>
      </w:r>
      <w:r w:rsidRPr="00693D0C">
        <w:t xml:space="preserve"> above), the application was clearly lodged within the six-month time-limit.</w:t>
      </w:r>
    </w:p>
    <w:p w:rsidRPr="00693D0C" w:rsidR="00B949B1" w:rsidP="00693D0C" w:rsidRDefault="00B949B1" w14:paraId="179706A6" w14:textId="77FCE031">
      <w:pPr>
        <w:pStyle w:val="JuPara"/>
      </w:pPr>
      <w:r w:rsidRPr="00693D0C">
        <w:fldChar w:fldCharType="begin"/>
      </w:r>
      <w:r w:rsidRPr="00693D0C">
        <w:instrText xml:space="preserve"> SEQ level0 \*arabic </w:instrText>
      </w:r>
      <w:r w:rsidRPr="00693D0C">
        <w:fldChar w:fldCharType="separate"/>
      </w:r>
      <w:r w:rsidRPr="00693D0C" w:rsidR="00693D0C">
        <w:rPr>
          <w:noProof/>
        </w:rPr>
        <w:t>26</w:t>
      </w:r>
      <w:r w:rsidRPr="00693D0C">
        <w:fldChar w:fldCharType="end"/>
      </w:r>
      <w:r w:rsidRPr="00693D0C">
        <w:t>.  Accordingly, the Government</w:t>
      </w:r>
      <w:r w:rsidRPr="00693D0C" w:rsidR="00693D0C">
        <w:t>’</w:t>
      </w:r>
      <w:r w:rsidRPr="00693D0C">
        <w:t>s objection must be dismissed.</w:t>
      </w:r>
    </w:p>
    <w:p w:rsidRPr="00693D0C" w:rsidR="00B949B1" w:rsidP="00693D0C" w:rsidRDefault="00B949B1" w14:paraId="17E6DABC" w14:textId="48B70806">
      <w:pPr>
        <w:pStyle w:val="JuPara"/>
      </w:pPr>
      <w:r w:rsidRPr="00693D0C">
        <w:fldChar w:fldCharType="begin"/>
      </w:r>
      <w:r w:rsidRPr="00693D0C">
        <w:instrText xml:space="preserve"> SEQ level0 \*arabic </w:instrText>
      </w:r>
      <w:r w:rsidRPr="00693D0C">
        <w:fldChar w:fldCharType="separate"/>
      </w:r>
      <w:r w:rsidRPr="00693D0C" w:rsidR="00693D0C">
        <w:rPr>
          <w:noProof/>
        </w:rPr>
        <w:t>27</w:t>
      </w:r>
      <w:r w:rsidRPr="00693D0C">
        <w:fldChar w:fldCharType="end"/>
      </w:r>
      <w:r w:rsidRPr="00693D0C">
        <w:t>.  The Court notes that this part of the application is neither manifestly ill-founded nor inadmissible on any other grounds listed in Article 35 of the Convention. It must therefore be declared admissible.</w:t>
      </w:r>
    </w:p>
    <w:p w:rsidRPr="00693D0C" w:rsidR="00B949B1" w:rsidP="00693D0C" w:rsidRDefault="00B949B1" w14:paraId="0E621C44" w14:textId="77777777">
      <w:pPr>
        <w:pStyle w:val="JuHA"/>
      </w:pPr>
      <w:r w:rsidRPr="00693D0C">
        <w:t>Merits</w:t>
      </w:r>
    </w:p>
    <w:p w:rsidRPr="00693D0C" w:rsidR="00B949B1" w:rsidP="00693D0C" w:rsidRDefault="00B949B1" w14:paraId="64E3187E" w14:textId="77777777">
      <w:pPr>
        <w:pStyle w:val="JuH1"/>
      </w:pPr>
      <w:r w:rsidRPr="00693D0C">
        <w:t>As concerns the fairness of the proceedings</w:t>
      </w:r>
    </w:p>
    <w:bookmarkStart w:name="paragraph27" w:id="16"/>
    <w:p w:rsidRPr="00693D0C" w:rsidR="00B949B1" w:rsidP="00693D0C" w:rsidRDefault="00B949B1" w14:paraId="772F9806" w14:textId="0D31D9EF">
      <w:pPr>
        <w:pStyle w:val="JuPara"/>
      </w:pPr>
      <w:r w:rsidRPr="00693D0C">
        <w:fldChar w:fldCharType="begin"/>
      </w:r>
      <w:r w:rsidRPr="00693D0C">
        <w:instrText xml:space="preserve"> SEQ level0 \*arabic </w:instrText>
      </w:r>
      <w:r w:rsidRPr="00693D0C">
        <w:fldChar w:fldCharType="separate"/>
      </w:r>
      <w:r w:rsidRPr="00693D0C" w:rsidR="00693D0C">
        <w:rPr>
          <w:noProof/>
        </w:rPr>
        <w:t>28</w:t>
      </w:r>
      <w:r w:rsidRPr="00693D0C">
        <w:fldChar w:fldCharType="end"/>
      </w:r>
      <w:bookmarkEnd w:id="16"/>
      <w:r w:rsidRPr="00693D0C">
        <w:t>.  The applicant claimed that the domestic decisions rendered in her case were clearly contrary to the domestic legislation. She also submitted domestic decisions granting a permanent allowance and an attendance allowance under the 2009 Rulebook to another refugee in a similar situation.</w:t>
      </w:r>
    </w:p>
    <w:p w:rsidRPr="00693D0C" w:rsidR="00B949B1" w:rsidP="00693D0C" w:rsidRDefault="00B949B1" w14:paraId="77E820DA" w14:textId="4D570A4A">
      <w:pPr>
        <w:pStyle w:val="JuPara"/>
      </w:pPr>
      <w:r w:rsidRPr="00693D0C">
        <w:fldChar w:fldCharType="begin"/>
      </w:r>
      <w:r w:rsidRPr="00693D0C">
        <w:instrText xml:space="preserve"> SEQ level0 \*arabic </w:instrText>
      </w:r>
      <w:r w:rsidRPr="00693D0C">
        <w:fldChar w:fldCharType="separate"/>
      </w:r>
      <w:r w:rsidRPr="00693D0C" w:rsidR="00693D0C">
        <w:rPr>
          <w:noProof/>
        </w:rPr>
        <w:t>29</w:t>
      </w:r>
      <w:r w:rsidRPr="00693D0C">
        <w:fldChar w:fldCharType="end"/>
      </w:r>
      <w:r w:rsidRPr="00693D0C">
        <w:t xml:space="preserve">.  The Government maintained that the Court was not a court of fourth instance. It should therefore not question the interpretation of domestic law by national courts. In any event, the domestic decisions rendered in this case were not arbitrary: the applicant had applied for a disability allowance and an attendance allowance – benefits provided for in the social care legislation of the Federation of Bosnia and Herzegovina and only available to citizens of Bosnia and Herzegovina (see paragraphs </w:t>
      </w:r>
      <w:r w:rsidRPr="00693D0C">
        <w:fldChar w:fldCharType="begin"/>
      </w:r>
      <w:r w:rsidRPr="00693D0C">
        <w:instrText xml:space="preserve"> REF paragraph7 \h </w:instrText>
      </w:r>
      <w:r w:rsidRPr="00693D0C">
        <w:fldChar w:fldCharType="separate"/>
      </w:r>
      <w:r w:rsidRPr="00693D0C" w:rsidR="00693D0C">
        <w:rPr>
          <w:noProof/>
        </w:rPr>
        <w:t>7</w:t>
      </w:r>
      <w:r w:rsidRPr="00693D0C">
        <w:fldChar w:fldCharType="end"/>
      </w:r>
      <w:r w:rsidRPr="00693D0C">
        <w:t xml:space="preserve"> and </w:t>
      </w:r>
      <w:r w:rsidRPr="00693D0C">
        <w:fldChar w:fldCharType="begin"/>
      </w:r>
      <w:r w:rsidRPr="00693D0C">
        <w:instrText xml:space="preserve"> REF paragraph16 \h </w:instrText>
      </w:r>
      <w:r w:rsidRPr="00693D0C">
        <w:fldChar w:fldCharType="separate"/>
      </w:r>
      <w:r w:rsidRPr="00693D0C" w:rsidR="00693D0C">
        <w:rPr>
          <w:noProof/>
        </w:rPr>
        <w:t>15</w:t>
      </w:r>
      <w:r w:rsidRPr="00693D0C">
        <w:fldChar w:fldCharType="end"/>
      </w:r>
      <w:r w:rsidRPr="00693D0C">
        <w:t xml:space="preserve"> above).</w:t>
      </w:r>
    </w:p>
    <w:p w:rsidRPr="00693D0C" w:rsidR="00B949B1" w:rsidP="00693D0C" w:rsidRDefault="00B949B1" w14:paraId="1F414302" w14:textId="7E66E4EE">
      <w:pPr>
        <w:pStyle w:val="JuPara"/>
      </w:pPr>
      <w:r w:rsidRPr="00693D0C">
        <w:fldChar w:fldCharType="begin"/>
      </w:r>
      <w:r w:rsidRPr="00693D0C">
        <w:instrText xml:space="preserve"> SEQ level0 \*arabic </w:instrText>
      </w:r>
      <w:r w:rsidRPr="00693D0C">
        <w:fldChar w:fldCharType="separate"/>
      </w:r>
      <w:r w:rsidRPr="00693D0C" w:rsidR="00693D0C">
        <w:rPr>
          <w:noProof/>
        </w:rPr>
        <w:t>30</w:t>
      </w:r>
      <w:r w:rsidRPr="00693D0C">
        <w:fldChar w:fldCharType="end"/>
      </w:r>
      <w:r w:rsidRPr="00693D0C">
        <w:t>.  The Court agrees with the Government that it is not its task to take the place of domestic courts. It is primarily for the national authorities, notably the courts, to resolve problems of interpretation of domestic legislation. That being said, the Court may find a violation of Article</w:t>
      </w:r>
      <w:r w:rsidRPr="00693D0C" w:rsidR="00672F9A">
        <w:t> </w:t>
      </w:r>
      <w:r w:rsidRPr="00693D0C">
        <w:t>6</w:t>
      </w:r>
      <w:r w:rsidRPr="00693D0C" w:rsidR="00672F9A">
        <w:t> </w:t>
      </w:r>
      <w:r w:rsidRPr="00693D0C">
        <w:t>§</w:t>
      </w:r>
      <w:r w:rsidRPr="00693D0C" w:rsidR="00672F9A">
        <w:t> </w:t>
      </w:r>
      <w:r w:rsidRPr="00693D0C">
        <w:t>1 of the Convention if the national court</w:t>
      </w:r>
      <w:r w:rsidRPr="00693D0C" w:rsidR="00693D0C">
        <w:t>’</w:t>
      </w:r>
      <w:r w:rsidRPr="00693D0C">
        <w:t xml:space="preserve">s findings are arbitrary or manifestly unreasonable, resulting in a “denial of justice” (see </w:t>
      </w:r>
      <w:r w:rsidRPr="00693D0C">
        <w:rPr>
          <w:i/>
          <w:iCs/>
        </w:rPr>
        <w:t>Moreira Ferreira v.</w:t>
      </w:r>
      <w:r w:rsidRPr="00693D0C" w:rsidR="00672F9A">
        <w:rPr>
          <w:i/>
          <w:iCs/>
        </w:rPr>
        <w:t> </w:t>
      </w:r>
      <w:r w:rsidRPr="00693D0C">
        <w:rPr>
          <w:i/>
          <w:iCs/>
        </w:rPr>
        <w:t>Portugal (no. 2)</w:t>
      </w:r>
      <w:r w:rsidRPr="00693D0C">
        <w:rPr>
          <w:iCs/>
        </w:rPr>
        <w:t xml:space="preserve"> [GC]</w:t>
      </w:r>
      <w:r w:rsidRPr="00693D0C">
        <w:t xml:space="preserve">, no. </w:t>
      </w:r>
      <w:r w:rsidRPr="00693D0C">
        <w:rPr>
          <w:iCs/>
        </w:rPr>
        <w:t xml:space="preserve">19867/12, </w:t>
      </w:r>
      <w:r w:rsidRPr="00693D0C">
        <w:t xml:space="preserve">§§ 83-85, 11 July 2017, and </w:t>
      </w:r>
      <w:proofErr w:type="spellStart"/>
      <w:r w:rsidRPr="00693D0C">
        <w:rPr>
          <w:i/>
          <w:lang w:val="en-US"/>
        </w:rPr>
        <w:t>Lazarević</w:t>
      </w:r>
      <w:proofErr w:type="spellEnd"/>
      <w:r w:rsidRPr="00693D0C">
        <w:rPr>
          <w:i/>
          <w:lang w:val="en-US"/>
        </w:rPr>
        <w:t xml:space="preserve"> v. Bosnia and Herzegovina</w:t>
      </w:r>
      <w:r w:rsidRPr="00693D0C">
        <w:rPr>
          <w:lang w:val="en-US"/>
        </w:rPr>
        <w:t>, no. 29422/17, § 30, 14</w:t>
      </w:r>
      <w:r w:rsidRPr="00693D0C" w:rsidR="00DA15DD">
        <w:rPr>
          <w:lang w:val="en-US"/>
        </w:rPr>
        <w:t> </w:t>
      </w:r>
      <w:r w:rsidRPr="00693D0C">
        <w:rPr>
          <w:lang w:val="en-US"/>
        </w:rPr>
        <w:t>January 2020</w:t>
      </w:r>
      <w:r w:rsidRPr="00693D0C">
        <w:t>).</w:t>
      </w:r>
    </w:p>
    <w:p w:rsidRPr="00693D0C" w:rsidR="00B949B1" w:rsidP="00693D0C" w:rsidRDefault="00B949B1" w14:paraId="25B4684A" w14:textId="7BE14FFA">
      <w:pPr>
        <w:pStyle w:val="JuPara"/>
      </w:pPr>
      <w:r w:rsidRPr="00693D0C">
        <w:fldChar w:fldCharType="begin"/>
      </w:r>
      <w:r w:rsidRPr="00693D0C">
        <w:instrText xml:space="preserve"> SEQ level0 \*arabic </w:instrText>
      </w:r>
      <w:r w:rsidRPr="00693D0C">
        <w:fldChar w:fldCharType="separate"/>
      </w:r>
      <w:r w:rsidRPr="00693D0C" w:rsidR="00693D0C">
        <w:rPr>
          <w:noProof/>
        </w:rPr>
        <w:t>31</w:t>
      </w:r>
      <w:r w:rsidRPr="00693D0C">
        <w:fldChar w:fldCharType="end"/>
      </w:r>
      <w:r w:rsidRPr="00693D0C">
        <w:t xml:space="preserve">.  In the present case, the Court notes that in 2011 the competent medical authorities established that the applicant was ninety percent incapacitated and that she needed help to carry out activities of daily living (see paragraph </w:t>
      </w:r>
      <w:r w:rsidRPr="00693D0C">
        <w:fldChar w:fldCharType="begin"/>
      </w:r>
      <w:r w:rsidRPr="00693D0C">
        <w:instrText xml:space="preserve"> REF paragraph6 \h </w:instrText>
      </w:r>
      <w:r w:rsidRPr="00693D0C">
        <w:fldChar w:fldCharType="separate"/>
      </w:r>
      <w:r w:rsidRPr="00693D0C" w:rsidR="00693D0C">
        <w:rPr>
          <w:noProof/>
        </w:rPr>
        <w:t>6</w:t>
      </w:r>
      <w:r w:rsidRPr="00693D0C">
        <w:fldChar w:fldCharType="end"/>
      </w:r>
      <w:r w:rsidRPr="00693D0C">
        <w:t xml:space="preserve"> above). Having a refugee status (see paragraph </w:t>
      </w:r>
      <w:r w:rsidRPr="00693D0C">
        <w:fldChar w:fldCharType="begin"/>
      </w:r>
      <w:r w:rsidRPr="00693D0C">
        <w:instrText xml:space="preserve"> REF paragraph5 \h </w:instrText>
      </w:r>
      <w:r w:rsidRPr="00693D0C">
        <w:fldChar w:fldCharType="separate"/>
      </w:r>
      <w:r w:rsidRPr="00693D0C" w:rsidR="00693D0C">
        <w:rPr>
          <w:noProof/>
        </w:rPr>
        <w:t>5</w:t>
      </w:r>
      <w:r w:rsidRPr="00693D0C">
        <w:fldChar w:fldCharType="end"/>
      </w:r>
      <w:r w:rsidRPr="00693D0C">
        <w:t xml:space="preserve"> above), she was thus entitled to a permanent allowance and an attendance allowance pursuant to section 8(a) and (b) of the 2009 Rulebook (see paragraphs</w:t>
      </w:r>
      <w:r w:rsidRPr="00693D0C" w:rsidR="00DA15DD">
        <w:t> </w:t>
      </w:r>
      <w:r w:rsidRPr="00693D0C">
        <w:fldChar w:fldCharType="begin"/>
      </w:r>
      <w:r w:rsidRPr="00693D0C">
        <w:instrText xml:space="preserve"> REF paragraph15 \h </w:instrText>
      </w:r>
      <w:r w:rsidRPr="00693D0C">
        <w:fldChar w:fldCharType="separate"/>
      </w:r>
      <w:r w:rsidRPr="00693D0C" w:rsidR="00693D0C">
        <w:rPr>
          <w:noProof/>
        </w:rPr>
        <w:t>14</w:t>
      </w:r>
      <w:r w:rsidRPr="00693D0C">
        <w:fldChar w:fldCharType="end"/>
      </w:r>
      <w:r w:rsidRPr="00693D0C">
        <w:t xml:space="preserve"> and </w:t>
      </w:r>
      <w:r w:rsidRPr="00693D0C">
        <w:fldChar w:fldCharType="begin"/>
      </w:r>
      <w:r w:rsidRPr="00693D0C">
        <w:instrText xml:space="preserve"> REF paragraph17 \h </w:instrText>
      </w:r>
      <w:r w:rsidRPr="00693D0C">
        <w:fldChar w:fldCharType="separate"/>
      </w:r>
      <w:r w:rsidRPr="00693D0C" w:rsidR="00693D0C">
        <w:rPr>
          <w:noProof/>
        </w:rPr>
        <w:t>16</w:t>
      </w:r>
      <w:r w:rsidRPr="00693D0C">
        <w:fldChar w:fldCharType="end"/>
      </w:r>
      <w:r w:rsidRPr="00693D0C">
        <w:t xml:space="preserve"> above). Indeed, at least one other refugee in a similar situation has been granted those benefits (see paragraph </w:t>
      </w:r>
      <w:r w:rsidRPr="00693D0C">
        <w:fldChar w:fldCharType="begin"/>
      </w:r>
      <w:r w:rsidRPr="00693D0C">
        <w:instrText xml:space="preserve"> REF paragraph27 \h </w:instrText>
      </w:r>
      <w:r w:rsidRPr="00693D0C">
        <w:fldChar w:fldCharType="separate"/>
      </w:r>
      <w:r w:rsidRPr="00693D0C" w:rsidR="00693D0C">
        <w:rPr>
          <w:noProof/>
        </w:rPr>
        <w:t>28</w:t>
      </w:r>
      <w:r w:rsidRPr="00693D0C">
        <w:fldChar w:fldCharType="end"/>
      </w:r>
      <w:r w:rsidRPr="00693D0C">
        <w:t xml:space="preserve"> above).</w:t>
      </w:r>
    </w:p>
    <w:p w:rsidRPr="00693D0C" w:rsidR="00B949B1" w:rsidP="00693D0C" w:rsidRDefault="00B949B1" w14:paraId="15119A14" w14:textId="0635B132">
      <w:pPr>
        <w:pStyle w:val="JuPara"/>
      </w:pPr>
      <w:r w:rsidRPr="00693D0C">
        <w:fldChar w:fldCharType="begin"/>
      </w:r>
      <w:r w:rsidRPr="00693D0C">
        <w:instrText xml:space="preserve"> SEQ level0 \*arabic </w:instrText>
      </w:r>
      <w:r w:rsidRPr="00693D0C">
        <w:fldChar w:fldCharType="separate"/>
      </w:r>
      <w:r w:rsidRPr="00693D0C" w:rsidR="00693D0C">
        <w:rPr>
          <w:noProof/>
        </w:rPr>
        <w:t>32</w:t>
      </w:r>
      <w:r w:rsidRPr="00693D0C">
        <w:fldChar w:fldCharType="end"/>
      </w:r>
      <w:r w:rsidRPr="00693D0C">
        <w:t>.  Nevertheless, the applicant</w:t>
      </w:r>
      <w:r w:rsidRPr="00693D0C" w:rsidR="00693D0C">
        <w:t>’</w:t>
      </w:r>
      <w:r w:rsidRPr="00693D0C">
        <w:t>s application for those benefits was eventually dismissed for the sole reason that she had expressly applied for a disability allowance and an attendance allowance – benefits provided for in the social care legislation of the Federation of Bosnia and Herzegovina and only available to citizens of Bosnia and Herzegovina (see paragraph</w:t>
      </w:r>
      <w:r w:rsidRPr="00693D0C" w:rsidR="00DA15DD">
        <w:t> </w:t>
      </w:r>
      <w:r w:rsidRPr="00693D0C">
        <w:fldChar w:fldCharType="begin"/>
      </w:r>
      <w:r w:rsidRPr="00693D0C">
        <w:instrText xml:space="preserve"> REF paragraph12 \h </w:instrText>
      </w:r>
      <w:r w:rsidRPr="00693D0C">
        <w:fldChar w:fldCharType="separate"/>
      </w:r>
      <w:r w:rsidRPr="00693D0C" w:rsidR="00693D0C">
        <w:rPr>
          <w:noProof/>
        </w:rPr>
        <w:t>12</w:t>
      </w:r>
      <w:r w:rsidRPr="00693D0C">
        <w:fldChar w:fldCharType="end"/>
      </w:r>
      <w:r w:rsidRPr="00693D0C">
        <w:t xml:space="preserve"> above). The administrative authorities completely disregarded the legal provisions pursuant to which the applicant was entitled to other, similar benefits (namely a permanent allowance and an attendance allowance), despite the fact that she had specifically invoked those provisions in her appeal (see paragraph </w:t>
      </w:r>
      <w:r w:rsidRPr="00693D0C">
        <w:fldChar w:fldCharType="begin"/>
      </w:r>
      <w:r w:rsidRPr="00693D0C">
        <w:instrText xml:space="preserve"> REF paragraph9 \h </w:instrText>
      </w:r>
      <w:r w:rsidRPr="00693D0C">
        <w:fldChar w:fldCharType="separate"/>
      </w:r>
      <w:r w:rsidRPr="00693D0C" w:rsidR="00693D0C">
        <w:rPr>
          <w:noProof/>
        </w:rPr>
        <w:t>9</w:t>
      </w:r>
      <w:r w:rsidRPr="00693D0C">
        <w:fldChar w:fldCharType="end"/>
      </w:r>
      <w:r w:rsidRPr="00693D0C">
        <w:t xml:space="preserve"> above).</w:t>
      </w:r>
    </w:p>
    <w:p w:rsidRPr="00693D0C" w:rsidR="00B949B1" w:rsidP="00693D0C" w:rsidRDefault="00B949B1" w14:paraId="5F50B7C6" w14:textId="705430FE">
      <w:pPr>
        <w:pStyle w:val="JuPara"/>
      </w:pPr>
      <w:r w:rsidRPr="00693D0C">
        <w:fldChar w:fldCharType="begin"/>
      </w:r>
      <w:r w:rsidRPr="00693D0C">
        <w:instrText xml:space="preserve"> SEQ level0 \*arabic </w:instrText>
      </w:r>
      <w:r w:rsidRPr="00693D0C">
        <w:fldChar w:fldCharType="separate"/>
      </w:r>
      <w:r w:rsidRPr="00693D0C" w:rsidR="00693D0C">
        <w:rPr>
          <w:noProof/>
        </w:rPr>
        <w:t>33</w:t>
      </w:r>
      <w:r w:rsidRPr="00693D0C">
        <w:fldChar w:fldCharType="end"/>
      </w:r>
      <w:r w:rsidRPr="00693D0C">
        <w:t xml:space="preserve">.  The administrative authorities also disregarded their statutory duty to ensure that the applicant was aware of her rights and that she was granted the rights for which she was eligible (see paragraph </w:t>
      </w:r>
      <w:r w:rsidRPr="00693D0C">
        <w:fldChar w:fldCharType="begin"/>
      </w:r>
      <w:r w:rsidRPr="00693D0C">
        <w:instrText xml:space="preserve"> REF paragraph20 \h </w:instrText>
      </w:r>
      <w:r w:rsidRPr="00693D0C">
        <w:fldChar w:fldCharType="separate"/>
      </w:r>
      <w:r w:rsidRPr="00693D0C" w:rsidR="00693D0C">
        <w:rPr>
          <w:noProof/>
        </w:rPr>
        <w:t>18</w:t>
      </w:r>
      <w:r w:rsidRPr="00693D0C">
        <w:fldChar w:fldCharType="end"/>
      </w:r>
      <w:r w:rsidRPr="00693D0C">
        <w:t xml:space="preserve"> above).</w:t>
      </w:r>
    </w:p>
    <w:bookmarkStart w:name="paragraph35" w:id="17"/>
    <w:p w:rsidRPr="00693D0C" w:rsidR="00B949B1" w:rsidP="00693D0C" w:rsidRDefault="00B949B1" w14:paraId="36A6FDD9" w14:textId="03C14950">
      <w:pPr>
        <w:pStyle w:val="JuPara"/>
      </w:pPr>
      <w:r w:rsidRPr="00693D0C">
        <w:fldChar w:fldCharType="begin"/>
      </w:r>
      <w:r w:rsidRPr="00693D0C">
        <w:instrText xml:space="preserve"> SEQ level0 \*arabic </w:instrText>
      </w:r>
      <w:r w:rsidRPr="00693D0C">
        <w:fldChar w:fldCharType="separate"/>
      </w:r>
      <w:r w:rsidRPr="00693D0C" w:rsidR="00693D0C">
        <w:rPr>
          <w:noProof/>
        </w:rPr>
        <w:t>34</w:t>
      </w:r>
      <w:r w:rsidRPr="00693D0C">
        <w:fldChar w:fldCharType="end"/>
      </w:r>
      <w:bookmarkEnd w:id="17"/>
      <w:r w:rsidRPr="00693D0C">
        <w:t xml:space="preserve">.  The foregoing considerations are </w:t>
      </w:r>
      <w:proofErr w:type="gramStart"/>
      <w:r w:rsidRPr="00693D0C">
        <w:t>sufficient</w:t>
      </w:r>
      <w:proofErr w:type="gramEnd"/>
      <w:r w:rsidRPr="00693D0C">
        <w:t xml:space="preserve"> to enable the Court to conclude that the administrative authorities and the Sarajevo Cantonal Court did not give the applicant</w:t>
      </w:r>
      <w:r w:rsidRPr="00693D0C" w:rsidR="00693D0C">
        <w:t>’</w:t>
      </w:r>
      <w:r w:rsidRPr="00693D0C">
        <w:t>s case a fair hearing, and that this was not remedied by the Constitutional Court.</w:t>
      </w:r>
    </w:p>
    <w:p w:rsidRPr="00693D0C" w:rsidR="00B949B1" w:rsidP="00693D0C" w:rsidRDefault="00B949B1" w14:paraId="3F653C48" w14:textId="77777777">
      <w:pPr>
        <w:pStyle w:val="JuPara"/>
      </w:pPr>
      <w:r w:rsidRPr="00693D0C">
        <w:t>There has accordingly been a violation of Article 6 § 1 of the Convention.</w:t>
      </w:r>
    </w:p>
    <w:p w:rsidRPr="00693D0C" w:rsidR="00B949B1" w:rsidP="00693D0C" w:rsidRDefault="00B949B1" w14:paraId="29C676D1" w14:textId="77777777">
      <w:pPr>
        <w:pStyle w:val="JuH1"/>
      </w:pPr>
      <w:r w:rsidRPr="00693D0C">
        <w:t>As concerns the length of the proceedings</w:t>
      </w:r>
    </w:p>
    <w:p w:rsidRPr="00693D0C" w:rsidR="00B949B1" w:rsidP="00693D0C" w:rsidRDefault="00B949B1" w14:paraId="3DC8EF8A" w14:textId="5D0BF232">
      <w:pPr>
        <w:pStyle w:val="JuPara"/>
        <w:rPr>
          <w:iCs/>
        </w:rPr>
      </w:pPr>
      <w:r w:rsidRPr="00693D0C">
        <w:fldChar w:fldCharType="begin"/>
      </w:r>
      <w:r w:rsidRPr="00693D0C">
        <w:instrText xml:space="preserve"> SEQ level0 \*arabic </w:instrText>
      </w:r>
      <w:r w:rsidRPr="00693D0C">
        <w:fldChar w:fldCharType="separate"/>
      </w:r>
      <w:r w:rsidRPr="00693D0C" w:rsidR="00693D0C">
        <w:rPr>
          <w:noProof/>
        </w:rPr>
        <w:t>35</w:t>
      </w:r>
      <w:r w:rsidRPr="00693D0C">
        <w:fldChar w:fldCharType="end"/>
      </w:r>
      <w:r w:rsidRPr="00693D0C">
        <w:t>.  As regards the period to be taken into consideration, the Court notes that the administrative proceedings were instituted on 1 June 2011. However, the period to be taken into consideration began only on 28</w:t>
      </w:r>
      <w:r w:rsidRPr="00693D0C" w:rsidR="00DA15DD">
        <w:t> </w:t>
      </w:r>
      <w:r w:rsidRPr="00693D0C">
        <w:t xml:space="preserve">June 2011 when the applicant appealed against the decision dismissing her application (see paragraph </w:t>
      </w:r>
      <w:r w:rsidRPr="00693D0C">
        <w:fldChar w:fldCharType="begin"/>
      </w:r>
      <w:r w:rsidRPr="00693D0C">
        <w:instrText xml:space="preserve"> REF paragraph9 \h </w:instrText>
      </w:r>
      <w:r w:rsidRPr="00693D0C">
        <w:fldChar w:fldCharType="separate"/>
      </w:r>
      <w:r w:rsidRPr="00693D0C" w:rsidR="00693D0C">
        <w:rPr>
          <w:noProof/>
        </w:rPr>
        <w:t>9</w:t>
      </w:r>
      <w:r w:rsidRPr="00693D0C">
        <w:fldChar w:fldCharType="end"/>
      </w:r>
      <w:r w:rsidRPr="00693D0C">
        <w:t xml:space="preserve"> above). It was then that a “dispute” within the meaning of Article 6 § 1 arose (see </w:t>
      </w:r>
      <w:r w:rsidRPr="00693D0C">
        <w:rPr>
          <w:i/>
          <w:iCs/>
        </w:rPr>
        <w:t>Janssen v. Germany</w:t>
      </w:r>
      <w:r w:rsidRPr="00693D0C">
        <w:t>, no. 23959/94, §</w:t>
      </w:r>
      <w:r w:rsidRPr="00693D0C" w:rsidR="00DA15DD">
        <w:t> </w:t>
      </w:r>
      <w:r w:rsidRPr="00693D0C">
        <w:t>40, 20 December 2001). The period to be taken into consideration ended on 9</w:t>
      </w:r>
      <w:r w:rsidRPr="00693D0C" w:rsidR="00DA15DD">
        <w:t> </w:t>
      </w:r>
      <w:r w:rsidRPr="00693D0C">
        <w:t xml:space="preserve">August 2016 (see paragraph </w:t>
      </w:r>
      <w:r w:rsidRPr="00693D0C">
        <w:fldChar w:fldCharType="begin"/>
      </w:r>
      <w:r w:rsidRPr="00693D0C">
        <w:instrText xml:space="preserve"> REF paragraph12 \h </w:instrText>
      </w:r>
      <w:r w:rsidRPr="00693D0C">
        <w:fldChar w:fldCharType="separate"/>
      </w:r>
      <w:r w:rsidRPr="00693D0C" w:rsidR="00693D0C">
        <w:rPr>
          <w:noProof/>
        </w:rPr>
        <w:t>12</w:t>
      </w:r>
      <w:r w:rsidRPr="00693D0C">
        <w:fldChar w:fldCharType="end"/>
      </w:r>
      <w:r w:rsidRPr="00693D0C">
        <w:t xml:space="preserve"> above and, </w:t>
      </w:r>
      <w:r w:rsidRPr="00693D0C">
        <w:rPr>
          <w:i/>
          <w:iCs/>
        </w:rPr>
        <w:t>mutatis mutandis</w:t>
      </w:r>
      <w:r w:rsidRPr="00693D0C">
        <w:t xml:space="preserve">, </w:t>
      </w:r>
      <w:proofErr w:type="spellStart"/>
      <w:r w:rsidRPr="00693D0C">
        <w:rPr>
          <w:i/>
        </w:rPr>
        <w:t>Simić</w:t>
      </w:r>
      <w:proofErr w:type="spellEnd"/>
      <w:r w:rsidRPr="00693D0C">
        <w:rPr>
          <w:i/>
        </w:rPr>
        <w:t xml:space="preserve"> v.</w:t>
      </w:r>
      <w:r w:rsidRPr="00693D0C" w:rsidR="00DA15DD">
        <w:rPr>
          <w:i/>
        </w:rPr>
        <w:t> </w:t>
      </w:r>
      <w:r w:rsidRPr="00693D0C">
        <w:rPr>
          <w:i/>
        </w:rPr>
        <w:t>Serbia</w:t>
      </w:r>
      <w:r w:rsidRPr="00693D0C">
        <w:rPr>
          <w:iCs/>
        </w:rPr>
        <w:t>, no. 29908/05, § 16, 24 November 2009</w:t>
      </w:r>
      <w:r w:rsidRPr="00693D0C">
        <w:t>). It thus lasted more than five years and one month.</w:t>
      </w:r>
    </w:p>
    <w:p w:rsidRPr="00693D0C" w:rsidR="00B949B1" w:rsidP="00693D0C" w:rsidRDefault="00B949B1" w14:paraId="609A6323" w14:textId="3C0B87D8">
      <w:pPr>
        <w:pStyle w:val="JuPara"/>
      </w:pPr>
      <w:r w:rsidRPr="00693D0C">
        <w:fldChar w:fldCharType="begin"/>
      </w:r>
      <w:r w:rsidRPr="00693D0C">
        <w:instrText xml:space="preserve"> SEQ level0 \*arabic </w:instrText>
      </w:r>
      <w:r w:rsidRPr="00693D0C">
        <w:fldChar w:fldCharType="separate"/>
      </w:r>
      <w:r w:rsidRPr="00693D0C" w:rsidR="00693D0C">
        <w:rPr>
          <w:noProof/>
        </w:rPr>
        <w:t>36</w:t>
      </w:r>
      <w:r w:rsidRPr="00693D0C">
        <w:fldChar w:fldCharType="end"/>
      </w:r>
      <w:r w:rsidRPr="00693D0C">
        <w:t xml:space="preserve">.  The reasonableness of the length of proceedings must be assessed in the light of the circumstances of the case and with reference to the following criteria: the complexity of the case, the conduct of the applicant and the relevant authorities and what was at stake for the applicant in the dispute (see </w:t>
      </w:r>
      <w:proofErr w:type="spellStart"/>
      <w:r w:rsidRPr="00693D0C">
        <w:rPr>
          <w:i/>
          <w:iCs/>
        </w:rPr>
        <w:t>Frydlender</w:t>
      </w:r>
      <w:proofErr w:type="spellEnd"/>
      <w:r w:rsidRPr="00693D0C">
        <w:rPr>
          <w:i/>
          <w:iCs/>
        </w:rPr>
        <w:t xml:space="preserve"> v. France</w:t>
      </w:r>
      <w:r w:rsidRPr="00693D0C">
        <w:t xml:space="preserve"> [GC], no. 30979/96, § 43, ECHR 2000-VII). The Court reiterates that special diligence is necessary in a case where the applicant</w:t>
      </w:r>
      <w:r w:rsidRPr="00693D0C" w:rsidR="00693D0C">
        <w:t>’</w:t>
      </w:r>
      <w:r w:rsidRPr="00693D0C">
        <w:t xml:space="preserve">s disability benefits made up the bulk of his or her resources, like in the present case (see </w:t>
      </w:r>
      <w:proofErr w:type="spellStart"/>
      <w:r w:rsidRPr="00693D0C">
        <w:rPr>
          <w:i/>
        </w:rPr>
        <w:t>Mocie</w:t>
      </w:r>
      <w:proofErr w:type="spellEnd"/>
      <w:r w:rsidRPr="00693D0C">
        <w:rPr>
          <w:i/>
        </w:rPr>
        <w:t xml:space="preserve"> v. France</w:t>
      </w:r>
      <w:r w:rsidRPr="00693D0C">
        <w:t>, no. 46096/99, § 22, 8 April 2003).</w:t>
      </w:r>
    </w:p>
    <w:p w:rsidRPr="00693D0C" w:rsidR="00B949B1" w:rsidP="00693D0C" w:rsidRDefault="00B949B1" w14:paraId="1DDA2609" w14:textId="08DD6E80">
      <w:pPr>
        <w:pStyle w:val="JuPara"/>
      </w:pPr>
      <w:r w:rsidRPr="00693D0C">
        <w:fldChar w:fldCharType="begin"/>
      </w:r>
      <w:r w:rsidRPr="00693D0C">
        <w:instrText xml:space="preserve"> SEQ level0 \*arabic </w:instrText>
      </w:r>
      <w:r w:rsidRPr="00693D0C">
        <w:fldChar w:fldCharType="separate"/>
      </w:r>
      <w:r w:rsidRPr="00693D0C" w:rsidR="00693D0C">
        <w:rPr>
          <w:noProof/>
        </w:rPr>
        <w:t>37</w:t>
      </w:r>
      <w:r w:rsidRPr="00693D0C">
        <w:fldChar w:fldCharType="end"/>
      </w:r>
      <w:r w:rsidRPr="00693D0C">
        <w:t>.  Having examined all the material submitted to it, the Court considers that the Government have not put forward any fact or argument capable of justifying the length of the proceedings in the instant case. Having regard to its case-law on the subject, the Court considers that in the instant case the length of the proceedings was excessive and failed to meet the “reasonable time” requirement.</w:t>
      </w:r>
    </w:p>
    <w:p w:rsidRPr="00693D0C" w:rsidR="00B949B1" w:rsidP="00693D0C" w:rsidRDefault="00B949B1" w14:paraId="54F1E576" w14:textId="77777777">
      <w:pPr>
        <w:pStyle w:val="JuPara"/>
      </w:pPr>
      <w:r w:rsidRPr="00693D0C">
        <w:t>There has accordingly been a violation of Article 6 § 1 of the Convention.</w:t>
      </w:r>
    </w:p>
    <w:p w:rsidRPr="00693D0C" w:rsidR="00B949B1" w:rsidP="00693D0C" w:rsidRDefault="00B949B1" w14:paraId="5EFCB090" w14:textId="77777777">
      <w:pPr>
        <w:pStyle w:val="JuHIRoman"/>
      </w:pPr>
      <w:r w:rsidRPr="00693D0C">
        <w:t>OTHER ALLEGED VIOLATIONS OF THE CONVENTION</w:t>
      </w:r>
    </w:p>
    <w:p w:rsidRPr="00693D0C" w:rsidR="00B949B1" w:rsidP="00693D0C" w:rsidRDefault="00B949B1" w14:paraId="1F0E7635" w14:textId="6B252CCF">
      <w:pPr>
        <w:pStyle w:val="JuPara"/>
      </w:pPr>
      <w:r w:rsidRPr="00693D0C">
        <w:fldChar w:fldCharType="begin"/>
      </w:r>
      <w:r w:rsidRPr="00693D0C">
        <w:instrText xml:space="preserve"> SEQ level0 \*arabic </w:instrText>
      </w:r>
      <w:r w:rsidRPr="00693D0C">
        <w:fldChar w:fldCharType="separate"/>
      </w:r>
      <w:r w:rsidRPr="00693D0C" w:rsidR="00693D0C">
        <w:rPr>
          <w:noProof/>
        </w:rPr>
        <w:t>38</w:t>
      </w:r>
      <w:r w:rsidRPr="00693D0C">
        <w:fldChar w:fldCharType="end"/>
      </w:r>
      <w:r w:rsidRPr="00693D0C">
        <w:t>.  The applicant further complained that the outcome of the proceedings complained of was contrary to Article 14 of the Convention, Article 1 of Protocol No. 1 and Article 1 of Protocol No. 12.</w:t>
      </w:r>
    </w:p>
    <w:p w:rsidRPr="00693D0C" w:rsidR="00B949B1" w:rsidP="00693D0C" w:rsidRDefault="00B949B1" w14:paraId="08D98654" w14:textId="02738745">
      <w:pPr>
        <w:pStyle w:val="JuPara"/>
      </w:pPr>
      <w:r w:rsidRPr="00693D0C">
        <w:fldChar w:fldCharType="begin"/>
      </w:r>
      <w:r w:rsidRPr="00693D0C">
        <w:instrText xml:space="preserve"> SEQ level0 \*arabic </w:instrText>
      </w:r>
      <w:r w:rsidRPr="00693D0C">
        <w:fldChar w:fldCharType="separate"/>
      </w:r>
      <w:r w:rsidRPr="00693D0C" w:rsidR="00693D0C">
        <w:rPr>
          <w:noProof/>
        </w:rPr>
        <w:t>39</w:t>
      </w:r>
      <w:r w:rsidRPr="00693D0C">
        <w:fldChar w:fldCharType="end"/>
      </w:r>
      <w:r w:rsidRPr="00693D0C">
        <w:t>.  The Government contested that argument.</w:t>
      </w:r>
    </w:p>
    <w:p w:rsidRPr="00693D0C" w:rsidR="00B949B1" w:rsidP="00693D0C" w:rsidRDefault="00B949B1" w14:paraId="1C030B66" w14:textId="5A414D87">
      <w:pPr>
        <w:pStyle w:val="JuPara"/>
      </w:pPr>
      <w:r w:rsidRPr="00693D0C">
        <w:fldChar w:fldCharType="begin"/>
      </w:r>
      <w:r w:rsidRPr="00693D0C">
        <w:instrText xml:space="preserve"> SEQ level0 \*arabic </w:instrText>
      </w:r>
      <w:r w:rsidRPr="00693D0C">
        <w:fldChar w:fldCharType="separate"/>
      </w:r>
      <w:r w:rsidRPr="00693D0C" w:rsidR="00693D0C">
        <w:rPr>
          <w:noProof/>
        </w:rPr>
        <w:t>40</w:t>
      </w:r>
      <w:r w:rsidRPr="00693D0C">
        <w:fldChar w:fldCharType="end"/>
      </w:r>
      <w:r w:rsidRPr="00693D0C">
        <w:t>.  The Court notes that this complaint is linked to the one examined above and must therefore likewise be declared admissible.</w:t>
      </w:r>
    </w:p>
    <w:p w:rsidRPr="00693D0C" w:rsidR="00B949B1" w:rsidP="00693D0C" w:rsidRDefault="00B949B1" w14:paraId="3BD91B73" w14:textId="752C01F7">
      <w:pPr>
        <w:pStyle w:val="JuPara"/>
      </w:pPr>
      <w:r w:rsidRPr="00693D0C">
        <w:fldChar w:fldCharType="begin"/>
      </w:r>
      <w:r w:rsidRPr="00693D0C">
        <w:instrText xml:space="preserve"> SEQ level0 \*arabic </w:instrText>
      </w:r>
      <w:r w:rsidRPr="00693D0C">
        <w:fldChar w:fldCharType="separate"/>
      </w:r>
      <w:r w:rsidRPr="00693D0C" w:rsidR="00693D0C">
        <w:rPr>
          <w:noProof/>
        </w:rPr>
        <w:t>41</w:t>
      </w:r>
      <w:r w:rsidRPr="00693D0C">
        <w:fldChar w:fldCharType="end"/>
      </w:r>
      <w:r w:rsidRPr="00693D0C">
        <w:t>.  Having regard to its finding under Article 6 § 1 (see paragraph</w:t>
      </w:r>
      <w:r w:rsidRPr="00693D0C" w:rsidR="00DA15DD">
        <w:t> </w:t>
      </w:r>
      <w:r w:rsidRPr="00693D0C">
        <w:fldChar w:fldCharType="begin"/>
      </w:r>
      <w:r w:rsidRPr="00693D0C">
        <w:instrText xml:space="preserve"> REF paragraph35 \h </w:instrText>
      </w:r>
      <w:r w:rsidRPr="00693D0C">
        <w:fldChar w:fldCharType="separate"/>
      </w:r>
      <w:r w:rsidRPr="00693D0C" w:rsidR="00693D0C">
        <w:rPr>
          <w:noProof/>
        </w:rPr>
        <w:t>34</w:t>
      </w:r>
      <w:r w:rsidRPr="00693D0C">
        <w:fldChar w:fldCharType="end"/>
      </w:r>
      <w:r w:rsidRPr="00693D0C">
        <w:t xml:space="preserve"> above), the fact that refugees in Bosnia and Herzegovina are entitled to disability benefits under the same conditions as citizens of Bosnia and Herzegovina (see paragraph </w:t>
      </w:r>
      <w:r w:rsidRPr="00693D0C">
        <w:fldChar w:fldCharType="begin"/>
      </w:r>
      <w:r w:rsidRPr="00693D0C">
        <w:instrText xml:space="preserve"> REF paragraph17 \h </w:instrText>
      </w:r>
      <w:r w:rsidRPr="00693D0C">
        <w:fldChar w:fldCharType="separate"/>
      </w:r>
      <w:r w:rsidRPr="00693D0C" w:rsidR="00693D0C">
        <w:rPr>
          <w:noProof/>
        </w:rPr>
        <w:t>16</w:t>
      </w:r>
      <w:r w:rsidRPr="00693D0C">
        <w:fldChar w:fldCharType="end"/>
      </w:r>
      <w:r w:rsidRPr="00693D0C">
        <w:t xml:space="preserve"> above) and the fact that the amounts provided under the legislation applicable to refugees have always been higher than those provided under the legislation applicable to the citizens (see paragraph </w:t>
      </w:r>
      <w:r w:rsidRPr="00693D0C">
        <w:fldChar w:fldCharType="begin"/>
      </w:r>
      <w:r w:rsidRPr="00693D0C">
        <w:instrText xml:space="preserve"> REF paragraph19 \h </w:instrText>
      </w:r>
      <w:r w:rsidRPr="00693D0C">
        <w:fldChar w:fldCharType="separate"/>
      </w:r>
      <w:r w:rsidRPr="00693D0C" w:rsidR="00693D0C">
        <w:rPr>
          <w:noProof/>
        </w:rPr>
        <w:t>17</w:t>
      </w:r>
      <w:r w:rsidRPr="00693D0C">
        <w:fldChar w:fldCharType="end"/>
      </w:r>
      <w:r w:rsidRPr="00693D0C">
        <w:t xml:space="preserve"> above), the Court considers that it is not necessary to examine whether, in this case, there has also been a violation of Article</w:t>
      </w:r>
      <w:r w:rsidRPr="00693D0C" w:rsidR="00DA15DD">
        <w:t> </w:t>
      </w:r>
      <w:r w:rsidRPr="00693D0C">
        <w:t>14 of the Convention, Article 1 of Protocol No. 1 or Article 1 of Protocol</w:t>
      </w:r>
      <w:r w:rsidRPr="00693D0C" w:rsidR="00DA15DD">
        <w:t> </w:t>
      </w:r>
      <w:r w:rsidRPr="00693D0C">
        <w:t>No.</w:t>
      </w:r>
      <w:r w:rsidRPr="00693D0C" w:rsidR="00DA15DD">
        <w:t> </w:t>
      </w:r>
      <w:r w:rsidRPr="00693D0C">
        <w:t>12.</w:t>
      </w:r>
    </w:p>
    <w:p w:rsidRPr="00693D0C" w:rsidR="00B949B1" w:rsidP="00693D0C" w:rsidRDefault="00B949B1" w14:paraId="12FEEAFD" w14:textId="77777777">
      <w:pPr>
        <w:pStyle w:val="JuHIRoman"/>
      </w:pPr>
      <w:r w:rsidRPr="00693D0C">
        <w:t>APPLICATION OF ARTICLE 41 OF THE CONVENTION</w:t>
      </w:r>
    </w:p>
    <w:p w:rsidRPr="00693D0C" w:rsidR="00B949B1" w:rsidP="00693D0C" w:rsidRDefault="00B949B1" w14:paraId="5889A814" w14:textId="64366F3C">
      <w:pPr>
        <w:pStyle w:val="JuPara"/>
        <w:keepNext/>
        <w:keepLines/>
      </w:pPr>
      <w:r w:rsidRPr="00693D0C">
        <w:fldChar w:fldCharType="begin"/>
      </w:r>
      <w:r w:rsidRPr="00693D0C">
        <w:instrText xml:space="preserve"> SEQ level0 \*arabic </w:instrText>
      </w:r>
      <w:r w:rsidRPr="00693D0C">
        <w:fldChar w:fldCharType="separate"/>
      </w:r>
      <w:r w:rsidRPr="00693D0C" w:rsidR="00693D0C">
        <w:rPr>
          <w:noProof/>
        </w:rPr>
        <w:t>42</w:t>
      </w:r>
      <w:r w:rsidRPr="00693D0C">
        <w:fldChar w:fldCharType="end"/>
      </w:r>
      <w:r w:rsidRPr="00693D0C">
        <w:t>.  Article 41 of the Convention provides:</w:t>
      </w:r>
    </w:p>
    <w:p w:rsidRPr="00693D0C" w:rsidR="00B949B1" w:rsidP="00693D0C" w:rsidRDefault="00B949B1" w14:paraId="3401DBA3" w14:textId="77777777">
      <w:pPr>
        <w:pStyle w:val="JuQuot"/>
      </w:pPr>
      <w:r w:rsidRPr="00693D0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93D0C" w:rsidR="00B949B1" w:rsidP="00693D0C" w:rsidRDefault="00B949B1" w14:paraId="4653C3EC" w14:textId="555816BF">
      <w:pPr>
        <w:pStyle w:val="JuPara"/>
      </w:pPr>
      <w:r w:rsidRPr="00693D0C">
        <w:fldChar w:fldCharType="begin"/>
      </w:r>
      <w:r w:rsidRPr="00693D0C">
        <w:instrText xml:space="preserve"> SEQ level0 \*arabic </w:instrText>
      </w:r>
      <w:r w:rsidRPr="00693D0C">
        <w:fldChar w:fldCharType="separate"/>
      </w:r>
      <w:r w:rsidRPr="00693D0C" w:rsidR="00693D0C">
        <w:rPr>
          <w:noProof/>
        </w:rPr>
        <w:t>43</w:t>
      </w:r>
      <w:r w:rsidRPr="00693D0C">
        <w:fldChar w:fldCharType="end"/>
      </w:r>
      <w:r w:rsidRPr="00693D0C">
        <w:t>.  The applicant claimed 19,097.70 euros (EUR) in respect of pecuniary damage on account of the benefits claimed in the domestic proceedings. She also claimed EUR 10,000 in respect of non-pecuniary damage.</w:t>
      </w:r>
    </w:p>
    <w:p w:rsidRPr="00693D0C" w:rsidR="00B949B1" w:rsidP="00693D0C" w:rsidRDefault="00B949B1" w14:paraId="1690080F" w14:textId="13068E6F">
      <w:pPr>
        <w:pStyle w:val="JuPara"/>
      </w:pPr>
      <w:r w:rsidRPr="00693D0C">
        <w:fldChar w:fldCharType="begin"/>
      </w:r>
      <w:r w:rsidRPr="00693D0C">
        <w:instrText xml:space="preserve"> SEQ level0 \*arabic </w:instrText>
      </w:r>
      <w:r w:rsidRPr="00693D0C">
        <w:fldChar w:fldCharType="separate"/>
      </w:r>
      <w:r w:rsidRPr="00693D0C" w:rsidR="00693D0C">
        <w:rPr>
          <w:noProof/>
        </w:rPr>
        <w:t>44</w:t>
      </w:r>
      <w:r w:rsidRPr="00693D0C">
        <w:fldChar w:fldCharType="end"/>
      </w:r>
      <w:r w:rsidRPr="00693D0C">
        <w:t>.  The Government contested the applicant</w:t>
      </w:r>
      <w:r w:rsidRPr="00693D0C" w:rsidR="00693D0C">
        <w:t>’</w:t>
      </w:r>
      <w:r w:rsidRPr="00693D0C">
        <w:t>s claims as unfounded.</w:t>
      </w:r>
    </w:p>
    <w:p w:rsidRPr="00693D0C" w:rsidR="00B949B1" w:rsidP="00693D0C" w:rsidRDefault="00B949B1" w14:paraId="2E91DA54" w14:textId="4D049199">
      <w:pPr>
        <w:pStyle w:val="JuPara"/>
      </w:pPr>
      <w:r w:rsidRPr="00693D0C">
        <w:fldChar w:fldCharType="begin"/>
      </w:r>
      <w:r w:rsidRPr="00693D0C">
        <w:instrText xml:space="preserve"> SEQ level0 \*arabic </w:instrText>
      </w:r>
      <w:r w:rsidRPr="00693D0C">
        <w:fldChar w:fldCharType="separate"/>
      </w:r>
      <w:r w:rsidRPr="00693D0C" w:rsidR="00693D0C">
        <w:rPr>
          <w:noProof/>
        </w:rPr>
        <w:t>45</w:t>
      </w:r>
      <w:r w:rsidRPr="00693D0C">
        <w:fldChar w:fldCharType="end"/>
      </w:r>
      <w:r w:rsidRPr="00693D0C">
        <w:t xml:space="preserve">.  The Court notes that the present judgment allows the applicant to seek re-examination of her case (see paragraph </w:t>
      </w:r>
      <w:r w:rsidRPr="00693D0C">
        <w:fldChar w:fldCharType="begin"/>
      </w:r>
      <w:r w:rsidRPr="00693D0C">
        <w:instrText xml:space="preserve"> REF paragraph21 \h </w:instrText>
      </w:r>
      <w:r w:rsidRPr="00693D0C">
        <w:fldChar w:fldCharType="separate"/>
      </w:r>
      <w:r w:rsidRPr="00693D0C" w:rsidR="00693D0C">
        <w:rPr>
          <w:noProof/>
        </w:rPr>
        <w:t>19</w:t>
      </w:r>
      <w:r w:rsidRPr="00693D0C">
        <w:fldChar w:fldCharType="end"/>
      </w:r>
      <w:r w:rsidRPr="00693D0C">
        <w:t xml:space="preserve"> above). Having regard to the foregoing, the Court considers that there is no call to award the applicant any sum on account of pecuniary damage. As regards her claim for non-pecuniary damage, the Court accepts that the applicant suffered distress as a result of the violations found. Making its assessment on an equitable basis, as required by the Convention, the Court awards her EUR 4,700 under this head, plus any tax that may be chargeable.</w:t>
      </w:r>
    </w:p>
    <w:p w:rsidRPr="00693D0C" w:rsidR="00B949B1" w:rsidP="00693D0C" w:rsidRDefault="00B949B1" w14:paraId="2C7188CE" w14:textId="1B4EA1BB">
      <w:pPr>
        <w:pStyle w:val="JuPara"/>
      </w:pPr>
      <w:r w:rsidRPr="00693D0C">
        <w:fldChar w:fldCharType="begin"/>
      </w:r>
      <w:r w:rsidRPr="00693D0C">
        <w:instrText xml:space="preserve"> SEQ level0 \*arabic </w:instrText>
      </w:r>
      <w:r w:rsidRPr="00693D0C">
        <w:fldChar w:fldCharType="separate"/>
      </w:r>
      <w:r w:rsidRPr="00693D0C" w:rsidR="00693D0C">
        <w:rPr>
          <w:noProof/>
        </w:rPr>
        <w:t>46</w:t>
      </w:r>
      <w:r w:rsidRPr="00693D0C">
        <w:fldChar w:fldCharType="end"/>
      </w:r>
      <w:r w:rsidRPr="00693D0C">
        <w:t>.  The applicant did not claim any compensation in respect of costs and expenses. There is therefore no call to award her any sum on that account.</w:t>
      </w:r>
    </w:p>
    <w:p w:rsidRPr="00693D0C" w:rsidR="00B949B1" w:rsidP="00693D0C" w:rsidRDefault="00B949B1" w14:paraId="1A9A1AD5" w14:textId="7D776B30">
      <w:pPr>
        <w:pStyle w:val="JuPara"/>
      </w:pPr>
      <w:r w:rsidRPr="00693D0C">
        <w:fldChar w:fldCharType="begin"/>
      </w:r>
      <w:r w:rsidRPr="00693D0C">
        <w:instrText xml:space="preserve"> SEQ level0 \*arabic </w:instrText>
      </w:r>
      <w:r w:rsidRPr="00693D0C">
        <w:fldChar w:fldCharType="separate"/>
      </w:r>
      <w:r w:rsidRPr="00693D0C" w:rsidR="00693D0C">
        <w:rPr>
          <w:noProof/>
        </w:rPr>
        <w:t>47</w:t>
      </w:r>
      <w:r w:rsidRPr="00693D0C">
        <w:fldChar w:fldCharType="end"/>
      </w:r>
      <w:r w:rsidRPr="00693D0C">
        <w:t>.  The Court considers it appropriate that the default interest rate should be based on the marginal lending rate of the European Central Bank, to which should be added three percentage points.</w:t>
      </w:r>
    </w:p>
    <w:p w:rsidRPr="00693D0C" w:rsidR="00B949B1" w:rsidP="00693D0C" w:rsidRDefault="00B949B1" w14:paraId="2504289C" w14:textId="77777777">
      <w:pPr>
        <w:pStyle w:val="JuHHead"/>
        <w:numPr>
          <w:ilvl w:val="0"/>
          <w:numId w:val="19"/>
        </w:numPr>
      </w:pPr>
      <w:r w:rsidRPr="00693D0C">
        <w:t>FOR THESE REASONS, THE COURT, UNANIMOUSLY,</w:t>
      </w:r>
    </w:p>
    <w:p w:rsidRPr="00693D0C" w:rsidR="00B949B1" w:rsidP="00693D0C" w:rsidRDefault="00B949B1" w14:paraId="2B96AA3C" w14:textId="77777777">
      <w:pPr>
        <w:pStyle w:val="JuList"/>
      </w:pPr>
      <w:r w:rsidRPr="00693D0C">
        <w:rPr>
          <w:i/>
        </w:rPr>
        <w:t>Declares</w:t>
      </w:r>
      <w:r w:rsidRPr="00693D0C">
        <w:t xml:space="preserve"> the application admissible;</w:t>
      </w:r>
    </w:p>
    <w:p w:rsidRPr="00693D0C" w:rsidR="00B949B1" w:rsidP="00693D0C" w:rsidRDefault="00B949B1" w14:paraId="4E0D972A" w14:textId="77777777">
      <w:pPr>
        <w:pStyle w:val="JuList"/>
      </w:pPr>
      <w:r w:rsidRPr="00693D0C">
        <w:rPr>
          <w:i/>
        </w:rPr>
        <w:t>Holds</w:t>
      </w:r>
      <w:r w:rsidRPr="00693D0C">
        <w:t xml:space="preserve"> that there has been a violation of Article 6 </w:t>
      </w:r>
      <w:r w:rsidRPr="00693D0C">
        <w:rPr>
          <w:rFonts w:cstheme="minorHAnsi"/>
        </w:rPr>
        <w:t>§</w:t>
      </w:r>
      <w:r w:rsidRPr="00693D0C">
        <w:t xml:space="preserve"> 1 of the Convention as a result of the arbitrariness of the administrative decisions;</w:t>
      </w:r>
    </w:p>
    <w:p w:rsidRPr="00693D0C" w:rsidR="00B949B1" w:rsidP="00693D0C" w:rsidRDefault="00B949B1" w14:paraId="7A6CF827" w14:textId="77777777">
      <w:pPr>
        <w:pStyle w:val="JuList"/>
      </w:pPr>
      <w:r w:rsidRPr="00693D0C">
        <w:rPr>
          <w:i/>
          <w:iCs/>
        </w:rPr>
        <w:t>Holds</w:t>
      </w:r>
      <w:r w:rsidRPr="00693D0C">
        <w:t xml:space="preserve"> that there has been a violation of Article 6 § 1 of the Convention as a result of the excessive length of the administrative proceedings;</w:t>
      </w:r>
    </w:p>
    <w:p w:rsidRPr="00693D0C" w:rsidR="00B949B1" w:rsidP="00693D0C" w:rsidRDefault="00B949B1" w14:paraId="4178DE76" w14:textId="327976FA">
      <w:pPr>
        <w:pStyle w:val="JuList"/>
      </w:pPr>
      <w:r w:rsidRPr="00693D0C">
        <w:rPr>
          <w:i/>
        </w:rPr>
        <w:t>Holds</w:t>
      </w:r>
      <w:r w:rsidRPr="00693D0C">
        <w:rPr>
          <w:color w:val="000000"/>
        </w:rPr>
        <w:t xml:space="preserve"> </w:t>
      </w:r>
      <w:r w:rsidRPr="00693D0C">
        <w:t>that there is no need to examine the complaints under Article</w:t>
      </w:r>
      <w:r w:rsidRPr="00693D0C" w:rsidR="00DA15DD">
        <w:t> </w:t>
      </w:r>
      <w:r w:rsidRPr="00693D0C">
        <w:t>14 of the Convention, Article 1 of Protocol No. 1 to the Convention and Article 1 of Protocol No. 12 to the Convention;</w:t>
      </w:r>
    </w:p>
    <w:p w:rsidRPr="00693D0C" w:rsidR="00B949B1" w:rsidP="00693D0C" w:rsidRDefault="00B949B1" w14:paraId="54FB3D17" w14:textId="77777777">
      <w:pPr>
        <w:pStyle w:val="JuList"/>
      </w:pPr>
      <w:r w:rsidRPr="00693D0C">
        <w:rPr>
          <w:i/>
        </w:rPr>
        <w:t>Holds</w:t>
      </w:r>
    </w:p>
    <w:p w:rsidRPr="00693D0C" w:rsidR="00B949B1" w:rsidP="00693D0C" w:rsidRDefault="00B949B1" w14:paraId="45638E98" w14:textId="77777777">
      <w:pPr>
        <w:pStyle w:val="JuLista"/>
      </w:pPr>
      <w:r w:rsidRPr="00693D0C">
        <w:t xml:space="preserve">that the respondent State is to pay the applicant, within three months, EUR 4,700 (four thousand seven hundred euros), plus any tax that may be chargeable, in respect of non-pecuniary damage, to be converted into </w:t>
      </w:r>
      <w:r w:rsidRPr="00693D0C">
        <w:rPr>
          <w:color w:val="000000"/>
        </w:rPr>
        <w:t>the currency of the respondent State</w:t>
      </w:r>
      <w:r w:rsidRPr="00693D0C">
        <w:t xml:space="preserve"> at the rate applicable at the date of settlement;</w:t>
      </w:r>
    </w:p>
    <w:p w:rsidRPr="00693D0C" w:rsidR="00B949B1" w:rsidP="00693D0C" w:rsidRDefault="00B949B1" w14:paraId="176244FF" w14:textId="77777777">
      <w:pPr>
        <w:pStyle w:val="JuLista"/>
      </w:pPr>
      <w:r w:rsidRPr="00693D0C">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693D0C" w:rsidR="00B949B1" w:rsidP="00693D0C" w:rsidRDefault="00B949B1" w14:paraId="2FFDB411" w14:textId="07F14EB6">
      <w:pPr>
        <w:pStyle w:val="JuList"/>
      </w:pPr>
      <w:r w:rsidRPr="00693D0C">
        <w:rPr>
          <w:i/>
        </w:rPr>
        <w:t>Dismisses</w:t>
      </w:r>
      <w:r w:rsidRPr="00693D0C">
        <w:t xml:space="preserve"> the remainder of the applicant</w:t>
      </w:r>
      <w:r w:rsidRPr="00693D0C" w:rsidR="00693D0C">
        <w:t>’</w:t>
      </w:r>
      <w:r w:rsidRPr="00693D0C">
        <w:t>s claim for just satisfaction.</w:t>
      </w:r>
    </w:p>
    <w:p w:rsidRPr="00693D0C" w:rsidR="00DA15DD" w:rsidP="00693D0C" w:rsidRDefault="00B949B1" w14:paraId="4A86E98D" w14:textId="6BC5001F">
      <w:pPr>
        <w:pStyle w:val="JuParaLast"/>
      </w:pPr>
      <w:r w:rsidRPr="00693D0C">
        <w:t>Done in English, and notified in writing on 31 August 202</w:t>
      </w:r>
      <w:r w:rsidRPr="00693D0C" w:rsidR="00DA15DD">
        <w:t>1</w:t>
      </w:r>
      <w:r w:rsidRPr="00693D0C">
        <w:t>, pursuant to Rule 77 §§ 2 and 3 of the Rules of Court.</w:t>
      </w:r>
    </w:p>
    <w:p w:rsidRPr="00693D0C" w:rsidR="0098410D" w:rsidP="00693D0C" w:rsidRDefault="00B949B1" w14:paraId="176AAA4F" w14:textId="00EB4C9D">
      <w:pPr>
        <w:pStyle w:val="JuSigned"/>
      </w:pPr>
      <w:r w:rsidRPr="00693D0C">
        <w:tab/>
        <w:t>Ilse Freiwirth</w:t>
      </w:r>
      <w:r w:rsidRPr="00693D0C">
        <w:tab/>
        <w:t>Tim Eicke</w:t>
      </w:r>
      <w:r w:rsidRPr="00693D0C">
        <w:br/>
      </w:r>
      <w:r w:rsidRPr="00693D0C">
        <w:tab/>
        <w:t>Deputy Registrar</w:t>
      </w:r>
      <w:r w:rsidRPr="00693D0C">
        <w:tab/>
        <w:t>President</w:t>
      </w:r>
    </w:p>
    <w:p w:rsidRPr="00693D0C" w:rsidR="004D0EC7" w:rsidP="00693D0C" w:rsidRDefault="00C27006" w14:paraId="72145038" w14:textId="77777777">
      <w:pPr>
        <w:pStyle w:val="JuPara"/>
      </w:pPr>
    </w:p>
    <w:p w:rsidRPr="00693D0C" w:rsidR="008E3A08" w:rsidP="00693D0C" w:rsidRDefault="00C27006" w14:paraId="1056650A" w14:textId="77777777">
      <w:pPr>
        <w:pStyle w:val="JuPara"/>
      </w:pPr>
      <w:bookmarkStart w:name="_GoBack" w:id="18"/>
      <w:bookmarkEnd w:id="18"/>
    </w:p>
    <w:sectPr w:rsidRPr="00693D0C" w:rsidR="008E3A08" w:rsidSect="00F90F9E">
      <w:headerReference w:type="even" r:id="rId15"/>
      <w:headerReference w:type="default" r:id="rId16"/>
      <w:footerReference w:type="even" r:id="rId17"/>
      <w:footerReference w:type="default" r:id="rId18"/>
      <w:footnotePr>
        <w:numRestart w:val="eachSect"/>
      </w:footnotePr>
      <w:endnotePr>
        <w:numFmt w:val="decimal"/>
        <w:numRestart w:val="eachSect"/>
      </w:end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16FB8" w14:textId="77777777" w:rsidR="00B949B1" w:rsidRPr="00046799" w:rsidRDefault="00B949B1">
      <w:r w:rsidRPr="00046799">
        <w:separator/>
      </w:r>
    </w:p>
  </w:endnote>
  <w:endnote w:type="continuationSeparator" w:id="0">
    <w:p w14:paraId="1F54AF8B" w14:textId="77777777" w:rsidR="00B949B1" w:rsidRPr="00046799" w:rsidRDefault="00B949B1">
      <w:r w:rsidRPr="000467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977B" w14:textId="77777777" w:rsidR="00986318" w:rsidRDefault="00986318">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8C8E" w14:textId="77777777" w:rsidR="00B949B1" w:rsidRPr="00150BFA" w:rsidRDefault="00B949B1" w:rsidP="0020718E">
    <w:pPr>
      <w:jc w:val="center"/>
    </w:pPr>
    <w:r>
      <w:rPr>
        <w:noProof/>
        <w:lang w:val="en-US" w:eastAsia="ja-JP"/>
      </w:rPr>
      <w:drawing>
        <wp:inline distT="0" distB="0" distL="0" distR="0" wp14:anchorId="48AE7DCB" wp14:editId="691CABD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8FEE779" w14:textId="77777777" w:rsidR="0098410D" w:rsidRPr="00046799" w:rsidRDefault="00C27006"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0B53" w14:textId="77777777" w:rsidR="00B949B1" w:rsidRPr="00150BFA" w:rsidRDefault="00B949B1" w:rsidP="0020718E">
    <w:pPr>
      <w:jc w:val="center"/>
    </w:pPr>
    <w:r>
      <w:rPr>
        <w:noProof/>
        <w:lang w:val="en-US" w:eastAsia="ja-JP"/>
      </w:rPr>
      <w:drawing>
        <wp:inline distT="0" distB="0" distL="0" distR="0" wp14:anchorId="3FBC3D07" wp14:editId="337E1082">
          <wp:extent cx="771525" cy="619125"/>
          <wp:effectExtent l="0" t="0" r="9525" b="9525"/>
          <wp:docPr id="8" name="Picture 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1836AA3" w14:textId="77777777" w:rsidR="000E4A04" w:rsidRPr="00046799" w:rsidRDefault="000E4A04" w:rsidP="004671FE">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72ECF" w14:textId="77777777" w:rsidR="00C26D3D" w:rsidRDefault="00B949B1" w:rsidP="009746AB">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8D35" w14:textId="77777777" w:rsidR="00C26D3D" w:rsidRPr="000B7195" w:rsidRDefault="00B949B1" w:rsidP="00F90F9E">
    <w:pPr>
      <w:pStyle w:val="JuHeade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w:t>
    </w:r>
    <w:r>
      <w:rPr>
        <w:rStyle w:val="PageNumbe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D8935" w14:textId="77777777" w:rsidR="00B949B1" w:rsidRPr="00046799" w:rsidRDefault="00B949B1" w:rsidP="0098410D">
      <w:r w:rsidRPr="00046799">
        <w:separator/>
      </w:r>
    </w:p>
  </w:footnote>
  <w:footnote w:type="continuationSeparator" w:id="0">
    <w:p w14:paraId="60297810" w14:textId="77777777" w:rsidR="00B949B1" w:rsidRPr="00046799" w:rsidRDefault="00B949B1" w:rsidP="0098410D">
      <w:r w:rsidRPr="00046799">
        <w:continuationSeparator/>
      </w:r>
    </w:p>
  </w:footnote>
  <w:footnote w:id="1">
    <w:p w14:paraId="5DE6C593" w14:textId="77777777" w:rsidR="00B949B1" w:rsidRPr="0009179D" w:rsidRDefault="00B949B1" w:rsidP="00B949B1">
      <w:pPr>
        <w:pStyle w:val="FootnoteText"/>
        <w:jc w:val="both"/>
        <w:rPr>
          <w:lang w:val="fr-FR"/>
        </w:rPr>
      </w:pPr>
      <w:r w:rsidRPr="00986318">
        <w:rPr>
          <w:rStyle w:val="FootnoteReference"/>
        </w:rPr>
        <w:footnoteRef/>
      </w:r>
      <w:r w:rsidRPr="00986318">
        <w:rPr>
          <w:rStyle w:val="FootnoteReference"/>
        </w:rPr>
        <w:t xml:space="preserve"> </w:t>
      </w:r>
      <w:r w:rsidRPr="0009179D">
        <w:rPr>
          <w:i/>
          <w:iCs/>
          <w:lang w:val="pl-PL"/>
        </w:rPr>
        <w:t xml:space="preserve">Pravilnik o </w:t>
      </w:r>
      <w:r w:rsidRPr="0009179D">
        <w:rPr>
          <w:i/>
          <w:iCs/>
          <w:lang w:val="bs-Latn-BA"/>
        </w:rPr>
        <w:t>načinu ostvarivanja prava na socijalnu po</w:t>
      </w:r>
      <w:r w:rsidRPr="0009179D">
        <w:rPr>
          <w:i/>
          <w:iCs/>
          <w:lang w:val="pl-PL"/>
        </w:rPr>
        <w:t>m</w:t>
      </w:r>
      <w:r w:rsidRPr="0009179D">
        <w:rPr>
          <w:i/>
          <w:iCs/>
          <w:lang w:val="bs-Latn-BA"/>
        </w:rPr>
        <w:t>oć osoba koji</w:t>
      </w:r>
      <w:r w:rsidRPr="0009179D">
        <w:rPr>
          <w:i/>
          <w:iCs/>
          <w:lang w:val="pl-PL"/>
        </w:rPr>
        <w:t>m</w:t>
      </w:r>
      <w:r w:rsidRPr="0009179D">
        <w:rPr>
          <w:i/>
          <w:iCs/>
          <w:lang w:val="bs-Latn-BA"/>
        </w:rPr>
        <w:t xml:space="preserve">a je priznata </w:t>
      </w:r>
      <w:r w:rsidRPr="0009179D">
        <w:rPr>
          <w:i/>
          <w:iCs/>
          <w:lang w:val="pl-PL"/>
        </w:rPr>
        <w:t>m</w:t>
      </w:r>
      <w:r w:rsidRPr="0009179D">
        <w:rPr>
          <w:i/>
          <w:iCs/>
          <w:lang w:val="bs-Latn-BA"/>
        </w:rPr>
        <w:t>eđunarodna zaštita u Bosni i Hercegovini</w:t>
      </w:r>
      <w:r>
        <w:rPr>
          <w:lang w:val="fr-FR"/>
        </w:rPr>
        <w:t>, Official Gazette of Bosnia and Herzegovina nos. 3/09 and 5/10.</w:t>
      </w:r>
    </w:p>
  </w:footnote>
  <w:footnote w:id="2">
    <w:p w14:paraId="79368E7D" w14:textId="77777777" w:rsidR="00B949B1" w:rsidRPr="00BE0277" w:rsidRDefault="00B949B1" w:rsidP="00B949B1">
      <w:pPr>
        <w:pStyle w:val="FootnoteText"/>
        <w:jc w:val="both"/>
        <w:rPr>
          <w:lang w:val="fr-FR"/>
        </w:rPr>
      </w:pPr>
      <w:r w:rsidRPr="00986318">
        <w:rPr>
          <w:rStyle w:val="FootnoteReference"/>
        </w:rPr>
        <w:footnoteRef/>
      </w:r>
      <w:r w:rsidRPr="00986318">
        <w:rPr>
          <w:rStyle w:val="FootnoteReference"/>
          <w:lang w:val="fr-FR"/>
        </w:rPr>
        <w:t xml:space="preserve"> </w:t>
      </w:r>
      <w:r w:rsidRPr="00BE0277">
        <w:rPr>
          <w:i/>
          <w:iCs/>
          <w:lang w:val="fr-FR"/>
        </w:rPr>
        <w:t xml:space="preserve">Pravilnik o </w:t>
      </w:r>
      <w:r w:rsidRPr="00BE0277">
        <w:rPr>
          <w:i/>
          <w:iCs/>
          <w:lang w:val="bs-Latn-BA"/>
        </w:rPr>
        <w:t>načinu ostvarivanja prava na socijalnu po</w:t>
      </w:r>
      <w:r w:rsidRPr="00BE0277">
        <w:rPr>
          <w:i/>
          <w:iCs/>
          <w:lang w:val="fr-FR"/>
        </w:rPr>
        <w:t>m</w:t>
      </w:r>
      <w:r w:rsidRPr="00BE0277">
        <w:rPr>
          <w:i/>
          <w:iCs/>
          <w:lang w:val="bs-Latn-BA"/>
        </w:rPr>
        <w:t>oć osoba koji</w:t>
      </w:r>
      <w:r w:rsidRPr="00BE0277">
        <w:rPr>
          <w:i/>
          <w:iCs/>
          <w:lang w:val="fr-FR"/>
        </w:rPr>
        <w:t>m</w:t>
      </w:r>
      <w:r w:rsidRPr="00BE0277">
        <w:rPr>
          <w:i/>
          <w:iCs/>
          <w:lang w:val="bs-Latn-BA"/>
        </w:rPr>
        <w:t xml:space="preserve">a je priznata </w:t>
      </w:r>
      <w:r w:rsidRPr="00BE0277">
        <w:rPr>
          <w:i/>
          <w:iCs/>
          <w:lang w:val="fr-FR"/>
        </w:rPr>
        <w:t>m</w:t>
      </w:r>
      <w:r w:rsidRPr="00BE0277">
        <w:rPr>
          <w:i/>
          <w:iCs/>
          <w:lang w:val="bs-Latn-BA"/>
        </w:rPr>
        <w:t>eđunarodna zaštita u Bosni i Hercegovini</w:t>
      </w:r>
      <w:r w:rsidRPr="00BE0277">
        <w:rPr>
          <w:lang w:val="fr-FR"/>
        </w:rPr>
        <w:t xml:space="preserve">, Official Gazette of Bosnia and Herzegovina no. </w:t>
      </w:r>
      <w:r>
        <w:rPr>
          <w:lang w:val="fr-FR"/>
        </w:rPr>
        <w:t>43/17</w:t>
      </w:r>
      <w:r w:rsidRPr="00BE0277">
        <w:rPr>
          <w:lang w:val="fr-FR"/>
        </w:rPr>
        <w:t>.</w:t>
      </w:r>
    </w:p>
  </w:footnote>
  <w:footnote w:id="3">
    <w:p w14:paraId="3D0540E7" w14:textId="77777777" w:rsidR="00B949B1" w:rsidRPr="004C217A" w:rsidRDefault="00B949B1" w:rsidP="00B949B1">
      <w:pPr>
        <w:pStyle w:val="FootnoteText"/>
        <w:jc w:val="both"/>
        <w:rPr>
          <w:lang w:val="fr-FR"/>
        </w:rPr>
      </w:pPr>
      <w:r w:rsidRPr="00986318">
        <w:rPr>
          <w:rStyle w:val="FootnoteReference"/>
        </w:rPr>
        <w:footnoteRef/>
      </w:r>
      <w:r w:rsidRPr="00986318">
        <w:rPr>
          <w:rStyle w:val="FootnoteReference"/>
          <w:lang w:val="fr-FR"/>
        </w:rPr>
        <w:t xml:space="preserve"> </w:t>
      </w:r>
      <w:r w:rsidRPr="004C217A">
        <w:rPr>
          <w:i/>
          <w:iCs/>
          <w:lang w:val="fr-FR"/>
        </w:rPr>
        <w:t>Zakon o osnovama socijalne zaštite, zaštite civilnih žrtava rata i zaštite porodice sa djecom</w:t>
      </w:r>
      <w:r w:rsidRPr="004C217A">
        <w:rPr>
          <w:lang w:val="fr-FR"/>
        </w:rPr>
        <w:t xml:space="preserve">, </w:t>
      </w:r>
      <w:bookmarkStart w:id="9" w:name="_Hlk73009648"/>
      <w:r w:rsidRPr="004C217A">
        <w:rPr>
          <w:lang w:val="fr-FR"/>
        </w:rPr>
        <w:t>Official Gazette of the Federation of Bosnia and Herzegovina nos. 36/99, 54/04, 39/06</w:t>
      </w:r>
      <w:r>
        <w:rPr>
          <w:lang w:val="fr-FR"/>
        </w:rPr>
        <w:t xml:space="preserve">, </w:t>
      </w:r>
      <w:r w:rsidRPr="004C217A">
        <w:rPr>
          <w:lang w:val="fr-FR"/>
        </w:rPr>
        <w:t>14/09</w:t>
      </w:r>
      <w:r>
        <w:rPr>
          <w:lang w:val="fr-FR"/>
        </w:rPr>
        <w:t>, 45/16 and 40/18</w:t>
      </w:r>
      <w:bookmarkEnd w:id="9"/>
      <w:r>
        <w:rPr>
          <w:lang w:val="fr-FR"/>
        </w:rPr>
        <w:t>.</w:t>
      </w:r>
    </w:p>
  </w:footnote>
  <w:footnote w:id="4">
    <w:p w14:paraId="0D97C28D" w14:textId="77777777" w:rsidR="00B949B1" w:rsidRPr="00041760" w:rsidRDefault="00B949B1" w:rsidP="00B949B1">
      <w:pPr>
        <w:pStyle w:val="FootnoteText"/>
        <w:jc w:val="both"/>
      </w:pPr>
      <w:r w:rsidRPr="00986318">
        <w:rPr>
          <w:rStyle w:val="FootnoteReference"/>
        </w:rPr>
        <w:footnoteRef/>
      </w:r>
      <w:r w:rsidRPr="00986318">
        <w:rPr>
          <w:rStyle w:val="FootnoteReference"/>
        </w:rPr>
        <w:t xml:space="preserve"> </w:t>
      </w:r>
      <w:bookmarkStart w:id="13" w:name="_Hlk73010322"/>
      <w:r w:rsidRPr="00041760">
        <w:rPr>
          <w:i/>
          <w:iCs/>
        </w:rPr>
        <w:t>Zakon o upravnom postupku</w:t>
      </w:r>
      <w:r w:rsidRPr="00041760">
        <w:t>, Official Gazette of the Federation of Bosnia and Herzegovina nos. 2/98 and 48/99</w:t>
      </w:r>
      <w:r>
        <w:t>.</w:t>
      </w:r>
      <w:bookmarkEnd w:id="13"/>
    </w:p>
  </w:footnote>
  <w:footnote w:id="5">
    <w:p w14:paraId="120F4C87" w14:textId="77777777" w:rsidR="00B949B1" w:rsidRPr="001C3F48" w:rsidRDefault="00B949B1" w:rsidP="00B949B1">
      <w:pPr>
        <w:pStyle w:val="FootnoteText"/>
        <w:jc w:val="both"/>
      </w:pPr>
      <w:r w:rsidRPr="00986318">
        <w:rPr>
          <w:rStyle w:val="FootnoteReference"/>
        </w:rPr>
        <w:footnoteRef/>
      </w:r>
      <w:r w:rsidRPr="00986318">
        <w:rPr>
          <w:rStyle w:val="FootnoteReference"/>
        </w:rPr>
        <w:t xml:space="preserve"> </w:t>
      </w:r>
      <w:r w:rsidRPr="001C3F48">
        <w:rPr>
          <w:i/>
          <w:iCs/>
        </w:rPr>
        <w:t>Zakon o parni</w:t>
      </w:r>
      <w:r w:rsidRPr="001C3F48">
        <w:rPr>
          <w:i/>
          <w:iCs/>
          <w:lang w:val="bs-Latn-BA"/>
        </w:rPr>
        <w:t>č</w:t>
      </w:r>
      <w:r w:rsidRPr="001C3F48">
        <w:rPr>
          <w:i/>
          <w:iCs/>
        </w:rPr>
        <w:t>nom postupku</w:t>
      </w:r>
      <w:r>
        <w:t xml:space="preserve">, </w:t>
      </w:r>
      <w:r w:rsidRPr="001C3F48">
        <w:t xml:space="preserve">Official Gazette of the Federation of Bosnia and Herzegovina nos. </w:t>
      </w:r>
      <w:r>
        <w:t>53</w:t>
      </w:r>
      <w:r w:rsidRPr="001C3F48">
        <w:t>/</w:t>
      </w:r>
      <w:r>
        <w:t>03</w:t>
      </w:r>
      <w:r w:rsidRPr="001C3F48">
        <w:t xml:space="preserve">, </w:t>
      </w:r>
      <w:r>
        <w:t>73</w:t>
      </w:r>
      <w:r w:rsidRPr="001C3F48">
        <w:t>/</w:t>
      </w:r>
      <w:r>
        <w:t>05</w:t>
      </w:r>
      <w:r w:rsidRPr="001C3F48">
        <w:t xml:space="preserve">, </w:t>
      </w:r>
      <w:r>
        <w:t>19</w:t>
      </w:r>
      <w:r w:rsidRPr="001C3F48">
        <w:t xml:space="preserve">/06 and </w:t>
      </w:r>
      <w:r>
        <w:t>98</w:t>
      </w:r>
      <w:r w:rsidRPr="001C3F48">
        <w:t>/</w:t>
      </w:r>
      <w:r>
        <w:t>15.</w:t>
      </w:r>
    </w:p>
  </w:footnote>
  <w:footnote w:id="6">
    <w:p w14:paraId="6FF79E72" w14:textId="77777777" w:rsidR="00B949B1" w:rsidRDefault="00B949B1" w:rsidP="00B949B1">
      <w:pPr>
        <w:pStyle w:val="FootnoteText"/>
        <w:jc w:val="both"/>
      </w:pPr>
      <w:r w:rsidRPr="00986318">
        <w:rPr>
          <w:rStyle w:val="FootnoteReference"/>
        </w:rPr>
        <w:footnoteRef/>
      </w:r>
      <w:r w:rsidRPr="00986318">
        <w:rPr>
          <w:rStyle w:val="FootnoteReference"/>
        </w:rPr>
        <w:t xml:space="preserve"> </w:t>
      </w:r>
      <w:r w:rsidRPr="00641D02">
        <w:rPr>
          <w:i/>
          <w:iCs/>
        </w:rPr>
        <w:t>Zakon o upravn</w:t>
      </w:r>
      <w:r>
        <w:rPr>
          <w:i/>
          <w:iCs/>
        </w:rPr>
        <w:t>im sporovima</w:t>
      </w:r>
      <w:r w:rsidRPr="00641D02">
        <w:t xml:space="preserve">, Official Gazette of the Federation of Bosnia and Herzegovina no. </w:t>
      </w:r>
      <w:r>
        <w:t>9/05</w:t>
      </w:r>
      <w:r w:rsidRPr="00641D0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10A7B" w14:textId="77777777" w:rsidR="00986318" w:rsidRDefault="00986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50F4" w14:textId="77777777" w:rsidR="00B949B1" w:rsidRPr="00A45145" w:rsidRDefault="00B949B1" w:rsidP="00A45145">
    <w:pPr>
      <w:jc w:val="center"/>
    </w:pPr>
    <w:r>
      <w:rPr>
        <w:noProof/>
        <w:lang w:val="en-US" w:eastAsia="ja-JP"/>
      </w:rPr>
      <w:drawing>
        <wp:inline distT="0" distB="0" distL="0" distR="0" wp14:anchorId="15DCB793" wp14:editId="4F7B4FBA">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00E6ECB" w14:textId="77777777" w:rsidR="0098410D" w:rsidRPr="00046799" w:rsidRDefault="00C27006"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CE7E" w14:textId="77777777" w:rsidR="00B949B1" w:rsidRPr="00A45145" w:rsidRDefault="00B949B1" w:rsidP="00A45145">
    <w:pPr>
      <w:jc w:val="center"/>
    </w:pPr>
    <w:r>
      <w:rPr>
        <w:noProof/>
        <w:lang w:val="en-US" w:eastAsia="ja-JP"/>
      </w:rPr>
      <w:drawing>
        <wp:inline distT="0" distB="0" distL="0" distR="0" wp14:anchorId="0BF826F4" wp14:editId="49FB10B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FA48B51" w14:textId="77777777" w:rsidR="0098410D" w:rsidRPr="00046799" w:rsidRDefault="00C2700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1B36" w14:textId="5D0C2E8A" w:rsidR="00C26D3D" w:rsidRPr="004D0EC7" w:rsidRDefault="00B949B1" w:rsidP="004D0EC7">
    <w:pPr>
      <w:pStyle w:val="JuHeader"/>
    </w:pPr>
    <w:r>
      <w:t>MUQISHTA v. BOSNIA AND HERZEGOVINA</w:t>
    </w:r>
    <w:r w:rsidR="00245537">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947C" w14:textId="5E6D7EE4" w:rsidR="00C26D3D" w:rsidRPr="00882CD5" w:rsidRDefault="00B949B1" w:rsidP="00882CD5">
    <w:pPr>
      <w:pStyle w:val="JuHeader"/>
    </w:pPr>
    <w:r>
      <w:t>MUQISHTA v. BOSNIA AND HERZEGOVINA</w:t>
    </w:r>
    <w:r w:rsidR="00245537"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B48280C0">
      <w:start w:val="1"/>
      <w:numFmt w:val="bullet"/>
      <w:pStyle w:val="ListBullet"/>
      <w:lvlText w:val=""/>
      <w:lvlJc w:val="left"/>
      <w:pPr>
        <w:tabs>
          <w:tab w:val="num" w:pos="851"/>
        </w:tabs>
        <w:ind w:left="568" w:firstLine="0"/>
      </w:pPr>
      <w:rPr>
        <w:rFonts w:ascii="Wingdings" w:hAnsi="Wingdings" w:hint="default"/>
        <w:color w:val="808080"/>
        <w:sz w:val="16"/>
      </w:rPr>
    </w:lvl>
    <w:lvl w:ilvl="1" w:tplc="C1985C2A" w:tentative="1">
      <w:start w:val="1"/>
      <w:numFmt w:val="bullet"/>
      <w:lvlText w:val="o"/>
      <w:lvlJc w:val="left"/>
      <w:pPr>
        <w:tabs>
          <w:tab w:val="num" w:pos="1724"/>
        </w:tabs>
        <w:ind w:left="1724" w:hanging="360"/>
      </w:pPr>
      <w:rPr>
        <w:rFonts w:ascii="Courier New" w:hAnsi="Courier New" w:cs="Courier New" w:hint="default"/>
      </w:rPr>
    </w:lvl>
    <w:lvl w:ilvl="2" w:tplc="3DA2FBC0" w:tentative="1">
      <w:start w:val="1"/>
      <w:numFmt w:val="bullet"/>
      <w:lvlText w:val=""/>
      <w:lvlJc w:val="left"/>
      <w:pPr>
        <w:tabs>
          <w:tab w:val="num" w:pos="2444"/>
        </w:tabs>
        <w:ind w:left="2444" w:hanging="360"/>
      </w:pPr>
      <w:rPr>
        <w:rFonts w:ascii="Wingdings" w:hAnsi="Wingdings" w:hint="default"/>
      </w:rPr>
    </w:lvl>
    <w:lvl w:ilvl="3" w:tplc="ADB6CB3E" w:tentative="1">
      <w:start w:val="1"/>
      <w:numFmt w:val="bullet"/>
      <w:lvlText w:val=""/>
      <w:lvlJc w:val="left"/>
      <w:pPr>
        <w:tabs>
          <w:tab w:val="num" w:pos="3164"/>
        </w:tabs>
        <w:ind w:left="3164" w:hanging="360"/>
      </w:pPr>
      <w:rPr>
        <w:rFonts w:ascii="Symbol" w:hAnsi="Symbol" w:hint="default"/>
      </w:rPr>
    </w:lvl>
    <w:lvl w:ilvl="4" w:tplc="85882FC6" w:tentative="1">
      <w:start w:val="1"/>
      <w:numFmt w:val="bullet"/>
      <w:lvlText w:val="o"/>
      <w:lvlJc w:val="left"/>
      <w:pPr>
        <w:tabs>
          <w:tab w:val="num" w:pos="3884"/>
        </w:tabs>
        <w:ind w:left="3884" w:hanging="360"/>
      </w:pPr>
      <w:rPr>
        <w:rFonts w:ascii="Courier New" w:hAnsi="Courier New" w:cs="Courier New" w:hint="default"/>
      </w:rPr>
    </w:lvl>
    <w:lvl w:ilvl="5" w:tplc="3C446AE4" w:tentative="1">
      <w:start w:val="1"/>
      <w:numFmt w:val="bullet"/>
      <w:lvlText w:val=""/>
      <w:lvlJc w:val="left"/>
      <w:pPr>
        <w:tabs>
          <w:tab w:val="num" w:pos="4604"/>
        </w:tabs>
        <w:ind w:left="4604" w:hanging="360"/>
      </w:pPr>
      <w:rPr>
        <w:rFonts w:ascii="Wingdings" w:hAnsi="Wingdings" w:hint="default"/>
      </w:rPr>
    </w:lvl>
    <w:lvl w:ilvl="6" w:tplc="11067B92" w:tentative="1">
      <w:start w:val="1"/>
      <w:numFmt w:val="bullet"/>
      <w:lvlText w:val=""/>
      <w:lvlJc w:val="left"/>
      <w:pPr>
        <w:tabs>
          <w:tab w:val="num" w:pos="5324"/>
        </w:tabs>
        <w:ind w:left="5324" w:hanging="360"/>
      </w:pPr>
      <w:rPr>
        <w:rFonts w:ascii="Symbol" w:hAnsi="Symbol" w:hint="default"/>
      </w:rPr>
    </w:lvl>
    <w:lvl w:ilvl="7" w:tplc="FE746D40" w:tentative="1">
      <w:start w:val="1"/>
      <w:numFmt w:val="bullet"/>
      <w:lvlText w:val="o"/>
      <w:lvlJc w:val="left"/>
      <w:pPr>
        <w:tabs>
          <w:tab w:val="num" w:pos="6044"/>
        </w:tabs>
        <w:ind w:left="6044" w:hanging="360"/>
      </w:pPr>
      <w:rPr>
        <w:rFonts w:ascii="Courier New" w:hAnsi="Courier New" w:cs="Courier New" w:hint="default"/>
      </w:rPr>
    </w:lvl>
    <w:lvl w:ilvl="8" w:tplc="A3743A34"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7"/>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B949B1"/>
    <w:rsid w:val="00034C1A"/>
    <w:rsid w:val="00046799"/>
    <w:rsid w:val="000E4A04"/>
    <w:rsid w:val="00156888"/>
    <w:rsid w:val="00245537"/>
    <w:rsid w:val="004671FE"/>
    <w:rsid w:val="00561ED1"/>
    <w:rsid w:val="00590BA1"/>
    <w:rsid w:val="005B5204"/>
    <w:rsid w:val="00672F9A"/>
    <w:rsid w:val="00693D0C"/>
    <w:rsid w:val="006E32EE"/>
    <w:rsid w:val="00780263"/>
    <w:rsid w:val="00835580"/>
    <w:rsid w:val="009746AB"/>
    <w:rsid w:val="00986318"/>
    <w:rsid w:val="00AF3F17"/>
    <w:rsid w:val="00B949B1"/>
    <w:rsid w:val="00C27006"/>
    <w:rsid w:val="00D4508E"/>
    <w:rsid w:val="00DA15DD"/>
    <w:rsid w:val="00EC0B1D"/>
    <w:rsid w:val="00F90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4C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46799"/>
    <w:rPr>
      <w:sz w:val="24"/>
      <w:szCs w:val="24"/>
      <w:lang w:val="en-GB"/>
    </w:rPr>
  </w:style>
  <w:style w:type="paragraph" w:styleId="Heading1">
    <w:name w:val="heading 1"/>
    <w:basedOn w:val="Normal"/>
    <w:next w:val="Normal"/>
    <w:link w:val="Heading1Char"/>
    <w:uiPriority w:val="98"/>
    <w:semiHidden/>
    <w:rsid w:val="0004679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4679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4679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4679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4679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4679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4679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467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467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46799"/>
    <w:rPr>
      <w:rFonts w:ascii="Tahoma" w:hAnsi="Tahoma" w:cs="Tahoma"/>
      <w:sz w:val="16"/>
      <w:szCs w:val="16"/>
    </w:rPr>
  </w:style>
  <w:style w:type="character" w:customStyle="1" w:styleId="BalloonTextChar">
    <w:name w:val="Balloon Text Char"/>
    <w:basedOn w:val="DefaultParagraphFont"/>
    <w:link w:val="BalloonText"/>
    <w:uiPriority w:val="98"/>
    <w:semiHidden/>
    <w:rsid w:val="00046799"/>
    <w:rPr>
      <w:rFonts w:ascii="Tahoma" w:hAnsi="Tahoma" w:cs="Tahoma"/>
      <w:sz w:val="16"/>
      <w:szCs w:val="16"/>
      <w:lang w:val="en-GB"/>
    </w:rPr>
  </w:style>
  <w:style w:type="character" w:styleId="BookTitle">
    <w:name w:val="Book Title"/>
    <w:uiPriority w:val="98"/>
    <w:semiHidden/>
    <w:qFormat/>
    <w:rsid w:val="00046799"/>
    <w:rPr>
      <w:i/>
      <w:iCs/>
      <w:smallCaps/>
      <w:spacing w:val="5"/>
    </w:rPr>
  </w:style>
  <w:style w:type="paragraph" w:customStyle="1" w:styleId="JuHeader">
    <w:name w:val="Ju_Header"/>
    <w:aliases w:val="_Header"/>
    <w:basedOn w:val="Header"/>
    <w:uiPriority w:val="29"/>
    <w:qFormat/>
    <w:rsid w:val="00046799"/>
    <w:pPr>
      <w:tabs>
        <w:tab w:val="clear" w:pos="4536"/>
        <w:tab w:val="clear" w:pos="9072"/>
      </w:tabs>
      <w:jc w:val="center"/>
    </w:pPr>
    <w:rPr>
      <w:sz w:val="18"/>
    </w:rPr>
  </w:style>
  <w:style w:type="paragraph" w:customStyle="1" w:styleId="NormalJustified">
    <w:name w:val="Normal_Justified"/>
    <w:basedOn w:val="Normal"/>
    <w:semiHidden/>
    <w:rsid w:val="00046799"/>
    <w:pPr>
      <w:jc w:val="both"/>
    </w:pPr>
  </w:style>
  <w:style w:type="character" w:styleId="Strong">
    <w:name w:val="Strong"/>
    <w:uiPriority w:val="98"/>
    <w:semiHidden/>
    <w:qFormat/>
    <w:rsid w:val="00046799"/>
    <w:rPr>
      <w:b/>
      <w:bCs/>
    </w:rPr>
  </w:style>
  <w:style w:type="paragraph" w:styleId="NoSpacing">
    <w:name w:val="No Spacing"/>
    <w:basedOn w:val="Normal"/>
    <w:link w:val="NoSpacingChar"/>
    <w:uiPriority w:val="98"/>
    <w:semiHidden/>
    <w:qFormat/>
    <w:rsid w:val="00046799"/>
  </w:style>
  <w:style w:type="character" w:customStyle="1" w:styleId="NoSpacingChar">
    <w:name w:val="No Spacing Char"/>
    <w:basedOn w:val="DefaultParagraphFont"/>
    <w:link w:val="NoSpacing"/>
    <w:uiPriority w:val="98"/>
    <w:semiHidden/>
    <w:rsid w:val="00046799"/>
    <w:rPr>
      <w:sz w:val="24"/>
      <w:szCs w:val="24"/>
      <w:lang w:val="en-GB"/>
    </w:rPr>
  </w:style>
  <w:style w:type="paragraph" w:customStyle="1" w:styleId="JuQuot">
    <w:name w:val="Ju_Quot"/>
    <w:aliases w:val="_Quote"/>
    <w:basedOn w:val="NormalJustified"/>
    <w:qFormat/>
    <w:rsid w:val="00046799"/>
    <w:pPr>
      <w:spacing w:before="120" w:after="120"/>
      <w:ind w:left="425" w:firstLine="142"/>
    </w:pPr>
    <w:rPr>
      <w:sz w:val="20"/>
    </w:rPr>
  </w:style>
  <w:style w:type="paragraph" w:customStyle="1" w:styleId="ECHRBullet1">
    <w:name w:val="ECHR_Bullet_1"/>
    <w:aliases w:val="_Bul_1"/>
    <w:basedOn w:val="NormalJustified"/>
    <w:uiPriority w:val="23"/>
    <w:semiHidden/>
    <w:qFormat/>
    <w:rsid w:val="00046799"/>
    <w:pPr>
      <w:numPr>
        <w:numId w:val="5"/>
      </w:numPr>
      <w:spacing w:before="60" w:after="60"/>
    </w:pPr>
  </w:style>
  <w:style w:type="paragraph" w:customStyle="1" w:styleId="JuList">
    <w:name w:val="Ju_List"/>
    <w:aliases w:val="_List_1"/>
    <w:basedOn w:val="NormalJustified"/>
    <w:uiPriority w:val="23"/>
    <w:qFormat/>
    <w:rsid w:val="00046799"/>
    <w:pPr>
      <w:numPr>
        <w:numId w:val="6"/>
      </w:numPr>
      <w:spacing w:before="280" w:after="60"/>
    </w:pPr>
  </w:style>
  <w:style w:type="paragraph" w:customStyle="1" w:styleId="JuLista">
    <w:name w:val="Ju_List_a"/>
    <w:aliases w:val="_List_2"/>
    <w:basedOn w:val="NormalJustified"/>
    <w:uiPriority w:val="23"/>
    <w:rsid w:val="00046799"/>
    <w:pPr>
      <w:numPr>
        <w:ilvl w:val="1"/>
        <w:numId w:val="6"/>
      </w:numPr>
    </w:pPr>
  </w:style>
  <w:style w:type="paragraph" w:customStyle="1" w:styleId="JuListi">
    <w:name w:val="Ju_List_i"/>
    <w:aliases w:val="_List_3"/>
    <w:basedOn w:val="NormalJustified"/>
    <w:uiPriority w:val="23"/>
    <w:rsid w:val="00046799"/>
    <w:pPr>
      <w:numPr>
        <w:ilvl w:val="2"/>
        <w:numId w:val="6"/>
      </w:numPr>
    </w:pPr>
  </w:style>
  <w:style w:type="paragraph" w:customStyle="1" w:styleId="JuHArticle">
    <w:name w:val="Ju_H_Article"/>
    <w:aliases w:val="_Title_Quote"/>
    <w:basedOn w:val="Normal"/>
    <w:next w:val="JuQuot"/>
    <w:uiPriority w:val="19"/>
    <w:qFormat/>
    <w:rsid w:val="00046799"/>
    <w:pPr>
      <w:keepNext/>
      <w:spacing w:before="100" w:beforeAutospacing="1" w:after="120"/>
      <w:contextualSpacing/>
      <w:jc w:val="center"/>
    </w:pPr>
    <w:rPr>
      <w:b/>
      <w:sz w:val="20"/>
    </w:rPr>
  </w:style>
  <w:style w:type="paragraph" w:customStyle="1" w:styleId="JuParaLast">
    <w:name w:val="Ju_Para_Last"/>
    <w:aliases w:val="_Para_Spaced"/>
    <w:basedOn w:val="NormalJustified"/>
    <w:uiPriority w:val="5"/>
    <w:qFormat/>
    <w:rsid w:val="00046799"/>
    <w:pPr>
      <w:keepNext/>
      <w:keepLines/>
      <w:spacing w:before="240" w:after="240"/>
      <w:ind w:firstLine="284"/>
    </w:pPr>
  </w:style>
  <w:style w:type="paragraph" w:customStyle="1" w:styleId="DecHTitle">
    <w:name w:val="Dec_H_Title"/>
    <w:aliases w:val="_Title_1"/>
    <w:basedOn w:val="JuPara"/>
    <w:next w:val="JuPara"/>
    <w:uiPriority w:val="38"/>
    <w:qFormat/>
    <w:rsid w:val="00046799"/>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Heading1"/>
    <w:next w:val="JuPara"/>
    <w:uiPriority w:val="17"/>
    <w:qFormat/>
    <w:rsid w:val="00046799"/>
    <w:pPr>
      <w:keepNext/>
      <w:keepLines/>
      <w:numPr>
        <w:numId w:val="1"/>
      </w:numPr>
      <w:spacing w:before="100" w:beforeAutospacing="1" w:after="240"/>
      <w:contextualSpacing w:val="0"/>
      <w:jc w:val="both"/>
    </w:pPr>
    <w:rPr>
      <w:b w:val="0"/>
      <w:caps/>
      <w:color w:val="auto"/>
    </w:rPr>
  </w:style>
  <w:style w:type="paragraph" w:customStyle="1" w:styleId="JuTitle">
    <w:name w:val="Ju_Title"/>
    <w:aliases w:val="_Title_2"/>
    <w:basedOn w:val="Normal"/>
    <w:next w:val="JuPara"/>
    <w:uiPriority w:val="38"/>
    <w:qFormat/>
    <w:rsid w:val="00046799"/>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046799"/>
    <w:pPr>
      <w:keepNext/>
      <w:keepLines/>
      <w:tabs>
        <w:tab w:val="right" w:pos="7938"/>
      </w:tabs>
      <w:ind w:firstLine="0"/>
      <w:jc w:val="center"/>
    </w:pPr>
    <w:rPr>
      <w:i/>
    </w:rPr>
  </w:style>
  <w:style w:type="paragraph" w:styleId="Title">
    <w:name w:val="Title"/>
    <w:basedOn w:val="Normal"/>
    <w:next w:val="Normal"/>
    <w:link w:val="TitleChar"/>
    <w:uiPriority w:val="98"/>
    <w:semiHidden/>
    <w:qFormat/>
    <w:rsid w:val="000467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046799"/>
    <w:rPr>
      <w:rFonts w:asciiTheme="majorHAnsi" w:eastAsiaTheme="majorEastAsia" w:hAnsiTheme="majorHAnsi" w:cstheme="majorBidi"/>
      <w:spacing w:val="5"/>
      <w:sz w:val="52"/>
      <w:szCs w:val="52"/>
      <w:lang w:val="en-GB" w:bidi="en-US"/>
    </w:rPr>
  </w:style>
  <w:style w:type="numbering" w:customStyle="1" w:styleId="ECHRA1StyleBulletedSquare">
    <w:name w:val="ECHR_A1_Style_Bulleted_Square"/>
    <w:basedOn w:val="NoList"/>
    <w:rsid w:val="00046799"/>
    <w:pPr>
      <w:numPr>
        <w:numId w:val="5"/>
      </w:numPr>
    </w:pPr>
  </w:style>
  <w:style w:type="numbering" w:customStyle="1" w:styleId="ECHRA1StyleList">
    <w:name w:val="ECHR_A1_Style_List"/>
    <w:basedOn w:val="NoList"/>
    <w:uiPriority w:val="99"/>
    <w:rsid w:val="00046799"/>
    <w:pPr>
      <w:numPr>
        <w:numId w:val="6"/>
      </w:numPr>
    </w:pPr>
  </w:style>
  <w:style w:type="numbering" w:customStyle="1" w:styleId="ECHRA1StyleNumberedList">
    <w:name w:val="ECHR_A1_Style_Numbered_List"/>
    <w:basedOn w:val="NoList"/>
    <w:rsid w:val="00046799"/>
    <w:pPr>
      <w:numPr>
        <w:numId w:val="7"/>
      </w:numPr>
    </w:pPr>
  </w:style>
  <w:style w:type="table" w:customStyle="1" w:styleId="ECHRTable2019">
    <w:name w:val="ECHR_Table_2019"/>
    <w:basedOn w:val="TableNormal"/>
    <w:uiPriority w:val="99"/>
    <w:rsid w:val="000467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861A27"/>
    <w:rPr>
      <w:sz w:val="8"/>
    </w:rPr>
  </w:style>
  <w:style w:type="paragraph" w:customStyle="1" w:styleId="JuHIRoman">
    <w:name w:val="Ju_H_I_Roman"/>
    <w:aliases w:val="_Head_2"/>
    <w:basedOn w:val="Heading2"/>
    <w:next w:val="JuPara"/>
    <w:uiPriority w:val="17"/>
    <w:qFormat/>
    <w:rsid w:val="00046799"/>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046799"/>
    <w:pPr>
      <w:keepNext/>
      <w:keepLines/>
      <w:numPr>
        <w:ilvl w:val="2"/>
        <w:numId w:val="1"/>
      </w:numPr>
      <w:spacing w:before="100" w:beforeAutospacing="1" w:after="240" w:line="240" w:lineRule="auto"/>
      <w:jc w:val="both"/>
    </w:pPr>
    <w:rPr>
      <w:color w:val="auto"/>
    </w:rPr>
  </w:style>
  <w:style w:type="paragraph" w:customStyle="1" w:styleId="JuH1">
    <w:name w:val="Ju_H_1."/>
    <w:aliases w:val="_Head_4"/>
    <w:basedOn w:val="Heading4"/>
    <w:next w:val="JuPara"/>
    <w:uiPriority w:val="17"/>
    <w:rsid w:val="00046799"/>
    <w:pPr>
      <w:keepNext/>
      <w:keepLines/>
      <w:numPr>
        <w:ilvl w:val="3"/>
        <w:numId w:val="1"/>
      </w:numPr>
      <w:spacing w:before="100" w:beforeAutospacing="1" w:after="120"/>
      <w:jc w:val="both"/>
    </w:pPr>
    <w:rPr>
      <w:b w:val="0"/>
      <w:color w:val="auto"/>
    </w:rPr>
  </w:style>
  <w:style w:type="paragraph" w:styleId="Header">
    <w:name w:val="header"/>
    <w:basedOn w:val="Normal"/>
    <w:link w:val="HeaderChar"/>
    <w:uiPriority w:val="98"/>
    <w:semiHidden/>
    <w:rsid w:val="00046799"/>
    <w:pPr>
      <w:tabs>
        <w:tab w:val="center" w:pos="4536"/>
        <w:tab w:val="right" w:pos="9072"/>
      </w:tabs>
    </w:pPr>
  </w:style>
  <w:style w:type="character" w:customStyle="1" w:styleId="HeaderChar">
    <w:name w:val="Header Char"/>
    <w:basedOn w:val="DefaultParagraphFont"/>
    <w:link w:val="Header"/>
    <w:uiPriority w:val="98"/>
    <w:semiHidden/>
    <w:rsid w:val="00046799"/>
    <w:rPr>
      <w:sz w:val="24"/>
      <w:szCs w:val="24"/>
      <w:lang w:val="en-GB"/>
    </w:rPr>
  </w:style>
  <w:style w:type="character" w:customStyle="1" w:styleId="Heading1Char">
    <w:name w:val="Heading 1 Char"/>
    <w:basedOn w:val="DefaultParagraphFont"/>
    <w:link w:val="Heading1"/>
    <w:uiPriority w:val="98"/>
    <w:semiHidden/>
    <w:rsid w:val="0004679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046799"/>
    <w:pPr>
      <w:keepNext/>
      <w:keepLines/>
      <w:numPr>
        <w:ilvl w:val="4"/>
        <w:numId w:val="1"/>
      </w:numPr>
      <w:spacing w:before="100" w:beforeAutospacing="1" w:after="120"/>
      <w:jc w:val="both"/>
    </w:pPr>
    <w:rPr>
      <w:color w:val="auto"/>
      <w:sz w:val="20"/>
    </w:rPr>
  </w:style>
  <w:style w:type="paragraph" w:customStyle="1" w:styleId="JuHi">
    <w:name w:val="Ju_H_i"/>
    <w:aliases w:val="_Head_6"/>
    <w:basedOn w:val="Heading6"/>
    <w:next w:val="JuPara"/>
    <w:uiPriority w:val="17"/>
    <w:rsid w:val="00046799"/>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04679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046799"/>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046799"/>
    <w:pPr>
      <w:keepNext/>
      <w:keepLines/>
      <w:numPr>
        <w:ilvl w:val="7"/>
        <w:numId w:val="1"/>
      </w:numPr>
      <w:spacing w:before="100" w:beforeAutospacing="1" w:after="120"/>
      <w:jc w:val="both"/>
    </w:pPr>
    <w:rPr>
      <w:i/>
    </w:rPr>
  </w:style>
  <w:style w:type="character" w:customStyle="1" w:styleId="Heading3Char">
    <w:name w:val="Heading 3 Char"/>
    <w:basedOn w:val="DefaultParagraphFont"/>
    <w:link w:val="Heading3"/>
    <w:uiPriority w:val="98"/>
    <w:semiHidden/>
    <w:rsid w:val="00046799"/>
    <w:rPr>
      <w:rFonts w:asciiTheme="majorHAnsi" w:eastAsiaTheme="majorEastAsia" w:hAnsiTheme="majorHAnsi" w:cstheme="majorBidi"/>
      <w:b/>
      <w:bCs/>
      <w:color w:val="5F5F5F"/>
      <w:lang w:val="en-GB"/>
    </w:rPr>
  </w:style>
  <w:style w:type="paragraph" w:customStyle="1" w:styleId="JuCourt">
    <w:name w:val="Ju_Court"/>
    <w:aliases w:val="_Court_Names"/>
    <w:basedOn w:val="Normal"/>
    <w:next w:val="Normal"/>
    <w:uiPriority w:val="32"/>
    <w:qFormat/>
    <w:rsid w:val="00046799"/>
    <w:pPr>
      <w:tabs>
        <w:tab w:val="left" w:pos="907"/>
        <w:tab w:val="left" w:pos="1701"/>
        <w:tab w:val="right" w:pos="7371"/>
      </w:tabs>
      <w:spacing w:before="240"/>
      <w:ind w:left="397" w:hanging="397"/>
    </w:pPr>
    <w:rPr>
      <w:lang w:bidi="en-US"/>
    </w:rPr>
  </w:style>
  <w:style w:type="paragraph" w:customStyle="1" w:styleId="JuJudges">
    <w:name w:val="Ju_Judges"/>
    <w:aliases w:val="_Judges"/>
    <w:basedOn w:val="Normal"/>
    <w:uiPriority w:val="32"/>
    <w:qFormat/>
    <w:rsid w:val="00046799"/>
    <w:pPr>
      <w:tabs>
        <w:tab w:val="left" w:pos="567"/>
        <w:tab w:val="left" w:pos="1134"/>
      </w:tabs>
    </w:pPr>
  </w:style>
  <w:style w:type="character" w:customStyle="1" w:styleId="Heading4Char">
    <w:name w:val="Heading 4 Char"/>
    <w:basedOn w:val="DefaultParagraphFont"/>
    <w:link w:val="Heading4"/>
    <w:uiPriority w:val="98"/>
    <w:semiHidden/>
    <w:rsid w:val="0004679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046799"/>
    <w:pPr>
      <w:tabs>
        <w:tab w:val="center" w:pos="6407"/>
      </w:tabs>
      <w:spacing w:before="720"/>
      <w:jc w:val="right"/>
    </w:pPr>
  </w:style>
  <w:style w:type="character" w:customStyle="1" w:styleId="Heading5Char">
    <w:name w:val="Heading 5 Char"/>
    <w:basedOn w:val="DefaultParagraphFont"/>
    <w:link w:val="Heading5"/>
    <w:uiPriority w:val="98"/>
    <w:semiHidden/>
    <w:rsid w:val="00046799"/>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semiHidden/>
    <w:qFormat/>
    <w:rsid w:val="0004679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46799"/>
    <w:rPr>
      <w:caps w:val="0"/>
      <w:smallCaps/>
    </w:rPr>
  </w:style>
  <w:style w:type="character" w:styleId="SubtleEmphasis">
    <w:name w:val="Subtle Emphasis"/>
    <w:uiPriority w:val="98"/>
    <w:semiHidden/>
    <w:qFormat/>
    <w:rsid w:val="00046799"/>
    <w:rPr>
      <w:i/>
      <w:iCs/>
    </w:rPr>
  </w:style>
  <w:style w:type="paragraph" w:customStyle="1" w:styleId="JuSigned">
    <w:name w:val="Ju_Signed"/>
    <w:aliases w:val="_Signature"/>
    <w:basedOn w:val="Normal"/>
    <w:next w:val="JuPara"/>
    <w:uiPriority w:val="31"/>
    <w:qFormat/>
    <w:rsid w:val="00046799"/>
    <w:pPr>
      <w:tabs>
        <w:tab w:val="center" w:pos="851"/>
        <w:tab w:val="center" w:pos="6407"/>
      </w:tabs>
      <w:spacing w:before="720"/>
    </w:pPr>
  </w:style>
  <w:style w:type="table" w:customStyle="1" w:styleId="ECHRTable">
    <w:name w:val="ECHR_Table"/>
    <w:basedOn w:val="TableNormal"/>
    <w:rsid w:val="0004679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4679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46799"/>
    <w:rPr>
      <w:b/>
      <w:bCs/>
      <w:i/>
      <w:iCs/>
      <w:spacing w:val="10"/>
      <w:bdr w:val="none" w:sz="0" w:space="0" w:color="auto"/>
      <w:shd w:val="clear" w:color="auto" w:fill="auto"/>
    </w:rPr>
  </w:style>
  <w:style w:type="paragraph" w:styleId="Footer0">
    <w:name w:val="footer"/>
    <w:basedOn w:val="Normal"/>
    <w:link w:val="FooterChar"/>
    <w:uiPriority w:val="98"/>
    <w:semiHidden/>
    <w:rsid w:val="00046799"/>
    <w:pPr>
      <w:tabs>
        <w:tab w:val="center" w:pos="3686"/>
        <w:tab w:val="right" w:pos="7371"/>
      </w:tabs>
    </w:pPr>
  </w:style>
  <w:style w:type="character" w:customStyle="1" w:styleId="FooterChar">
    <w:name w:val="Footer Char"/>
    <w:basedOn w:val="DefaultParagraphFont"/>
    <w:link w:val="Footer0"/>
    <w:uiPriority w:val="98"/>
    <w:semiHidden/>
    <w:rsid w:val="00046799"/>
    <w:rPr>
      <w:sz w:val="24"/>
      <w:szCs w:val="24"/>
      <w:lang w:val="en-GB"/>
    </w:rPr>
  </w:style>
  <w:style w:type="character" w:styleId="FootnoteReference">
    <w:name w:val="footnote reference"/>
    <w:basedOn w:val="DefaultParagraphFont"/>
    <w:uiPriority w:val="98"/>
    <w:semiHidden/>
    <w:rsid w:val="00046799"/>
    <w:rPr>
      <w:vertAlign w:val="superscript"/>
    </w:rPr>
  </w:style>
  <w:style w:type="paragraph" w:styleId="FootnoteText">
    <w:name w:val="footnote text"/>
    <w:basedOn w:val="Normal"/>
    <w:link w:val="FootnoteTextChar"/>
    <w:uiPriority w:val="98"/>
    <w:semiHidden/>
    <w:rsid w:val="00046799"/>
    <w:rPr>
      <w:sz w:val="20"/>
      <w:szCs w:val="20"/>
    </w:rPr>
  </w:style>
  <w:style w:type="character" w:customStyle="1" w:styleId="FootnoteTextChar">
    <w:name w:val="Footnote Text Char"/>
    <w:basedOn w:val="DefaultParagraphFont"/>
    <w:link w:val="FootnoteText"/>
    <w:uiPriority w:val="98"/>
    <w:semiHidden/>
    <w:rsid w:val="00046799"/>
    <w:rPr>
      <w:sz w:val="20"/>
      <w:szCs w:val="20"/>
      <w:lang w:val="en-GB"/>
    </w:rPr>
  </w:style>
  <w:style w:type="character" w:customStyle="1" w:styleId="Heading6Char">
    <w:name w:val="Heading 6 Char"/>
    <w:basedOn w:val="DefaultParagraphFont"/>
    <w:link w:val="Heading6"/>
    <w:uiPriority w:val="98"/>
    <w:semiHidden/>
    <w:rsid w:val="00046799"/>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046799"/>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046799"/>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046799"/>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046799"/>
    <w:rPr>
      <w:color w:val="0072BC" w:themeColor="hyperlink"/>
      <w:u w:val="single"/>
    </w:rPr>
  </w:style>
  <w:style w:type="character" w:styleId="IntenseEmphasis">
    <w:name w:val="Intense Emphasis"/>
    <w:uiPriority w:val="98"/>
    <w:semiHidden/>
    <w:qFormat/>
    <w:rsid w:val="00046799"/>
    <w:rPr>
      <w:b/>
      <w:bCs/>
    </w:rPr>
  </w:style>
  <w:style w:type="paragraph" w:styleId="IntenseQuote">
    <w:name w:val="Intense Quote"/>
    <w:basedOn w:val="Normal"/>
    <w:next w:val="Normal"/>
    <w:link w:val="IntenseQuoteChar"/>
    <w:uiPriority w:val="98"/>
    <w:semiHidden/>
    <w:qFormat/>
    <w:rsid w:val="0004679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046799"/>
    <w:rPr>
      <w:b/>
      <w:bCs/>
      <w:i/>
      <w:iCs/>
      <w:sz w:val="24"/>
      <w:szCs w:val="24"/>
      <w:lang w:val="en-GB" w:bidi="en-US"/>
    </w:rPr>
  </w:style>
  <w:style w:type="character" w:styleId="IntenseReference">
    <w:name w:val="Intense Reference"/>
    <w:uiPriority w:val="98"/>
    <w:semiHidden/>
    <w:qFormat/>
    <w:rsid w:val="00046799"/>
    <w:rPr>
      <w:smallCaps/>
      <w:spacing w:val="5"/>
      <w:u w:val="single"/>
    </w:rPr>
  </w:style>
  <w:style w:type="paragraph" w:styleId="ListParagraph">
    <w:name w:val="List Paragraph"/>
    <w:basedOn w:val="Normal"/>
    <w:uiPriority w:val="98"/>
    <w:semiHidden/>
    <w:qFormat/>
    <w:rsid w:val="00046799"/>
    <w:pPr>
      <w:ind w:left="720"/>
      <w:contextualSpacing/>
    </w:pPr>
  </w:style>
  <w:style w:type="table" w:customStyle="1" w:styleId="LtrTableAddress">
    <w:name w:val="Ltr_Table_Address"/>
    <w:aliases w:val="ECHR_Ltr_Table_Address"/>
    <w:basedOn w:val="TableNormal"/>
    <w:uiPriority w:val="99"/>
    <w:rsid w:val="00046799"/>
    <w:rPr>
      <w:sz w:val="24"/>
      <w:szCs w:val="24"/>
    </w:rPr>
    <w:tblPr>
      <w:tblInd w:w="5103" w:type="dxa"/>
    </w:tblPr>
  </w:style>
  <w:style w:type="paragraph" w:styleId="Quote">
    <w:name w:val="Quote"/>
    <w:basedOn w:val="Normal"/>
    <w:next w:val="Normal"/>
    <w:link w:val="QuoteChar"/>
    <w:uiPriority w:val="98"/>
    <w:semiHidden/>
    <w:qFormat/>
    <w:rsid w:val="00046799"/>
    <w:pPr>
      <w:spacing w:before="200"/>
      <w:ind w:left="360" w:right="360"/>
    </w:pPr>
    <w:rPr>
      <w:i/>
      <w:iCs/>
      <w:lang w:bidi="en-US"/>
    </w:rPr>
  </w:style>
  <w:style w:type="character" w:customStyle="1" w:styleId="QuoteChar">
    <w:name w:val="Quote Char"/>
    <w:basedOn w:val="DefaultParagraphFont"/>
    <w:link w:val="Quote"/>
    <w:uiPriority w:val="98"/>
    <w:semiHidden/>
    <w:rsid w:val="00046799"/>
    <w:rPr>
      <w:i/>
      <w:iCs/>
      <w:sz w:val="24"/>
      <w:szCs w:val="24"/>
      <w:lang w:val="en-GB" w:bidi="en-US"/>
    </w:rPr>
  </w:style>
  <w:style w:type="character" w:styleId="SubtleReference">
    <w:name w:val="Subtle Reference"/>
    <w:uiPriority w:val="98"/>
    <w:semiHidden/>
    <w:qFormat/>
    <w:rsid w:val="00046799"/>
    <w:rPr>
      <w:smallCaps/>
    </w:rPr>
  </w:style>
  <w:style w:type="table" w:styleId="TableGrid">
    <w:name w:val="Table Grid"/>
    <w:basedOn w:val="TableNormal"/>
    <w:uiPriority w:val="59"/>
    <w:semiHidden/>
    <w:rsid w:val="0004679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4679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4679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4679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4679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4679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4679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4679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4679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4679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4679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4679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4679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4679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4679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046799"/>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046799"/>
    <w:pPr>
      <w:numPr>
        <w:numId w:val="2"/>
      </w:numPr>
    </w:pPr>
  </w:style>
  <w:style w:type="paragraph" w:customStyle="1" w:styleId="JuPara">
    <w:name w:val="Ju_Para"/>
    <w:aliases w:val="_Para"/>
    <w:basedOn w:val="NormalJustified"/>
    <w:link w:val="JuParaChar"/>
    <w:uiPriority w:val="4"/>
    <w:qFormat/>
    <w:rsid w:val="00046799"/>
    <w:pPr>
      <w:ind w:firstLine="284"/>
    </w:pPr>
  </w:style>
  <w:style w:type="numbering" w:styleId="1ai">
    <w:name w:val="Outline List 1"/>
    <w:basedOn w:val="NoList"/>
    <w:uiPriority w:val="99"/>
    <w:semiHidden/>
    <w:unhideWhenUsed/>
    <w:rsid w:val="00046799"/>
    <w:pPr>
      <w:numPr>
        <w:numId w:val="3"/>
      </w:numPr>
    </w:pPr>
  </w:style>
  <w:style w:type="table" w:customStyle="1" w:styleId="ECHRTableSimpleBox">
    <w:name w:val="ECHR_Table_Simple_Box"/>
    <w:basedOn w:val="TableNormal"/>
    <w:uiPriority w:val="99"/>
    <w:rsid w:val="0004679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4679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46799"/>
    <w:pPr>
      <w:numPr>
        <w:numId w:val="4"/>
      </w:numPr>
    </w:pPr>
  </w:style>
  <w:style w:type="table" w:customStyle="1" w:styleId="ECHRTableForInternalUse">
    <w:name w:val="ECHR_Table_For_Internal_Use"/>
    <w:basedOn w:val="TableNormal"/>
    <w:uiPriority w:val="99"/>
    <w:rsid w:val="0004679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4679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46799"/>
  </w:style>
  <w:style w:type="paragraph" w:styleId="BlockText">
    <w:name w:val="Block Text"/>
    <w:basedOn w:val="Normal"/>
    <w:uiPriority w:val="98"/>
    <w:semiHidden/>
    <w:rsid w:val="0004679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4679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46799"/>
    <w:pPr>
      <w:spacing w:after="120"/>
    </w:pPr>
  </w:style>
  <w:style w:type="character" w:customStyle="1" w:styleId="BodyTextChar">
    <w:name w:val="Body Text Char"/>
    <w:basedOn w:val="DefaultParagraphFont"/>
    <w:link w:val="BodyText"/>
    <w:uiPriority w:val="98"/>
    <w:semiHidden/>
    <w:rsid w:val="00046799"/>
    <w:rPr>
      <w:sz w:val="24"/>
      <w:szCs w:val="24"/>
      <w:lang w:val="en-GB"/>
    </w:rPr>
  </w:style>
  <w:style w:type="table" w:customStyle="1" w:styleId="ECHRTableOddBanded">
    <w:name w:val="ECHR_Table_Odd_Banded"/>
    <w:basedOn w:val="TableNormal"/>
    <w:uiPriority w:val="99"/>
    <w:rsid w:val="0004679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46799"/>
    <w:pPr>
      <w:spacing w:after="120" w:line="480" w:lineRule="auto"/>
    </w:pPr>
  </w:style>
  <w:style w:type="table" w:customStyle="1" w:styleId="ECHRHeaderTableReduced">
    <w:name w:val="ECHR_Header_Table_Reduced"/>
    <w:basedOn w:val="TableNormal"/>
    <w:uiPriority w:val="99"/>
    <w:rsid w:val="0004679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046799"/>
    <w:pPr>
      <w:ind w:firstLine="284"/>
    </w:pPr>
    <w:rPr>
      <w:b/>
    </w:rPr>
  </w:style>
  <w:style w:type="character" w:styleId="PageNumber">
    <w:name w:val="page number"/>
    <w:uiPriority w:val="98"/>
    <w:semiHidden/>
    <w:rsid w:val="00046799"/>
    <w:rPr>
      <w:sz w:val="18"/>
    </w:rPr>
  </w:style>
  <w:style w:type="paragraph" w:styleId="ListBullet">
    <w:name w:val="List Bullet"/>
    <w:basedOn w:val="Normal"/>
    <w:uiPriority w:val="98"/>
    <w:semiHidden/>
    <w:rsid w:val="00046799"/>
    <w:pPr>
      <w:numPr>
        <w:numId w:val="8"/>
      </w:numPr>
    </w:pPr>
  </w:style>
  <w:style w:type="paragraph" w:styleId="ListBullet3">
    <w:name w:val="List Bullet 3"/>
    <w:basedOn w:val="Normal"/>
    <w:uiPriority w:val="98"/>
    <w:semiHidden/>
    <w:rsid w:val="00046799"/>
    <w:pPr>
      <w:numPr>
        <w:numId w:val="10"/>
      </w:numPr>
      <w:contextualSpacing/>
    </w:pPr>
  </w:style>
  <w:style w:type="character" w:customStyle="1" w:styleId="BodyText2Char">
    <w:name w:val="Body Text 2 Char"/>
    <w:basedOn w:val="DefaultParagraphFont"/>
    <w:link w:val="BodyText2"/>
    <w:uiPriority w:val="98"/>
    <w:semiHidden/>
    <w:rsid w:val="00046799"/>
    <w:rPr>
      <w:sz w:val="24"/>
      <w:szCs w:val="24"/>
      <w:lang w:val="en-GB"/>
    </w:rPr>
  </w:style>
  <w:style w:type="paragraph" w:styleId="BodyText3">
    <w:name w:val="Body Text 3"/>
    <w:basedOn w:val="Normal"/>
    <w:link w:val="BodyText3Char"/>
    <w:uiPriority w:val="98"/>
    <w:semiHidden/>
    <w:rsid w:val="00046799"/>
    <w:pPr>
      <w:spacing w:after="120"/>
    </w:pPr>
    <w:rPr>
      <w:sz w:val="16"/>
      <w:szCs w:val="16"/>
    </w:rPr>
  </w:style>
  <w:style w:type="character" w:customStyle="1" w:styleId="BodyText3Char">
    <w:name w:val="Body Text 3 Char"/>
    <w:basedOn w:val="DefaultParagraphFont"/>
    <w:link w:val="BodyText3"/>
    <w:uiPriority w:val="98"/>
    <w:semiHidden/>
    <w:rsid w:val="00046799"/>
    <w:rPr>
      <w:sz w:val="16"/>
      <w:szCs w:val="16"/>
      <w:lang w:val="en-GB"/>
    </w:rPr>
  </w:style>
  <w:style w:type="paragraph" w:styleId="BodyTextFirstIndent">
    <w:name w:val="Body Text First Indent"/>
    <w:basedOn w:val="BodyText"/>
    <w:link w:val="BodyTextFirstIndentChar"/>
    <w:uiPriority w:val="98"/>
    <w:semiHidden/>
    <w:rsid w:val="00046799"/>
    <w:pPr>
      <w:spacing w:after="0"/>
      <w:ind w:firstLine="360"/>
    </w:pPr>
  </w:style>
  <w:style w:type="character" w:customStyle="1" w:styleId="BodyTextFirstIndentChar">
    <w:name w:val="Body Text First Indent Char"/>
    <w:basedOn w:val="BodyTextChar"/>
    <w:link w:val="BodyTextFirstIndent"/>
    <w:uiPriority w:val="98"/>
    <w:semiHidden/>
    <w:rsid w:val="00046799"/>
    <w:rPr>
      <w:sz w:val="24"/>
      <w:szCs w:val="24"/>
      <w:lang w:val="en-GB"/>
    </w:rPr>
  </w:style>
  <w:style w:type="paragraph" w:styleId="BodyTextIndent">
    <w:name w:val="Body Text Indent"/>
    <w:basedOn w:val="Normal"/>
    <w:link w:val="BodyTextIndentChar"/>
    <w:uiPriority w:val="98"/>
    <w:semiHidden/>
    <w:rsid w:val="00046799"/>
    <w:pPr>
      <w:spacing w:after="120"/>
      <w:ind w:left="283"/>
    </w:pPr>
  </w:style>
  <w:style w:type="character" w:customStyle="1" w:styleId="BodyTextIndentChar">
    <w:name w:val="Body Text Indent Char"/>
    <w:basedOn w:val="DefaultParagraphFont"/>
    <w:link w:val="BodyTextIndent"/>
    <w:uiPriority w:val="98"/>
    <w:semiHidden/>
    <w:rsid w:val="00046799"/>
    <w:rPr>
      <w:sz w:val="24"/>
      <w:szCs w:val="24"/>
      <w:lang w:val="en-GB"/>
    </w:rPr>
  </w:style>
  <w:style w:type="paragraph" w:styleId="BodyTextFirstIndent2">
    <w:name w:val="Body Text First Indent 2"/>
    <w:basedOn w:val="BodyTextIndent"/>
    <w:link w:val="BodyTextFirstIndent2Char"/>
    <w:uiPriority w:val="98"/>
    <w:semiHidden/>
    <w:rsid w:val="00046799"/>
    <w:pPr>
      <w:spacing w:after="0"/>
      <w:ind w:left="360" w:firstLine="360"/>
    </w:pPr>
    <w:rPr>
      <w:rFonts w:eastAsiaTheme="minorEastAsia"/>
    </w:rPr>
  </w:style>
  <w:style w:type="character" w:customStyle="1" w:styleId="BodyTextFirstIndent2Char">
    <w:name w:val="Body Text First Indent 2 Char"/>
    <w:basedOn w:val="BodyTextIndentChar"/>
    <w:link w:val="BodyTextFirstIndent2"/>
    <w:uiPriority w:val="98"/>
    <w:semiHidden/>
    <w:rsid w:val="00046799"/>
    <w:rPr>
      <w:sz w:val="24"/>
      <w:szCs w:val="24"/>
      <w:lang w:val="en-GB"/>
    </w:rPr>
  </w:style>
  <w:style w:type="paragraph" w:styleId="BodyTextIndent2">
    <w:name w:val="Body Text Indent 2"/>
    <w:basedOn w:val="Normal"/>
    <w:link w:val="BodyTextIndent2Char"/>
    <w:uiPriority w:val="98"/>
    <w:semiHidden/>
    <w:rsid w:val="00046799"/>
    <w:pPr>
      <w:spacing w:after="120" w:line="480" w:lineRule="auto"/>
      <w:ind w:left="283"/>
    </w:pPr>
  </w:style>
  <w:style w:type="character" w:customStyle="1" w:styleId="BodyTextIndent2Char">
    <w:name w:val="Body Text Indent 2 Char"/>
    <w:basedOn w:val="DefaultParagraphFont"/>
    <w:link w:val="BodyTextIndent2"/>
    <w:uiPriority w:val="98"/>
    <w:semiHidden/>
    <w:rsid w:val="00046799"/>
    <w:rPr>
      <w:sz w:val="24"/>
      <w:szCs w:val="24"/>
      <w:lang w:val="en-GB"/>
    </w:rPr>
  </w:style>
  <w:style w:type="paragraph" w:styleId="BodyTextIndent3">
    <w:name w:val="Body Text Indent 3"/>
    <w:basedOn w:val="Normal"/>
    <w:link w:val="BodyTextIndent3Char"/>
    <w:uiPriority w:val="98"/>
    <w:semiHidden/>
    <w:rsid w:val="00046799"/>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46799"/>
    <w:rPr>
      <w:sz w:val="16"/>
      <w:szCs w:val="16"/>
      <w:lang w:val="en-GB"/>
    </w:rPr>
  </w:style>
  <w:style w:type="paragraph" w:styleId="Caption">
    <w:name w:val="caption"/>
    <w:basedOn w:val="Normal"/>
    <w:next w:val="Normal"/>
    <w:uiPriority w:val="98"/>
    <w:semiHidden/>
    <w:qFormat/>
    <w:rsid w:val="00046799"/>
    <w:pPr>
      <w:spacing w:after="200"/>
    </w:pPr>
    <w:rPr>
      <w:b/>
      <w:bCs/>
      <w:color w:val="0072BC" w:themeColor="accent1"/>
      <w:sz w:val="18"/>
      <w:szCs w:val="18"/>
    </w:rPr>
  </w:style>
  <w:style w:type="paragraph" w:styleId="Closing">
    <w:name w:val="Closing"/>
    <w:basedOn w:val="Normal"/>
    <w:link w:val="ClosingChar"/>
    <w:uiPriority w:val="98"/>
    <w:semiHidden/>
    <w:rsid w:val="00046799"/>
    <w:pPr>
      <w:ind w:left="4252"/>
    </w:pPr>
  </w:style>
  <w:style w:type="character" w:customStyle="1" w:styleId="ClosingChar">
    <w:name w:val="Closing Char"/>
    <w:basedOn w:val="DefaultParagraphFont"/>
    <w:link w:val="Closing"/>
    <w:uiPriority w:val="98"/>
    <w:semiHidden/>
    <w:rsid w:val="00046799"/>
    <w:rPr>
      <w:sz w:val="24"/>
      <w:szCs w:val="24"/>
      <w:lang w:val="en-GB"/>
    </w:rPr>
  </w:style>
  <w:style w:type="table" w:styleId="ColorfulGrid">
    <w:name w:val="Colorful Grid"/>
    <w:basedOn w:val="TableNormal"/>
    <w:uiPriority w:val="73"/>
    <w:semiHidden/>
    <w:rsid w:val="0004679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4679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4679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467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4679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467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4679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4679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4679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4679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4679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4679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4679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4679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4679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4679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4679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4679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4679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4679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4679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46799"/>
    <w:rPr>
      <w:sz w:val="16"/>
      <w:szCs w:val="16"/>
    </w:rPr>
  </w:style>
  <w:style w:type="paragraph" w:styleId="CommentText">
    <w:name w:val="annotation text"/>
    <w:basedOn w:val="Normal"/>
    <w:link w:val="CommentTextChar"/>
    <w:uiPriority w:val="98"/>
    <w:semiHidden/>
    <w:rsid w:val="00046799"/>
    <w:rPr>
      <w:sz w:val="20"/>
      <w:szCs w:val="20"/>
    </w:rPr>
  </w:style>
  <w:style w:type="character" w:customStyle="1" w:styleId="CommentTextChar">
    <w:name w:val="Comment Text Char"/>
    <w:basedOn w:val="DefaultParagraphFont"/>
    <w:link w:val="CommentText"/>
    <w:uiPriority w:val="98"/>
    <w:semiHidden/>
    <w:rsid w:val="00046799"/>
    <w:rPr>
      <w:sz w:val="20"/>
      <w:szCs w:val="20"/>
      <w:lang w:val="en-GB"/>
    </w:rPr>
  </w:style>
  <w:style w:type="paragraph" w:styleId="CommentSubject">
    <w:name w:val="annotation subject"/>
    <w:basedOn w:val="CommentText"/>
    <w:next w:val="CommentText"/>
    <w:link w:val="CommentSubjectChar"/>
    <w:uiPriority w:val="98"/>
    <w:semiHidden/>
    <w:rsid w:val="00046799"/>
    <w:rPr>
      <w:rFonts w:eastAsiaTheme="minorEastAsia"/>
      <w:b/>
      <w:bCs/>
    </w:rPr>
  </w:style>
  <w:style w:type="character" w:customStyle="1" w:styleId="CommentSubjectChar">
    <w:name w:val="Comment Subject Char"/>
    <w:basedOn w:val="CommentTextChar"/>
    <w:link w:val="CommentSubject"/>
    <w:uiPriority w:val="98"/>
    <w:semiHidden/>
    <w:rsid w:val="00046799"/>
    <w:rPr>
      <w:b/>
      <w:bCs/>
      <w:sz w:val="20"/>
      <w:szCs w:val="20"/>
      <w:lang w:val="en-GB"/>
    </w:rPr>
  </w:style>
  <w:style w:type="table" w:styleId="DarkList">
    <w:name w:val="Dark List"/>
    <w:basedOn w:val="TableNormal"/>
    <w:uiPriority w:val="70"/>
    <w:semiHidden/>
    <w:rsid w:val="0004679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4679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4679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4679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4679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4679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4679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46799"/>
  </w:style>
  <w:style w:type="character" w:customStyle="1" w:styleId="DateChar">
    <w:name w:val="Date Char"/>
    <w:basedOn w:val="DefaultParagraphFont"/>
    <w:link w:val="Date"/>
    <w:uiPriority w:val="98"/>
    <w:semiHidden/>
    <w:rsid w:val="00046799"/>
    <w:rPr>
      <w:sz w:val="24"/>
      <w:szCs w:val="24"/>
      <w:lang w:val="en-GB"/>
    </w:rPr>
  </w:style>
  <w:style w:type="paragraph" w:styleId="DocumentMap">
    <w:name w:val="Document Map"/>
    <w:basedOn w:val="Normal"/>
    <w:link w:val="DocumentMapChar"/>
    <w:uiPriority w:val="98"/>
    <w:semiHidden/>
    <w:rsid w:val="00046799"/>
    <w:rPr>
      <w:rFonts w:ascii="Tahoma" w:hAnsi="Tahoma" w:cs="Tahoma"/>
      <w:sz w:val="16"/>
      <w:szCs w:val="16"/>
    </w:rPr>
  </w:style>
  <w:style w:type="character" w:customStyle="1" w:styleId="DocumentMapChar">
    <w:name w:val="Document Map Char"/>
    <w:basedOn w:val="DefaultParagraphFont"/>
    <w:link w:val="DocumentMap"/>
    <w:uiPriority w:val="98"/>
    <w:semiHidden/>
    <w:rsid w:val="00046799"/>
    <w:rPr>
      <w:rFonts w:ascii="Tahoma" w:hAnsi="Tahoma" w:cs="Tahoma"/>
      <w:sz w:val="16"/>
      <w:szCs w:val="16"/>
      <w:lang w:val="en-GB"/>
    </w:rPr>
  </w:style>
  <w:style w:type="paragraph" w:styleId="E-mailSignature">
    <w:name w:val="E-mail Signature"/>
    <w:basedOn w:val="Normal"/>
    <w:link w:val="E-mailSignatureChar"/>
    <w:uiPriority w:val="98"/>
    <w:semiHidden/>
    <w:rsid w:val="00046799"/>
  </w:style>
  <w:style w:type="character" w:customStyle="1" w:styleId="E-mailSignatureChar">
    <w:name w:val="E-mail Signature Char"/>
    <w:basedOn w:val="DefaultParagraphFont"/>
    <w:link w:val="E-mailSignature"/>
    <w:uiPriority w:val="98"/>
    <w:semiHidden/>
    <w:rsid w:val="00046799"/>
    <w:rPr>
      <w:sz w:val="24"/>
      <w:szCs w:val="24"/>
      <w:lang w:val="en-GB"/>
    </w:rPr>
  </w:style>
  <w:style w:type="character" w:styleId="EndnoteReference">
    <w:name w:val="endnote reference"/>
    <w:basedOn w:val="DefaultParagraphFont"/>
    <w:uiPriority w:val="98"/>
    <w:semiHidden/>
    <w:rsid w:val="00046799"/>
    <w:rPr>
      <w:vertAlign w:val="superscript"/>
    </w:rPr>
  </w:style>
  <w:style w:type="paragraph" w:styleId="EndnoteText">
    <w:name w:val="endnote text"/>
    <w:basedOn w:val="Normal"/>
    <w:link w:val="EndnoteTextChar"/>
    <w:uiPriority w:val="98"/>
    <w:semiHidden/>
    <w:rsid w:val="00046799"/>
    <w:rPr>
      <w:sz w:val="20"/>
      <w:szCs w:val="20"/>
    </w:rPr>
  </w:style>
  <w:style w:type="character" w:customStyle="1" w:styleId="EndnoteTextChar">
    <w:name w:val="Endnote Text Char"/>
    <w:basedOn w:val="DefaultParagraphFont"/>
    <w:link w:val="EndnoteText"/>
    <w:uiPriority w:val="98"/>
    <w:semiHidden/>
    <w:rsid w:val="00046799"/>
    <w:rPr>
      <w:sz w:val="20"/>
      <w:szCs w:val="20"/>
      <w:lang w:val="en-GB"/>
    </w:rPr>
  </w:style>
  <w:style w:type="paragraph" w:styleId="EnvelopeAddress">
    <w:name w:val="envelope address"/>
    <w:basedOn w:val="Normal"/>
    <w:uiPriority w:val="98"/>
    <w:semiHidden/>
    <w:rsid w:val="0004679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46799"/>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46799"/>
    <w:rPr>
      <w:color w:val="7030A0" w:themeColor="followedHyperlink"/>
      <w:u w:val="single"/>
    </w:rPr>
  </w:style>
  <w:style w:type="character" w:styleId="HTMLAcronym">
    <w:name w:val="HTML Acronym"/>
    <w:basedOn w:val="DefaultParagraphFont"/>
    <w:uiPriority w:val="98"/>
    <w:semiHidden/>
    <w:rsid w:val="00046799"/>
  </w:style>
  <w:style w:type="paragraph" w:styleId="HTMLAddress">
    <w:name w:val="HTML Address"/>
    <w:basedOn w:val="Normal"/>
    <w:link w:val="HTMLAddressChar"/>
    <w:uiPriority w:val="98"/>
    <w:semiHidden/>
    <w:rsid w:val="00046799"/>
    <w:rPr>
      <w:i/>
      <w:iCs/>
    </w:rPr>
  </w:style>
  <w:style w:type="character" w:customStyle="1" w:styleId="HTMLAddressChar">
    <w:name w:val="HTML Address Char"/>
    <w:basedOn w:val="DefaultParagraphFont"/>
    <w:link w:val="HTMLAddress"/>
    <w:uiPriority w:val="98"/>
    <w:semiHidden/>
    <w:rsid w:val="00046799"/>
    <w:rPr>
      <w:i/>
      <w:iCs/>
      <w:sz w:val="24"/>
      <w:szCs w:val="24"/>
      <w:lang w:val="en-GB"/>
    </w:rPr>
  </w:style>
  <w:style w:type="character" w:styleId="HTMLCite">
    <w:name w:val="HTML Cite"/>
    <w:basedOn w:val="DefaultParagraphFont"/>
    <w:uiPriority w:val="98"/>
    <w:semiHidden/>
    <w:rsid w:val="00046799"/>
    <w:rPr>
      <w:i/>
      <w:iCs/>
    </w:rPr>
  </w:style>
  <w:style w:type="character" w:styleId="HTMLCode">
    <w:name w:val="HTML Code"/>
    <w:basedOn w:val="DefaultParagraphFont"/>
    <w:uiPriority w:val="98"/>
    <w:semiHidden/>
    <w:rsid w:val="00046799"/>
    <w:rPr>
      <w:rFonts w:ascii="Consolas" w:hAnsi="Consolas" w:cs="Consolas"/>
      <w:sz w:val="20"/>
      <w:szCs w:val="20"/>
    </w:rPr>
  </w:style>
  <w:style w:type="character" w:styleId="HTMLDefinition">
    <w:name w:val="HTML Definition"/>
    <w:basedOn w:val="DefaultParagraphFont"/>
    <w:uiPriority w:val="98"/>
    <w:semiHidden/>
    <w:rsid w:val="00046799"/>
    <w:rPr>
      <w:i/>
      <w:iCs/>
    </w:rPr>
  </w:style>
  <w:style w:type="character" w:styleId="HTMLKeyboard">
    <w:name w:val="HTML Keyboard"/>
    <w:basedOn w:val="DefaultParagraphFont"/>
    <w:uiPriority w:val="98"/>
    <w:semiHidden/>
    <w:rsid w:val="00046799"/>
    <w:rPr>
      <w:rFonts w:ascii="Consolas" w:hAnsi="Consolas" w:cs="Consolas"/>
      <w:sz w:val="20"/>
      <w:szCs w:val="20"/>
    </w:rPr>
  </w:style>
  <w:style w:type="paragraph" w:styleId="HTMLPreformatted">
    <w:name w:val="HTML Preformatted"/>
    <w:basedOn w:val="Normal"/>
    <w:link w:val="HTMLPreformattedChar"/>
    <w:uiPriority w:val="98"/>
    <w:semiHidden/>
    <w:rsid w:val="00046799"/>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46799"/>
    <w:rPr>
      <w:rFonts w:ascii="Consolas" w:hAnsi="Consolas" w:cs="Consolas"/>
      <w:sz w:val="20"/>
      <w:szCs w:val="20"/>
      <w:lang w:val="en-GB"/>
    </w:rPr>
  </w:style>
  <w:style w:type="character" w:styleId="HTMLSample">
    <w:name w:val="HTML Sample"/>
    <w:basedOn w:val="DefaultParagraphFont"/>
    <w:uiPriority w:val="98"/>
    <w:semiHidden/>
    <w:rsid w:val="00046799"/>
    <w:rPr>
      <w:rFonts w:ascii="Consolas" w:hAnsi="Consolas" w:cs="Consolas"/>
      <w:sz w:val="24"/>
      <w:szCs w:val="24"/>
    </w:rPr>
  </w:style>
  <w:style w:type="character" w:styleId="HTMLTypewriter">
    <w:name w:val="HTML Typewriter"/>
    <w:basedOn w:val="DefaultParagraphFont"/>
    <w:uiPriority w:val="98"/>
    <w:semiHidden/>
    <w:rsid w:val="00046799"/>
    <w:rPr>
      <w:rFonts w:ascii="Consolas" w:hAnsi="Consolas" w:cs="Consolas"/>
      <w:sz w:val="20"/>
      <w:szCs w:val="20"/>
    </w:rPr>
  </w:style>
  <w:style w:type="character" w:styleId="HTMLVariable">
    <w:name w:val="HTML Variable"/>
    <w:basedOn w:val="DefaultParagraphFont"/>
    <w:uiPriority w:val="98"/>
    <w:semiHidden/>
    <w:rsid w:val="00046799"/>
    <w:rPr>
      <w:i/>
      <w:iCs/>
    </w:rPr>
  </w:style>
  <w:style w:type="paragraph" w:styleId="Index1">
    <w:name w:val="index 1"/>
    <w:basedOn w:val="Normal"/>
    <w:next w:val="Normal"/>
    <w:autoRedefine/>
    <w:uiPriority w:val="98"/>
    <w:semiHidden/>
    <w:rsid w:val="00046799"/>
    <w:pPr>
      <w:ind w:left="240" w:hanging="240"/>
    </w:pPr>
  </w:style>
  <w:style w:type="paragraph" w:styleId="Index2">
    <w:name w:val="index 2"/>
    <w:basedOn w:val="Normal"/>
    <w:next w:val="Normal"/>
    <w:autoRedefine/>
    <w:uiPriority w:val="98"/>
    <w:semiHidden/>
    <w:rsid w:val="00046799"/>
    <w:pPr>
      <w:ind w:left="480" w:hanging="240"/>
    </w:pPr>
  </w:style>
  <w:style w:type="paragraph" w:styleId="Index3">
    <w:name w:val="index 3"/>
    <w:basedOn w:val="Normal"/>
    <w:next w:val="Normal"/>
    <w:autoRedefine/>
    <w:uiPriority w:val="98"/>
    <w:semiHidden/>
    <w:rsid w:val="00046799"/>
    <w:pPr>
      <w:ind w:left="720" w:hanging="240"/>
    </w:pPr>
  </w:style>
  <w:style w:type="paragraph" w:styleId="Index4">
    <w:name w:val="index 4"/>
    <w:basedOn w:val="Normal"/>
    <w:next w:val="Normal"/>
    <w:autoRedefine/>
    <w:uiPriority w:val="98"/>
    <w:semiHidden/>
    <w:rsid w:val="00046799"/>
    <w:pPr>
      <w:ind w:left="960" w:hanging="240"/>
    </w:pPr>
  </w:style>
  <w:style w:type="paragraph" w:styleId="Index5">
    <w:name w:val="index 5"/>
    <w:basedOn w:val="Normal"/>
    <w:next w:val="Normal"/>
    <w:autoRedefine/>
    <w:uiPriority w:val="98"/>
    <w:semiHidden/>
    <w:rsid w:val="00046799"/>
    <w:pPr>
      <w:ind w:left="1200" w:hanging="240"/>
    </w:pPr>
  </w:style>
  <w:style w:type="paragraph" w:styleId="Index6">
    <w:name w:val="index 6"/>
    <w:basedOn w:val="Normal"/>
    <w:next w:val="Normal"/>
    <w:autoRedefine/>
    <w:uiPriority w:val="98"/>
    <w:semiHidden/>
    <w:rsid w:val="00046799"/>
    <w:pPr>
      <w:ind w:left="1440" w:hanging="240"/>
    </w:pPr>
  </w:style>
  <w:style w:type="paragraph" w:styleId="Index7">
    <w:name w:val="index 7"/>
    <w:basedOn w:val="Normal"/>
    <w:next w:val="Normal"/>
    <w:autoRedefine/>
    <w:uiPriority w:val="98"/>
    <w:semiHidden/>
    <w:rsid w:val="00046799"/>
    <w:pPr>
      <w:ind w:left="1680" w:hanging="240"/>
    </w:pPr>
  </w:style>
  <w:style w:type="paragraph" w:styleId="Index8">
    <w:name w:val="index 8"/>
    <w:basedOn w:val="Normal"/>
    <w:next w:val="Normal"/>
    <w:autoRedefine/>
    <w:uiPriority w:val="98"/>
    <w:semiHidden/>
    <w:rsid w:val="00046799"/>
    <w:pPr>
      <w:ind w:left="1920" w:hanging="240"/>
    </w:pPr>
  </w:style>
  <w:style w:type="paragraph" w:styleId="Index9">
    <w:name w:val="index 9"/>
    <w:basedOn w:val="Normal"/>
    <w:next w:val="Normal"/>
    <w:autoRedefine/>
    <w:uiPriority w:val="98"/>
    <w:semiHidden/>
    <w:rsid w:val="00046799"/>
    <w:pPr>
      <w:ind w:left="2160" w:hanging="240"/>
    </w:pPr>
  </w:style>
  <w:style w:type="paragraph" w:styleId="IndexHeading">
    <w:name w:val="index heading"/>
    <w:basedOn w:val="Normal"/>
    <w:next w:val="Index1"/>
    <w:uiPriority w:val="98"/>
    <w:semiHidden/>
    <w:rsid w:val="00046799"/>
    <w:rPr>
      <w:rFonts w:asciiTheme="majorHAnsi" w:eastAsiaTheme="majorEastAsia" w:hAnsiTheme="majorHAnsi" w:cstheme="majorBidi"/>
      <w:b/>
      <w:bCs/>
    </w:rPr>
  </w:style>
  <w:style w:type="table" w:styleId="LightGrid">
    <w:name w:val="Light Grid"/>
    <w:basedOn w:val="TableNormal"/>
    <w:uiPriority w:val="62"/>
    <w:semiHidden/>
    <w:rsid w:val="000467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467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467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467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467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467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467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467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467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467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467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467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467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467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4679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4679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4679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4679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4679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4679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4679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46799"/>
  </w:style>
  <w:style w:type="paragraph" w:styleId="List">
    <w:name w:val="List"/>
    <w:basedOn w:val="Normal"/>
    <w:uiPriority w:val="98"/>
    <w:semiHidden/>
    <w:rsid w:val="00046799"/>
    <w:pPr>
      <w:ind w:left="283" w:hanging="283"/>
      <w:contextualSpacing/>
    </w:pPr>
  </w:style>
  <w:style w:type="paragraph" w:styleId="List2">
    <w:name w:val="List 2"/>
    <w:basedOn w:val="Normal"/>
    <w:uiPriority w:val="98"/>
    <w:semiHidden/>
    <w:rsid w:val="00046799"/>
    <w:pPr>
      <w:ind w:left="566" w:hanging="283"/>
      <w:contextualSpacing/>
    </w:pPr>
  </w:style>
  <w:style w:type="paragraph" w:styleId="List3">
    <w:name w:val="List 3"/>
    <w:basedOn w:val="Normal"/>
    <w:uiPriority w:val="98"/>
    <w:semiHidden/>
    <w:rsid w:val="00046799"/>
    <w:pPr>
      <w:ind w:left="849" w:hanging="283"/>
      <w:contextualSpacing/>
    </w:pPr>
  </w:style>
  <w:style w:type="paragraph" w:styleId="List4">
    <w:name w:val="List 4"/>
    <w:basedOn w:val="Normal"/>
    <w:uiPriority w:val="98"/>
    <w:semiHidden/>
    <w:rsid w:val="00046799"/>
    <w:pPr>
      <w:ind w:left="1132" w:hanging="283"/>
      <w:contextualSpacing/>
    </w:pPr>
  </w:style>
  <w:style w:type="paragraph" w:styleId="List5">
    <w:name w:val="List 5"/>
    <w:basedOn w:val="Normal"/>
    <w:uiPriority w:val="98"/>
    <w:semiHidden/>
    <w:rsid w:val="00046799"/>
    <w:pPr>
      <w:ind w:left="1415" w:hanging="283"/>
      <w:contextualSpacing/>
    </w:pPr>
  </w:style>
  <w:style w:type="paragraph" w:styleId="ListBullet2">
    <w:name w:val="List Bullet 2"/>
    <w:basedOn w:val="Normal"/>
    <w:uiPriority w:val="98"/>
    <w:semiHidden/>
    <w:rsid w:val="00046799"/>
    <w:pPr>
      <w:numPr>
        <w:numId w:val="9"/>
      </w:numPr>
      <w:contextualSpacing/>
    </w:pPr>
  </w:style>
  <w:style w:type="paragraph" w:styleId="ListBullet4">
    <w:name w:val="List Bullet 4"/>
    <w:basedOn w:val="Normal"/>
    <w:uiPriority w:val="98"/>
    <w:semiHidden/>
    <w:rsid w:val="00046799"/>
    <w:pPr>
      <w:numPr>
        <w:numId w:val="11"/>
      </w:numPr>
      <w:contextualSpacing/>
    </w:pPr>
  </w:style>
  <w:style w:type="paragraph" w:styleId="ListBullet5">
    <w:name w:val="List Bullet 5"/>
    <w:basedOn w:val="Normal"/>
    <w:uiPriority w:val="98"/>
    <w:semiHidden/>
    <w:rsid w:val="00046799"/>
    <w:pPr>
      <w:numPr>
        <w:numId w:val="12"/>
      </w:numPr>
      <w:contextualSpacing/>
    </w:pPr>
  </w:style>
  <w:style w:type="paragraph" w:styleId="ListContinue">
    <w:name w:val="List Continue"/>
    <w:basedOn w:val="Normal"/>
    <w:uiPriority w:val="98"/>
    <w:semiHidden/>
    <w:rsid w:val="00046799"/>
    <w:pPr>
      <w:spacing w:after="120"/>
      <w:ind w:left="283"/>
      <w:contextualSpacing/>
    </w:pPr>
  </w:style>
  <w:style w:type="paragraph" w:styleId="ListContinue2">
    <w:name w:val="List Continue 2"/>
    <w:basedOn w:val="Normal"/>
    <w:uiPriority w:val="98"/>
    <w:semiHidden/>
    <w:rsid w:val="00046799"/>
    <w:pPr>
      <w:spacing w:after="120"/>
      <w:ind w:left="566"/>
      <w:contextualSpacing/>
    </w:pPr>
  </w:style>
  <w:style w:type="paragraph" w:styleId="ListContinue3">
    <w:name w:val="List Continue 3"/>
    <w:basedOn w:val="Normal"/>
    <w:uiPriority w:val="98"/>
    <w:semiHidden/>
    <w:rsid w:val="00046799"/>
    <w:pPr>
      <w:spacing w:after="120"/>
      <w:ind w:left="849"/>
      <w:contextualSpacing/>
    </w:pPr>
  </w:style>
  <w:style w:type="paragraph" w:styleId="ListContinue4">
    <w:name w:val="List Continue 4"/>
    <w:basedOn w:val="Normal"/>
    <w:uiPriority w:val="98"/>
    <w:semiHidden/>
    <w:rsid w:val="00046799"/>
    <w:pPr>
      <w:spacing w:after="120"/>
      <w:ind w:left="1132"/>
      <w:contextualSpacing/>
    </w:pPr>
  </w:style>
  <w:style w:type="paragraph" w:styleId="ListContinue5">
    <w:name w:val="List Continue 5"/>
    <w:basedOn w:val="Normal"/>
    <w:uiPriority w:val="98"/>
    <w:semiHidden/>
    <w:rsid w:val="00046799"/>
    <w:pPr>
      <w:spacing w:after="120"/>
      <w:ind w:left="1415"/>
      <w:contextualSpacing/>
    </w:pPr>
  </w:style>
  <w:style w:type="paragraph" w:styleId="ListNumber">
    <w:name w:val="List Number"/>
    <w:basedOn w:val="Normal"/>
    <w:uiPriority w:val="98"/>
    <w:semiHidden/>
    <w:rsid w:val="00046799"/>
    <w:pPr>
      <w:numPr>
        <w:numId w:val="13"/>
      </w:numPr>
      <w:contextualSpacing/>
    </w:pPr>
  </w:style>
  <w:style w:type="paragraph" w:styleId="ListNumber2">
    <w:name w:val="List Number 2"/>
    <w:basedOn w:val="Normal"/>
    <w:uiPriority w:val="98"/>
    <w:semiHidden/>
    <w:rsid w:val="00046799"/>
    <w:pPr>
      <w:numPr>
        <w:numId w:val="14"/>
      </w:numPr>
      <w:contextualSpacing/>
    </w:pPr>
  </w:style>
  <w:style w:type="paragraph" w:styleId="ListNumber3">
    <w:name w:val="List Number 3"/>
    <w:basedOn w:val="Normal"/>
    <w:uiPriority w:val="98"/>
    <w:semiHidden/>
    <w:rsid w:val="00046799"/>
    <w:pPr>
      <w:numPr>
        <w:numId w:val="15"/>
      </w:numPr>
      <w:contextualSpacing/>
    </w:pPr>
  </w:style>
  <w:style w:type="paragraph" w:styleId="ListNumber4">
    <w:name w:val="List Number 4"/>
    <w:basedOn w:val="Normal"/>
    <w:uiPriority w:val="98"/>
    <w:semiHidden/>
    <w:rsid w:val="00046799"/>
    <w:pPr>
      <w:numPr>
        <w:numId w:val="16"/>
      </w:numPr>
      <w:contextualSpacing/>
    </w:pPr>
  </w:style>
  <w:style w:type="paragraph" w:styleId="ListNumber5">
    <w:name w:val="List Number 5"/>
    <w:basedOn w:val="Normal"/>
    <w:uiPriority w:val="98"/>
    <w:semiHidden/>
    <w:rsid w:val="00046799"/>
    <w:pPr>
      <w:numPr>
        <w:numId w:val="17"/>
      </w:numPr>
      <w:contextualSpacing/>
    </w:pPr>
  </w:style>
  <w:style w:type="paragraph" w:styleId="MacroText">
    <w:name w:val="macro"/>
    <w:link w:val="MacroTextChar"/>
    <w:uiPriority w:val="98"/>
    <w:semiHidden/>
    <w:rsid w:val="000467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46799"/>
    <w:rPr>
      <w:rFonts w:ascii="Consolas" w:eastAsiaTheme="minorEastAsia" w:hAnsi="Consolas" w:cs="Consolas"/>
      <w:sz w:val="20"/>
      <w:szCs w:val="20"/>
    </w:rPr>
  </w:style>
  <w:style w:type="table" w:styleId="MediumGrid1">
    <w:name w:val="Medium Grid 1"/>
    <w:basedOn w:val="TableNormal"/>
    <w:uiPriority w:val="67"/>
    <w:semiHidden/>
    <w:rsid w:val="000467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467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467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467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467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467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467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467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467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467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467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467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467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467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4679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4679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4679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4679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4679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4679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4679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467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467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467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467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467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467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467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467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467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467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467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467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467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467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467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0467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04679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046799"/>
    <w:rPr>
      <w:rFonts w:ascii="Times New Roman" w:hAnsi="Times New Roman" w:cs="Times New Roman"/>
    </w:rPr>
  </w:style>
  <w:style w:type="paragraph" w:styleId="NormalIndent">
    <w:name w:val="Normal Indent"/>
    <w:basedOn w:val="Normal"/>
    <w:uiPriority w:val="98"/>
    <w:semiHidden/>
    <w:rsid w:val="00046799"/>
    <w:pPr>
      <w:ind w:left="720"/>
    </w:pPr>
  </w:style>
  <w:style w:type="paragraph" w:customStyle="1" w:styleId="ECHRBullet2">
    <w:name w:val="ECHR_Bullet_2"/>
    <w:aliases w:val="_Bul_2"/>
    <w:basedOn w:val="ECHRBullet1"/>
    <w:uiPriority w:val="23"/>
    <w:semiHidden/>
    <w:rsid w:val="00046799"/>
    <w:pPr>
      <w:numPr>
        <w:ilvl w:val="1"/>
      </w:numPr>
    </w:pPr>
  </w:style>
  <w:style w:type="paragraph" w:customStyle="1" w:styleId="ECHRBullet3">
    <w:name w:val="ECHR_Bullet_3"/>
    <w:aliases w:val="_Bul_3"/>
    <w:basedOn w:val="ECHRBullet2"/>
    <w:uiPriority w:val="23"/>
    <w:semiHidden/>
    <w:rsid w:val="00046799"/>
    <w:pPr>
      <w:numPr>
        <w:ilvl w:val="2"/>
      </w:numPr>
    </w:pPr>
  </w:style>
  <w:style w:type="character" w:styleId="PlaceholderText">
    <w:name w:val="Placeholder Text"/>
    <w:basedOn w:val="DefaultParagraphFont"/>
    <w:uiPriority w:val="98"/>
    <w:semiHidden/>
    <w:rsid w:val="00046799"/>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46799"/>
    <w:rPr>
      <w:rFonts w:ascii="Consolas" w:hAnsi="Consolas" w:cs="Consolas"/>
      <w:sz w:val="21"/>
      <w:szCs w:val="21"/>
    </w:rPr>
  </w:style>
  <w:style w:type="character" w:customStyle="1" w:styleId="PlainTextChar">
    <w:name w:val="Plain Text Char"/>
    <w:basedOn w:val="DefaultParagraphFont"/>
    <w:link w:val="PlainText"/>
    <w:uiPriority w:val="98"/>
    <w:semiHidden/>
    <w:rsid w:val="00046799"/>
    <w:rPr>
      <w:rFonts w:ascii="Consolas" w:hAnsi="Consolas" w:cs="Consolas"/>
      <w:sz w:val="21"/>
      <w:szCs w:val="21"/>
      <w:lang w:val="en-GB"/>
    </w:rPr>
  </w:style>
  <w:style w:type="paragraph" w:styleId="Salutation">
    <w:name w:val="Salutation"/>
    <w:basedOn w:val="Normal"/>
    <w:next w:val="Normal"/>
    <w:link w:val="SalutationChar"/>
    <w:uiPriority w:val="98"/>
    <w:semiHidden/>
    <w:rsid w:val="00046799"/>
  </w:style>
  <w:style w:type="character" w:customStyle="1" w:styleId="SalutationChar">
    <w:name w:val="Salutation Char"/>
    <w:basedOn w:val="DefaultParagraphFont"/>
    <w:link w:val="Salutation"/>
    <w:uiPriority w:val="98"/>
    <w:semiHidden/>
    <w:rsid w:val="00046799"/>
    <w:rPr>
      <w:sz w:val="24"/>
      <w:szCs w:val="24"/>
      <w:lang w:val="en-GB"/>
    </w:rPr>
  </w:style>
  <w:style w:type="paragraph" w:styleId="Signature">
    <w:name w:val="Signature"/>
    <w:basedOn w:val="Normal"/>
    <w:link w:val="SignatureChar"/>
    <w:uiPriority w:val="98"/>
    <w:semiHidden/>
    <w:rsid w:val="00046799"/>
    <w:pPr>
      <w:ind w:left="4252"/>
    </w:pPr>
  </w:style>
  <w:style w:type="character" w:customStyle="1" w:styleId="SignatureChar">
    <w:name w:val="Signature Char"/>
    <w:basedOn w:val="DefaultParagraphFont"/>
    <w:link w:val="Signature"/>
    <w:uiPriority w:val="98"/>
    <w:semiHidden/>
    <w:rsid w:val="00046799"/>
    <w:rPr>
      <w:sz w:val="24"/>
      <w:szCs w:val="24"/>
      <w:lang w:val="en-GB"/>
    </w:rPr>
  </w:style>
  <w:style w:type="table" w:styleId="Table3Deffects1">
    <w:name w:val="Table 3D effects 1"/>
    <w:basedOn w:val="TableNormal"/>
    <w:uiPriority w:val="99"/>
    <w:semiHidden/>
    <w:unhideWhenUsed/>
    <w:rsid w:val="0004679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679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679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679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679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679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679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679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679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679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679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679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679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679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679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679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679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67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679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679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679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67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679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679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679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4679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679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679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67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67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67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679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67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46799"/>
    <w:pPr>
      <w:ind w:left="240" w:hanging="240"/>
    </w:pPr>
  </w:style>
  <w:style w:type="paragraph" w:styleId="TableofFigures">
    <w:name w:val="table of figures"/>
    <w:basedOn w:val="Normal"/>
    <w:next w:val="Normal"/>
    <w:uiPriority w:val="98"/>
    <w:semiHidden/>
    <w:rsid w:val="00046799"/>
  </w:style>
  <w:style w:type="table" w:styleId="TableProfessional">
    <w:name w:val="Table Professional"/>
    <w:basedOn w:val="TableNormal"/>
    <w:uiPriority w:val="99"/>
    <w:semiHidden/>
    <w:unhideWhenUsed/>
    <w:rsid w:val="000467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679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679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679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679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679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679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679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679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679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4679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4679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46799"/>
    <w:pPr>
      <w:spacing w:after="100"/>
      <w:ind w:left="1680"/>
    </w:pPr>
  </w:style>
  <w:style w:type="paragraph" w:styleId="TOC9">
    <w:name w:val="toc 9"/>
    <w:basedOn w:val="Normal"/>
    <w:next w:val="Normal"/>
    <w:autoRedefine/>
    <w:uiPriority w:val="98"/>
    <w:semiHidden/>
    <w:rsid w:val="00046799"/>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04679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46799"/>
    <w:pPr>
      <w:keepNext/>
      <w:keepLines/>
      <w:spacing w:after="280"/>
      <w:ind w:firstLine="0"/>
      <w:jc w:val="center"/>
    </w:pPr>
    <w:rPr>
      <w:rFonts w:asciiTheme="majorHAnsi" w:hAnsiTheme="majorHAnsi"/>
    </w:rPr>
  </w:style>
  <w:style w:type="paragraph" w:customStyle="1" w:styleId="ECHRBullet4">
    <w:name w:val="ECHR_Bullet_4"/>
    <w:aliases w:val="_Bul_4"/>
    <w:basedOn w:val="ECHRBullet3"/>
    <w:uiPriority w:val="23"/>
    <w:semiHidden/>
    <w:rsid w:val="00046799"/>
    <w:pPr>
      <w:numPr>
        <w:ilvl w:val="3"/>
      </w:numPr>
    </w:pPr>
  </w:style>
  <w:style w:type="paragraph" w:customStyle="1" w:styleId="ECHRConfidential">
    <w:name w:val="ECHR_Confidential"/>
    <w:aliases w:val="_Confidential"/>
    <w:basedOn w:val="Normal"/>
    <w:next w:val="Normal"/>
    <w:uiPriority w:val="42"/>
    <w:semiHidden/>
    <w:qFormat/>
    <w:rsid w:val="00046799"/>
    <w:pPr>
      <w:jc w:val="right"/>
    </w:pPr>
    <w:rPr>
      <w:color w:val="C00000"/>
      <w:sz w:val="20"/>
    </w:rPr>
  </w:style>
  <w:style w:type="paragraph" w:customStyle="1" w:styleId="ECHRDecisionBody">
    <w:name w:val="ECHR_Decision_Body"/>
    <w:aliases w:val="_Decision_Body"/>
    <w:basedOn w:val="NormalJustified"/>
    <w:uiPriority w:val="54"/>
    <w:semiHidden/>
    <w:rsid w:val="0004679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4679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46799"/>
    <w:rPr>
      <w:rFonts w:ascii="Arial" w:hAnsi="Arial"/>
      <w:i/>
      <w:color w:val="002856"/>
      <w:sz w:val="32"/>
      <w:szCs w:val="24"/>
      <w:lang w:val="en-GB"/>
    </w:rPr>
  </w:style>
  <w:style w:type="table" w:styleId="GridTable1Light">
    <w:name w:val="Grid Table 1 Light"/>
    <w:basedOn w:val="TableNormal"/>
    <w:uiPriority w:val="46"/>
    <w:semiHidden/>
    <w:rsid w:val="009863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CHRFooterLineLandscape">
    <w:name w:val="ECHR_Footer_Line_Landscape"/>
    <w:aliases w:val="_Footer_Line_Landscape"/>
    <w:basedOn w:val="Normal"/>
    <w:uiPriority w:val="30"/>
    <w:semiHidden/>
    <w:rsid w:val="0004679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
    <w:uiPriority w:val="8"/>
    <w:semiHidden/>
    <w:qFormat/>
    <w:rsid w:val="00046799"/>
    <w:pPr>
      <w:ind w:left="567" w:hanging="567"/>
      <w:jc w:val="both"/>
    </w:pPr>
  </w:style>
  <w:style w:type="paragraph" w:customStyle="1" w:styleId="ECHRHeading9">
    <w:name w:val="ECHR_Heading_9"/>
    <w:aliases w:val="_Head_9"/>
    <w:basedOn w:val="Heading9"/>
    <w:uiPriority w:val="17"/>
    <w:semiHidden/>
    <w:rsid w:val="00046799"/>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46799"/>
    <w:pPr>
      <w:tabs>
        <w:tab w:val="center" w:pos="6146"/>
        <w:tab w:val="right" w:pos="13778"/>
      </w:tabs>
      <w:ind w:left="-1474" w:right="-1474"/>
    </w:pPr>
  </w:style>
  <w:style w:type="paragraph" w:customStyle="1" w:styleId="ECHRParaIndent">
    <w:name w:val="ECHR_Para_Indent"/>
    <w:aliases w:val="_Indent"/>
    <w:basedOn w:val="Normal"/>
    <w:uiPriority w:val="7"/>
    <w:semiHidden/>
    <w:qFormat/>
    <w:rsid w:val="00046799"/>
    <w:pPr>
      <w:spacing w:before="120" w:after="120"/>
      <w:ind w:left="284"/>
      <w:jc w:val="both"/>
    </w:pPr>
  </w:style>
  <w:style w:type="paragraph" w:customStyle="1" w:styleId="ECHRLine">
    <w:name w:val="ECHR_Line"/>
    <w:aliases w:val="_Line"/>
    <w:basedOn w:val="NormalJustified"/>
    <w:next w:val="Normal"/>
    <w:uiPriority w:val="46"/>
    <w:semiHidden/>
    <w:rsid w:val="00046799"/>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46799"/>
    <w:pPr>
      <w:numPr>
        <w:numId w:val="0"/>
      </w:numPr>
      <w:ind w:left="284"/>
    </w:pPr>
  </w:style>
  <w:style w:type="paragraph" w:customStyle="1" w:styleId="ECHRNumberedList1">
    <w:name w:val="ECHR_Numbered_List_1"/>
    <w:aliases w:val="_Num_1"/>
    <w:basedOn w:val="Normal"/>
    <w:uiPriority w:val="23"/>
    <w:semiHidden/>
    <w:qFormat/>
    <w:rsid w:val="00046799"/>
    <w:pPr>
      <w:numPr>
        <w:numId w:val="7"/>
      </w:numPr>
      <w:spacing w:before="60" w:after="60"/>
    </w:pPr>
  </w:style>
  <w:style w:type="paragraph" w:customStyle="1" w:styleId="ECHRNumberedList2">
    <w:name w:val="ECHR_Numbered_List_2"/>
    <w:aliases w:val="_Num_2"/>
    <w:basedOn w:val="ECHRNumberedList1"/>
    <w:uiPriority w:val="23"/>
    <w:semiHidden/>
    <w:rsid w:val="00046799"/>
    <w:pPr>
      <w:numPr>
        <w:ilvl w:val="1"/>
      </w:numPr>
    </w:pPr>
  </w:style>
  <w:style w:type="paragraph" w:customStyle="1" w:styleId="ECHRNumberedList3">
    <w:name w:val="ECHR_Numbered_List_3"/>
    <w:aliases w:val="_Num_3"/>
    <w:basedOn w:val="ECHRNumberedList2"/>
    <w:uiPriority w:val="23"/>
    <w:semiHidden/>
    <w:rsid w:val="00046799"/>
    <w:pPr>
      <w:numPr>
        <w:ilvl w:val="2"/>
      </w:numPr>
    </w:pPr>
  </w:style>
  <w:style w:type="paragraph" w:customStyle="1" w:styleId="ECHRPlaceholder">
    <w:name w:val="ECHR_Placeholder"/>
    <w:aliases w:val="_Placeholder"/>
    <w:basedOn w:val="JuSigned"/>
    <w:uiPriority w:val="31"/>
    <w:rsid w:val="00046799"/>
    <w:rPr>
      <w:color w:val="FFFFFF"/>
    </w:rPr>
  </w:style>
  <w:style w:type="character" w:customStyle="1" w:styleId="ECHRRed">
    <w:name w:val="ECHR_Red"/>
    <w:aliases w:val="_Red"/>
    <w:basedOn w:val="DefaultParagraphFont"/>
    <w:uiPriority w:val="15"/>
    <w:semiHidden/>
    <w:qFormat/>
    <w:rsid w:val="00046799"/>
    <w:rPr>
      <w:color w:val="C00000" w:themeColor="accent2"/>
    </w:rPr>
  </w:style>
  <w:style w:type="paragraph" w:customStyle="1" w:styleId="ECHRHeaderDate">
    <w:name w:val="ECHR_Header_Date"/>
    <w:aliases w:val="_Ref_Date"/>
    <w:basedOn w:val="Normal"/>
    <w:uiPriority w:val="44"/>
    <w:semiHidden/>
    <w:qFormat/>
    <w:rsid w:val="00046799"/>
    <w:pPr>
      <w:jc w:val="right"/>
    </w:pPr>
    <w:rPr>
      <w:sz w:val="20"/>
    </w:rPr>
  </w:style>
  <w:style w:type="paragraph" w:customStyle="1" w:styleId="ECHRHeaderRefIt">
    <w:name w:val="ECHR_Header_Ref_It"/>
    <w:aliases w:val="_Ref_Ital"/>
    <w:basedOn w:val="Normal"/>
    <w:next w:val="ECHRHeaderDate"/>
    <w:uiPriority w:val="43"/>
    <w:semiHidden/>
    <w:qFormat/>
    <w:rsid w:val="00046799"/>
    <w:pPr>
      <w:jc w:val="right"/>
    </w:pPr>
    <w:rPr>
      <w:i/>
      <w:sz w:val="20"/>
    </w:rPr>
  </w:style>
  <w:style w:type="paragraph" w:customStyle="1" w:styleId="ECHRSpacer">
    <w:name w:val="ECHR_Spacer"/>
    <w:aliases w:val="_Spacer"/>
    <w:basedOn w:val="Normal"/>
    <w:uiPriority w:val="45"/>
    <w:semiHidden/>
    <w:rsid w:val="00046799"/>
    <w:rPr>
      <w:sz w:val="4"/>
    </w:rPr>
  </w:style>
  <w:style w:type="paragraph" w:customStyle="1" w:styleId="ECHRTitleCentre1">
    <w:name w:val="ECHR_Title_Centre_1"/>
    <w:aliases w:val="_Title_C_1"/>
    <w:basedOn w:val="Normal"/>
    <w:next w:val="Normal"/>
    <w:uiPriority w:val="26"/>
    <w:semiHidden/>
    <w:qFormat/>
    <w:rsid w:val="0004679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4679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4679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46799"/>
    <w:pPr>
      <w:outlineLvl w:val="0"/>
    </w:pPr>
  </w:style>
  <w:style w:type="paragraph" w:customStyle="1" w:styleId="ECHRTitle1">
    <w:name w:val="ECHR_Title_1"/>
    <w:aliases w:val="_Title_L_1"/>
    <w:basedOn w:val="Normal"/>
    <w:next w:val="Normal"/>
    <w:uiPriority w:val="28"/>
    <w:semiHidden/>
    <w:qFormat/>
    <w:rsid w:val="0004679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4679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46799"/>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046799"/>
    <w:pPr>
      <w:outlineLvl w:val="0"/>
    </w:pPr>
  </w:style>
  <w:style w:type="table" w:customStyle="1" w:styleId="ECHRTable2">
    <w:name w:val="ECHR_Table_2"/>
    <w:basedOn w:val="TableNormal"/>
    <w:uiPriority w:val="99"/>
    <w:rsid w:val="0004679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467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leNormal"/>
    <w:uiPriority w:val="99"/>
    <w:rsid w:val="0004679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styleId="NoteHeading">
    <w:name w:val="Note Heading"/>
    <w:basedOn w:val="Normal"/>
    <w:next w:val="Normal"/>
    <w:link w:val="NoteHeadingChar"/>
    <w:uiPriority w:val="98"/>
    <w:semiHidden/>
    <w:rsid w:val="00046799"/>
  </w:style>
  <w:style w:type="character" w:customStyle="1" w:styleId="NoteHeadingChar">
    <w:name w:val="Note Heading Char"/>
    <w:basedOn w:val="DefaultParagraphFont"/>
    <w:link w:val="NoteHeading"/>
    <w:uiPriority w:val="98"/>
    <w:semiHidden/>
    <w:rsid w:val="00046799"/>
    <w:rPr>
      <w:sz w:val="24"/>
      <w:szCs w:val="24"/>
      <w:lang w:val="en-GB"/>
    </w:rPr>
  </w:style>
  <w:style w:type="character" w:customStyle="1" w:styleId="JuParaChar">
    <w:name w:val="Ju_Para Char"/>
    <w:aliases w:val="_Para Char"/>
    <w:link w:val="JuPara"/>
    <w:uiPriority w:val="4"/>
    <w:rsid w:val="00B949B1"/>
    <w:rPr>
      <w:sz w:val="24"/>
      <w:szCs w:val="24"/>
      <w:lang w:val="en-GB"/>
    </w:rPr>
  </w:style>
  <w:style w:type="table" w:styleId="GridTable1Light-Accent1">
    <w:name w:val="Grid Table 1 Light Accent 1"/>
    <w:basedOn w:val="TableNormal"/>
    <w:uiPriority w:val="46"/>
    <w:semiHidden/>
    <w:rsid w:val="0098631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8631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8631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8631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8631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8631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8631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8631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8631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8631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8631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8631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8631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863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8631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8631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8631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8631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8631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8631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863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8631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8631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8631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8631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8631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8631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863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863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863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863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863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863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863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863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8631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8631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8631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8631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8631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8631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863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8631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8631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8631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8631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8631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8631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986318"/>
    <w:rPr>
      <w:color w:val="2B579A"/>
      <w:shd w:val="clear" w:color="auto" w:fill="E1DFDD"/>
    </w:rPr>
  </w:style>
  <w:style w:type="table" w:styleId="ListTable1Light">
    <w:name w:val="List Table 1 Light"/>
    <w:basedOn w:val="TableNormal"/>
    <w:uiPriority w:val="46"/>
    <w:semiHidden/>
    <w:rsid w:val="0098631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8631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8631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8631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8631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8631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8631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8631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8631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8631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8631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8631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8631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8631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8631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8631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8631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8631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8631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8631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8631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863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8631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8631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8631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8631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8631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8631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8631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8631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8631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8631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8631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8631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8631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8631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8631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8631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8631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8631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8631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8631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8631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8631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8631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8631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8631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8631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8631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986318"/>
    <w:rPr>
      <w:color w:val="2B579A"/>
      <w:shd w:val="clear" w:color="auto" w:fill="E1DFDD"/>
    </w:rPr>
  </w:style>
  <w:style w:type="table" w:styleId="PlainTable1">
    <w:name w:val="Plain Table 1"/>
    <w:basedOn w:val="TableNormal"/>
    <w:uiPriority w:val="41"/>
    <w:semiHidden/>
    <w:rsid w:val="0098631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863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863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863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863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986318"/>
    <w:rPr>
      <w:u w:val="dotted"/>
    </w:rPr>
  </w:style>
  <w:style w:type="character" w:customStyle="1" w:styleId="SmartLink">
    <w:name w:val="Smart Link"/>
    <w:basedOn w:val="DefaultParagraphFont"/>
    <w:uiPriority w:val="99"/>
    <w:semiHidden/>
    <w:unhideWhenUsed/>
    <w:rsid w:val="00986318"/>
    <w:rPr>
      <w:color w:val="0000FF"/>
      <w:u w:val="single"/>
      <w:shd w:val="clear" w:color="auto" w:fill="F3F2F1"/>
    </w:rPr>
  </w:style>
  <w:style w:type="table" w:styleId="TableGridLight">
    <w:name w:val="Grid Table Light"/>
    <w:basedOn w:val="TableNormal"/>
    <w:uiPriority w:val="40"/>
    <w:semiHidden/>
    <w:rsid w:val="0098631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98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i = " h t t p : / / w w w . w 3 . o r g / 2 0 0 1 / X M L S c h e m a - i n s t a n c e "   x m l n s : x s d = " h t t p : / / w w w . w 3 . o r g / 2 0 0 1 / X M L S c h e m a "   x m l n s = " h t t p : / / e c h r . c o e . i n t / t e m p l a t e / m e t a d a t a " >  
     < C o d e > D 2 . 0 < / C o d e >  
     < T i t l e > D E 2 . 0 a   J U D   S e c t i o n   -   C o v e r   p a g e   ( i f   c o n v e r s i o n   m a c r o   d o e s   n o t   w o r k ) < / T i t l e >  
     < L a n g u a g e s >  
         < s t r i n g > E N G < / s t r i n g >  
     < / L a n g u a g e s >  
     < T y p e > D O C < / T y p e >  
     < C a t e g o r y > A R R < / C a t e g o r y >  
     < I s L e g a l T e m p l a t e > t r u e < / I s L e g a l T e m p l a t e >  
     < I n d e x D a t e   x s i : n i l = " t r u e " / >  
     < E d i t D a t e   x s i : n i l = " t r u e " / >  
     < T a g s >  
         < s t r i n g > J U D < / s t r i n g >  
         < s t r i n g > c o v e r < / s t r i n g >  
     < / T a g s >  
     < C r i t e r i a G r o u p s >  
         < C r i t e r i a G r o u p >  
             < C r i t e r i a S e r i e s >  
                 < C r i t e r i a S e r i e >  
                     < P r o p e r t y > S o P < / P r o p e r t y >  
                     < V a l u e s >  
                         < s t r i n g > C * < / s t r i n g >  
                         < s t r i n g > D * < / s t r i n g >  
                     < / V a l u e s >  
                 < / C r i t e r i a S e r i e >  
                 < C r i t e r i a S e r i e >  
                     < P r o p e r t y > E v e n t s < / P r o p e r t y >  
                     < V a l u e s >  
                         < s t r i n g > A R R E T * < / s t r i n g >  
                     < / V a l u e s >  
                 < / C r i t e r i a S e r i e >  
             < / C r i t e r i a S e r i e s >  
         < / C r i t e r i a G r o u p >  
     < / C r i t e r i a G r o u p s > 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9B0DB-D946-4292-97A6-FD8515FDDF80}">
  <ds:schemaRefs>
    <ds:schemaRef ds:uri="http://www.w3.org/2001/XMLSchema"/>
    <ds:schemaRef ds:uri="http://echr.coe.int/template/metadata"/>
  </ds:schemaRefs>
</ds:datastoreItem>
</file>

<file path=customXml/itemProps2.xml><?xml version="1.0" encoding="utf-8"?>
<ds:datastoreItem xmlns:ds="http://schemas.openxmlformats.org/officeDocument/2006/customXml" ds:itemID="{1366635C-1AB9-4B00-85C4-F68A6517C9B0}">
  <ds:schemaRefs>
    <ds:schemaRef ds:uri="http://schemas.openxmlformats.org/officeDocument/2006/bibliography"/>
  </ds:schemaRefs>
</ds:datastoreItem>
</file>

<file path=customXml/itemProps3.xml><?xml version="1.0" encoding="utf-8"?>
<ds:datastoreItem xmlns:ds="http://schemas.openxmlformats.org/officeDocument/2006/customXml" ds:itemID="{87A4475C-8B8A-4882-9DCC-B32B8E32D400}"/>
</file>

<file path=customXml/itemProps4.xml><?xml version="1.0" encoding="utf-8"?>
<ds:datastoreItem xmlns:ds="http://schemas.openxmlformats.org/officeDocument/2006/customXml" ds:itemID="{2B2675AE-32EC-4FF5-96CA-E283268E7B26}"/>
</file>

<file path=customXml/itemProps5.xml><?xml version="1.0" encoding="utf-8"?>
<ds:datastoreItem xmlns:ds="http://schemas.openxmlformats.org/officeDocument/2006/customXml" ds:itemID="{DBC2A2BA-FF46-4711-8FCC-10EF3C627574}"/>
</file>

<file path=docProps/app.xml><?xml version="1.0" encoding="utf-8"?>
<Properties xmlns="http://schemas.openxmlformats.org/officeDocument/2006/extended-properties" xmlns:vt="http://schemas.openxmlformats.org/officeDocument/2006/docPropsVTypes">
  <Template>Normal.dotm</Template>
  <TotalTime>0</TotalTime>
  <Pages>1</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DE2.0a</vt:lpstr>
    </vt:vector>
  </TitlesOfParts>
  <Manager/>
  <Company/>
  <LinksUpToDate>false</LinksUpToDate>
  <CharactersWithSpaces>20701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2021-08-31T07:50:00Z</dcterms:created>
  <dcterms:modified xsi:type="dcterms:W3CDTF">2021-08-31T07:50:00Z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27994/19</vt:lpwstr>
  </property>
  <property fmtid="{D5CDD505-2E9C-101B-9397-08002B2CF9AE}" pid="4" name="CASEID">
    <vt:lpwstr>1456019</vt:lpwstr>
  </property>
  <property fmtid="{D5CDD505-2E9C-101B-9397-08002B2CF9AE}" pid="5" name="ContentTypeId">
    <vt:lpwstr>0x010100558EB02BDB9E204AB350EDD385B68E10</vt:lpwstr>
  </property>
</Properties>
</file>