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4B04" w:rsidR="00662B04" w:rsidP="00884B04" w:rsidRDefault="00662B04" w14:paraId="35C09C20" w14:textId="5A937E0B">
      <w:pPr>
        <w:jc w:val="center"/>
        <w:rPr>
          <w:rFonts w:ascii="Times New Roman" w:hAnsi="Times New Roman" w:cs="Times New Roman"/>
        </w:rPr>
      </w:pPr>
    </w:p>
    <w:p w:rsidRPr="00884B04" w:rsidR="00353C80" w:rsidP="00884B04" w:rsidRDefault="00353C80" w14:paraId="67574CE0" w14:textId="77777777">
      <w:pPr>
        <w:jc w:val="center"/>
        <w:rPr>
          <w:rFonts w:ascii="Times New Roman" w:hAnsi="Times New Roman" w:cs="Times New Roman"/>
        </w:rPr>
      </w:pPr>
    </w:p>
    <w:p w:rsidRPr="00884B04" w:rsidR="0098410D" w:rsidP="00884B04" w:rsidRDefault="0098410D" w14:paraId="393250DE" w14:textId="77777777">
      <w:pPr>
        <w:jc w:val="center"/>
      </w:pPr>
    </w:p>
    <w:p w:rsidRPr="00884B04" w:rsidR="0098410D" w:rsidP="00884B04" w:rsidRDefault="00662B04" w14:paraId="5A5514F0" w14:textId="77777777">
      <w:pPr>
        <w:pStyle w:val="DecHCase"/>
      </w:pPr>
      <w:r w:rsidRPr="00884B04">
        <w:t>THIRD SECTION</w:t>
      </w:r>
    </w:p>
    <w:p w:rsidRPr="00884B04" w:rsidR="008E6217" w:rsidP="00884B04" w:rsidRDefault="008E6217" w14:paraId="0D110F30" w14:textId="77777777">
      <w:pPr>
        <w:pStyle w:val="JuTitle"/>
      </w:pPr>
      <w:bookmarkStart w:name="To" w:id="0"/>
      <w:r w:rsidRPr="00884B04">
        <w:rPr>
          <w:color w:val="000000" w:themeColor="text1"/>
        </w:rPr>
        <w:t xml:space="preserve">CASE OF </w:t>
      </w:r>
      <w:bookmarkEnd w:id="0"/>
      <w:r w:rsidRPr="00884B04" w:rsidR="00662B04">
        <w:t>CARTER</w:t>
      </w:r>
      <w:r w:rsidRPr="00884B04" w:rsidR="00F42FFF">
        <w:t xml:space="preserve"> v. R</w:t>
      </w:r>
      <w:r w:rsidRPr="00884B04" w:rsidR="00662B04">
        <w:t>USSIA</w:t>
      </w:r>
    </w:p>
    <w:p w:rsidRPr="00884B04" w:rsidR="00D74888" w:rsidP="00884B04" w:rsidRDefault="008E6217" w14:paraId="6280494D" w14:textId="77777777">
      <w:pPr>
        <w:pStyle w:val="ECHRCoverTitle4"/>
      </w:pPr>
      <w:r w:rsidRPr="00884B04">
        <w:t>(</w:t>
      </w:r>
      <w:r w:rsidRPr="00884B04" w:rsidR="00662B04">
        <w:t xml:space="preserve">Application </w:t>
      </w:r>
      <w:r w:rsidRPr="00884B04" w:rsidR="00F42FFF">
        <w:t>no. 2</w:t>
      </w:r>
      <w:r w:rsidRPr="00884B04" w:rsidR="00662B04">
        <w:t>0914/07</w:t>
      </w:r>
      <w:r w:rsidRPr="00884B04">
        <w:t>)</w:t>
      </w:r>
    </w:p>
    <w:p w:rsidRPr="00884B04" w:rsidR="0098410D" w:rsidP="00884B04" w:rsidRDefault="0098410D" w14:paraId="6E88F6E5" w14:textId="77777777">
      <w:pPr>
        <w:pStyle w:val="DecHCase"/>
      </w:pPr>
    </w:p>
    <w:p w:rsidRPr="00884B04" w:rsidR="0098410D" w:rsidP="00884B04" w:rsidRDefault="0098410D" w14:paraId="1774ACED" w14:textId="77777777">
      <w:pPr>
        <w:pStyle w:val="DecHCase"/>
      </w:pPr>
    </w:p>
    <w:p w:rsidRPr="00884B04" w:rsidR="00AC4CD4" w:rsidP="00884B04" w:rsidRDefault="00AC4CD4" w14:paraId="721AABC7" w14:textId="77777777">
      <w:pPr>
        <w:pStyle w:val="DecHCase"/>
      </w:pPr>
    </w:p>
    <w:p w:rsidRPr="00884B04" w:rsidR="00DE1693" w:rsidP="00884B04" w:rsidRDefault="0098410D" w14:paraId="603E7755" w14:textId="77777777">
      <w:pPr>
        <w:pStyle w:val="DecHCase"/>
      </w:pPr>
      <w:r w:rsidRPr="00884B04">
        <w:t>JUDGMENT</w:t>
      </w:r>
      <w:r w:rsidRPr="00884B04" w:rsidR="00AC4CD4">
        <w:br/>
      </w:r>
    </w:p>
    <w:p w:rsidRPr="00884B04" w:rsidR="00884B04" w:rsidP="00884B04" w:rsidRDefault="00DE1693" w14:paraId="7B04607B" w14:textId="77777777">
      <w:pPr>
        <w:pBdr>
          <w:top w:val="single" w:color="auto" w:sz="4" w:space="1"/>
          <w:left w:val="single" w:color="auto" w:sz="4" w:space="4"/>
          <w:bottom w:val="single" w:color="auto" w:sz="4" w:space="1"/>
          <w:right w:val="single" w:color="auto" w:sz="4" w:space="4"/>
        </w:pBdr>
        <w:jc w:val="both"/>
      </w:pPr>
      <w:r w:rsidRPr="00884B04">
        <w:t>Art 2 (substantive) • Life • Poisoning and assassination of a Russian defector and dissident in the United Kingdom by two persons acting as agents of Russia • Administration of poison amounting to the exercise of physical power and control over the man</w:t>
      </w:r>
      <w:r w:rsidRPr="00884B04" w:rsidR="00884B04">
        <w:t>’</w:t>
      </w:r>
      <w:r w:rsidRPr="00884B04">
        <w:t>s life in a situation of proximate targeting</w:t>
      </w:r>
    </w:p>
    <w:p w:rsidRPr="00884B04" w:rsidR="00DE1693" w:rsidP="00884B04" w:rsidRDefault="00DE1693" w14:paraId="72CEFF13" w14:textId="1E0D3058">
      <w:pPr>
        <w:pBdr>
          <w:top w:val="single" w:color="auto" w:sz="4" w:space="1"/>
          <w:left w:val="single" w:color="auto" w:sz="4" w:space="4"/>
          <w:bottom w:val="single" w:color="auto" w:sz="4" w:space="1"/>
          <w:right w:val="single" w:color="auto" w:sz="4" w:space="4"/>
        </w:pBdr>
        <w:jc w:val="both"/>
      </w:pPr>
      <w:r w:rsidRPr="00884B04">
        <w:t>Art 2 (procedural) • Domestic authorities</w:t>
      </w:r>
      <w:r w:rsidRPr="00884B04" w:rsidR="00884B04">
        <w:t>’</w:t>
      </w:r>
      <w:r w:rsidRPr="00884B04">
        <w:t xml:space="preserve"> failure to conduct an effective investigation into the death</w:t>
      </w:r>
    </w:p>
    <w:p w:rsidRPr="00884B04" w:rsidR="00DE1693" w:rsidP="00884B04" w:rsidRDefault="00DE1693" w14:paraId="372B56B1" w14:textId="77777777">
      <w:pPr>
        <w:pStyle w:val="DecHCase"/>
      </w:pPr>
    </w:p>
    <w:p w:rsidRPr="00884B04" w:rsidR="0098410D" w:rsidP="00884B04" w:rsidRDefault="0098410D" w14:paraId="30710DD0" w14:textId="14A982B8">
      <w:pPr>
        <w:pStyle w:val="DecHCase"/>
      </w:pPr>
    </w:p>
    <w:p w:rsidRPr="00884B04" w:rsidR="0098410D" w:rsidP="00884B04" w:rsidRDefault="0098410D" w14:paraId="7C2BC01F" w14:textId="77777777">
      <w:pPr>
        <w:pStyle w:val="DecHCase"/>
      </w:pPr>
      <w:r w:rsidRPr="00884B04">
        <w:t>STRASBOURG</w:t>
      </w:r>
    </w:p>
    <w:p w:rsidRPr="00884B04" w:rsidR="0098410D" w:rsidP="00884B04" w:rsidRDefault="004F7C0B" w14:paraId="3576641E" w14:textId="77777777">
      <w:pPr>
        <w:pStyle w:val="DecHCase"/>
      </w:pPr>
      <w:bookmarkStart w:name="judgmentdate" w:id="1"/>
      <w:r w:rsidRPr="00884B04">
        <w:rPr>
          <w:rFonts w:ascii="Times New Roman" w:hAnsi="Times New Roman" w:cs="Times New Roman"/>
        </w:rPr>
        <w:t>21</w:t>
      </w:r>
      <w:r w:rsidRPr="00884B04" w:rsidR="00F42FFF">
        <w:rPr>
          <w:rFonts w:ascii="Times New Roman" w:hAnsi="Times New Roman" w:cs="Times New Roman"/>
        </w:rPr>
        <w:t xml:space="preserve"> </w:t>
      </w:r>
      <w:r w:rsidRPr="00884B04" w:rsidR="007E7025">
        <w:rPr>
          <w:rFonts w:ascii="Times New Roman" w:hAnsi="Times New Roman" w:cs="Times New Roman"/>
        </w:rPr>
        <w:t>September 2021</w:t>
      </w:r>
      <w:bookmarkEnd w:id="1"/>
    </w:p>
    <w:p w:rsidRPr="00884B04" w:rsidR="00862919" w:rsidP="00884B04" w:rsidRDefault="0098410D" w14:paraId="48BFF52A" w14:textId="2E6E419F">
      <w:pPr>
        <w:rPr>
          <w:i/>
          <w:sz w:val="22"/>
        </w:rPr>
      </w:pPr>
      <w:r w:rsidRPr="00884B04">
        <w:rPr>
          <w:i/>
          <w:sz w:val="22"/>
        </w:rPr>
        <w:t xml:space="preserve">This judgment </w:t>
      </w:r>
      <w:r w:rsidRPr="00884B04" w:rsidR="00662B04">
        <w:rPr>
          <w:i/>
          <w:sz w:val="22"/>
        </w:rPr>
        <w:t xml:space="preserve">will become final in the circumstances set out in </w:t>
      </w:r>
      <w:r w:rsidRPr="00884B04" w:rsidR="00F42FFF">
        <w:rPr>
          <w:i/>
          <w:sz w:val="22"/>
        </w:rPr>
        <w:t>Article 4</w:t>
      </w:r>
      <w:r w:rsidRPr="00884B04" w:rsidR="00662B04">
        <w:rPr>
          <w:i/>
          <w:sz w:val="22"/>
        </w:rPr>
        <w:t xml:space="preserve">4 </w:t>
      </w:r>
      <w:r w:rsidRPr="00884B04" w:rsidR="00F42FFF">
        <w:rPr>
          <w:i/>
          <w:sz w:val="22"/>
        </w:rPr>
        <w:t>§ 2</w:t>
      </w:r>
      <w:r w:rsidRPr="00884B04" w:rsidR="00662B04">
        <w:rPr>
          <w:i/>
          <w:sz w:val="22"/>
        </w:rPr>
        <w:t xml:space="preserve"> of the Convention. It</w:t>
      </w:r>
      <w:r w:rsidRPr="00884B04">
        <w:rPr>
          <w:i/>
          <w:sz w:val="22"/>
        </w:rPr>
        <w:t xml:space="preserve"> may be subject to editorial revision.</w:t>
      </w:r>
    </w:p>
    <w:p w:rsidRPr="00884B04" w:rsidR="00862919" w:rsidP="00884B04" w:rsidRDefault="00862919" w14:paraId="072D317D" w14:textId="77777777">
      <w:pPr>
        <w:sectPr w:rsidRPr="00884B04" w:rsidR="00862919"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84B04" w:rsidR="0098410D" w:rsidP="00884B04" w:rsidRDefault="0098410D" w14:paraId="6BD04B18" w14:textId="77777777">
      <w:pPr>
        <w:pStyle w:val="JuCase"/>
      </w:pPr>
      <w:r w:rsidRPr="00884B04">
        <w:t xml:space="preserve">In the case of </w:t>
      </w:r>
      <w:r w:rsidRPr="00884B04" w:rsidR="00662B04">
        <w:t>Carter</w:t>
      </w:r>
      <w:r w:rsidRPr="00884B04" w:rsidR="00F42FFF">
        <w:t xml:space="preserve"> v. R</w:t>
      </w:r>
      <w:r w:rsidRPr="00884B04" w:rsidR="00662B04">
        <w:t>ussia</w:t>
      </w:r>
      <w:r w:rsidRPr="00884B04">
        <w:t>,</w:t>
      </w:r>
    </w:p>
    <w:p w:rsidRPr="00884B04" w:rsidR="009F4C8F" w:rsidP="00884B04" w:rsidRDefault="009F4C8F" w14:paraId="30DDCAE3" w14:textId="77777777">
      <w:pPr>
        <w:pStyle w:val="JuPara"/>
      </w:pPr>
      <w:r w:rsidRPr="00884B04">
        <w:t>The European Court of Human Rights (</w:t>
      </w:r>
      <w:r w:rsidRPr="00884B04" w:rsidR="00662B04">
        <w:t>Third Section</w:t>
      </w:r>
      <w:r w:rsidRPr="00884B04">
        <w:t xml:space="preserve">), sitting as a </w:t>
      </w:r>
      <w:r w:rsidRPr="00884B04" w:rsidR="00662B04">
        <w:t>Chamber</w:t>
      </w:r>
      <w:r w:rsidRPr="00884B04">
        <w:t xml:space="preserve"> composed of:</w:t>
      </w:r>
    </w:p>
    <w:p w:rsidRPr="00884B04" w:rsidR="009F4C8F" w:rsidP="00884B04" w:rsidRDefault="009E0C03" w14:paraId="47BD20FC" w14:textId="77777777">
      <w:pPr>
        <w:pStyle w:val="JuJudges"/>
      </w:pPr>
      <w:r w:rsidRPr="00884B04">
        <w:tab/>
        <w:t>Paul Lemmens,</w:t>
      </w:r>
      <w:r w:rsidRPr="00884B04">
        <w:rPr>
          <w:i/>
        </w:rPr>
        <w:t xml:space="preserve"> President,</w:t>
      </w:r>
      <w:r w:rsidRPr="00884B04">
        <w:rPr>
          <w:i/>
        </w:rPr>
        <w:br/>
      </w:r>
      <w:r w:rsidRPr="00884B04">
        <w:tab/>
        <w:t>Georgios A. Serghides,</w:t>
      </w:r>
      <w:r w:rsidRPr="00884B04">
        <w:rPr>
          <w:i/>
        </w:rPr>
        <w:br/>
      </w:r>
      <w:r w:rsidRPr="00884B04">
        <w:tab/>
        <w:t>Dmitry Dedov,</w:t>
      </w:r>
      <w:r w:rsidRPr="00884B04">
        <w:rPr>
          <w:i/>
        </w:rPr>
        <w:br/>
      </w:r>
      <w:r w:rsidRPr="00884B04">
        <w:tab/>
        <w:t>Georges Ravarani,</w:t>
      </w:r>
      <w:r w:rsidRPr="00884B04">
        <w:rPr>
          <w:i/>
        </w:rPr>
        <w:br/>
      </w:r>
      <w:r w:rsidRPr="00884B04">
        <w:tab/>
        <w:t>Darian Pavli,</w:t>
      </w:r>
      <w:r w:rsidRPr="00884B04">
        <w:rPr>
          <w:i/>
        </w:rPr>
        <w:br/>
      </w:r>
      <w:r w:rsidRPr="00884B04">
        <w:tab/>
        <w:t>Anja Seibert-Fohr,</w:t>
      </w:r>
      <w:r w:rsidRPr="00884B04">
        <w:rPr>
          <w:i/>
        </w:rPr>
        <w:br/>
      </w:r>
      <w:r w:rsidRPr="00884B04">
        <w:tab/>
        <w:t>Peeter Roosma,</w:t>
      </w:r>
      <w:r w:rsidRPr="00884B04">
        <w:rPr>
          <w:i/>
        </w:rPr>
        <w:t xml:space="preserve"> judges,</w:t>
      </w:r>
      <w:r w:rsidRPr="00884B04" w:rsidR="009F4C8F">
        <w:br/>
        <w:t xml:space="preserve">and </w:t>
      </w:r>
      <w:r w:rsidRPr="00884B04" w:rsidR="00662B04">
        <w:t>Milan Blaško</w:t>
      </w:r>
      <w:r w:rsidRPr="00884B04" w:rsidR="009F4C8F">
        <w:t xml:space="preserve">, </w:t>
      </w:r>
      <w:r w:rsidRPr="00884B04" w:rsidR="00662B04">
        <w:rPr>
          <w:i/>
        </w:rPr>
        <w:t xml:space="preserve">Section </w:t>
      </w:r>
      <w:r w:rsidRPr="00884B04" w:rsidR="00662B04">
        <w:rPr>
          <w:i/>
          <w:iCs/>
        </w:rPr>
        <w:t>Registrar</w:t>
      </w:r>
      <w:r w:rsidRPr="00884B04" w:rsidR="009F4C8F">
        <w:rPr>
          <w:i/>
        </w:rPr>
        <w:t>,</w:t>
      </w:r>
    </w:p>
    <w:p w:rsidRPr="00884B04" w:rsidR="00662B04" w:rsidP="00884B04" w:rsidRDefault="00662B04" w14:paraId="3DA73811" w14:textId="77777777">
      <w:pPr>
        <w:pStyle w:val="JuPara"/>
      </w:pPr>
      <w:r w:rsidRPr="00884B04">
        <w:t>Having regard to:</w:t>
      </w:r>
    </w:p>
    <w:p w:rsidRPr="00884B04" w:rsidR="00662B04" w:rsidP="00884B04" w:rsidRDefault="00662B04" w14:paraId="531EB9D1" w14:textId="77777777">
      <w:pPr>
        <w:pStyle w:val="JuPara"/>
      </w:pPr>
      <w:r w:rsidRPr="00884B04">
        <w:t xml:space="preserve">the application against the Russian Federation lodged with the Court under </w:t>
      </w:r>
      <w:r w:rsidRPr="00884B04" w:rsidR="00F42FFF">
        <w:t>Article 3</w:t>
      </w:r>
      <w:r w:rsidRPr="00884B04">
        <w:t xml:space="preserve">4 of the Convention for the Protection of Human Rights and Fundamental Freedoms (“the Convention”) by a British and Russian national, </w:t>
      </w:r>
      <w:r w:rsidRPr="00884B04" w:rsidR="00F42FFF">
        <w:t>Ms M</w:t>
      </w:r>
      <w:r w:rsidRPr="00884B04">
        <w:t xml:space="preserve">aria Anna Carter aka Marina Anatolyevna Litvinenko (“the applicant”), on </w:t>
      </w:r>
      <w:r w:rsidRPr="00884B04" w:rsidR="00F42FFF">
        <w:t>21 May 2007</w:t>
      </w:r>
      <w:r w:rsidRPr="00884B04">
        <w:t>;</w:t>
      </w:r>
    </w:p>
    <w:p w:rsidRPr="00884B04" w:rsidR="007E7025" w:rsidP="00884B04" w:rsidRDefault="00662B04" w14:paraId="5CCB785E" w14:textId="77777777">
      <w:pPr>
        <w:pStyle w:val="JuPara"/>
      </w:pPr>
      <w:r w:rsidRPr="00884B04">
        <w:t xml:space="preserve">the decision to give </w:t>
      </w:r>
      <w:r w:rsidRPr="00884B04" w:rsidR="007E7025">
        <w:t>notice of the application to the Russian Government (“the Government”);</w:t>
      </w:r>
    </w:p>
    <w:p w:rsidRPr="00884B04" w:rsidR="007E7025" w:rsidP="00884B04" w:rsidRDefault="007E7025" w14:paraId="04D58824" w14:textId="77777777">
      <w:pPr>
        <w:pStyle w:val="JuPara"/>
      </w:pPr>
      <w:r w:rsidRPr="00884B04">
        <w:t>the decision by the United Kingdom Government not to exercise their right to intervene in the proceedings;</w:t>
      </w:r>
    </w:p>
    <w:p w:rsidRPr="00884B04" w:rsidR="007E7025" w:rsidP="00884B04" w:rsidRDefault="007E7025" w14:paraId="0ED48654" w14:textId="0370B673">
      <w:pPr>
        <w:pStyle w:val="JuPara"/>
      </w:pPr>
      <w:r w:rsidRPr="00884B04">
        <w:t>the parties</w:t>
      </w:r>
      <w:r w:rsidRPr="00884B04" w:rsidR="00884B04">
        <w:t>’</w:t>
      </w:r>
      <w:r w:rsidRPr="00884B04">
        <w:t xml:space="preserve"> observations and the United Kingdom Government</w:t>
      </w:r>
      <w:r w:rsidRPr="00884B04" w:rsidR="00884B04">
        <w:t>’</w:t>
      </w:r>
      <w:r w:rsidRPr="00884B04">
        <w:t>s reply to the Court</w:t>
      </w:r>
      <w:r w:rsidRPr="00884B04" w:rsidR="00884B04">
        <w:t>’</w:t>
      </w:r>
      <w:r w:rsidRPr="00884B04">
        <w:t>s questions;</w:t>
      </w:r>
    </w:p>
    <w:p w:rsidRPr="00884B04" w:rsidR="007E7025" w:rsidP="00884B04" w:rsidRDefault="007E7025" w14:paraId="0A31EF4E" w14:textId="77777777">
      <w:pPr>
        <w:pStyle w:val="JuPara"/>
      </w:pPr>
      <w:r w:rsidRPr="00884B04">
        <w:t>the decision to consider the admissibility and merits of the case together;</w:t>
      </w:r>
    </w:p>
    <w:p w:rsidRPr="00884B04" w:rsidR="007E7025" w:rsidP="00884B04" w:rsidRDefault="007E7025" w14:paraId="38B62BF3" w14:textId="19CBEE1C">
      <w:pPr>
        <w:pStyle w:val="JuPara"/>
      </w:pPr>
      <w:r w:rsidRPr="00884B04">
        <w:t>the decision to refuse the applicant</w:t>
      </w:r>
      <w:r w:rsidRPr="00884B04" w:rsidR="00884B04">
        <w:t>’</w:t>
      </w:r>
      <w:r w:rsidRPr="00884B04">
        <w:t>s request for an oral hearing;</w:t>
      </w:r>
    </w:p>
    <w:p w:rsidRPr="00884B04" w:rsidR="007E7025" w:rsidP="00884B04" w:rsidRDefault="007E7025" w14:paraId="3FC0CDFD" w14:textId="53152CBF">
      <w:pPr>
        <w:pStyle w:val="JuPara"/>
      </w:pPr>
      <w:r w:rsidRPr="00884B04">
        <w:t>the decision to refuse the applicant</w:t>
      </w:r>
      <w:r w:rsidRPr="00884B04" w:rsidR="00884B04">
        <w:t>’</w:t>
      </w:r>
      <w:r w:rsidRPr="00884B04">
        <w:t>s request for relinquishing jurisdiction to the Grand Chamber;</w:t>
      </w:r>
    </w:p>
    <w:p w:rsidRPr="00884B04" w:rsidR="007E7025" w:rsidP="00884B04" w:rsidRDefault="007E7025" w14:paraId="62AB2C0A" w14:textId="77777777">
      <w:pPr>
        <w:pStyle w:val="JuPara"/>
      </w:pPr>
      <w:r w:rsidRPr="00884B04">
        <w:t xml:space="preserve">Having deliberated in private on 18 May and </w:t>
      </w:r>
      <w:r w:rsidRPr="00884B04" w:rsidR="00F42FFF">
        <w:t>22 June 2021</w:t>
      </w:r>
      <w:r w:rsidRPr="00884B04">
        <w:t>,</w:t>
      </w:r>
    </w:p>
    <w:p w:rsidRPr="00884B04" w:rsidR="007E7025" w:rsidP="00884B04" w:rsidRDefault="007E7025" w14:paraId="5BC56043" w14:textId="777BDFF3">
      <w:pPr>
        <w:pStyle w:val="JuPara"/>
      </w:pPr>
      <w:r w:rsidRPr="00884B04">
        <w:t>Delivers the following judgment, which was adopted on th</w:t>
      </w:r>
      <w:r w:rsidRPr="00884B04" w:rsidR="00FB2780">
        <w:t>e last</w:t>
      </w:r>
      <w:r w:rsidRPr="00884B04" w:rsidR="00B6340B">
        <w:noBreakHyphen/>
      </w:r>
      <w:r w:rsidRPr="00884B04" w:rsidR="00FB2780">
        <w:t>mentioned</w:t>
      </w:r>
      <w:r w:rsidRPr="00884B04">
        <w:t xml:space="preserve"> date:</w:t>
      </w:r>
    </w:p>
    <w:p w:rsidRPr="00884B04" w:rsidR="007E7025" w:rsidP="00884B04" w:rsidRDefault="007E7025" w14:paraId="3E0AC202" w14:textId="77777777">
      <w:pPr>
        <w:pStyle w:val="JuHHead"/>
        <w:numPr>
          <w:ilvl w:val="0"/>
          <w:numId w:val="0"/>
        </w:numPr>
      </w:pPr>
      <w:r w:rsidRPr="00884B04">
        <w:t>INTRODUCTION</w:t>
      </w:r>
    </w:p>
    <w:p w:rsidRPr="00884B04" w:rsidR="00662B04" w:rsidP="00884B04" w:rsidRDefault="00EB7A47" w14:paraId="3DC18E22" w14:textId="50DC3364">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w:t>
      </w:r>
      <w:r>
        <w:rPr>
          <w:noProof/>
        </w:rPr>
        <w:fldChar w:fldCharType="end"/>
      </w:r>
      <w:r w:rsidRPr="00884B04" w:rsidR="007E7025">
        <w:t>.</w:t>
      </w:r>
      <w:r w:rsidRPr="00884B04" w:rsidR="00FD072F">
        <w:t>  </w:t>
      </w:r>
      <w:r w:rsidRPr="00884B04" w:rsidR="007E7025">
        <w:t>The case concerns the poisoning of the applicant</w:t>
      </w:r>
      <w:r w:rsidRPr="00884B04" w:rsidR="00884B04">
        <w:t>’</w:t>
      </w:r>
      <w:r w:rsidRPr="00884B04" w:rsidR="007E7025">
        <w:t>s husband, a Russian defector and dissident, in the United Kingdom.</w:t>
      </w:r>
      <w:r w:rsidRPr="00884B04" w:rsidR="00F42FFF">
        <w:t xml:space="preserve"> </w:t>
      </w:r>
      <w:r w:rsidRPr="00884B04" w:rsidR="00662B04">
        <w:t xml:space="preserve">The applicant alleges that the killing was perpetrated on the direction or with the acquiescence or </w:t>
      </w:r>
      <w:r w:rsidRPr="00884B04" w:rsidR="0068415D">
        <w:t>connivance</w:t>
      </w:r>
      <w:r w:rsidRPr="00884B04" w:rsidR="00662B04">
        <w:t xml:space="preserve"> of the Russian authorities and that the Russian authorities failed to conduct an effective domestic investigation into the murder.</w:t>
      </w:r>
    </w:p>
    <w:p w:rsidRPr="00884B04" w:rsidR="00662B04" w:rsidP="00884B04" w:rsidRDefault="00662B04" w14:paraId="45768C29" w14:textId="77777777">
      <w:pPr>
        <w:pStyle w:val="JuHHead"/>
      </w:pPr>
      <w:bookmarkStart w:name="_Ref61600345" w:id="2"/>
      <w:r w:rsidRPr="00884B04">
        <w:t>THE FACTS</w:t>
      </w:r>
      <w:bookmarkEnd w:id="2"/>
    </w:p>
    <w:p w:rsidRPr="00884B04" w:rsidR="00662B04" w:rsidP="00884B04" w:rsidRDefault="00662B04" w14:paraId="6FEBEA9E" w14:textId="7263328B">
      <w:pPr>
        <w:pStyle w:val="JuPara"/>
      </w:pPr>
      <w:r w:rsidRPr="00884B04">
        <w:fldChar w:fldCharType="begin"/>
      </w:r>
      <w:r w:rsidRPr="00884B04">
        <w:instrText xml:space="preserve"> SEQ level0 \*arabic </w:instrText>
      </w:r>
      <w:r w:rsidRPr="00884B04">
        <w:fldChar w:fldCharType="separate"/>
      </w:r>
      <w:r w:rsidRPr="00884B04" w:rsidR="00884B04">
        <w:rPr>
          <w:noProof/>
        </w:rPr>
        <w:t>2</w:t>
      </w:r>
      <w:r w:rsidRPr="00884B04">
        <w:fldChar w:fldCharType="end"/>
      </w:r>
      <w:r w:rsidRPr="00884B04">
        <w:t>.</w:t>
      </w:r>
      <w:r w:rsidRPr="00884B04" w:rsidR="00FD072F">
        <w:t>  </w:t>
      </w:r>
      <w:r w:rsidRPr="00884B04">
        <w:t xml:space="preserve">The applicant was born in 1962 and lives in the United Kingdom. She was represented before the Court by </w:t>
      </w:r>
      <w:r w:rsidRPr="00884B04" w:rsidR="00CB7A8A">
        <w:t>Sir</w:t>
      </w:r>
      <w:r w:rsidRPr="00884B04" w:rsidR="00C51126">
        <w:t xml:space="preserve"> </w:t>
      </w:r>
      <w:r w:rsidRPr="00884B04" w:rsidR="00F42FFF">
        <w:t>K</w:t>
      </w:r>
      <w:r w:rsidRPr="00884B04">
        <w:t xml:space="preserve">eir Starmer QC, </w:t>
      </w:r>
      <w:r w:rsidRPr="00884B04" w:rsidR="00F42FFF">
        <w:t>Mr</w:t>
      </w:r>
      <w:r w:rsidRPr="00884B04" w:rsidR="00C51126">
        <w:t xml:space="preserve"> </w:t>
      </w:r>
      <w:r w:rsidRPr="00884B04" w:rsidR="00F42FFF">
        <w:t>B</w:t>
      </w:r>
      <w:r w:rsidRPr="00884B04">
        <w:t xml:space="preserve">en Emmerson QC and Professor William Bowring, barristers practising in London, and </w:t>
      </w:r>
      <w:r w:rsidRPr="00884B04" w:rsidR="00F42FFF">
        <w:t>Ms L</w:t>
      </w:r>
      <w:r w:rsidRPr="00884B04">
        <w:t>ouise Christian, a solicitor.</w:t>
      </w:r>
    </w:p>
    <w:p w:rsidRPr="00884B04" w:rsidR="00662B04" w:rsidP="00884B04" w:rsidRDefault="00662B04" w14:paraId="4894948D" w14:textId="242B51B8">
      <w:pPr>
        <w:pStyle w:val="JuPara"/>
      </w:pPr>
      <w:r w:rsidRPr="00884B04">
        <w:fldChar w:fldCharType="begin"/>
      </w:r>
      <w:r w:rsidRPr="00884B04">
        <w:instrText xml:space="preserve"> SEQ level0 \*arabic </w:instrText>
      </w:r>
      <w:r w:rsidRPr="00884B04">
        <w:fldChar w:fldCharType="separate"/>
      </w:r>
      <w:r w:rsidRPr="00884B04" w:rsidR="00884B04">
        <w:rPr>
          <w:noProof/>
        </w:rPr>
        <w:t>3</w:t>
      </w:r>
      <w:r w:rsidRPr="00884B04">
        <w:fldChar w:fldCharType="end"/>
      </w:r>
      <w:r w:rsidRPr="00884B04">
        <w:t>.</w:t>
      </w:r>
      <w:r w:rsidRPr="00884B04" w:rsidR="00FD072F">
        <w:t>  </w:t>
      </w:r>
      <w:r w:rsidRPr="00884B04">
        <w:t xml:space="preserve">The Government were represented initially by </w:t>
      </w:r>
      <w:r w:rsidRPr="00884B04" w:rsidR="00F42FFF">
        <w:t>Mr G</w:t>
      </w:r>
      <w:r w:rsidRPr="00884B04">
        <w:t xml:space="preserve">. Matyushkin, the Representative of the Russian Federation to the European Court of Human Rights, and then by his successor in that office, </w:t>
      </w:r>
      <w:r w:rsidRPr="00884B04" w:rsidR="00F42FFF">
        <w:t>Mr M</w:t>
      </w:r>
      <w:r w:rsidRPr="00884B04">
        <w:t>. Galperin.</w:t>
      </w:r>
    </w:p>
    <w:p w:rsidRPr="00884B04" w:rsidR="00662B04" w:rsidP="00884B04" w:rsidRDefault="00662B04" w14:paraId="0713C775" w14:textId="68E97F3E">
      <w:pPr>
        <w:pStyle w:val="JuPara"/>
      </w:pPr>
      <w:r w:rsidRPr="00884B04">
        <w:fldChar w:fldCharType="begin"/>
      </w:r>
      <w:r w:rsidRPr="00884B04">
        <w:instrText xml:space="preserve"> SEQ level0 \*arabic </w:instrText>
      </w:r>
      <w:r w:rsidRPr="00884B04">
        <w:fldChar w:fldCharType="separate"/>
      </w:r>
      <w:r w:rsidRPr="00884B04" w:rsidR="00884B04">
        <w:rPr>
          <w:noProof/>
        </w:rPr>
        <w:t>4</w:t>
      </w:r>
      <w:r w:rsidRPr="00884B04">
        <w:fldChar w:fldCharType="end"/>
      </w:r>
      <w:r w:rsidRPr="00884B04">
        <w:t>.</w:t>
      </w:r>
      <w:r w:rsidRPr="00884B04" w:rsidR="00FD072F">
        <w:t>  </w:t>
      </w:r>
      <w:r w:rsidRPr="00884B04">
        <w:t>The facts of the case, as submitted by the parties and as appeared from the documents in the case file, may be summarised as follows.</w:t>
      </w:r>
    </w:p>
    <w:p w:rsidRPr="00884B04" w:rsidR="00662B04" w:rsidP="00884B04" w:rsidRDefault="00EA0AD1" w14:paraId="1CD78C01" w14:textId="77777777">
      <w:pPr>
        <w:pStyle w:val="JuHIRoman"/>
        <w:numPr>
          <w:ilvl w:val="0"/>
          <w:numId w:val="0"/>
        </w:numPr>
      </w:pPr>
      <w:r w:rsidRPr="00884B04">
        <w:rPr>
          <w:caps w:val="0"/>
        </w:rPr>
        <w:t>THE CIRCUMSTANCES OF THE CASE</w:t>
      </w:r>
    </w:p>
    <w:p w:rsidRPr="00884B04" w:rsidR="00662B04" w:rsidP="00884B04" w:rsidRDefault="00F42FFF" w14:paraId="1422B432" w14:textId="316DCD12">
      <w:pPr>
        <w:pStyle w:val="JuHA"/>
      </w:pPr>
      <w:r w:rsidRPr="00884B04">
        <w:t>Mr L</w:t>
      </w:r>
      <w:r w:rsidRPr="00884B04" w:rsidR="00662B04">
        <w:t>itvinenko</w:t>
      </w:r>
      <w:r w:rsidRPr="00884B04" w:rsidR="00884B04">
        <w:t>’</w:t>
      </w:r>
      <w:r w:rsidRPr="00884B04" w:rsidR="00662B04">
        <w:t>s background and life in the United Kingdom</w:t>
      </w:r>
    </w:p>
    <w:p w:rsidRPr="00884B04" w:rsidR="00662B04" w:rsidP="00884B04" w:rsidRDefault="00662B04" w14:paraId="12678DA0" w14:textId="277252FB">
      <w:pPr>
        <w:pStyle w:val="JuPara"/>
      </w:pPr>
      <w:r w:rsidRPr="00884B04">
        <w:fldChar w:fldCharType="begin"/>
      </w:r>
      <w:r w:rsidRPr="00884B04">
        <w:instrText xml:space="preserve"> SEQ level0 \*arabic </w:instrText>
      </w:r>
      <w:r w:rsidRPr="00884B04">
        <w:fldChar w:fldCharType="separate"/>
      </w:r>
      <w:r w:rsidRPr="00884B04" w:rsidR="00884B04">
        <w:rPr>
          <w:noProof/>
        </w:rPr>
        <w:t>5</w:t>
      </w:r>
      <w:r w:rsidRPr="00884B04">
        <w:fldChar w:fldCharType="end"/>
      </w:r>
      <w:r w:rsidRPr="00884B04">
        <w:t>.</w:t>
      </w:r>
      <w:r w:rsidRPr="00884B04" w:rsidR="00FD072F">
        <w:t>  </w:t>
      </w:r>
      <w:r w:rsidRPr="00884B04">
        <w:t xml:space="preserve">The applicant is the widow of </w:t>
      </w:r>
      <w:r w:rsidRPr="00884B04" w:rsidR="00F42FFF">
        <w:t>Mr A</w:t>
      </w:r>
      <w:r w:rsidRPr="00884B04">
        <w:t>leksandr Valterovich Litvinenko, a Russian and British national who was born in 1962.</w:t>
      </w:r>
    </w:p>
    <w:p w:rsidRPr="00884B04" w:rsidR="00662B04" w:rsidP="00884B04" w:rsidRDefault="00662B04" w14:paraId="29B0F417" w14:textId="0EFBC43A">
      <w:pPr>
        <w:pStyle w:val="JuPara"/>
      </w:pPr>
      <w:r w:rsidRPr="00884B04">
        <w:fldChar w:fldCharType="begin"/>
      </w:r>
      <w:r w:rsidRPr="00884B04">
        <w:instrText xml:space="preserve"> SEQ level0 \*arabic </w:instrText>
      </w:r>
      <w:r w:rsidRPr="00884B04">
        <w:fldChar w:fldCharType="separate"/>
      </w:r>
      <w:r w:rsidRPr="00884B04" w:rsidR="00884B04">
        <w:rPr>
          <w:noProof/>
        </w:rPr>
        <w:t>6</w:t>
      </w:r>
      <w:r w:rsidRPr="00884B04">
        <w:fldChar w:fldCharType="end"/>
      </w:r>
      <w:r w:rsidRPr="00884B04">
        <w:t>.</w:t>
      </w:r>
      <w:r w:rsidRPr="00884B04" w:rsidR="00FD072F">
        <w:t>  </w:t>
      </w:r>
      <w:r w:rsidRPr="00884B04">
        <w:t xml:space="preserve">From 1988 onwards </w:t>
      </w:r>
      <w:r w:rsidRPr="00884B04" w:rsidR="00F42FFF">
        <w:t>Mr L</w:t>
      </w:r>
      <w:r w:rsidRPr="00884B04">
        <w:t>itvinenko worked in the USSR Committee for State Security (KGB) and its successor agencies, including Russia</w:t>
      </w:r>
      <w:r w:rsidRPr="00884B04" w:rsidR="00884B04">
        <w:t>’</w:t>
      </w:r>
      <w:r w:rsidRPr="00884B04">
        <w:t xml:space="preserve">s Federal Security Service (FSB), initially in the organised crime unit and later at the anti-terrorism department. In 1994, whilst investigating an assassination attempt on </w:t>
      </w:r>
      <w:r w:rsidRPr="00884B04" w:rsidR="00F42FFF">
        <w:t>Mr B</w:t>
      </w:r>
      <w:r w:rsidRPr="00884B04">
        <w:t>oris Berezovskiy, a wealthy businessman and media tycoon, he developed a close friendship with him.</w:t>
      </w:r>
    </w:p>
    <w:p w:rsidRPr="00884B04" w:rsidR="00662B04" w:rsidP="00884B04" w:rsidRDefault="00EB7A47" w14:paraId="0490DC58" w14:textId="7F2E385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7</w:t>
      </w:r>
      <w:r>
        <w:rPr>
          <w:noProof/>
        </w:rPr>
        <w:fldChar w:fldCharType="end"/>
      </w:r>
      <w:r w:rsidRPr="00884B04" w:rsidR="00662B04">
        <w:t>.</w:t>
      </w:r>
      <w:r w:rsidRPr="00884B04" w:rsidR="00FD072F">
        <w:t>  </w:t>
      </w:r>
      <w:r w:rsidRPr="00884B04" w:rsidR="00662B04">
        <w:t xml:space="preserve">In 1997 </w:t>
      </w:r>
      <w:r w:rsidRPr="00884B04" w:rsidR="00F42FFF">
        <w:t>Mr L</w:t>
      </w:r>
      <w:r w:rsidRPr="00884B04" w:rsidR="00662B04">
        <w:t xml:space="preserve">itvinenko was tasked with the conduct of special operations which he regarded as unlawful, including an order to examine the possibility of assassinating </w:t>
      </w:r>
      <w:r w:rsidRPr="00884B04" w:rsidR="00F42FFF">
        <w:t>Mr B</w:t>
      </w:r>
      <w:r w:rsidRPr="00884B04" w:rsidR="00662B04">
        <w:t xml:space="preserve">erezovskiy. </w:t>
      </w:r>
      <w:r w:rsidRPr="00884B04" w:rsidR="00F42FFF">
        <w:t>Mr L</w:t>
      </w:r>
      <w:r w:rsidRPr="00884B04" w:rsidR="00662B04">
        <w:t>itvinenko reported the unlawful orders to the military prosecutor</w:t>
      </w:r>
      <w:r w:rsidRPr="00884B04" w:rsidR="00884B04">
        <w:t>’</w:t>
      </w:r>
      <w:r w:rsidRPr="00884B04" w:rsidR="00662B04">
        <w:t>s office and also to the newly appointed head of the FSB. In November 1998 he made public his allegations against the FSB at a press conference before international media.</w:t>
      </w:r>
    </w:p>
    <w:p w:rsidRPr="00884B04" w:rsidR="00662B04" w:rsidP="00884B04" w:rsidRDefault="00EB7A47" w14:paraId="4461C21B" w14:textId="4397C3C4">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8</w:t>
      </w:r>
      <w:r>
        <w:rPr>
          <w:noProof/>
        </w:rPr>
        <w:fldChar w:fldCharType="end"/>
      </w:r>
      <w:r w:rsidRPr="00884B04" w:rsidR="00662B04">
        <w:t>.</w:t>
      </w:r>
      <w:r w:rsidRPr="00884B04" w:rsidR="00FD072F">
        <w:t>  </w:t>
      </w:r>
      <w:r w:rsidRPr="00884B04" w:rsidR="00662B04">
        <w:t xml:space="preserve">In December 1998 </w:t>
      </w:r>
      <w:r w:rsidRPr="00884B04" w:rsidR="00F42FFF">
        <w:t>Mr L</w:t>
      </w:r>
      <w:r w:rsidRPr="00884B04" w:rsidR="00662B04">
        <w:t>itvinenko was dismissed from the FSB. In March 1999 he was arrested and detained for eight months in the FSB Lefortovo remand prison on the charge of having abused official authority. In November 1999 he was acquitted by the trial court but immediately re</w:t>
      </w:r>
      <w:r w:rsidRPr="00884B04" w:rsidR="00662B04">
        <w:noBreakHyphen/>
        <w:t xml:space="preserve">arrested on similar charges. The second case was discontinued because he was able to establish his alibi. A third set of proceedings was then brought against him on the charge that he had planted evidence on a suspect. Those proceedings were still pending in Moscow when </w:t>
      </w:r>
      <w:r w:rsidRPr="00884B04" w:rsidR="00F42FFF">
        <w:t>Mr L</w:t>
      </w:r>
      <w:r w:rsidRPr="00884B04" w:rsidR="00662B04">
        <w:t xml:space="preserve">itvinenko left Russia in September 2000. He was ultimately convicted </w:t>
      </w:r>
      <w:r w:rsidRPr="00884B04" w:rsidR="00662B04">
        <w:rPr>
          <w:i/>
          <w:iCs/>
        </w:rPr>
        <w:t>in absentia</w:t>
      </w:r>
      <w:r w:rsidRPr="00884B04" w:rsidR="00662B04">
        <w:t xml:space="preserve"> on those charges in 2002.</w:t>
      </w:r>
    </w:p>
    <w:p w:rsidRPr="00884B04" w:rsidR="00662B04" w:rsidP="00884B04" w:rsidRDefault="00662B04" w14:paraId="7560711A" w14:textId="09766BF3">
      <w:pPr>
        <w:pStyle w:val="JuPara"/>
      </w:pPr>
      <w:r w:rsidRPr="00884B04">
        <w:fldChar w:fldCharType="begin"/>
      </w:r>
      <w:r w:rsidRPr="00884B04">
        <w:instrText xml:space="preserve"> SEQ level0 \*arabic </w:instrText>
      </w:r>
      <w:r w:rsidRPr="00884B04">
        <w:fldChar w:fldCharType="separate"/>
      </w:r>
      <w:r w:rsidRPr="00884B04" w:rsidR="00884B04">
        <w:rPr>
          <w:noProof/>
        </w:rPr>
        <w:t>9</w:t>
      </w:r>
      <w:r w:rsidRPr="00884B04">
        <w:fldChar w:fldCharType="end"/>
      </w:r>
      <w:r w:rsidRPr="00884B04">
        <w:t>.</w:t>
      </w:r>
      <w:r w:rsidRPr="00884B04" w:rsidR="00FD072F">
        <w:t>  </w:t>
      </w:r>
      <w:r w:rsidRPr="00884B04">
        <w:t xml:space="preserve">In 2001 the United Kingdom granted asylum to </w:t>
      </w:r>
      <w:r w:rsidRPr="00884B04" w:rsidR="00F42FFF">
        <w:t>Mr L</w:t>
      </w:r>
      <w:r w:rsidRPr="00884B04">
        <w:t xml:space="preserve">itvinenko and his family. They took up the option of changing their names: the applicant took the name of Maria Anna Carter and </w:t>
      </w:r>
      <w:r w:rsidRPr="00884B04" w:rsidR="00F42FFF">
        <w:t>Mr L</w:t>
      </w:r>
      <w:r w:rsidRPr="00884B04">
        <w:t xml:space="preserve">itvinenko the name of Edwin Redwald Carter. </w:t>
      </w:r>
      <w:r w:rsidRPr="00884B04" w:rsidR="00BC1F2F">
        <w:t>O</w:t>
      </w:r>
      <w:r w:rsidRPr="00884B04">
        <w:t xml:space="preserve">n becoming eligible for naturalisation as British citizens, they made an application to that effect and were granted citizenship at a ceremony on </w:t>
      </w:r>
      <w:r w:rsidRPr="00884B04" w:rsidR="00F42FFF">
        <w:t>13 October 2006</w:t>
      </w:r>
      <w:r w:rsidRPr="00884B04">
        <w:t>.</w:t>
      </w:r>
    </w:p>
    <w:p w:rsidRPr="00884B04" w:rsidR="00662B04" w:rsidP="00884B04" w:rsidRDefault="00EB7A47" w14:paraId="0FDFF6D9" w14:textId="26109570">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10</w:t>
      </w:r>
      <w:r>
        <w:rPr>
          <w:noProof/>
        </w:rPr>
        <w:fldChar w:fldCharType="end"/>
      </w:r>
      <w:r w:rsidRPr="00884B04" w:rsidR="00662B04">
        <w:t>.</w:t>
      </w:r>
      <w:r w:rsidRPr="00884B04" w:rsidR="00FD072F">
        <w:t>  </w:t>
      </w:r>
      <w:r w:rsidRPr="00884B04" w:rsidR="00662B04">
        <w:t xml:space="preserve">In the United Kingdom </w:t>
      </w:r>
      <w:r w:rsidRPr="00884B04" w:rsidR="00F42FFF">
        <w:t>Mr L</w:t>
      </w:r>
      <w:r w:rsidRPr="00884B04" w:rsidR="00662B04">
        <w:t xml:space="preserve">itvinenko involved himself in a wide range of activities, mainly focused on exposing corruption in Russian intelligence services and their links with organised crime. He published books that accused the FSB of masterminding the bombing of four apartment blocks in Moscow in 1999 in order to provide a justification for the decision to start the Second Chechen War. He maintained a friendship with </w:t>
      </w:r>
      <w:r w:rsidRPr="00884B04" w:rsidR="00F42FFF">
        <w:t>Mr B</w:t>
      </w:r>
      <w:r w:rsidRPr="00884B04" w:rsidR="00662B04">
        <w:t xml:space="preserve">erezovskiy who had left Russia at the end of 2000 and became a political exile in the United Kingdom where he was granted asylum. </w:t>
      </w:r>
      <w:r w:rsidRPr="00884B04" w:rsidR="00F42FFF">
        <w:t>Mr B</w:t>
      </w:r>
      <w:r w:rsidRPr="00884B04" w:rsidR="00662B04">
        <w:t xml:space="preserve">erezovskiy used his wealth to encourage and finance critics of the Russian authorities, such as </w:t>
      </w:r>
      <w:r w:rsidRPr="00884B04" w:rsidR="00F42FFF">
        <w:t>Mr L</w:t>
      </w:r>
      <w:r w:rsidRPr="00884B04" w:rsidR="00662B04">
        <w:t>itvinenko.</w:t>
      </w:r>
    </w:p>
    <w:bookmarkStart w:name="paragraph00011" w:id="3"/>
    <w:p w:rsidRPr="00884B04" w:rsidR="007E7025" w:rsidP="00884B04" w:rsidRDefault="00662B04" w14:paraId="1E0D94D0" w14:textId="40F60978">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11</w:t>
      </w:r>
      <w:r w:rsidRPr="00884B04">
        <w:fldChar w:fldCharType="end"/>
      </w:r>
      <w:bookmarkEnd w:id="3"/>
      <w:r w:rsidRPr="00884B04">
        <w:t>.</w:t>
      </w:r>
      <w:r w:rsidRPr="00884B04" w:rsidR="00FD072F">
        <w:t>  </w:t>
      </w:r>
      <w:r w:rsidRPr="00884B04">
        <w:t xml:space="preserve">There was also evidence of </w:t>
      </w:r>
      <w:r w:rsidRPr="00884B04" w:rsidR="00F42FFF">
        <w:t>Mr L</w:t>
      </w:r>
      <w:r w:rsidRPr="00884B04">
        <w:t>itvinenko</w:t>
      </w:r>
      <w:r w:rsidRPr="00884B04" w:rsidR="00884B04">
        <w:t>’</w:t>
      </w:r>
      <w:r w:rsidRPr="00884B04">
        <w:t xml:space="preserve">s consulting for British intelligence services on Russian organised crime in Europe and travelling to other European countries, in particular Spain, to assist their law enforcement; the United Kingdom Government neither confirmed </w:t>
      </w:r>
      <w:r w:rsidRPr="00884B04" w:rsidR="007E7025">
        <w:t>nor denied those allegations, referring to their long-standing policy to that effect.</w:t>
      </w:r>
      <w:r w:rsidRPr="00884B04" w:rsidR="00F42FFF">
        <w:t xml:space="preserve"> Mr L</w:t>
      </w:r>
      <w:r w:rsidRPr="00884B04" w:rsidR="007E7025">
        <w:t xml:space="preserve">itvinenko also cooperated with </w:t>
      </w:r>
      <w:r w:rsidRPr="00884B04" w:rsidR="00F42FFF">
        <w:t>Mr S</w:t>
      </w:r>
      <w:r w:rsidRPr="00884B04" w:rsidR="007E7025">
        <w:t>caramella, a consultant for the commission established by the Italian Parliament to examine KGB activities and Russian organised crime in Italy.</w:t>
      </w:r>
    </w:p>
    <w:p w:rsidRPr="00884B04" w:rsidR="00662B04" w:rsidP="00884B04" w:rsidRDefault="00EB7A47" w14:paraId="0A12A8F6" w14:textId="66D1F9B5">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884B04" w:rsidR="00884B04">
        <w:rPr>
          <w:noProof/>
        </w:rPr>
        <w:t>12</w:t>
      </w:r>
      <w:r>
        <w:rPr>
          <w:noProof/>
        </w:rPr>
        <w:fldChar w:fldCharType="end"/>
      </w:r>
      <w:r w:rsidRPr="00884B04" w:rsidR="007E7025">
        <w:t>.</w:t>
      </w:r>
      <w:r w:rsidRPr="00884B04" w:rsidR="00FD072F">
        <w:t>  </w:t>
      </w:r>
      <w:r w:rsidRPr="00884B04" w:rsidR="00F42FFF">
        <w:t>Mr L</w:t>
      </w:r>
      <w:r w:rsidRPr="00884B04" w:rsidR="007E7025">
        <w:t>itvinenko also undertook private security work which involved preparing “due diligence” reports for companies seeking to find out information about Russian business contacts.</w:t>
      </w:r>
      <w:r w:rsidRPr="00884B04" w:rsidR="00F42FFF">
        <w:t xml:space="preserve"> </w:t>
      </w:r>
      <w:r w:rsidRPr="00884B04" w:rsidR="00662B04">
        <w:t>He worked with three London-based private security companies, RISC Management Limited, T</w:t>
      </w:r>
      <w:r w:rsidRPr="00884B04" w:rsidR="007D135F">
        <w:t>r</w:t>
      </w:r>
      <w:r w:rsidRPr="00884B04" w:rsidR="00662B04">
        <w:t xml:space="preserve">iton International Limited and Erinys UK Limited. The inquiries he had undertaken to carry out required him to enlist the assistance of his contacts in Moscow. From 2005 he involved in his business activities </w:t>
      </w:r>
      <w:r w:rsidRPr="00884B04" w:rsidR="00F42FFF">
        <w:t>Mr A</w:t>
      </w:r>
      <w:r w:rsidRPr="00884B04" w:rsidR="00662B04">
        <w:t xml:space="preserve">ndrey Lugovoy, formerly an officer of the KGB and the Federal Protection Service and head of security for </w:t>
      </w:r>
      <w:r w:rsidRPr="00884B04" w:rsidR="00F42FFF">
        <w:t>Mr B</w:t>
      </w:r>
      <w:r w:rsidRPr="00884B04" w:rsidR="00662B04">
        <w:t>erezovskiy</w:t>
      </w:r>
      <w:r w:rsidRPr="00884B04" w:rsidR="00884B04">
        <w:t>’</w:t>
      </w:r>
      <w:r w:rsidRPr="00884B04" w:rsidR="00662B04">
        <w:t>s television station and later owner of a security company in Russia. One of the reports concerned a senior Russian official, the then assistant to the President of Russia, who had developed close links with the Tambovskaya criminal group, acquired business interests in Russian infrastructure projects and assisted a Colombian drugs cartel in a money laundering scheme. The report – completed in September 2006 – apparently led to the collapse of the proposed business venture involving the official concerned, causing him significant financial losses.</w:t>
      </w:r>
    </w:p>
    <w:p w:rsidRPr="00884B04" w:rsidR="00662B04" w:rsidP="00884B04" w:rsidRDefault="00662B04" w14:paraId="08E89E17" w14:textId="72D13B07">
      <w:pPr>
        <w:pStyle w:val="JuHA"/>
      </w:pPr>
      <w:r w:rsidRPr="00884B04">
        <w:t xml:space="preserve">The events preceding </w:t>
      </w:r>
      <w:r w:rsidRPr="00884B04" w:rsidR="00F42FFF">
        <w:t>Mr L</w:t>
      </w:r>
      <w:r w:rsidRPr="00884B04">
        <w:t>itvinenko</w:t>
      </w:r>
      <w:r w:rsidRPr="00884B04" w:rsidR="00884B04">
        <w:t>’</w:t>
      </w:r>
      <w:r w:rsidRPr="00884B04">
        <w:t>s death</w:t>
      </w:r>
    </w:p>
    <w:p w:rsidRPr="00884B04" w:rsidR="00662B04" w:rsidP="00884B04" w:rsidRDefault="00F42FFF" w14:paraId="5F059F16" w14:textId="608698FC">
      <w:pPr>
        <w:pStyle w:val="JuH1"/>
      </w:pPr>
      <w:r w:rsidRPr="00884B04">
        <w:t>Mr L</w:t>
      </w:r>
      <w:r w:rsidRPr="00884B04" w:rsidR="00662B04">
        <w:t>ugovoy</w:t>
      </w:r>
      <w:r w:rsidRPr="00884B04" w:rsidR="00884B04">
        <w:t>’</w:t>
      </w:r>
      <w:r w:rsidRPr="00884B04" w:rsidR="00662B04">
        <w:t xml:space="preserve">s and </w:t>
      </w:r>
      <w:r w:rsidRPr="00884B04">
        <w:t>Mr K</w:t>
      </w:r>
      <w:r w:rsidRPr="00884B04" w:rsidR="00662B04">
        <w:t>ovtun</w:t>
      </w:r>
      <w:r w:rsidRPr="00884B04" w:rsidR="00884B04">
        <w:t>’</w:t>
      </w:r>
      <w:r w:rsidRPr="00884B04" w:rsidR="00662B04">
        <w:t>s visit to London on 16-</w:t>
      </w:r>
      <w:r w:rsidRPr="00884B04">
        <w:t>18 October 2006</w:t>
      </w:r>
    </w:p>
    <w:bookmarkStart w:name="paragraph00013" w:id="4"/>
    <w:p w:rsidRPr="00884B04" w:rsidR="00662B04" w:rsidP="00884B04" w:rsidRDefault="00662B04" w14:paraId="75B4FAD0" w14:textId="636D671C">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13</w:t>
      </w:r>
      <w:r w:rsidRPr="00884B04">
        <w:fldChar w:fldCharType="end"/>
      </w:r>
      <w:bookmarkEnd w:id="4"/>
      <w:r w:rsidRPr="00884B04">
        <w:t>.</w:t>
      </w:r>
      <w:r w:rsidRPr="00884B04" w:rsidR="00FD072F">
        <w:t>  </w:t>
      </w:r>
      <w:r w:rsidRPr="00884B04">
        <w:t xml:space="preserve">In the morning of </w:t>
      </w:r>
      <w:r w:rsidRPr="00884B04" w:rsidR="00F42FFF">
        <w:t>16 October 2006</w:t>
      </w:r>
      <w:r w:rsidRPr="00884B04">
        <w:t xml:space="preserve"> </w:t>
      </w:r>
      <w:r w:rsidRPr="00884B04" w:rsidR="00F42FFF">
        <w:t>Mr L</w:t>
      </w:r>
      <w:r w:rsidRPr="00884B04">
        <w:t>ugovoy flew from Moscow to London aboard a Transaero flight. He was accompanied by his long</w:t>
      </w:r>
      <w:r w:rsidRPr="00884B04">
        <w:noBreakHyphen/>
        <w:t xml:space="preserve">standing acquaintance, </w:t>
      </w:r>
      <w:r w:rsidRPr="00884B04" w:rsidR="00F42FFF">
        <w:t>Mr D</w:t>
      </w:r>
      <w:r w:rsidRPr="00884B04">
        <w:t>mitriy Kovtun.</w:t>
      </w:r>
    </w:p>
    <w:bookmarkStart w:name="paragraph00014" w:id="5"/>
    <w:p w:rsidRPr="00884B04" w:rsidR="007E7025" w:rsidP="00884B04" w:rsidRDefault="00662B04" w14:paraId="3B06E603" w14:textId="4200A49C">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14</w:t>
      </w:r>
      <w:r w:rsidRPr="00884B04">
        <w:fldChar w:fldCharType="end"/>
      </w:r>
      <w:bookmarkEnd w:id="5"/>
      <w:r w:rsidRPr="00884B04">
        <w:t>.</w:t>
      </w:r>
      <w:r w:rsidRPr="00884B04" w:rsidR="00FD072F">
        <w:t>  </w:t>
      </w:r>
      <w:r w:rsidRPr="00884B04">
        <w:t>The registration number of the aircraft that made the flight was EI</w:t>
      </w:r>
      <w:r w:rsidRPr="00884B04">
        <w:noBreakHyphen/>
        <w:t xml:space="preserve">DDK. In contrast to the other aircraft on which </w:t>
      </w:r>
      <w:r w:rsidRPr="00884B04" w:rsidR="00F42FFF">
        <w:t>Mr L</w:t>
      </w:r>
      <w:r w:rsidRPr="00884B04">
        <w:t xml:space="preserve">ugovoy and </w:t>
      </w:r>
      <w:r w:rsidRPr="00884B04" w:rsidR="00F42FFF">
        <w:t>Mr K</w:t>
      </w:r>
      <w:r w:rsidRPr="00884B04">
        <w:t>ovtun flew during that period, the British police were unable to test EI</w:t>
      </w:r>
      <w:r w:rsidRPr="00884B04">
        <w:noBreakHyphen/>
        <w:t xml:space="preserve">DDK for radioactive contamination. On </w:t>
      </w:r>
      <w:r w:rsidRPr="00884B04" w:rsidR="00F42FFF">
        <w:t>1 December 2006</w:t>
      </w:r>
      <w:r w:rsidRPr="00884B04">
        <w:t xml:space="preserve">, when the British embassy in Moscow </w:t>
      </w:r>
      <w:r w:rsidRPr="00884B04" w:rsidR="007E7025">
        <w:t>notified the Russian authorities and Transaero of possible contamination of the aircraft, they received the reply from the Russian Chief Public Health Officer that all planes had been tested and that no contamination had been found.</w:t>
      </w:r>
      <w:r w:rsidRPr="00884B04" w:rsidR="00F42FFF">
        <w:t xml:space="preserve"> </w:t>
      </w:r>
      <w:r w:rsidRPr="00884B04" w:rsidR="007E7025">
        <w:t>EI-DDK was scheduled to fly to London on the following day but the flight was cancelled, and the aircraft had not returned to the United Kingdom.</w:t>
      </w:r>
    </w:p>
    <w:p w:rsidRPr="00884B04" w:rsidR="00662B04" w:rsidP="00884B04" w:rsidRDefault="00EB7A47" w14:paraId="12B2E306" w14:textId="1432B4C8">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15</w:t>
      </w:r>
      <w:r>
        <w:rPr>
          <w:noProof/>
        </w:rPr>
        <w:fldChar w:fldCharType="end"/>
      </w:r>
      <w:r w:rsidRPr="00884B04" w:rsidR="007E7025">
        <w:t>.</w:t>
      </w:r>
      <w:r w:rsidRPr="00884B04" w:rsidR="00FD072F">
        <w:t>  </w:t>
      </w:r>
      <w:r w:rsidRPr="00884B04" w:rsidR="007E7025">
        <w:t xml:space="preserve">In the afternoon of </w:t>
      </w:r>
      <w:r w:rsidRPr="00884B04" w:rsidR="00F42FFF">
        <w:t>16 October 2006</w:t>
      </w:r>
      <w:r w:rsidRPr="00884B04" w:rsidR="007E7025">
        <w:t xml:space="preserve"> a meeting took place between </w:t>
      </w:r>
      <w:r w:rsidRPr="00884B04" w:rsidR="00F42FFF">
        <w:t>Mr L</w:t>
      </w:r>
      <w:r w:rsidRPr="00884B04" w:rsidR="007E7025">
        <w:t xml:space="preserve">ugovoy, </w:t>
      </w:r>
      <w:r w:rsidRPr="00884B04" w:rsidR="00F42FFF">
        <w:t>Mr K</w:t>
      </w:r>
      <w:r w:rsidRPr="00884B04" w:rsidR="007E7025">
        <w:t xml:space="preserve">ovtun, </w:t>
      </w:r>
      <w:r w:rsidRPr="00884B04" w:rsidR="00F42FFF">
        <w:t>Mr L</w:t>
      </w:r>
      <w:r w:rsidRPr="00884B04" w:rsidR="007E7025">
        <w:t>itvinenko and a representative of Erinys UK Limited in the company</w:t>
      </w:r>
      <w:r w:rsidRPr="00884B04" w:rsidR="00884B04">
        <w:t>’</w:t>
      </w:r>
      <w:r w:rsidRPr="00884B04" w:rsidR="007E7025">
        <w:t>s boardroom.</w:t>
      </w:r>
      <w:r w:rsidRPr="00884B04" w:rsidR="00F42FFF">
        <w:t xml:space="preserve"> </w:t>
      </w:r>
      <w:r w:rsidRPr="00884B04" w:rsidR="007E7025">
        <w:t>They sat around a table covered with baize cloth.</w:t>
      </w:r>
      <w:r w:rsidRPr="00884B04" w:rsidR="00F42FFF">
        <w:t xml:space="preserve"> </w:t>
      </w:r>
      <w:r w:rsidRPr="00884B04" w:rsidR="00662B04">
        <w:t xml:space="preserve">Evidence of polonium contamination was later discovered on the area of the cloth located between the positions in which </w:t>
      </w:r>
      <w:r w:rsidRPr="00884B04" w:rsidR="00F42FFF">
        <w:t>Mr L</w:t>
      </w:r>
      <w:r w:rsidRPr="00884B04" w:rsidR="00662B04">
        <w:t xml:space="preserve">ugovoy and </w:t>
      </w:r>
      <w:r w:rsidRPr="00884B04" w:rsidR="00F42FFF">
        <w:t>Mr L</w:t>
      </w:r>
      <w:r w:rsidRPr="00884B04" w:rsidR="00662B04">
        <w:t>itvinenko were sitting and on two of the chairs.</w:t>
      </w:r>
    </w:p>
    <w:p w:rsidRPr="00884B04" w:rsidR="00662B04" w:rsidP="00884B04" w:rsidRDefault="00EB7A47" w14:paraId="73BC202A" w14:textId="6043F268">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16</w:t>
      </w:r>
      <w:r>
        <w:rPr>
          <w:noProof/>
        </w:rPr>
        <w:fldChar w:fldCharType="end"/>
      </w:r>
      <w:r w:rsidRPr="00884B04" w:rsidR="00662B04">
        <w:t>.</w:t>
      </w:r>
      <w:r w:rsidRPr="00884B04" w:rsidR="00FD072F">
        <w:t>  </w:t>
      </w:r>
      <w:r w:rsidRPr="00884B04" w:rsidR="00662B04">
        <w:t>After the meeting, the three Russian participants went together to a restaurant. Secondary radioactive contamination was found at one of the tables.</w:t>
      </w:r>
    </w:p>
    <w:bookmarkStart w:name="paragraph00017" w:id="6"/>
    <w:p w:rsidRPr="00884B04" w:rsidR="007E7025" w:rsidP="00884B04" w:rsidRDefault="00662B04" w14:paraId="132AD3F0" w14:textId="1BA54184">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17</w:t>
      </w:r>
      <w:r w:rsidRPr="00884B04">
        <w:fldChar w:fldCharType="end"/>
      </w:r>
      <w:bookmarkEnd w:id="6"/>
      <w:r w:rsidRPr="00884B04">
        <w:t>.</w:t>
      </w:r>
      <w:r w:rsidRPr="00884B04" w:rsidR="00FD072F">
        <w:t>  </w:t>
      </w:r>
      <w:r w:rsidRPr="00884B04">
        <w:t xml:space="preserve">Later that day, after the dinner, </w:t>
      </w:r>
      <w:r w:rsidRPr="00884B04" w:rsidR="00F42FFF">
        <w:t>Mr L</w:t>
      </w:r>
      <w:r w:rsidRPr="00884B04">
        <w:t xml:space="preserve">itvinenko suddenly began to feel ill and vomited. He continued to feel unwell for the next two days. He did </w:t>
      </w:r>
      <w:r w:rsidRPr="00884B04" w:rsidR="007E7025">
        <w:t>not seek medical assistance, assuming it was food poisoning.</w:t>
      </w:r>
    </w:p>
    <w:bookmarkStart w:name="paragraph00018" w:id="7"/>
    <w:p w:rsidRPr="00884B04" w:rsidR="00662B04" w:rsidP="00884B04" w:rsidRDefault="007E7025" w14:paraId="6D114838" w14:textId="2AD015F9">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18</w:t>
      </w:r>
      <w:r w:rsidRPr="00884B04">
        <w:fldChar w:fldCharType="end"/>
      </w:r>
      <w:bookmarkEnd w:id="7"/>
      <w:r w:rsidRPr="00884B04">
        <w:t>.</w:t>
      </w:r>
      <w:r w:rsidRPr="00884B04" w:rsidR="00FD072F">
        <w:t>  </w:t>
      </w:r>
      <w:r w:rsidRPr="00884B04">
        <w:t>At 1.3</w:t>
      </w:r>
      <w:r w:rsidRPr="00884B04" w:rsidR="00F42FFF">
        <w:t xml:space="preserve">0 p.m. </w:t>
      </w:r>
      <w:r w:rsidRPr="00884B04">
        <w:t xml:space="preserve">on </w:t>
      </w:r>
      <w:r w:rsidRPr="00884B04" w:rsidR="00F42FFF">
        <w:t>17 October 2006</w:t>
      </w:r>
      <w:r w:rsidRPr="00884B04">
        <w:t xml:space="preserve"> </w:t>
      </w:r>
      <w:r w:rsidRPr="00884B04" w:rsidR="00F42FFF">
        <w:t>Mr L</w:t>
      </w:r>
      <w:r w:rsidRPr="00884B04">
        <w:t xml:space="preserve">ugovoy and </w:t>
      </w:r>
      <w:r w:rsidRPr="00884B04" w:rsidR="00F42FFF">
        <w:t>Mr K</w:t>
      </w:r>
      <w:r w:rsidRPr="00884B04">
        <w:t>ovtun checked out of their hotel one day early without asking for a refund.</w:t>
      </w:r>
      <w:r w:rsidRPr="00884B04" w:rsidR="00F42FFF">
        <w:t xml:space="preserve"> </w:t>
      </w:r>
      <w:r w:rsidRPr="00884B04" w:rsidR="00662B04">
        <w:t xml:space="preserve">Both of their rooms were subsequently tested and were found to contain significant contamination. Primary contamination, that is contamination resulting from direct contact with the radioactive material, was discovered in the u-bend of the sink in the bathroom of the room where </w:t>
      </w:r>
      <w:r w:rsidRPr="00884B04" w:rsidR="00F42FFF">
        <w:t>Mr L</w:t>
      </w:r>
      <w:r w:rsidRPr="00884B04" w:rsidR="00662B04">
        <w:t>ugovoy had stayed. The level of contamination was consistent with radioactive material being poured down the sink plughole.</w:t>
      </w:r>
    </w:p>
    <w:p w:rsidRPr="00884B04" w:rsidR="00662B04" w:rsidP="00884B04" w:rsidRDefault="00EB7A47" w14:paraId="4B0C88B9" w14:textId="1A22707A">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19</w:t>
      </w:r>
      <w:r>
        <w:rPr>
          <w:noProof/>
        </w:rPr>
        <w:fldChar w:fldCharType="end"/>
      </w:r>
      <w:r w:rsidRPr="00884B04" w:rsidR="00662B04">
        <w:t>.</w:t>
      </w:r>
      <w:r w:rsidRPr="00884B04" w:rsidR="00FD072F">
        <w:t>  </w:t>
      </w:r>
      <w:r w:rsidRPr="00884B04" w:rsidR="00F42FFF">
        <w:t>Mr L</w:t>
      </w:r>
      <w:r w:rsidRPr="00884B04" w:rsidR="00662B04">
        <w:t xml:space="preserve">ugovoy and </w:t>
      </w:r>
      <w:r w:rsidRPr="00884B04" w:rsidR="00F42FFF">
        <w:t>Mr K</w:t>
      </w:r>
      <w:r w:rsidRPr="00884B04" w:rsidR="00662B04">
        <w:t xml:space="preserve">ovtun moved to a different hotel and had business meetings on that day. Secondary contamination was later discovered in the hotel rooms and the offices they visited and on a CD that </w:t>
      </w:r>
      <w:r w:rsidRPr="00884B04" w:rsidR="00F42FFF">
        <w:t>Mr K</w:t>
      </w:r>
      <w:r w:rsidRPr="00884B04" w:rsidR="00662B04">
        <w:t>ovtun had given to a company representative.</w:t>
      </w:r>
    </w:p>
    <w:bookmarkStart w:name="paragraph00020" w:id="8"/>
    <w:p w:rsidRPr="00884B04" w:rsidR="00662B04" w:rsidP="00884B04" w:rsidRDefault="00662B04" w14:paraId="3AE60F21" w14:textId="1B24791D">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20</w:t>
      </w:r>
      <w:r w:rsidRPr="00884B04">
        <w:fldChar w:fldCharType="end"/>
      </w:r>
      <w:bookmarkEnd w:id="8"/>
      <w:r w:rsidRPr="00884B04">
        <w:t>.</w:t>
      </w:r>
      <w:r w:rsidRPr="00884B04" w:rsidR="00FD072F">
        <w:t>  </w:t>
      </w:r>
      <w:r w:rsidRPr="00884B04">
        <w:t xml:space="preserve">On </w:t>
      </w:r>
      <w:r w:rsidRPr="00884B04" w:rsidR="00F42FFF">
        <w:t>18 October 2006</w:t>
      </w:r>
      <w:r w:rsidRPr="00884B04">
        <w:t xml:space="preserve"> </w:t>
      </w:r>
      <w:r w:rsidRPr="00884B04" w:rsidR="00F42FFF">
        <w:t>Mr L</w:t>
      </w:r>
      <w:r w:rsidRPr="00884B04">
        <w:t xml:space="preserve">ugovoy and </w:t>
      </w:r>
      <w:r w:rsidRPr="00884B04" w:rsidR="00F42FFF">
        <w:t>Mr K</w:t>
      </w:r>
      <w:r w:rsidRPr="00884B04">
        <w:t xml:space="preserve">ovtun returned to Moscow aboard a Transaero flight. The aircraft EI-DNM was tested and was found to contain secondary contamination in the area of the seats on which the two men had sat. In their reply of </w:t>
      </w:r>
      <w:r w:rsidRPr="00884B04" w:rsidR="00F42FFF">
        <w:t>1 December 2006</w:t>
      </w:r>
      <w:r w:rsidRPr="00884B04">
        <w:t>, the Russian authorities claimed that the aircraft was free of contamination.</w:t>
      </w:r>
    </w:p>
    <w:p w:rsidRPr="00884B04" w:rsidR="00662B04" w:rsidP="00884B04" w:rsidRDefault="00F42FFF" w14:paraId="26DF2A60" w14:textId="654C5FD7">
      <w:pPr>
        <w:pStyle w:val="JuH1"/>
      </w:pPr>
      <w:r w:rsidRPr="00884B04">
        <w:t>Mr L</w:t>
      </w:r>
      <w:r w:rsidRPr="00884B04" w:rsidR="00662B04">
        <w:t>ugovoy</w:t>
      </w:r>
      <w:r w:rsidRPr="00884B04" w:rsidR="00884B04">
        <w:t>’</w:t>
      </w:r>
      <w:r w:rsidRPr="00884B04" w:rsidR="00662B04">
        <w:t>s visit to London on 25-</w:t>
      </w:r>
      <w:r w:rsidRPr="00884B04">
        <w:t>28 October 2006</w:t>
      </w:r>
    </w:p>
    <w:bookmarkStart w:name="paragraph00021" w:id="9"/>
    <w:p w:rsidRPr="00884B04" w:rsidR="00662B04" w:rsidP="00884B04" w:rsidRDefault="00662B04" w14:paraId="5A695FFE" w14:textId="58A2E7BE">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21</w:t>
      </w:r>
      <w:r w:rsidRPr="00884B04">
        <w:fldChar w:fldCharType="end"/>
      </w:r>
      <w:bookmarkEnd w:id="9"/>
      <w:r w:rsidRPr="00884B04">
        <w:t>.</w:t>
      </w:r>
      <w:r w:rsidRPr="00884B04" w:rsidR="00FD072F">
        <w:t>  </w:t>
      </w:r>
      <w:r w:rsidRPr="00884B04">
        <w:t xml:space="preserve">From 25 to </w:t>
      </w:r>
      <w:r w:rsidRPr="00884B04" w:rsidR="00F42FFF">
        <w:t>28 October 2006</w:t>
      </w:r>
      <w:r w:rsidRPr="00884B04">
        <w:t xml:space="preserve"> </w:t>
      </w:r>
      <w:r w:rsidRPr="00884B04" w:rsidR="00F42FFF">
        <w:t>Mr L</w:t>
      </w:r>
      <w:r w:rsidRPr="00884B04">
        <w:t xml:space="preserve">ugovoy returned to London. He had several business meetings, including one in the offices of </w:t>
      </w:r>
      <w:r w:rsidRPr="00884B04" w:rsidR="00F42FFF">
        <w:t>Mr B</w:t>
      </w:r>
      <w:r w:rsidRPr="00884B04">
        <w:t xml:space="preserve">erezovskiy. It also appears that he met </w:t>
      </w:r>
      <w:r w:rsidRPr="00884B04" w:rsidR="00F42FFF">
        <w:t>Mr L</w:t>
      </w:r>
      <w:r w:rsidRPr="00884B04">
        <w:t>itvinenko at least once in a bar of the hotel where he was staying.</w:t>
      </w:r>
    </w:p>
    <w:bookmarkStart w:name="paragraph00022" w:id="10"/>
    <w:p w:rsidRPr="00884B04" w:rsidR="00662B04" w:rsidP="00884B04" w:rsidRDefault="00662B04" w14:paraId="1794792E" w14:textId="6390D723">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22</w:t>
      </w:r>
      <w:r w:rsidRPr="00884B04">
        <w:fldChar w:fldCharType="end"/>
      </w:r>
      <w:bookmarkEnd w:id="10"/>
      <w:r w:rsidRPr="00884B04">
        <w:t>.</w:t>
      </w:r>
      <w:r w:rsidRPr="00884B04" w:rsidR="00FD072F">
        <w:t>  </w:t>
      </w:r>
      <w:r w:rsidRPr="00884B04">
        <w:t>Secondary contamination was detected on the aircraft on which he had flown, in the offices he had visited and in his hotel room. The highest readings were found in the bathroom bin, in particular on one area at the base of the inner casing of the bin, and on two towels in the hotel laundry. The pattern of contamination appeared to be consistent with an accidental spillage, perhaps followed by an attempt to clean up or dispose of the material.</w:t>
      </w:r>
    </w:p>
    <w:p w:rsidRPr="00884B04" w:rsidR="00662B04" w:rsidP="00884B04" w:rsidRDefault="00F42FFF" w14:paraId="35F98E63" w14:textId="73E869F7">
      <w:pPr>
        <w:pStyle w:val="JuH1"/>
      </w:pPr>
      <w:r w:rsidRPr="00884B04">
        <w:t>Mr L</w:t>
      </w:r>
      <w:r w:rsidRPr="00884B04" w:rsidR="00662B04">
        <w:t>ugovoy</w:t>
      </w:r>
      <w:r w:rsidRPr="00884B04" w:rsidR="00884B04">
        <w:t>’</w:t>
      </w:r>
      <w:r w:rsidRPr="00884B04" w:rsidR="00662B04">
        <w:t xml:space="preserve">s and </w:t>
      </w:r>
      <w:r w:rsidRPr="00884B04">
        <w:t>Mr K</w:t>
      </w:r>
      <w:r w:rsidRPr="00884B04" w:rsidR="00662B04">
        <w:t>ovtun</w:t>
      </w:r>
      <w:r w:rsidRPr="00884B04" w:rsidR="00884B04">
        <w:t>’</w:t>
      </w:r>
      <w:r w:rsidRPr="00884B04" w:rsidR="00662B04">
        <w:t xml:space="preserve">s visit to London on 31 October – </w:t>
      </w:r>
      <w:r w:rsidRPr="00884B04">
        <w:t>3 November 2006</w:t>
      </w:r>
    </w:p>
    <w:bookmarkStart w:name="paragraph00023" w:id="11"/>
    <w:p w:rsidRPr="00884B04" w:rsidR="00662B04" w:rsidP="00884B04" w:rsidRDefault="00662B04" w14:paraId="41D83A0A" w14:textId="573D459A">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23</w:t>
      </w:r>
      <w:r w:rsidRPr="00884B04">
        <w:fldChar w:fldCharType="end"/>
      </w:r>
      <w:bookmarkEnd w:id="11"/>
      <w:r w:rsidRPr="00884B04">
        <w:t>.</w:t>
      </w:r>
      <w:r w:rsidRPr="00884B04" w:rsidR="00FD072F">
        <w:t>  </w:t>
      </w:r>
      <w:r w:rsidRPr="00884B04" w:rsidR="00F42FFF">
        <w:t>Mr L</w:t>
      </w:r>
      <w:r w:rsidRPr="00884B04">
        <w:t xml:space="preserve">ugovoy returned to London on </w:t>
      </w:r>
      <w:r w:rsidRPr="00884B04" w:rsidR="00F42FFF">
        <w:t>31 October 2006</w:t>
      </w:r>
      <w:r w:rsidRPr="00884B04">
        <w:t xml:space="preserve">. He was accompanied by family and friends, on a trip to watch a football match which had been planned some time before </w:t>
      </w:r>
      <w:r w:rsidRPr="00884B04" w:rsidR="00F42FFF">
        <w:t>Mr L</w:t>
      </w:r>
      <w:r w:rsidRPr="00884B04">
        <w:t>ugovoy</w:t>
      </w:r>
      <w:r w:rsidRPr="00884B04" w:rsidR="00884B04">
        <w:t>’</w:t>
      </w:r>
      <w:r w:rsidRPr="00884B04">
        <w:t xml:space="preserve">s meeting with </w:t>
      </w:r>
      <w:r w:rsidRPr="00884B04" w:rsidR="00F42FFF">
        <w:t>Mr L</w:t>
      </w:r>
      <w:r w:rsidRPr="00884B04">
        <w:t>itvinenko on 16 October.</w:t>
      </w:r>
    </w:p>
    <w:bookmarkStart w:name="paragraph00024" w:id="12"/>
    <w:p w:rsidRPr="00884B04" w:rsidR="00662B04" w:rsidP="00884B04" w:rsidRDefault="00662B04" w14:paraId="1F3775D0" w14:textId="4DF8FC6E">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24</w:t>
      </w:r>
      <w:r w:rsidRPr="00884B04">
        <w:fldChar w:fldCharType="end"/>
      </w:r>
      <w:bookmarkEnd w:id="12"/>
      <w:r w:rsidRPr="00884B04">
        <w:t>.</w:t>
      </w:r>
      <w:r w:rsidRPr="00884B04" w:rsidR="00FD072F">
        <w:t>  </w:t>
      </w:r>
      <w:r w:rsidRPr="00884B04">
        <w:t xml:space="preserve">On </w:t>
      </w:r>
      <w:r w:rsidRPr="00884B04" w:rsidR="00F42FFF">
        <w:t>1 November 2006</w:t>
      </w:r>
      <w:r w:rsidRPr="00884B04">
        <w:t xml:space="preserve"> </w:t>
      </w:r>
      <w:r w:rsidRPr="00884B04" w:rsidR="00F42FFF">
        <w:t>Mr K</w:t>
      </w:r>
      <w:r w:rsidRPr="00884B04">
        <w:t>ovtun flew into London from Hamburg on a flight that he had booked three days previously. The return ticket from London to Moscow had been purchased for him some time before, on 27</w:t>
      </w:r>
      <w:r w:rsidRPr="00884B04" w:rsidR="00242FE6">
        <w:t> </w:t>
      </w:r>
      <w:r w:rsidRPr="00884B04">
        <w:t xml:space="preserve">October, when </w:t>
      </w:r>
      <w:r w:rsidRPr="00884B04" w:rsidR="00F42FFF">
        <w:t>Mr L</w:t>
      </w:r>
      <w:r w:rsidRPr="00884B04">
        <w:t>ugovoy was still in London.</w:t>
      </w:r>
    </w:p>
    <w:bookmarkStart w:name="paragraph00025" w:id="13"/>
    <w:p w:rsidRPr="00884B04" w:rsidR="00662B04" w:rsidP="00884B04" w:rsidRDefault="00662B04" w14:paraId="2DAF80C9" w14:textId="0360CBF6">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25</w:t>
      </w:r>
      <w:r w:rsidRPr="00884B04">
        <w:fldChar w:fldCharType="end"/>
      </w:r>
      <w:bookmarkEnd w:id="13"/>
      <w:r w:rsidRPr="00884B04">
        <w:t>.</w:t>
      </w:r>
      <w:r w:rsidRPr="00884B04" w:rsidR="00FD072F">
        <w:t>  </w:t>
      </w:r>
      <w:r w:rsidRPr="00884B04">
        <w:t xml:space="preserve">On </w:t>
      </w:r>
      <w:r w:rsidRPr="00884B04" w:rsidR="00F42FFF">
        <w:t>1 November 2006</w:t>
      </w:r>
      <w:r w:rsidRPr="00884B04">
        <w:t xml:space="preserve"> </w:t>
      </w:r>
      <w:r w:rsidRPr="00884B04" w:rsidR="00F42FFF">
        <w:t>Mr L</w:t>
      </w:r>
      <w:r w:rsidRPr="00884B04">
        <w:t xml:space="preserve">itvinenko had a brief meeting with </w:t>
      </w:r>
      <w:r w:rsidRPr="00884B04" w:rsidR="00F42FFF">
        <w:t>Mr S</w:t>
      </w:r>
      <w:r w:rsidRPr="00884B04">
        <w:t xml:space="preserve">caramella (see paragraph </w:t>
      </w:r>
      <w:r w:rsidRPr="00884B04">
        <w:fldChar w:fldCharType="begin"/>
      </w:r>
      <w:r w:rsidRPr="00884B04" w:rsidR="007E7025">
        <w:instrText xml:space="preserve">REF paragraph00011 \h \* CharFormat </w:instrText>
      </w:r>
      <w:r w:rsidRPr="00884B04">
        <w:fldChar w:fldCharType="separate"/>
      </w:r>
      <w:r w:rsidRPr="00884B04" w:rsidR="00884B04">
        <w:t>11</w:t>
      </w:r>
      <w:r w:rsidRPr="00884B04">
        <w:fldChar w:fldCharType="end"/>
      </w:r>
      <w:r w:rsidRPr="00884B04">
        <w:t xml:space="preserve"> above) in a restaurant in central London. </w:t>
      </w:r>
      <w:r w:rsidRPr="00884B04" w:rsidR="00F42FFF">
        <w:t>Mr S</w:t>
      </w:r>
      <w:r w:rsidRPr="00884B04">
        <w:t>caramella</w:t>
      </w:r>
      <w:r w:rsidRPr="00884B04" w:rsidR="00884B04">
        <w:t>’</w:t>
      </w:r>
      <w:r w:rsidRPr="00884B04">
        <w:t xml:space="preserve">s hotel room, the internet café he had used and the table at the restaurant where he had sat with </w:t>
      </w:r>
      <w:r w:rsidRPr="00884B04" w:rsidR="00F42FFF">
        <w:t>Mr L</w:t>
      </w:r>
      <w:r w:rsidRPr="00884B04">
        <w:t>itvinenko were subsequently tested and found to be free from contamination.</w:t>
      </w:r>
    </w:p>
    <w:p w:rsidRPr="00884B04" w:rsidR="00662B04" w:rsidP="00884B04" w:rsidRDefault="00EB7A47" w14:paraId="40EC58CA" w14:textId="1AA9394E">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26</w:t>
      </w:r>
      <w:r>
        <w:rPr>
          <w:noProof/>
        </w:rPr>
        <w:fldChar w:fldCharType="end"/>
      </w:r>
      <w:r w:rsidRPr="00884B04" w:rsidR="00662B04">
        <w:t>.</w:t>
      </w:r>
      <w:r w:rsidRPr="00884B04" w:rsidR="00FD072F">
        <w:t>  </w:t>
      </w:r>
      <w:r w:rsidRPr="00884B04" w:rsidR="00662B04">
        <w:t xml:space="preserve">From there, </w:t>
      </w:r>
      <w:r w:rsidRPr="00884B04" w:rsidR="00F42FFF">
        <w:t>Mr L</w:t>
      </w:r>
      <w:r w:rsidRPr="00884B04" w:rsidR="00662B04">
        <w:t xml:space="preserve">itvinenko went to meet </w:t>
      </w:r>
      <w:r w:rsidRPr="00884B04" w:rsidR="00F42FFF">
        <w:t>Mr L</w:t>
      </w:r>
      <w:r w:rsidRPr="00884B04" w:rsidR="00662B04">
        <w:t xml:space="preserve">ugovoy and </w:t>
      </w:r>
      <w:r w:rsidRPr="00884B04" w:rsidR="00F42FFF">
        <w:t>Mr K</w:t>
      </w:r>
      <w:r w:rsidRPr="00884B04" w:rsidR="00662B04">
        <w:t>ovtun in the ground-floor bar of the hotel where they were staying. On his account, he drank some green tea from a teapot which was already on the table. The meeting lasted approximately twenty minutes.</w:t>
      </w:r>
    </w:p>
    <w:bookmarkStart w:name="paragraph00027" w:id="14"/>
    <w:p w:rsidRPr="00884B04" w:rsidR="007E7025" w:rsidP="00884B04" w:rsidRDefault="00662B04" w14:paraId="461718F2" w14:textId="22993704">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27</w:t>
      </w:r>
      <w:r w:rsidRPr="00884B04">
        <w:fldChar w:fldCharType="end"/>
      </w:r>
      <w:bookmarkEnd w:id="14"/>
      <w:r w:rsidRPr="00884B04">
        <w:t>.</w:t>
      </w:r>
      <w:r w:rsidRPr="00884B04" w:rsidR="00FD072F">
        <w:t>  </w:t>
      </w:r>
      <w:r w:rsidRPr="00884B04">
        <w:t xml:space="preserve">Tests for contamination which were conducted at the hotel detected traces of radiation in many places. The highest readings were found in the bathroom of </w:t>
      </w:r>
      <w:r w:rsidRPr="00884B04" w:rsidR="00F42FFF">
        <w:t>Mr K</w:t>
      </w:r>
      <w:r w:rsidRPr="00884B04">
        <w:t>ovtun</w:t>
      </w:r>
      <w:r w:rsidRPr="00884B04" w:rsidR="00884B04">
        <w:t>’</w:t>
      </w:r>
      <w:r w:rsidRPr="00884B04">
        <w:t>s room in a sediment trap which was consistent with the theory that radioactive material had been poured down the plughole in one form or a</w:t>
      </w:r>
      <w:r w:rsidRPr="00884B04" w:rsidR="007E7025">
        <w:t>nother.</w:t>
      </w:r>
      <w:r w:rsidRPr="00884B04" w:rsidR="00F42FFF">
        <w:t xml:space="preserve"> </w:t>
      </w:r>
      <w:r w:rsidRPr="00884B04" w:rsidR="007E7025">
        <w:t>The other area of primary contamination was found on one of the bar</w:t>
      </w:r>
      <w:r w:rsidRPr="00884B04" w:rsidR="00884B04">
        <w:t>’</w:t>
      </w:r>
      <w:r w:rsidRPr="00884B04" w:rsidR="007E7025">
        <w:t>s teapots, in particular on the inside of the spout where the radioactive material appeared to have bonded with tannin deposits.</w:t>
      </w:r>
      <w:r w:rsidRPr="00884B04" w:rsidR="00F42FFF">
        <w:t xml:space="preserve"> </w:t>
      </w:r>
      <w:r w:rsidRPr="00884B04">
        <w:t>Testing also showed high levels of secondary contamination on a cubicle door, a sink and a hand dryer in the men</w:t>
      </w:r>
      <w:r w:rsidRPr="00884B04" w:rsidR="00884B04">
        <w:t>’</w:t>
      </w:r>
      <w:r w:rsidRPr="00884B04">
        <w:t xml:space="preserve">s lavatories which, as it appeared from the CCTV footage, had been used by both </w:t>
      </w:r>
      <w:r w:rsidRPr="00884B04" w:rsidR="00F42FFF">
        <w:t>Mr L</w:t>
      </w:r>
      <w:r w:rsidRPr="00884B04">
        <w:t xml:space="preserve">ugovoy and </w:t>
      </w:r>
      <w:r w:rsidRPr="00884B04" w:rsidR="00F42FFF">
        <w:t>Mr K</w:t>
      </w:r>
      <w:r w:rsidRPr="00884B04">
        <w:t xml:space="preserve">ovtun but </w:t>
      </w:r>
      <w:r w:rsidRPr="00884B04" w:rsidR="007E7025">
        <w:t xml:space="preserve">not by </w:t>
      </w:r>
      <w:r w:rsidRPr="00884B04" w:rsidR="00F42FFF">
        <w:t>Mr L</w:t>
      </w:r>
      <w:r w:rsidRPr="00884B04" w:rsidR="007E7025">
        <w:t>itvinenko.</w:t>
      </w:r>
    </w:p>
    <w:p w:rsidRPr="00884B04" w:rsidR="007E7025" w:rsidP="00884B04" w:rsidRDefault="00EB7A47" w14:paraId="7F24D467" w14:textId="4A3891AE">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28</w:t>
      </w:r>
      <w:r>
        <w:rPr>
          <w:noProof/>
        </w:rPr>
        <w:fldChar w:fldCharType="end"/>
      </w:r>
      <w:r w:rsidRPr="00884B04" w:rsidR="007E7025">
        <w:t>.</w:t>
      </w:r>
      <w:r w:rsidRPr="00884B04" w:rsidR="00FD072F">
        <w:t>  </w:t>
      </w:r>
      <w:r w:rsidRPr="00884B04" w:rsidR="007E7025">
        <w:t xml:space="preserve">After leaving the hotel bar, </w:t>
      </w:r>
      <w:r w:rsidRPr="00884B04" w:rsidR="00F42FFF">
        <w:t>Mr L</w:t>
      </w:r>
      <w:r w:rsidRPr="00884B04" w:rsidR="007E7025">
        <w:t xml:space="preserve">itvinenko visited </w:t>
      </w:r>
      <w:r w:rsidRPr="00884B04" w:rsidR="00F42FFF">
        <w:t>Mr B</w:t>
      </w:r>
      <w:r w:rsidRPr="00884B04" w:rsidR="007E7025">
        <w:t>erezovskiy</w:t>
      </w:r>
      <w:r w:rsidRPr="00884B04" w:rsidR="00884B04">
        <w:t>’</w:t>
      </w:r>
      <w:r w:rsidRPr="00884B04" w:rsidR="007E7025">
        <w:t>s offices nearby.</w:t>
      </w:r>
      <w:r w:rsidRPr="00884B04" w:rsidR="00F42FFF">
        <w:t xml:space="preserve"> </w:t>
      </w:r>
      <w:r w:rsidRPr="00884B04" w:rsidR="007E7025">
        <w:t>An acquaintance later gave him a lift home.</w:t>
      </w:r>
      <w:r w:rsidRPr="00884B04" w:rsidR="00F42FFF">
        <w:t xml:space="preserve"> </w:t>
      </w:r>
      <w:r w:rsidRPr="00884B04" w:rsidR="00662B04">
        <w:t xml:space="preserve">Secondary contamination was found on the seat of the car and throughout </w:t>
      </w:r>
      <w:r w:rsidRPr="00884B04" w:rsidR="00F42FFF">
        <w:t>Mr L</w:t>
      </w:r>
      <w:r w:rsidRPr="00884B04" w:rsidR="00662B04">
        <w:t>itvinenko</w:t>
      </w:r>
      <w:r w:rsidRPr="00884B04" w:rsidR="00884B04">
        <w:t>’</w:t>
      </w:r>
      <w:r w:rsidRPr="00884B04" w:rsidR="00662B04">
        <w:t xml:space="preserve">s house. However, there was </w:t>
      </w:r>
      <w:r w:rsidRPr="00884B04" w:rsidR="007E7025">
        <w:t>no primary contamination found anywhere in the house.</w:t>
      </w:r>
    </w:p>
    <w:p w:rsidRPr="00884B04" w:rsidR="00662B04" w:rsidP="00884B04" w:rsidRDefault="00EB7A47" w14:paraId="42F5611D" w14:textId="3B1BF693">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29</w:t>
      </w:r>
      <w:r>
        <w:rPr>
          <w:noProof/>
        </w:rPr>
        <w:fldChar w:fldCharType="end"/>
      </w:r>
      <w:r w:rsidRPr="00884B04" w:rsidR="007E7025">
        <w:t>.</w:t>
      </w:r>
      <w:r w:rsidRPr="00884B04" w:rsidR="00FD072F">
        <w:t>  </w:t>
      </w:r>
      <w:r w:rsidRPr="00884B04" w:rsidR="007E7025">
        <w:t xml:space="preserve">Later that day, </w:t>
      </w:r>
      <w:r w:rsidRPr="00884B04" w:rsidR="00F42FFF">
        <w:t>Mr L</w:t>
      </w:r>
      <w:r w:rsidRPr="00884B04" w:rsidR="007E7025">
        <w:t>ugovoy and his party went to see the match at the Emirates Stadium.</w:t>
      </w:r>
      <w:r w:rsidRPr="00884B04" w:rsidR="00F42FFF">
        <w:t xml:space="preserve"> </w:t>
      </w:r>
      <w:r w:rsidRPr="00884B04" w:rsidR="007E7025">
        <w:t xml:space="preserve">On </w:t>
      </w:r>
      <w:r w:rsidRPr="00884B04" w:rsidR="00F42FFF">
        <w:t>3 November 2006</w:t>
      </w:r>
      <w:r w:rsidRPr="00884B04" w:rsidR="007E7025">
        <w:t xml:space="preserve"> they left for Moscow, together with </w:t>
      </w:r>
      <w:r w:rsidRPr="00884B04" w:rsidR="00F42FFF">
        <w:t>Mr K</w:t>
      </w:r>
      <w:r w:rsidRPr="00884B04" w:rsidR="007E7025">
        <w:t>ovtun.</w:t>
      </w:r>
      <w:r w:rsidRPr="00884B04" w:rsidR="00F42FFF">
        <w:t xml:space="preserve"> </w:t>
      </w:r>
      <w:r w:rsidRPr="00884B04" w:rsidR="00662B04">
        <w:t xml:space="preserve">Secondary contamination was found on the seats they had occupied in the stadium and </w:t>
      </w:r>
      <w:r w:rsidRPr="00884B04" w:rsidR="000D48AD">
        <w:t xml:space="preserve">in the </w:t>
      </w:r>
      <w:r w:rsidRPr="00884B04" w:rsidR="00662B04">
        <w:t>aircraft.</w:t>
      </w:r>
    </w:p>
    <w:p w:rsidRPr="00884B04" w:rsidR="00662B04" w:rsidP="00884B04" w:rsidRDefault="00F42FFF" w14:paraId="5A9B6C60" w14:textId="7AA09652">
      <w:pPr>
        <w:pStyle w:val="JuHA"/>
      </w:pPr>
      <w:r w:rsidRPr="00884B04">
        <w:t>Mr L</w:t>
      </w:r>
      <w:r w:rsidRPr="00884B04" w:rsidR="00662B04">
        <w:t>itvinenko</w:t>
      </w:r>
      <w:r w:rsidRPr="00884B04" w:rsidR="00884B04">
        <w:t>’</w:t>
      </w:r>
      <w:r w:rsidRPr="00884B04" w:rsidR="00662B04">
        <w:t>s illness and death</w:t>
      </w:r>
    </w:p>
    <w:p w:rsidRPr="00884B04" w:rsidR="00662B04" w:rsidP="00884B04" w:rsidRDefault="00EB7A47" w14:paraId="17998CB9" w14:textId="73141866">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30</w:t>
      </w:r>
      <w:r>
        <w:rPr>
          <w:noProof/>
        </w:rPr>
        <w:fldChar w:fldCharType="end"/>
      </w:r>
      <w:r w:rsidRPr="00884B04" w:rsidR="00662B04">
        <w:t>.</w:t>
      </w:r>
      <w:r w:rsidRPr="00884B04" w:rsidR="00FD072F">
        <w:t>  </w:t>
      </w:r>
      <w:r w:rsidRPr="00884B04" w:rsidR="00662B04">
        <w:t xml:space="preserve">In the early hours of </w:t>
      </w:r>
      <w:r w:rsidRPr="00884B04" w:rsidR="00F42FFF">
        <w:t>2 November 2006</w:t>
      </w:r>
      <w:r w:rsidRPr="00884B04" w:rsidR="00662B04">
        <w:t xml:space="preserve"> </w:t>
      </w:r>
      <w:r w:rsidRPr="00884B04" w:rsidR="00F42FFF">
        <w:t>Mr L</w:t>
      </w:r>
      <w:r w:rsidRPr="00884B04" w:rsidR="00662B04">
        <w:t>itvinenko was taken ill. He started vomiting, suffered from abdominal pain and developed bloody diarrhoea. On 3 November he was admitted to a hospital where he was initially treated for gastro-enteritis.</w:t>
      </w:r>
    </w:p>
    <w:p w:rsidRPr="00884B04" w:rsidR="00662B04" w:rsidP="00884B04" w:rsidRDefault="00EB7A47" w14:paraId="78B8539F" w14:textId="7151D7F4">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31</w:t>
      </w:r>
      <w:r>
        <w:rPr>
          <w:noProof/>
        </w:rPr>
        <w:fldChar w:fldCharType="end"/>
      </w:r>
      <w:r w:rsidRPr="00884B04" w:rsidR="00662B04">
        <w:t>.</w:t>
      </w:r>
      <w:r w:rsidRPr="00884B04" w:rsidR="00FD072F">
        <w:t>  </w:t>
      </w:r>
      <w:r w:rsidRPr="00884B04" w:rsidR="00662B04">
        <w:t xml:space="preserve">On observing that </w:t>
      </w:r>
      <w:r w:rsidRPr="00884B04" w:rsidR="00F42FFF">
        <w:t>Mr L</w:t>
      </w:r>
      <w:r w:rsidRPr="00884B04" w:rsidR="00662B04">
        <w:t>itvinenko</w:t>
      </w:r>
      <w:r w:rsidRPr="00884B04" w:rsidR="00884B04">
        <w:t>’</w:t>
      </w:r>
      <w:r w:rsidRPr="00884B04" w:rsidR="00662B04">
        <w:t xml:space="preserve">s worsening condition did </w:t>
      </w:r>
      <w:r w:rsidRPr="00884B04" w:rsidR="007E7025">
        <w:t>not fit with the diagnosis of gastro-enteritis, medical staff started treating him for a suspected thallium poisoning.</w:t>
      </w:r>
      <w:r w:rsidRPr="00884B04" w:rsidR="00F42FFF">
        <w:t xml:space="preserve"> </w:t>
      </w:r>
      <w:r w:rsidRPr="00884B04" w:rsidR="007E7025">
        <w:t>His bone marrow had degenerated to the point where a transplant was considered to be the only meaning of restoring its function.</w:t>
      </w:r>
      <w:r w:rsidRPr="00884B04" w:rsidR="00F42FFF">
        <w:t xml:space="preserve"> </w:t>
      </w:r>
      <w:r w:rsidRPr="00884B04" w:rsidR="00662B04">
        <w:t xml:space="preserve">On 17 November </w:t>
      </w:r>
      <w:r w:rsidRPr="00884B04" w:rsidR="00F42FFF">
        <w:t>Mr L</w:t>
      </w:r>
      <w:r w:rsidRPr="00884B04" w:rsidR="00662B04">
        <w:t>itvinenko was transferred to University College Hospital (UCH) to assess the possibility of a transplant.</w:t>
      </w:r>
    </w:p>
    <w:p w:rsidRPr="00884B04" w:rsidR="007E7025" w:rsidP="00884B04" w:rsidRDefault="00EB7A47" w14:paraId="526CE05D" w14:textId="03964D5C">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32</w:t>
      </w:r>
      <w:r>
        <w:rPr>
          <w:noProof/>
        </w:rPr>
        <w:fldChar w:fldCharType="end"/>
      </w:r>
      <w:r w:rsidRPr="00884B04" w:rsidR="00662B04">
        <w:t>.</w:t>
      </w:r>
      <w:r w:rsidRPr="00884B04" w:rsidR="00FD072F">
        <w:t>  </w:t>
      </w:r>
      <w:r w:rsidRPr="00884B04" w:rsidR="00662B04">
        <w:t xml:space="preserve">On </w:t>
      </w:r>
      <w:r w:rsidRPr="00884B04" w:rsidR="00F42FFF">
        <w:t>21 November 2006</w:t>
      </w:r>
      <w:r w:rsidRPr="00884B04" w:rsidR="00662B04">
        <w:t xml:space="preserve"> a pharmacist at UCH and staff at the poisons unit suggested the idea that chemotherapeutic agents or radioisotopes could have been used to poison </w:t>
      </w:r>
      <w:r w:rsidRPr="00884B04" w:rsidR="00F42FFF">
        <w:t>Mr L</w:t>
      </w:r>
      <w:r w:rsidRPr="00884B04" w:rsidR="00662B04">
        <w:t>itvinenko. Samples of his blood and urine were sent to the Atomic Weapons Establishment (AWE) for testing. The initial results revealing the presence of polonium were considered an a</w:t>
      </w:r>
      <w:r w:rsidRPr="00884B04" w:rsidR="007E7025">
        <w:t>nomaly and further testing was requested.</w:t>
      </w:r>
    </w:p>
    <w:p w:rsidRPr="00884B04" w:rsidR="00662B04" w:rsidP="00884B04" w:rsidRDefault="00EB7A47" w14:paraId="35E83550" w14:textId="48799971">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33</w:t>
      </w:r>
      <w:r>
        <w:rPr>
          <w:noProof/>
        </w:rPr>
        <w:fldChar w:fldCharType="end"/>
      </w:r>
      <w:r w:rsidRPr="00884B04" w:rsidR="007E7025">
        <w:t>.</w:t>
      </w:r>
      <w:r w:rsidRPr="00884B04" w:rsidR="00FD072F">
        <w:t>  </w:t>
      </w:r>
      <w:r w:rsidRPr="00884B04" w:rsidR="007E7025">
        <w:t xml:space="preserve">Between about </w:t>
      </w:r>
      <w:r w:rsidRPr="00884B04" w:rsidR="00F42FFF">
        <w:t xml:space="preserve">3 p.m. </w:t>
      </w:r>
      <w:r w:rsidRPr="00884B04" w:rsidR="007E7025">
        <w:t xml:space="preserve">and </w:t>
      </w:r>
      <w:r w:rsidRPr="00884B04" w:rsidR="00F42FFF">
        <w:t xml:space="preserve">5 p.m. </w:t>
      </w:r>
      <w:r w:rsidRPr="00884B04" w:rsidR="00662B04">
        <w:t xml:space="preserve">on </w:t>
      </w:r>
      <w:r w:rsidRPr="00884B04" w:rsidR="00F42FFF">
        <w:t>23 November 2006</w:t>
      </w:r>
      <w:r w:rsidRPr="00884B04" w:rsidR="00662B04">
        <w:t xml:space="preserve"> the results confirmed polonium contamination. At </w:t>
      </w:r>
      <w:r w:rsidRPr="00884B04" w:rsidR="00F42FFF">
        <w:t>9 p.m.</w:t>
      </w:r>
      <w:r w:rsidRPr="00884B04" w:rsidR="00662B04">
        <w:t xml:space="preserve"> </w:t>
      </w:r>
      <w:r w:rsidRPr="00884B04" w:rsidR="00F42FFF">
        <w:t>Mr L</w:t>
      </w:r>
      <w:r w:rsidRPr="00884B04" w:rsidR="00662B04">
        <w:t>itvinenko suffered a cardiac arrest and died from multiple organ failure.</w:t>
      </w:r>
    </w:p>
    <w:p w:rsidRPr="00884B04" w:rsidR="00662B04" w:rsidP="00884B04" w:rsidRDefault="00EB7A47" w14:paraId="28521CA0" w14:textId="43E64F8C">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34</w:t>
      </w:r>
      <w:r>
        <w:rPr>
          <w:noProof/>
        </w:rPr>
        <w:fldChar w:fldCharType="end"/>
      </w:r>
      <w:r w:rsidRPr="00884B04" w:rsidR="00662B04">
        <w:t>.</w:t>
      </w:r>
      <w:r w:rsidRPr="00884B04" w:rsidR="00FD072F">
        <w:t>  </w:t>
      </w:r>
      <w:r w:rsidRPr="00884B04" w:rsidR="00662B04">
        <w:t xml:space="preserve">The post-mortem conducted jointly by two pathologists established the cause of death to be acute radiation syndrome caused by the presence in </w:t>
      </w:r>
      <w:r w:rsidRPr="00884B04" w:rsidR="00F42FFF">
        <w:t>Mr L</w:t>
      </w:r>
      <w:r w:rsidRPr="00884B04" w:rsidR="00662B04">
        <w:t>itvinenko</w:t>
      </w:r>
      <w:r w:rsidRPr="00884B04" w:rsidR="00884B04">
        <w:t>’</w:t>
      </w:r>
      <w:r w:rsidRPr="00884B04" w:rsidR="00662B04">
        <w:t xml:space="preserve">s body of very high levels of polonium 210. Scientific evidence indicated that the polonium 210 had entered the body by ingestion in the form of a soluble compound. The symptoms during the onset of </w:t>
      </w:r>
      <w:r w:rsidRPr="00884B04" w:rsidR="00F42FFF">
        <w:t>Mr L</w:t>
      </w:r>
      <w:r w:rsidRPr="00884B04" w:rsidR="00662B04">
        <w:t>itvinenko</w:t>
      </w:r>
      <w:r w:rsidRPr="00884B04" w:rsidR="00884B04">
        <w:t>’</w:t>
      </w:r>
      <w:r w:rsidRPr="00884B04" w:rsidR="00662B04">
        <w:t>s illness had been consistent with the poisoning having taken place on 1</w:t>
      </w:r>
      <w:r w:rsidRPr="00884B04" w:rsidR="00F42FFF">
        <w:t xml:space="preserve"> </w:t>
      </w:r>
      <w:r w:rsidRPr="00884B04" w:rsidR="00662B04">
        <w:t>November.</w:t>
      </w:r>
    </w:p>
    <w:p w:rsidRPr="00884B04" w:rsidR="00662B04" w:rsidP="00884B04" w:rsidRDefault="00662B04" w14:paraId="7120E271" w14:textId="77777777">
      <w:pPr>
        <w:pStyle w:val="JuHA"/>
      </w:pPr>
      <w:bookmarkStart w:name="_Hlk75938778" w:id="15"/>
      <w:r w:rsidRPr="00884B04">
        <w:t>Initial investigation</w:t>
      </w:r>
      <w:r w:rsidRPr="00884B04" w:rsidR="00CE32CA">
        <w:t>s</w:t>
      </w:r>
      <w:r w:rsidRPr="00884B04">
        <w:t xml:space="preserve"> and attempted extradition</w:t>
      </w:r>
    </w:p>
    <w:bookmarkEnd w:id="15"/>
    <w:p w:rsidRPr="00884B04" w:rsidR="00662B04" w:rsidP="00884B04" w:rsidRDefault="00662B04" w14:paraId="159BEB5C" w14:textId="77777777">
      <w:pPr>
        <w:pStyle w:val="JuH1"/>
      </w:pPr>
      <w:r w:rsidRPr="00884B04">
        <w:t>The police investigation in the United Kingdom</w:t>
      </w:r>
    </w:p>
    <w:bookmarkStart w:name="paragraph00035" w:id="16"/>
    <w:p w:rsidRPr="00884B04" w:rsidR="00662B04" w:rsidP="00884B04" w:rsidRDefault="00662B04" w14:paraId="19A0E7E4" w14:textId="467ADF67">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35</w:t>
      </w:r>
      <w:r w:rsidRPr="00884B04">
        <w:fldChar w:fldCharType="end"/>
      </w:r>
      <w:bookmarkEnd w:id="16"/>
      <w:r w:rsidRPr="00884B04">
        <w:t>.</w:t>
      </w:r>
      <w:r w:rsidRPr="00884B04" w:rsidR="00FD072F">
        <w:t>  </w:t>
      </w:r>
      <w:r w:rsidRPr="00884B04">
        <w:t xml:space="preserve">Before </w:t>
      </w:r>
      <w:r w:rsidRPr="00884B04" w:rsidR="00F42FFF">
        <w:t>Mr L</w:t>
      </w:r>
      <w:r w:rsidRPr="00884B04">
        <w:t>itvinenko</w:t>
      </w:r>
      <w:r w:rsidRPr="00884B04" w:rsidR="00884B04">
        <w:t>’</w:t>
      </w:r>
      <w:r w:rsidRPr="00884B04">
        <w:t>s death, the Metropolitan Police Service (MPS) had already commenced an investigation into his apparent poisoning. Working with the Health Protection Agency, the police examined and assessed more than sixty scenes and directed over forty requests for mutual legal assistance to fifteen States.</w:t>
      </w:r>
    </w:p>
    <w:p w:rsidRPr="00884B04" w:rsidR="00662B04" w:rsidP="00884B04" w:rsidRDefault="00EB7A47" w14:paraId="4CECC389" w14:textId="4793B7AC">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36</w:t>
      </w:r>
      <w:r>
        <w:rPr>
          <w:noProof/>
        </w:rPr>
        <w:fldChar w:fldCharType="end"/>
      </w:r>
      <w:r w:rsidRPr="00884B04" w:rsidR="00662B04">
        <w:t>.</w:t>
      </w:r>
      <w:r w:rsidRPr="00884B04" w:rsidR="00FD072F">
        <w:t>  </w:t>
      </w:r>
      <w:r w:rsidRPr="00884B04" w:rsidR="00662B04">
        <w:t xml:space="preserve">On </w:t>
      </w:r>
      <w:r w:rsidRPr="00884B04" w:rsidR="00F42FFF">
        <w:t>30 November 2006</w:t>
      </w:r>
      <w:r w:rsidRPr="00884B04" w:rsidR="00662B04">
        <w:t xml:space="preserve"> the United Kingdom Crown Prosecution Service (CPS) requested the assistance of the Russian authorities under the provisions of the European Convention on Mutual Assistance in Criminal Matters (1959). The CPS requested that statements be taken from </w:t>
      </w:r>
      <w:r w:rsidRPr="00884B04" w:rsidR="00F42FFF">
        <w:t>Mr L</w:t>
      </w:r>
      <w:r w:rsidRPr="00884B04" w:rsidR="00662B04">
        <w:t xml:space="preserve">ugovoy and </w:t>
      </w:r>
      <w:r w:rsidRPr="00884B04" w:rsidR="00F42FFF">
        <w:t>Mr K</w:t>
      </w:r>
      <w:r w:rsidRPr="00884B04" w:rsidR="00662B04">
        <w:t xml:space="preserve">ovtun, some members of </w:t>
      </w:r>
      <w:r w:rsidRPr="00884B04" w:rsidR="00F42FFF">
        <w:t>Mr L</w:t>
      </w:r>
      <w:r w:rsidRPr="00884B04" w:rsidR="00662B04">
        <w:t>ugovoy</w:t>
      </w:r>
      <w:r w:rsidRPr="00884B04" w:rsidR="00884B04">
        <w:t>’</w:t>
      </w:r>
      <w:r w:rsidRPr="00884B04" w:rsidR="00662B04">
        <w:t xml:space="preserve">s family, </w:t>
      </w:r>
      <w:r w:rsidRPr="00884B04" w:rsidR="00F42FFF">
        <w:t>Mr L</w:t>
      </w:r>
      <w:r w:rsidRPr="00884B04" w:rsidR="00662B04">
        <w:t>ugovoy</w:t>
      </w:r>
      <w:r w:rsidRPr="00884B04" w:rsidR="00884B04">
        <w:t>’</w:t>
      </w:r>
      <w:r w:rsidRPr="00884B04" w:rsidR="00662B04">
        <w:t xml:space="preserve">s lawyer and personal assistant, and the medical staff who were attending </w:t>
      </w:r>
      <w:r w:rsidRPr="00884B04" w:rsidR="00F42FFF">
        <w:t>Mr L</w:t>
      </w:r>
      <w:r w:rsidRPr="00884B04" w:rsidR="00662B04">
        <w:t xml:space="preserve">ugovoy and </w:t>
      </w:r>
      <w:r w:rsidRPr="00884B04" w:rsidR="00F42FFF">
        <w:t>Mr K</w:t>
      </w:r>
      <w:r w:rsidRPr="00884B04" w:rsidR="00662B04">
        <w:t xml:space="preserve">ovtun. From 5 to 19 December MPS officers and detectives interviewed witnesses, including </w:t>
      </w:r>
      <w:r w:rsidRPr="00884B04" w:rsidR="00F42FFF">
        <w:t>Mr L</w:t>
      </w:r>
      <w:r w:rsidRPr="00884B04" w:rsidR="00662B04">
        <w:t xml:space="preserve">ugovoy and </w:t>
      </w:r>
      <w:r w:rsidRPr="00884B04" w:rsidR="00F42FFF">
        <w:t>Mr K</w:t>
      </w:r>
      <w:r w:rsidRPr="00884B04" w:rsidR="00662B04">
        <w:t>ovtun, in Moscow.</w:t>
      </w:r>
    </w:p>
    <w:bookmarkStart w:name="paragraph00037" w:id="17"/>
    <w:p w:rsidRPr="00884B04" w:rsidR="00662B04" w:rsidP="00884B04" w:rsidRDefault="00662B04" w14:paraId="321630F8" w14:textId="1E4D08DF">
      <w:pPr>
        <w:pStyle w:val="JuPara"/>
      </w:pPr>
      <w:r w:rsidRPr="00884B04">
        <w:fldChar w:fldCharType="begin"/>
      </w:r>
      <w:r w:rsidRPr="00884B04">
        <w:instrText xml:space="preserve"> SEQ level0 \*arabic </w:instrText>
      </w:r>
      <w:r w:rsidRPr="00884B04">
        <w:fldChar w:fldCharType="separate"/>
      </w:r>
      <w:r w:rsidRPr="00884B04" w:rsidR="00884B04">
        <w:rPr>
          <w:noProof/>
        </w:rPr>
        <w:t>37</w:t>
      </w:r>
      <w:r w:rsidRPr="00884B04">
        <w:fldChar w:fldCharType="end"/>
      </w:r>
      <w:bookmarkEnd w:id="17"/>
      <w:r w:rsidRPr="00884B04">
        <w:t>.</w:t>
      </w:r>
      <w:r w:rsidRPr="00884B04" w:rsidR="00FD072F">
        <w:t>  </w:t>
      </w:r>
      <w:r w:rsidRPr="00884B04">
        <w:rPr>
          <w:color w:val="000000"/>
        </w:rPr>
        <w:t xml:space="preserve">On </w:t>
      </w:r>
      <w:r w:rsidRPr="00884B04" w:rsidR="00F42FFF">
        <w:rPr>
          <w:color w:val="000000"/>
        </w:rPr>
        <w:t>22 May 2007</w:t>
      </w:r>
      <w:r w:rsidRPr="00884B04">
        <w:rPr>
          <w:color w:val="000000"/>
        </w:rPr>
        <w:t xml:space="preserve"> the MPS/CPS determined that there was sufficient evidence against </w:t>
      </w:r>
      <w:r w:rsidRPr="00884B04" w:rsidR="00F42FFF">
        <w:rPr>
          <w:color w:val="000000"/>
        </w:rPr>
        <w:t>Mr L</w:t>
      </w:r>
      <w:r w:rsidRPr="00884B04">
        <w:rPr>
          <w:color w:val="000000"/>
        </w:rPr>
        <w:t xml:space="preserve">ugovoy to charge him with </w:t>
      </w:r>
      <w:r w:rsidRPr="00884B04" w:rsidR="00F42FFF">
        <w:rPr>
          <w:color w:val="000000"/>
        </w:rPr>
        <w:t>Mr L</w:t>
      </w:r>
      <w:r w:rsidRPr="00884B04">
        <w:rPr>
          <w:color w:val="000000"/>
        </w:rPr>
        <w:t>itvinenko</w:t>
      </w:r>
      <w:r w:rsidRPr="00884B04" w:rsidR="00884B04">
        <w:rPr>
          <w:color w:val="000000"/>
        </w:rPr>
        <w:t>’</w:t>
      </w:r>
      <w:r w:rsidRPr="00884B04">
        <w:rPr>
          <w:color w:val="000000"/>
        </w:rPr>
        <w:t>s murder by poisoning; a Magistrates</w:t>
      </w:r>
      <w:r w:rsidRPr="00884B04" w:rsidR="00884B04">
        <w:rPr>
          <w:color w:val="000000"/>
        </w:rPr>
        <w:t>’</w:t>
      </w:r>
      <w:r w:rsidRPr="00884B04">
        <w:rPr>
          <w:color w:val="000000"/>
        </w:rPr>
        <w:t xml:space="preserve"> Court issued a warrant for his arrest, and the (then) Foreign and Commonwealth Office</w:t>
      </w:r>
      <w:r w:rsidRPr="00884B04">
        <w:t xml:space="preserve"> of the </w:t>
      </w:r>
      <w:r w:rsidRPr="00884B04">
        <w:rPr>
          <w:color w:val="000000"/>
        </w:rPr>
        <w:t xml:space="preserve">United Kingdom </w:t>
      </w:r>
      <w:r w:rsidRPr="00884B04">
        <w:t>submitted a request for his extradition from Russia.</w:t>
      </w:r>
    </w:p>
    <w:bookmarkStart w:name="paragraph00038" w:id="18"/>
    <w:p w:rsidRPr="00884B04" w:rsidR="00662B04" w:rsidP="00884B04" w:rsidRDefault="00662B04" w14:paraId="1861578A" w14:textId="6AFA41A9">
      <w:pPr>
        <w:pStyle w:val="JuPara"/>
      </w:pPr>
      <w:r w:rsidRPr="00884B04">
        <w:fldChar w:fldCharType="begin"/>
      </w:r>
      <w:r w:rsidRPr="00884B04">
        <w:instrText xml:space="preserve"> SEQ level0 \*arabic </w:instrText>
      </w:r>
      <w:r w:rsidRPr="00884B04">
        <w:fldChar w:fldCharType="separate"/>
      </w:r>
      <w:r w:rsidRPr="00884B04" w:rsidR="00884B04">
        <w:rPr>
          <w:noProof/>
        </w:rPr>
        <w:t>38</w:t>
      </w:r>
      <w:r w:rsidRPr="00884B04">
        <w:fldChar w:fldCharType="end"/>
      </w:r>
      <w:bookmarkEnd w:id="18"/>
      <w:r w:rsidRPr="00884B04">
        <w:t>.</w:t>
      </w:r>
      <w:r w:rsidRPr="00884B04" w:rsidR="00FD072F">
        <w:t>  </w:t>
      </w:r>
      <w:r w:rsidRPr="00884B04">
        <w:t xml:space="preserve">On </w:t>
      </w:r>
      <w:r w:rsidRPr="00884B04" w:rsidR="00F42FFF">
        <w:t>5 July 2007</w:t>
      </w:r>
      <w:r w:rsidRPr="00884B04">
        <w:t xml:space="preserve"> Russia refused to extradite </w:t>
      </w:r>
      <w:r w:rsidRPr="00884B04" w:rsidR="00F42FFF">
        <w:t>Mr L</w:t>
      </w:r>
      <w:r w:rsidRPr="00884B04">
        <w:t>ugovoy on the ground that the Constitution prohibited Russian nationals from being extradited to foreign States.</w:t>
      </w:r>
    </w:p>
    <w:bookmarkStart w:name="paragraph00039" w:id="19"/>
    <w:p w:rsidRPr="00884B04" w:rsidR="00662B04" w:rsidP="00884B04" w:rsidRDefault="00662B04" w14:paraId="6967FA82" w14:textId="756CD2EE">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39</w:t>
      </w:r>
      <w:r w:rsidRPr="00884B04">
        <w:fldChar w:fldCharType="end"/>
      </w:r>
      <w:bookmarkEnd w:id="19"/>
      <w:r w:rsidRPr="00884B04">
        <w:t>.</w:t>
      </w:r>
      <w:r w:rsidRPr="00884B04" w:rsidR="00FD072F">
        <w:t>  </w:t>
      </w:r>
      <w:r w:rsidRPr="00884B04">
        <w:t xml:space="preserve">Following further investigation, on </w:t>
      </w:r>
      <w:r w:rsidRPr="00884B04" w:rsidR="00F42FFF">
        <w:t>4 November 2011</w:t>
      </w:r>
      <w:r w:rsidRPr="00884B04">
        <w:t xml:space="preserve"> the MPS/CPS considered that there was sufficient evidence also to charge </w:t>
      </w:r>
      <w:r w:rsidRPr="00884B04" w:rsidR="00F42FFF">
        <w:t>Mr K</w:t>
      </w:r>
      <w:r w:rsidRPr="00884B04">
        <w:t xml:space="preserve">ovtun with the murder of </w:t>
      </w:r>
      <w:r w:rsidRPr="00884B04" w:rsidR="00F42FFF">
        <w:t>Mr L</w:t>
      </w:r>
      <w:r w:rsidRPr="00884B04">
        <w:t xml:space="preserve">itvinenko and applied for the issue of a warrant for </w:t>
      </w:r>
      <w:r w:rsidRPr="00884B04" w:rsidR="00F42FFF">
        <w:t>Mr K</w:t>
      </w:r>
      <w:r w:rsidRPr="00884B04">
        <w:t>ovtun</w:t>
      </w:r>
      <w:r w:rsidRPr="00884B04" w:rsidR="00884B04">
        <w:t>’</w:t>
      </w:r>
      <w:r w:rsidRPr="00884B04">
        <w:t>s arrest.</w:t>
      </w:r>
    </w:p>
    <w:p w:rsidRPr="00884B04" w:rsidR="00662B04" w:rsidP="00884B04" w:rsidRDefault="00EB7A47" w14:paraId="550241F7" w14:textId="6DCFC0D0">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40</w:t>
      </w:r>
      <w:r>
        <w:rPr>
          <w:noProof/>
        </w:rPr>
        <w:fldChar w:fldCharType="end"/>
      </w:r>
      <w:r w:rsidRPr="00884B04" w:rsidR="00662B04">
        <w:t>.</w:t>
      </w:r>
      <w:r w:rsidRPr="00884B04" w:rsidR="00FD072F">
        <w:t>  </w:t>
      </w:r>
      <w:r w:rsidRPr="00884B04" w:rsidR="00F42FFF">
        <w:t>Mr L</w:t>
      </w:r>
      <w:r w:rsidRPr="00884B04" w:rsidR="00662B04">
        <w:t xml:space="preserve">ugovoy and </w:t>
      </w:r>
      <w:r w:rsidRPr="00884B04" w:rsidR="00F42FFF">
        <w:t>Mr K</w:t>
      </w:r>
      <w:r w:rsidRPr="00884B04" w:rsidR="00662B04">
        <w:t xml:space="preserve">ovtun were placed on international lists of wanted persons. They both remain wanted for </w:t>
      </w:r>
      <w:r w:rsidRPr="00884B04" w:rsidR="00F42FFF">
        <w:t>Mr L</w:t>
      </w:r>
      <w:r w:rsidRPr="00884B04" w:rsidR="00662B04">
        <w:t>itvinenko</w:t>
      </w:r>
      <w:r w:rsidRPr="00884B04" w:rsidR="00884B04">
        <w:t>’</w:t>
      </w:r>
      <w:r w:rsidRPr="00884B04" w:rsidR="00662B04">
        <w:t>s murder.</w:t>
      </w:r>
    </w:p>
    <w:p w:rsidRPr="00884B04" w:rsidR="00662B04" w:rsidP="00884B04" w:rsidRDefault="00662B04" w14:paraId="52A97A6B" w14:textId="77777777">
      <w:pPr>
        <w:pStyle w:val="JuH1"/>
      </w:pPr>
      <w:r w:rsidRPr="00884B04">
        <w:t>The investigation in the Russian Federation</w:t>
      </w:r>
    </w:p>
    <w:bookmarkStart w:name="paragraph00041" w:id="20"/>
    <w:p w:rsidRPr="00884B04" w:rsidR="00662B04" w:rsidP="00884B04" w:rsidRDefault="00662B04" w14:paraId="4ACA44F8" w14:textId="5D7E7AEC">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41</w:t>
      </w:r>
      <w:r w:rsidRPr="00884B04">
        <w:fldChar w:fldCharType="end"/>
      </w:r>
      <w:bookmarkEnd w:id="20"/>
      <w:r w:rsidRPr="00884B04">
        <w:t>.</w:t>
      </w:r>
      <w:r w:rsidRPr="00884B04" w:rsidR="00FD072F">
        <w:t>  </w:t>
      </w:r>
      <w:r w:rsidRPr="00884B04">
        <w:t xml:space="preserve">On </w:t>
      </w:r>
      <w:r w:rsidRPr="00884B04" w:rsidR="00F42FFF">
        <w:t>7 December 2006</w:t>
      </w:r>
      <w:r w:rsidRPr="00884B04">
        <w:t xml:space="preserve"> the Russian Prosecutor General launched a criminal investigation “into the death of </w:t>
      </w:r>
      <w:r w:rsidRPr="00884B04" w:rsidR="00F42FFF">
        <w:t>Mr L</w:t>
      </w:r>
      <w:r w:rsidRPr="00884B04">
        <w:t xml:space="preserve">itvinenko and the attempted murder of </w:t>
      </w:r>
      <w:r w:rsidRPr="00884B04" w:rsidR="00F42FFF">
        <w:t>Mr K</w:t>
      </w:r>
      <w:r w:rsidRPr="00884B04">
        <w:t>ovtun”.</w:t>
      </w:r>
      <w:r w:rsidRPr="00884B04" w:rsidR="00F42FFF">
        <w:t xml:space="preserve"> </w:t>
      </w:r>
      <w:r w:rsidRPr="00884B04">
        <w:t xml:space="preserve">In April 2007, a deputy Prosecutor General and assisting investigators came to London and conducted several interviews there, including one with </w:t>
      </w:r>
      <w:r w:rsidRPr="00884B04" w:rsidR="00F42FFF">
        <w:t>Mr B</w:t>
      </w:r>
      <w:r w:rsidRPr="00884B04">
        <w:t>erezovskiy.</w:t>
      </w:r>
    </w:p>
    <w:p w:rsidRPr="00884B04" w:rsidR="00662B04" w:rsidP="00884B04" w:rsidRDefault="00662B04" w14:paraId="4CC4BFBA" w14:textId="0F536F74">
      <w:pPr>
        <w:pStyle w:val="JuPara"/>
      </w:pPr>
      <w:r w:rsidRPr="00884B04">
        <w:fldChar w:fldCharType="begin"/>
      </w:r>
      <w:r w:rsidRPr="00884B04">
        <w:instrText xml:space="preserve"> SEQ level0 \*arabic </w:instrText>
      </w:r>
      <w:r w:rsidRPr="00884B04">
        <w:fldChar w:fldCharType="separate"/>
      </w:r>
      <w:r w:rsidRPr="00884B04" w:rsidR="00884B04">
        <w:rPr>
          <w:noProof/>
        </w:rPr>
        <w:t>42</w:t>
      </w:r>
      <w:r w:rsidRPr="00884B04">
        <w:fldChar w:fldCharType="end"/>
      </w:r>
      <w:r w:rsidRPr="00884B04">
        <w:t>.</w:t>
      </w:r>
      <w:r w:rsidRPr="00884B04" w:rsidR="00FD072F">
        <w:t>  </w:t>
      </w:r>
      <w:r w:rsidRPr="00884B04" w:rsidR="00F42FFF">
        <w:t>Mr L</w:t>
      </w:r>
      <w:r w:rsidRPr="00884B04">
        <w:t xml:space="preserve">ugovoy gave press conferences denying any involvement in the Litvinenko poisoning and speculating that the British security services, members of the Russian “mafia” or </w:t>
      </w:r>
      <w:r w:rsidRPr="00884B04" w:rsidR="00F42FFF">
        <w:t>Mr B</w:t>
      </w:r>
      <w:r w:rsidRPr="00884B04">
        <w:t xml:space="preserve">erezovskiy were responsible. He also alleged that </w:t>
      </w:r>
      <w:r w:rsidRPr="00884B04" w:rsidR="00F42FFF">
        <w:t>Mr L</w:t>
      </w:r>
      <w:r w:rsidRPr="00884B04">
        <w:t xml:space="preserve">itvinenko and </w:t>
      </w:r>
      <w:r w:rsidRPr="00884B04" w:rsidR="00F42FFF">
        <w:t>Mr B</w:t>
      </w:r>
      <w:r w:rsidRPr="00884B04">
        <w:t xml:space="preserve">erezovskiy were in the pay of the British intelligence services and that </w:t>
      </w:r>
      <w:r w:rsidRPr="00884B04" w:rsidR="00F42FFF">
        <w:t>Mr L</w:t>
      </w:r>
      <w:r w:rsidRPr="00884B04">
        <w:t>itvinenko had sought to procure his assistance in finding compromising material on President Putin.</w:t>
      </w:r>
    </w:p>
    <w:bookmarkStart w:name="paragraph00043" w:id="21"/>
    <w:p w:rsidRPr="00884B04" w:rsidR="00662B04" w:rsidP="00884B04" w:rsidRDefault="00662B04" w14:paraId="32FC100C" w14:textId="534190E8">
      <w:pPr>
        <w:pStyle w:val="JuPara"/>
      </w:pPr>
      <w:r w:rsidRPr="00884B04">
        <w:fldChar w:fldCharType="begin"/>
      </w:r>
      <w:r w:rsidRPr="00884B04">
        <w:instrText xml:space="preserve"> SEQ level0 \*arabic </w:instrText>
      </w:r>
      <w:r w:rsidRPr="00884B04">
        <w:fldChar w:fldCharType="separate"/>
      </w:r>
      <w:r w:rsidRPr="00884B04" w:rsidR="00884B04">
        <w:rPr>
          <w:noProof/>
        </w:rPr>
        <w:t>43</w:t>
      </w:r>
      <w:r w:rsidRPr="00884B04">
        <w:fldChar w:fldCharType="end"/>
      </w:r>
      <w:bookmarkEnd w:id="21"/>
      <w:r w:rsidRPr="00884B04">
        <w:t>.</w:t>
      </w:r>
      <w:r w:rsidRPr="00884B04" w:rsidR="00FD072F">
        <w:t>  </w:t>
      </w:r>
      <w:r w:rsidRPr="00884B04">
        <w:t xml:space="preserve">On </w:t>
      </w:r>
      <w:r w:rsidRPr="00884B04" w:rsidR="00F42FFF">
        <w:t>15 September 2007</w:t>
      </w:r>
      <w:r w:rsidRPr="00884B04">
        <w:t xml:space="preserve"> </w:t>
      </w:r>
      <w:r w:rsidRPr="00884B04" w:rsidR="00F42FFF">
        <w:t>Mr Z</w:t>
      </w:r>
      <w:r w:rsidRPr="00884B04">
        <w:t>hiri</w:t>
      </w:r>
      <w:r w:rsidRPr="00884B04" w:rsidR="007E7025">
        <w:t xml:space="preserve">novskiy, leader of the Liberal Democratic Party of Russia, announced that </w:t>
      </w:r>
      <w:r w:rsidRPr="00884B04" w:rsidR="00F42FFF">
        <w:t>Mr L</w:t>
      </w:r>
      <w:r w:rsidRPr="00884B04" w:rsidR="007E7025">
        <w:t>ugovoy – who had had no prior experience in politics and had not previously been involved in his party – would take the second place on his party</w:t>
      </w:r>
      <w:r w:rsidRPr="00884B04" w:rsidR="00884B04">
        <w:t>’</w:t>
      </w:r>
      <w:r w:rsidRPr="00884B04" w:rsidR="007E7025">
        <w:t>s candidate list for the Duma election.</w:t>
      </w:r>
      <w:r w:rsidRPr="00884B04" w:rsidR="00F42FFF">
        <w:t xml:space="preserve"> </w:t>
      </w:r>
      <w:r w:rsidRPr="00884B04" w:rsidR="007E7025">
        <w:t xml:space="preserve">Following the election on </w:t>
      </w:r>
      <w:r w:rsidRPr="00884B04" w:rsidR="00F42FFF">
        <w:t>2 December 2007</w:t>
      </w:r>
      <w:r w:rsidRPr="00884B04" w:rsidR="007E7025">
        <w:t xml:space="preserve"> </w:t>
      </w:r>
      <w:r w:rsidRPr="00884B04" w:rsidR="00F42FFF">
        <w:t>Mr L</w:t>
      </w:r>
      <w:r w:rsidRPr="00884B04" w:rsidR="007E7025">
        <w:t>ugovoy became a member of Parliament and acquired parliamentary immunity.</w:t>
      </w:r>
      <w:r w:rsidRPr="00884B04" w:rsidR="00F42FFF">
        <w:t xml:space="preserve"> </w:t>
      </w:r>
      <w:r w:rsidRPr="00884B04">
        <w:t>He was re-elected in 2011 and 2016 on the same party</w:t>
      </w:r>
      <w:r w:rsidRPr="00884B04" w:rsidR="00884B04">
        <w:t>’</w:t>
      </w:r>
      <w:r w:rsidRPr="00884B04">
        <w:t>s ticket.</w:t>
      </w:r>
    </w:p>
    <w:p w:rsidRPr="00884B04" w:rsidR="00662B04" w:rsidP="00884B04" w:rsidRDefault="00662B04" w14:paraId="0B006F29" w14:textId="77777777">
      <w:pPr>
        <w:pStyle w:val="JuHA"/>
      </w:pPr>
      <w:r w:rsidRPr="00884B04">
        <w:t>The inquest proceedings in the United Kingdom</w:t>
      </w:r>
    </w:p>
    <w:p w:rsidRPr="00884B04" w:rsidR="00662B04" w:rsidP="00884B04" w:rsidRDefault="00662B04" w14:paraId="2AB5205C" w14:textId="462B23F0">
      <w:pPr>
        <w:pStyle w:val="JuPara"/>
      </w:pPr>
      <w:r w:rsidRPr="00884B04">
        <w:fldChar w:fldCharType="begin"/>
      </w:r>
      <w:r w:rsidRPr="00884B04">
        <w:instrText xml:space="preserve"> SEQ level0 \*arabic </w:instrText>
      </w:r>
      <w:r w:rsidRPr="00884B04">
        <w:fldChar w:fldCharType="separate"/>
      </w:r>
      <w:r w:rsidRPr="00884B04" w:rsidR="00884B04">
        <w:rPr>
          <w:noProof/>
        </w:rPr>
        <w:t>44</w:t>
      </w:r>
      <w:r w:rsidRPr="00884B04">
        <w:fldChar w:fldCharType="end"/>
      </w:r>
      <w:r w:rsidRPr="00884B04">
        <w:t>.</w:t>
      </w:r>
      <w:r w:rsidRPr="00884B04" w:rsidR="00FD072F">
        <w:t>  </w:t>
      </w:r>
      <w:r w:rsidRPr="00884B04">
        <w:t>In the United Kingdom a Coroner</w:t>
      </w:r>
      <w:r w:rsidRPr="00884B04" w:rsidR="00884B04">
        <w:t>’</w:t>
      </w:r>
      <w:r w:rsidRPr="00884B04">
        <w:t>s inquest must be held to investigate the circumstances of a death where there is reasonable cause to suspect that a deceased person died a violent or unnatural death. The Coroner has the power to investigate the main cause of death together with any actions and omissions which led directly to the cause of death.</w:t>
      </w:r>
    </w:p>
    <w:bookmarkStart w:name="paragraph00045" w:id="22"/>
    <w:p w:rsidRPr="00884B04" w:rsidR="00662B04" w:rsidP="00884B04" w:rsidRDefault="00662B04" w14:paraId="01A72033" w14:textId="35AA12AF">
      <w:pPr>
        <w:pStyle w:val="JuPara"/>
      </w:pPr>
      <w:r w:rsidRPr="00884B04">
        <w:fldChar w:fldCharType="begin"/>
      </w:r>
      <w:r w:rsidRPr="00884B04">
        <w:instrText xml:space="preserve"> SEQ level0 \*arabic </w:instrText>
      </w:r>
      <w:r w:rsidRPr="00884B04">
        <w:fldChar w:fldCharType="separate"/>
      </w:r>
      <w:r w:rsidRPr="00884B04" w:rsidR="00884B04">
        <w:rPr>
          <w:noProof/>
        </w:rPr>
        <w:t>45</w:t>
      </w:r>
      <w:r w:rsidRPr="00884B04">
        <w:fldChar w:fldCharType="end"/>
      </w:r>
      <w:bookmarkEnd w:id="22"/>
      <w:r w:rsidRPr="00884B04">
        <w:t>.</w:t>
      </w:r>
      <w:r w:rsidRPr="00884B04" w:rsidR="00FD072F">
        <w:t>  </w:t>
      </w:r>
      <w:r w:rsidRPr="00884B04">
        <w:t xml:space="preserve">On </w:t>
      </w:r>
      <w:r w:rsidRPr="00884B04" w:rsidR="00F42FFF">
        <w:t>30 November 2006</w:t>
      </w:r>
      <w:r w:rsidRPr="00884B04">
        <w:t xml:space="preserve"> the Coroner for Inner North London formally opened an inquest into </w:t>
      </w:r>
      <w:r w:rsidRPr="00884B04" w:rsidR="00F42FFF">
        <w:t>Mr L</w:t>
      </w:r>
      <w:r w:rsidRPr="00884B04">
        <w:t>itvinenko</w:t>
      </w:r>
      <w:r w:rsidRPr="00884B04" w:rsidR="00884B04">
        <w:t>’</w:t>
      </w:r>
      <w:r w:rsidRPr="00884B04">
        <w:t xml:space="preserve">s death and immediately adjourned it pending completion of the ongoing police investigation. The inquest remained adjourned for nearly five years, during which time it was believed that criminal prosecutions might still be brought. However, by 2011 the Coroner was satisfied that there was </w:t>
      </w:r>
      <w:r w:rsidRPr="00884B04" w:rsidR="007E7025">
        <w:t>no realistic prospect of any named individual either returning or being extradited to the United Kingdom.</w:t>
      </w:r>
      <w:r w:rsidRPr="00884B04" w:rsidR="00F42FFF">
        <w:t xml:space="preserve"> </w:t>
      </w:r>
      <w:r w:rsidRPr="00884B04" w:rsidR="007E7025">
        <w:t>He therefore decided that the inquest should be resumed and Sir Robert Owen, a High Court judge since 2001, was appointed to conduct the inquest.</w:t>
      </w:r>
      <w:r w:rsidRPr="00884B04" w:rsidR="00F42FFF">
        <w:t xml:space="preserve"> </w:t>
      </w:r>
      <w:r w:rsidRPr="00884B04">
        <w:t>Sir</w:t>
      </w:r>
      <w:r w:rsidRPr="00884B04" w:rsidR="00431B21">
        <w:t> </w:t>
      </w:r>
      <w:r w:rsidRPr="00884B04">
        <w:t xml:space="preserve">Robert Owen designated the following individuals as “properly interested persons”: the applicant; </w:t>
      </w:r>
      <w:r w:rsidRPr="00884B04" w:rsidR="00F42FFF">
        <w:t>Mr L</w:t>
      </w:r>
      <w:r w:rsidRPr="00884B04">
        <w:t>itvinenko</w:t>
      </w:r>
      <w:r w:rsidRPr="00884B04" w:rsidR="00884B04">
        <w:t>’</w:t>
      </w:r>
      <w:r w:rsidRPr="00884B04">
        <w:t xml:space="preserve">s children; </w:t>
      </w:r>
      <w:r w:rsidRPr="00884B04" w:rsidR="00F42FFF">
        <w:t>Mr L</w:t>
      </w:r>
      <w:r w:rsidRPr="00884B04">
        <w:t xml:space="preserve">ugovoy; </w:t>
      </w:r>
      <w:r w:rsidRPr="00884B04" w:rsidR="00F42FFF">
        <w:t>Mr K</w:t>
      </w:r>
      <w:r w:rsidRPr="00884B04">
        <w:t xml:space="preserve">ovtun; the Commissioner of Police of the Metropolis; and </w:t>
      </w:r>
      <w:r w:rsidRPr="00884B04" w:rsidR="00F42FFF">
        <w:t>Mr B</w:t>
      </w:r>
      <w:r w:rsidRPr="00884B04">
        <w:t>erezovskiy. The Investigative Committee of the Russian Federation (“ICRF”) subsequently applied for, and was granted, properly interested person status. Being given the status of interested person gives participants the right to play an active part in the inquest hearing or any pre-inquest review hearing, including by examining witnesses.</w:t>
      </w:r>
    </w:p>
    <w:p w:rsidRPr="00884B04" w:rsidR="007E7025" w:rsidP="00884B04" w:rsidRDefault="00662B04" w14:paraId="038AEF8A" w14:textId="23F32885">
      <w:pPr>
        <w:pStyle w:val="JuPara"/>
      </w:pPr>
      <w:r w:rsidRPr="00884B04">
        <w:fldChar w:fldCharType="begin"/>
      </w:r>
      <w:r w:rsidRPr="00884B04">
        <w:instrText xml:space="preserve"> SEQ level0 \*arabic </w:instrText>
      </w:r>
      <w:r w:rsidRPr="00884B04">
        <w:fldChar w:fldCharType="separate"/>
      </w:r>
      <w:r w:rsidRPr="00884B04" w:rsidR="00884B04">
        <w:rPr>
          <w:noProof/>
        </w:rPr>
        <w:t>46</w:t>
      </w:r>
      <w:r w:rsidRPr="00884B04">
        <w:fldChar w:fldCharType="end"/>
      </w:r>
      <w:r w:rsidRPr="00884B04">
        <w:t>.</w:t>
      </w:r>
      <w:r w:rsidRPr="00884B04" w:rsidR="00FD072F">
        <w:t>  </w:t>
      </w:r>
      <w:r w:rsidRPr="00884B04">
        <w:t xml:space="preserve">In preparation for the inquest the United Kingdom Government collated material in their possession and made it available for inspection to counsel and the solicitor to the inquest. Counsel to the inquest subsequently expressed the view that this material established a prima facie case as to the culpability of the Russian State in </w:t>
      </w:r>
      <w:r w:rsidRPr="00884B04" w:rsidR="00F42FFF">
        <w:t>Mr L</w:t>
      </w:r>
      <w:r w:rsidRPr="00884B04">
        <w:t>itvinenko</w:t>
      </w:r>
      <w:r w:rsidRPr="00884B04" w:rsidR="00884B04">
        <w:t>’</w:t>
      </w:r>
      <w:r w:rsidRPr="00884B04">
        <w:t xml:space="preserve">s death. However, some of this material was of a sensitive nature and, as the law did </w:t>
      </w:r>
      <w:r w:rsidRPr="00884B04" w:rsidR="007E7025">
        <w:t>not allow evidence to be taken in “secret” or “closed” sessions at a Coroner</w:t>
      </w:r>
      <w:r w:rsidRPr="00884B04" w:rsidR="00884B04">
        <w:t>’</w:t>
      </w:r>
      <w:r w:rsidRPr="00884B04" w:rsidR="007E7025">
        <w:t xml:space="preserve">s inquest, the sensitive material, which included material relevant to the possible involvement of Russian State agencies in the death of </w:t>
      </w:r>
      <w:r w:rsidRPr="00884B04" w:rsidR="00F42FFF">
        <w:t>Mr L</w:t>
      </w:r>
      <w:r w:rsidRPr="00884B04" w:rsidR="007E7025">
        <w:t>itvinenko, was excluded from the inquest proceedings under the public interest immunity principle.</w:t>
      </w:r>
      <w:r w:rsidRPr="00884B04" w:rsidR="00F42FFF">
        <w:t xml:space="preserve"> </w:t>
      </w:r>
      <w:r w:rsidRPr="00884B04" w:rsidR="007E7025">
        <w:t>Sir Robert Owen therefore invited the United Kingdom Government to establish an inquiry under the Inquiries Act 2005.</w:t>
      </w:r>
      <w:r w:rsidRPr="00884B04" w:rsidR="00F42FFF">
        <w:t xml:space="preserve"> </w:t>
      </w:r>
      <w:r w:rsidRPr="00884B04">
        <w:t>Unlike a Coroner</w:t>
      </w:r>
      <w:r w:rsidRPr="00884B04" w:rsidR="00884B04">
        <w:t>’</w:t>
      </w:r>
      <w:r w:rsidRPr="00884B04">
        <w:t xml:space="preserve">s inquest, an inquiry could hear evidence that could </w:t>
      </w:r>
      <w:r w:rsidRPr="00884B04" w:rsidR="007E7025">
        <w:t>not be disclosed publicly.</w:t>
      </w:r>
    </w:p>
    <w:p w:rsidRPr="00884B04" w:rsidR="007E7025" w:rsidP="00884B04" w:rsidRDefault="007E7025" w14:paraId="04143EA7" w14:textId="315C17B3">
      <w:pPr>
        <w:pStyle w:val="JuPara"/>
      </w:pPr>
      <w:r w:rsidRPr="00884B04">
        <w:fldChar w:fldCharType="begin"/>
      </w:r>
      <w:r w:rsidRPr="00884B04">
        <w:instrText xml:space="preserve"> SEQ level0 \*arabic </w:instrText>
      </w:r>
      <w:r w:rsidRPr="00884B04">
        <w:fldChar w:fldCharType="separate"/>
      </w:r>
      <w:r w:rsidRPr="00884B04" w:rsidR="00884B04">
        <w:rPr>
          <w:noProof/>
        </w:rPr>
        <w:t>47</w:t>
      </w:r>
      <w:r w:rsidRPr="00884B04">
        <w:fldChar w:fldCharType="end"/>
      </w:r>
      <w:r w:rsidRPr="00884B04">
        <w:t>.</w:t>
      </w:r>
      <w:r w:rsidRPr="00884B04" w:rsidR="00FD072F">
        <w:t>  </w:t>
      </w:r>
      <w:r w:rsidRPr="00884B04">
        <w:t>The Secretary of State for the Home Department initially decided not to establish an inquiry.</w:t>
      </w:r>
      <w:r w:rsidRPr="00884B04" w:rsidR="00F42FFF">
        <w:t xml:space="preserve"> </w:t>
      </w:r>
      <w:r w:rsidRPr="00884B04">
        <w:t xml:space="preserve">However, following a successful application for judicial review by the applicant that decision was quashed and on </w:t>
      </w:r>
      <w:r w:rsidRPr="00884B04" w:rsidR="00F42FFF">
        <w:t>22 July 2014</w:t>
      </w:r>
      <w:r w:rsidRPr="00884B04">
        <w:t xml:space="preserve"> the Secretary of State for the Home Department announced the Government</w:t>
      </w:r>
      <w:r w:rsidRPr="00884B04" w:rsidR="00884B04">
        <w:t>’</w:t>
      </w:r>
      <w:r w:rsidRPr="00884B04">
        <w:t xml:space="preserve">s decision to establish an inquiry under the Inquiries Act 2005 to investigate </w:t>
      </w:r>
      <w:r w:rsidRPr="00884B04" w:rsidR="00F42FFF">
        <w:t>Mr L</w:t>
      </w:r>
      <w:r w:rsidRPr="00884B04">
        <w:t>itvinenko</w:t>
      </w:r>
      <w:r w:rsidRPr="00884B04" w:rsidR="00884B04">
        <w:t>’</w:t>
      </w:r>
      <w:r w:rsidRPr="00884B04">
        <w:t>s death.</w:t>
      </w:r>
    </w:p>
    <w:p w:rsidRPr="00884B04" w:rsidR="007E7025" w:rsidP="00884B04" w:rsidRDefault="007E7025" w14:paraId="17B45083" w14:textId="77777777">
      <w:pPr>
        <w:pStyle w:val="JuHA"/>
      </w:pPr>
      <w:r w:rsidRPr="00884B04">
        <w:t>The “Litvinenko Inquiry” in the United Kingdom</w:t>
      </w:r>
    </w:p>
    <w:p w:rsidRPr="00884B04" w:rsidR="007E7025" w:rsidP="00884B04" w:rsidRDefault="007E7025" w14:paraId="7B8182DC" w14:textId="77777777">
      <w:pPr>
        <w:pStyle w:val="JuH1"/>
      </w:pPr>
      <w:r w:rsidRPr="00884B04">
        <w:t>The conduct of the inquiry</w:t>
      </w:r>
    </w:p>
    <w:bookmarkStart w:name="paragraph00048" w:id="23"/>
    <w:p w:rsidRPr="00884B04" w:rsidR="007E7025" w:rsidP="00884B04" w:rsidRDefault="007E7025" w14:paraId="3286356C" w14:textId="4362E194">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48</w:t>
      </w:r>
      <w:r w:rsidRPr="00884B04">
        <w:fldChar w:fldCharType="end"/>
      </w:r>
      <w:bookmarkEnd w:id="23"/>
      <w:r w:rsidRPr="00884B04">
        <w:t>.</w:t>
      </w:r>
      <w:r w:rsidRPr="00884B04" w:rsidR="00FD072F">
        <w:t>  </w:t>
      </w:r>
      <w:r w:rsidRPr="00884B04">
        <w:t>The inquiry was chaired by Sir Robert Owen, who had also conducted the inquest.</w:t>
      </w:r>
      <w:r w:rsidRPr="00884B04" w:rsidR="00F42FFF">
        <w:t xml:space="preserve"> </w:t>
      </w:r>
      <w:r w:rsidRPr="00884B04">
        <w:t>The inquiry</w:t>
      </w:r>
      <w:r w:rsidRPr="00884B04" w:rsidR="00884B04">
        <w:t>’</w:t>
      </w:r>
      <w:r w:rsidRPr="00884B04">
        <w:t>s terms of reference were to investigate the death of Alexander Litvinenko in order to (i) “ascertain ...</w:t>
      </w:r>
      <w:r w:rsidRPr="00884B04" w:rsidR="00F42FFF">
        <w:t xml:space="preserve"> </w:t>
      </w:r>
      <w:r w:rsidRPr="00884B04" w:rsidR="00662B04">
        <w:t xml:space="preserve">how, when and where [the deceased] came by his death”, and (ii) “identify ... where responsibility for the death lies”. The question of whether the United Kingdom authorities could or should have taken steps which would have prevented the death of </w:t>
      </w:r>
      <w:r w:rsidRPr="00884B04" w:rsidR="00F42FFF">
        <w:t>Mr L</w:t>
      </w:r>
      <w:r w:rsidRPr="00884B04" w:rsidR="00662B04">
        <w:t xml:space="preserve">itvinenko was excluded from the scope of the inquiry as </w:t>
      </w:r>
      <w:r w:rsidRPr="00884B04">
        <w:t xml:space="preserve">no material had been disclosed in the course of the preparation for the inquest to suggest that </w:t>
      </w:r>
      <w:r w:rsidRPr="00884B04" w:rsidR="00F42FFF">
        <w:t>Mr L</w:t>
      </w:r>
      <w:r w:rsidRPr="00884B04">
        <w:t>itvinenko was or ought to have been assessed as being at a real and immediate threat to his life.</w:t>
      </w:r>
    </w:p>
    <w:bookmarkStart w:name="paragraph00049" w:id="24"/>
    <w:p w:rsidRPr="00884B04" w:rsidR="00662B04" w:rsidP="00884B04" w:rsidRDefault="007E7025" w14:paraId="61BC41AE" w14:textId="72D23287">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49</w:t>
      </w:r>
      <w:r w:rsidRPr="00884B04">
        <w:fldChar w:fldCharType="end"/>
      </w:r>
      <w:bookmarkEnd w:id="24"/>
      <w:r w:rsidRPr="00884B04">
        <w:t>.</w:t>
      </w:r>
      <w:r w:rsidRPr="00884B04" w:rsidR="00FD072F">
        <w:t>  </w:t>
      </w:r>
      <w:r w:rsidRPr="00884B04">
        <w:t xml:space="preserve">The open hearings commenced on </w:t>
      </w:r>
      <w:r w:rsidRPr="00884B04" w:rsidR="00F42FFF">
        <w:t>27 January 2015</w:t>
      </w:r>
      <w:r w:rsidRPr="00884B04">
        <w:t xml:space="preserve"> and lasted thirty</w:t>
      </w:r>
      <w:r w:rsidRPr="00884B04">
        <w:noBreakHyphen/>
        <w:t>four days.</w:t>
      </w:r>
      <w:r w:rsidRPr="00884B04" w:rsidR="00F42FFF">
        <w:t xml:space="preserve"> </w:t>
      </w:r>
      <w:r w:rsidRPr="00884B04">
        <w:t>Unless “enhanced measures” were in place the public and press had unrestricted access to the hearings and a transcript of proceedings was posted on the inquiry website at the end of each day.</w:t>
      </w:r>
      <w:r w:rsidRPr="00884B04" w:rsidR="00F42FFF">
        <w:t xml:space="preserve"> </w:t>
      </w:r>
      <w:r w:rsidRPr="00884B04" w:rsidR="00662B04">
        <w:t>A total of sixty</w:t>
      </w:r>
      <w:r w:rsidRPr="00884B04" w:rsidR="00662B04">
        <w:noBreakHyphen/>
        <w:t xml:space="preserve">two witnesses gave oral evidence to the inquiry and witness statements from a further twenty witnesses were read to the inquiry. The witnesses included </w:t>
      </w:r>
      <w:r w:rsidRPr="00884B04" w:rsidR="00F42FFF">
        <w:t>Mr L</w:t>
      </w:r>
      <w:r w:rsidRPr="00884B04" w:rsidR="00662B04">
        <w:t>itvinenko</w:t>
      </w:r>
      <w:r w:rsidRPr="00884B04" w:rsidR="00884B04">
        <w:t>’</w:t>
      </w:r>
      <w:r w:rsidRPr="00884B04" w:rsidR="00662B04">
        <w:t>s family, friends and business associates, medical professionals, nuclear scientists, police officers and experts in Russian history and testing by polygraph.</w:t>
      </w:r>
    </w:p>
    <w:p w:rsidRPr="00884B04" w:rsidR="00662B04" w:rsidP="00884B04" w:rsidRDefault="00EB7A47" w14:paraId="0E309B10" w14:textId="0623D7D2">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50</w:t>
      </w:r>
      <w:r>
        <w:rPr>
          <w:noProof/>
        </w:rPr>
        <w:fldChar w:fldCharType="end"/>
      </w:r>
      <w:r w:rsidRPr="00884B04" w:rsidR="00662B04">
        <w:t>.</w:t>
      </w:r>
      <w:r w:rsidRPr="00884B04" w:rsidR="00FD072F">
        <w:t>  </w:t>
      </w:r>
      <w:r w:rsidRPr="00884B04" w:rsidR="00662B04">
        <w:t xml:space="preserve">Over several days in May 2015, the Chairman held closed hearings of the inquiry to assess a considerable quantity of closed documentary evidence, oral evidence from witnesses and closed witness statements. Attendance at those hearings was limited to the Chairman, counsel and solicitor to the inquiry and the legal team for the Home Secretary. The issues covered included the question of whether </w:t>
      </w:r>
      <w:r w:rsidRPr="00884B04" w:rsidR="00F42FFF">
        <w:t>Mr L</w:t>
      </w:r>
      <w:r w:rsidRPr="00884B04" w:rsidR="00662B04">
        <w:t>itvinenko had any sort of relationship with British security and intelligence agencies, and if so the nature and extent of that relationship, and the question of whether the Russian State was responsible for his death. The assessment that the material was sufficiently sensitive to warrant being treated as closed evidence had been made by the Home Secretary who had given effect to that decision by issuing a number of Restriction Notices. The Restriction Notices were published on the inquiry website and appended to the report.</w:t>
      </w:r>
    </w:p>
    <w:bookmarkStart w:name="paragraph00051" w:id="25"/>
    <w:p w:rsidRPr="00884B04" w:rsidR="007E7025" w:rsidP="00884B04" w:rsidRDefault="00662B04" w14:paraId="79B96909" w14:textId="62EDD423">
      <w:pPr>
        <w:pStyle w:val="JuPara"/>
      </w:pPr>
      <w:r w:rsidRPr="00884B04">
        <w:fldChar w:fldCharType="begin"/>
      </w:r>
      <w:r w:rsidRPr="00884B04">
        <w:instrText xml:space="preserve"> SEQ level0 \*arabic </w:instrText>
      </w:r>
      <w:r w:rsidRPr="00884B04">
        <w:fldChar w:fldCharType="separate"/>
      </w:r>
      <w:r w:rsidRPr="00884B04" w:rsidR="00884B04">
        <w:rPr>
          <w:noProof/>
        </w:rPr>
        <w:t>51</w:t>
      </w:r>
      <w:r w:rsidRPr="00884B04">
        <w:fldChar w:fldCharType="end"/>
      </w:r>
      <w:bookmarkEnd w:id="25"/>
      <w:r w:rsidRPr="00884B04">
        <w:t>.</w:t>
      </w:r>
      <w:r w:rsidRPr="00884B04" w:rsidR="00FD072F">
        <w:t>  </w:t>
      </w:r>
      <w:r w:rsidRPr="00884B04">
        <w:t xml:space="preserve">The Chairman of the Litvinenko Inquiry granted applications for core participant status by the applicant, her son, the MPS, the Secretary of State for the Home Department and the Atomic Weapons Establishment. The ICRF confirmed in writing that it would </w:t>
      </w:r>
      <w:r w:rsidRPr="00884B04" w:rsidR="007E7025">
        <w:t>not be making an application for core participant status in the inquiry.</w:t>
      </w:r>
    </w:p>
    <w:bookmarkStart w:name="paragraph00052" w:id="26"/>
    <w:p w:rsidRPr="00884B04" w:rsidR="007E7025" w:rsidP="00884B04" w:rsidRDefault="007E7025" w14:paraId="58FF6F43" w14:textId="0A77ED37">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52</w:t>
      </w:r>
      <w:r w:rsidRPr="00884B04">
        <w:fldChar w:fldCharType="end"/>
      </w:r>
      <w:bookmarkEnd w:id="26"/>
      <w:r w:rsidRPr="00884B04">
        <w:t>.</w:t>
      </w:r>
      <w:r w:rsidRPr="00884B04" w:rsidR="00FD072F">
        <w:t>  </w:t>
      </w:r>
      <w:r w:rsidRPr="00884B04" w:rsidR="00F42FFF">
        <w:t>Mr L</w:t>
      </w:r>
      <w:r w:rsidRPr="00884B04">
        <w:t>ugovoy declined to give evidence to the inquiry, although he had been represented for a time during the preparation for the inquest.</w:t>
      </w:r>
    </w:p>
    <w:bookmarkStart w:name="paragraph00053" w:id="27"/>
    <w:p w:rsidRPr="00884B04" w:rsidR="007E7025" w:rsidP="00884B04" w:rsidRDefault="007E7025" w14:paraId="5A5C33E1" w14:textId="0E7D5CB4">
      <w:pPr>
        <w:pStyle w:val="JuPara"/>
      </w:pPr>
      <w:r w:rsidRPr="00884B04">
        <w:fldChar w:fldCharType="begin"/>
      </w:r>
      <w:r w:rsidRPr="00884B04">
        <w:instrText xml:space="preserve"> SEQ level0 \*arabic </w:instrText>
      </w:r>
      <w:r w:rsidRPr="00884B04">
        <w:fldChar w:fldCharType="separate"/>
      </w:r>
      <w:r w:rsidRPr="00884B04" w:rsidR="00884B04">
        <w:rPr>
          <w:noProof/>
        </w:rPr>
        <w:t>53</w:t>
      </w:r>
      <w:r w:rsidRPr="00884B04">
        <w:fldChar w:fldCharType="end"/>
      </w:r>
      <w:bookmarkEnd w:id="27"/>
      <w:r w:rsidRPr="00884B04">
        <w:t>.</w:t>
      </w:r>
      <w:r w:rsidRPr="00884B04" w:rsidR="00FD072F">
        <w:t>  </w:t>
      </w:r>
      <w:r w:rsidRPr="00884B04">
        <w:t xml:space="preserve">On </w:t>
      </w:r>
      <w:r w:rsidRPr="00884B04" w:rsidR="00F42FFF">
        <w:t>13 March 2015</w:t>
      </w:r>
      <w:r w:rsidRPr="00884B04">
        <w:t xml:space="preserve"> </w:t>
      </w:r>
      <w:r w:rsidRPr="00884B04" w:rsidR="00F42FFF">
        <w:t>Mr K</w:t>
      </w:r>
      <w:r w:rsidRPr="00884B04">
        <w:t>ovtun expressed a wish to become a core participant in the inquiry and give oral evidence via videolink.</w:t>
      </w:r>
      <w:r w:rsidRPr="00884B04" w:rsidR="00F42FFF">
        <w:t xml:space="preserve"> </w:t>
      </w:r>
      <w:r w:rsidRPr="00884B04">
        <w:t xml:space="preserve">On </w:t>
      </w:r>
      <w:r w:rsidRPr="00884B04" w:rsidR="00F42FFF">
        <w:t>2 April 2015</w:t>
      </w:r>
      <w:r w:rsidRPr="00884B04">
        <w:t xml:space="preserve"> the Chairman informed him that the granting of core participant status was conditional on his giving a confidentiality undertaking, providing a detailed witness statement, disclosing any material he claimed would be capable of exonerating </w:t>
      </w:r>
      <w:r w:rsidRPr="00884B04" w:rsidR="00F42FFF">
        <w:t>Mr L</w:t>
      </w:r>
      <w:r w:rsidRPr="00884B04">
        <w:t>ugovoy, and confirming that he intended to cooperate with the inquiry.</w:t>
      </w:r>
      <w:r w:rsidRPr="00884B04" w:rsidR="00F42FFF">
        <w:t xml:space="preserve"> </w:t>
      </w:r>
      <w:r w:rsidRPr="00884B04" w:rsidR="00662B04">
        <w:t xml:space="preserve">The first date for his oral evidence was set for Monday </w:t>
      </w:r>
      <w:r w:rsidRPr="00884B04" w:rsidR="00F42FFF">
        <w:t>27 July 2015</w:t>
      </w:r>
      <w:r w:rsidRPr="00884B04" w:rsidR="00662B04">
        <w:t xml:space="preserve">. On Thursday </w:t>
      </w:r>
      <w:r w:rsidRPr="00884B04" w:rsidR="00F42FFF">
        <w:t>23 July 2015</w:t>
      </w:r>
      <w:r w:rsidRPr="00884B04" w:rsidR="00662B04">
        <w:t xml:space="preserve"> </w:t>
      </w:r>
      <w:r w:rsidRPr="00884B04" w:rsidR="00F42FFF">
        <w:t>Mr K</w:t>
      </w:r>
      <w:r w:rsidRPr="00884B04" w:rsidR="00662B04">
        <w:t xml:space="preserve">ovtun declined to give evidence on the grounds that, according to legal advice he had been given, prior to giving evidence he would need the ICRF to approve his application for a relaxation of the confidentiality obligations he owed to the ongoing Russian investigation. On 27 and </w:t>
      </w:r>
      <w:r w:rsidRPr="00884B04" w:rsidR="00F42FFF">
        <w:t>28 July 2015</w:t>
      </w:r>
      <w:r w:rsidRPr="00884B04" w:rsidR="00662B04">
        <w:t xml:space="preserve"> counsel for the ICRF informed the inquiry that </w:t>
      </w:r>
      <w:r w:rsidRPr="00884B04" w:rsidR="00F42FFF">
        <w:t>Mr K</w:t>
      </w:r>
      <w:r w:rsidRPr="00884B04" w:rsidR="00662B04">
        <w:t xml:space="preserve">ovtun had </w:t>
      </w:r>
      <w:r w:rsidRPr="00884B04">
        <w:t>not made any such application.</w:t>
      </w:r>
      <w:r w:rsidRPr="00884B04" w:rsidR="00F42FFF">
        <w:t xml:space="preserve"> </w:t>
      </w:r>
      <w:r w:rsidRPr="00884B04">
        <w:t xml:space="preserve">A written statement by </w:t>
      </w:r>
      <w:r w:rsidRPr="00884B04" w:rsidR="00F42FFF">
        <w:t>Mr K</w:t>
      </w:r>
      <w:r w:rsidRPr="00884B04">
        <w:t xml:space="preserve">ovtun was read out at the hearing on </w:t>
      </w:r>
      <w:r w:rsidRPr="00884B04" w:rsidR="00F42FFF">
        <w:t>28 July 2015</w:t>
      </w:r>
      <w:r w:rsidRPr="00884B04">
        <w:t>.</w:t>
      </w:r>
    </w:p>
    <w:bookmarkStart w:name="paragraph00054" w:id="28"/>
    <w:p w:rsidRPr="00884B04" w:rsidR="007E7025" w:rsidP="00884B04" w:rsidRDefault="007E7025" w14:paraId="1E3F3713" w14:textId="07CFBFCB">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54</w:t>
      </w:r>
      <w:r w:rsidRPr="00884B04">
        <w:fldChar w:fldCharType="end"/>
      </w:r>
      <w:bookmarkEnd w:id="28"/>
      <w:r w:rsidRPr="00884B04">
        <w:t>.</w:t>
      </w:r>
      <w:r w:rsidRPr="00884B04" w:rsidR="00FD072F">
        <w:t>  </w:t>
      </w:r>
      <w:r w:rsidRPr="00884B04">
        <w:t>Towards the conclusion of the inquiry</w:t>
      </w:r>
      <w:r w:rsidRPr="00884B04" w:rsidR="00884B04">
        <w:t>’</w:t>
      </w:r>
      <w:r w:rsidRPr="00884B04">
        <w:t>s hearings, an issue arose under the Crime (International Co-operation) Act 2003.</w:t>
      </w:r>
      <w:r w:rsidRPr="00884B04" w:rsidR="00F42FFF">
        <w:t xml:space="preserve"> </w:t>
      </w:r>
      <w:r w:rsidRPr="00884B04" w:rsidR="00662B04">
        <w:t xml:space="preserve">The evidence obtained from Russia pursuant to the request for assistance – including the records of the interviews conducted in Russia with </w:t>
      </w:r>
      <w:r w:rsidRPr="00884B04" w:rsidR="00F42FFF">
        <w:t>Mr L</w:t>
      </w:r>
      <w:r w:rsidRPr="00884B04" w:rsidR="00662B04">
        <w:t xml:space="preserve">ugovoy and </w:t>
      </w:r>
      <w:r w:rsidRPr="00884B04" w:rsidR="00F42FFF">
        <w:t>Mr K</w:t>
      </w:r>
      <w:r w:rsidRPr="00884B04" w:rsidR="00662B04">
        <w:t xml:space="preserve">ovtun – had been obtained solely for the purposes of the criminal investigation and any criminal proceedings. The Russian authorities had subsequently given permission for that evidence to be used in the inquest proceedings but declined permission for the evidence to be used in the inquiry proceedings. The Chairman concluded that without the consent of the Russian authorities, the law precluded the use of the material for any purpose other than that specified in the request, namely the original criminal investigation and any subsequent prosecution. Accordingly, those records of interview could </w:t>
      </w:r>
      <w:r w:rsidRPr="00884B04">
        <w:t>not be used by the inquiry.</w:t>
      </w:r>
    </w:p>
    <w:p w:rsidRPr="00884B04" w:rsidR="007E7025" w:rsidP="00884B04" w:rsidRDefault="007E7025" w14:paraId="7A30A2CC" w14:textId="650364A9">
      <w:pPr>
        <w:pStyle w:val="JuPara"/>
      </w:pPr>
      <w:r w:rsidRPr="00884B04">
        <w:fldChar w:fldCharType="begin"/>
      </w:r>
      <w:r w:rsidRPr="00884B04">
        <w:instrText xml:space="preserve"> SEQ level0 \*arabic </w:instrText>
      </w:r>
      <w:r w:rsidRPr="00884B04">
        <w:fldChar w:fldCharType="separate"/>
      </w:r>
      <w:r w:rsidRPr="00884B04" w:rsidR="00884B04">
        <w:rPr>
          <w:noProof/>
        </w:rPr>
        <w:t>55</w:t>
      </w:r>
      <w:r w:rsidRPr="00884B04">
        <w:fldChar w:fldCharType="end"/>
      </w:r>
      <w:r w:rsidRPr="00884B04">
        <w:t>.</w:t>
      </w:r>
      <w:r w:rsidRPr="00884B04" w:rsidR="00FD072F">
        <w:t>  </w:t>
      </w:r>
      <w:r w:rsidRPr="00884B04">
        <w:t>The Chairman</w:t>
      </w:r>
      <w:r w:rsidRPr="00884B04" w:rsidR="00884B04">
        <w:t>’</w:t>
      </w:r>
      <w:r w:rsidRPr="00884B04">
        <w:t>s report of the inquiry was completed and delivered to the Secretary of State for the Home Department in January 2016.</w:t>
      </w:r>
    </w:p>
    <w:bookmarkStart w:name="paragraph00056" w:id="29"/>
    <w:p w:rsidRPr="00884B04" w:rsidR="007E7025" w:rsidP="00884B04" w:rsidRDefault="007E7025" w14:paraId="36E27694" w14:textId="10AF3A7F">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56</w:t>
      </w:r>
      <w:r w:rsidRPr="00884B04">
        <w:fldChar w:fldCharType="end"/>
      </w:r>
      <w:bookmarkEnd w:id="29"/>
      <w:r w:rsidRPr="00884B04">
        <w:t>.</w:t>
      </w:r>
      <w:r w:rsidRPr="00884B04" w:rsidR="00FD072F">
        <w:t>  </w:t>
      </w:r>
      <w:r w:rsidRPr="00884B04">
        <w:t xml:space="preserve">According to the report, no adverse inferences were drawn from the silence of any party concerned in the events which the inquiry was investigating (including </w:t>
      </w:r>
      <w:r w:rsidRPr="00884B04" w:rsidR="00F42FFF">
        <w:t>Mr L</w:t>
      </w:r>
      <w:r w:rsidRPr="00884B04">
        <w:t xml:space="preserve">ugovoy, </w:t>
      </w:r>
      <w:r w:rsidRPr="00884B04" w:rsidR="00F42FFF">
        <w:t>Mr K</w:t>
      </w:r>
      <w:r w:rsidRPr="00884B04">
        <w:t>ovtun and the Russian authorities), or from their refusal to participate.</w:t>
      </w:r>
      <w:r w:rsidRPr="00884B04" w:rsidR="00F42FFF">
        <w:t xml:space="preserve"> </w:t>
      </w:r>
      <w:r w:rsidRPr="00884B04">
        <w:t>Instead, the Chairman took the view that a failure to participate or to give evidence would have the consequence that he would make findings of fact without the benefit of that party</w:t>
      </w:r>
      <w:r w:rsidRPr="00884B04" w:rsidR="00884B04">
        <w:t>’</w:t>
      </w:r>
      <w:r w:rsidRPr="00884B04">
        <w:t>s contribution.</w:t>
      </w:r>
    </w:p>
    <w:bookmarkStart w:name="paragraph00057" w:id="30"/>
    <w:p w:rsidRPr="00884B04" w:rsidR="007E7025" w:rsidP="00884B04" w:rsidRDefault="007E7025" w14:paraId="28EBD905" w14:textId="5C5F5EDC">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57</w:t>
      </w:r>
      <w:r w:rsidRPr="00884B04">
        <w:fldChar w:fldCharType="end"/>
      </w:r>
      <w:bookmarkEnd w:id="30"/>
      <w:r w:rsidRPr="00884B04">
        <w:t>.</w:t>
      </w:r>
      <w:r w:rsidRPr="00884B04" w:rsidR="00FD072F">
        <w:t>  </w:t>
      </w:r>
      <w:r w:rsidRPr="00884B04">
        <w:t>With regard to the standard of proof, the Chairman said the following:</w:t>
      </w:r>
    </w:p>
    <w:p w:rsidRPr="00884B04" w:rsidR="007E7025" w:rsidP="00884B04" w:rsidRDefault="00FD072F" w14:paraId="7AF152B4" w14:textId="7FEFD643">
      <w:pPr>
        <w:pStyle w:val="JuQuot"/>
      </w:pPr>
      <w:r w:rsidRPr="00884B04">
        <w:t>  </w:t>
      </w:r>
      <w:r w:rsidRPr="00884B04" w:rsidR="007E7025">
        <w:t>“...</w:t>
      </w:r>
      <w:r w:rsidRPr="00884B04" w:rsidR="00F42FFF">
        <w:t xml:space="preserve"> </w:t>
      </w:r>
      <w:r w:rsidRPr="00884B04" w:rsidR="00662B04">
        <w:t xml:space="preserve">[I]n making findings of fact I have adopted the </w:t>
      </w:r>
      <w:r w:rsidRPr="00884B04" w:rsidR="00884B04">
        <w:t>‘</w:t>
      </w:r>
      <w:r w:rsidRPr="00884B04" w:rsidR="00662B04">
        <w:t>flexible and variable</w:t>
      </w:r>
      <w:r w:rsidRPr="00884B04" w:rsidR="00884B04">
        <w:t>’</w:t>
      </w:r>
      <w:r w:rsidRPr="00884B04" w:rsidR="00662B04">
        <w:t xml:space="preserve"> approach to the standard of proof ... [W]here in this Report I state that </w:t>
      </w:r>
      <w:r w:rsidRPr="00884B04" w:rsidR="00884B04">
        <w:t>‘</w:t>
      </w:r>
      <w:r w:rsidRPr="00884B04" w:rsidR="00662B04">
        <w:t>I am sure</w:t>
      </w:r>
      <w:r w:rsidRPr="00884B04" w:rsidR="00884B04">
        <w:t>’</w:t>
      </w:r>
      <w:r w:rsidRPr="00884B04" w:rsidR="00662B04">
        <w:t xml:space="preserve"> I will have found a fact to the criminal standard. When I use such expressions as </w:t>
      </w:r>
      <w:r w:rsidRPr="00884B04" w:rsidR="00884B04">
        <w:t>‘</w:t>
      </w:r>
      <w:r w:rsidRPr="00884B04" w:rsidR="00662B04">
        <w:t>I find</w:t>
      </w:r>
      <w:r w:rsidRPr="00884B04" w:rsidR="00884B04">
        <w:t>’</w:t>
      </w:r>
      <w:r w:rsidRPr="00884B04" w:rsidR="00662B04">
        <w:t xml:space="preserve"> or </w:t>
      </w:r>
      <w:r w:rsidRPr="00884B04" w:rsidR="00884B04">
        <w:t>‘</w:t>
      </w:r>
      <w:r w:rsidRPr="00884B04" w:rsidR="00662B04">
        <w:t>I am satisfied</w:t>
      </w:r>
      <w:r w:rsidRPr="00884B04" w:rsidR="00884B04">
        <w:t>’</w:t>
      </w:r>
      <w:r w:rsidRPr="00884B04" w:rsidR="00662B04">
        <w:t xml:space="preserve"> the standard of proof will have been the ordinary civil standard of proof, namely the balance of probabilities. Where it is obvious that I have found a fact but I have </w:t>
      </w:r>
      <w:r w:rsidRPr="00884B04" w:rsidR="007E7025">
        <w:t>not used one of these terms, the standard will have been the civil standard.</w:t>
      </w:r>
      <w:r w:rsidRPr="00884B04" w:rsidR="00F42FFF">
        <w:t xml:space="preserve"> </w:t>
      </w:r>
      <w:r w:rsidRPr="00884B04" w:rsidR="007E7025">
        <w:t xml:space="preserve">All other expressions, such as a reference to a state of affairs being </w:t>
      </w:r>
      <w:r w:rsidRPr="00884B04" w:rsidR="00884B04">
        <w:t>‘</w:t>
      </w:r>
      <w:r w:rsidRPr="00884B04" w:rsidR="007E7025">
        <w:t>possible</w:t>
      </w:r>
      <w:r w:rsidRPr="00884B04" w:rsidR="00884B04">
        <w:t>’</w:t>
      </w:r>
      <w:r w:rsidRPr="00884B04" w:rsidR="007E7025">
        <w:t xml:space="preserve"> will not be a finding of fact, but will indicate my state of mind in respect of the issue being considered.”</w:t>
      </w:r>
    </w:p>
    <w:bookmarkStart w:name="paragraph00058" w:id="31"/>
    <w:p w:rsidRPr="00884B04" w:rsidR="007E7025" w:rsidP="00884B04" w:rsidRDefault="007E7025" w14:paraId="16FEC4F2" w14:textId="65FEB986">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58</w:t>
      </w:r>
      <w:r w:rsidRPr="00884B04">
        <w:fldChar w:fldCharType="end"/>
      </w:r>
      <w:bookmarkEnd w:id="31"/>
      <w:r w:rsidRPr="00884B04">
        <w:t>.</w:t>
      </w:r>
      <w:r w:rsidRPr="00884B04" w:rsidR="00FD072F">
        <w:t>  </w:t>
      </w:r>
      <w:r w:rsidRPr="00884B04">
        <w:t>The Chairman endorsed the view that “there were reasons going beyond academic or judicial rigour why this Inquiry ought to be careful to restrict its conclusions to matters that were provable on the evidence before it”.</w:t>
      </w:r>
      <w:r w:rsidRPr="00884B04" w:rsidR="00F42FFF">
        <w:t xml:space="preserve"> </w:t>
      </w:r>
      <w:r w:rsidRPr="00884B04">
        <w:t>He quoted the comments by Professor Service, an expert in Russian history, as reflecting his approach to the evidence:</w:t>
      </w:r>
    </w:p>
    <w:p w:rsidRPr="00884B04" w:rsidR="007E7025" w:rsidP="00884B04" w:rsidRDefault="007E7025" w14:paraId="46D62DA3" w14:textId="4AF7C1BC">
      <w:pPr>
        <w:pStyle w:val="JuQuot"/>
      </w:pPr>
      <w:r w:rsidRPr="00884B04">
        <w:t>“But we have to be really cautious – and there</w:t>
      </w:r>
      <w:r w:rsidRPr="00884B04" w:rsidR="00884B04">
        <w:t>’</w:t>
      </w:r>
      <w:r w:rsidRPr="00884B04">
        <w:t>s another aspect of this that exercises me, and that</w:t>
      </w:r>
      <w:r w:rsidRPr="00884B04" w:rsidR="00884B04">
        <w:t>’</w:t>
      </w:r>
      <w:r w:rsidRPr="00884B04">
        <w:t>s that Russians want to see us fairly going through evidence in a scholarly environment or a judicial environment or an Inquiry like this in a fashion that they know doesn</w:t>
      </w:r>
      <w:r w:rsidRPr="00884B04" w:rsidR="00884B04">
        <w:t>’</w:t>
      </w:r>
      <w:r w:rsidRPr="00884B04">
        <w:t>t happen in their own country.</w:t>
      </w:r>
      <w:r w:rsidRPr="00884B04" w:rsidR="00F42FFF">
        <w:t xml:space="preserve"> </w:t>
      </w:r>
      <w:r w:rsidRPr="00884B04">
        <w:t>So we must not sink at all below our conventional standards.</w:t>
      </w:r>
      <w:r w:rsidRPr="00884B04" w:rsidR="00F42FFF">
        <w:t xml:space="preserve"> </w:t>
      </w:r>
      <w:r w:rsidRPr="00884B04">
        <w:t>We absolutely mustn</w:t>
      </w:r>
      <w:r w:rsidRPr="00884B04" w:rsidR="00884B04">
        <w:t>’</w:t>
      </w:r>
      <w:r w:rsidRPr="00884B04">
        <w:t>t, because some of what we do in relation to this Inquiry will get back to Moscow, and we must not give them the opportunity to say that we failed to respect our own standards because those are standards that are really worth keeping to.”</w:t>
      </w:r>
    </w:p>
    <w:p w:rsidRPr="00884B04" w:rsidR="007E7025" w:rsidP="00884B04" w:rsidRDefault="00EB7A47" w14:paraId="21A1A91F" w14:textId="5308DF27">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59</w:t>
      </w:r>
      <w:r>
        <w:rPr>
          <w:noProof/>
        </w:rPr>
        <w:fldChar w:fldCharType="end"/>
      </w:r>
      <w:r w:rsidRPr="00884B04" w:rsidR="007E7025">
        <w:t>.</w:t>
      </w:r>
      <w:r w:rsidRPr="00884B04" w:rsidR="00FD072F">
        <w:t>  </w:t>
      </w:r>
      <w:r w:rsidRPr="00884B04" w:rsidR="007E7025">
        <w:t>On the use to be made of closed evidence, the Chairman clarified the approach he would take as follows:</w:t>
      </w:r>
    </w:p>
    <w:p w:rsidRPr="00884B04" w:rsidR="007E7025" w:rsidP="00884B04" w:rsidRDefault="007E7025" w14:paraId="51E1DB1C" w14:textId="77777777">
      <w:pPr>
        <w:pStyle w:val="JuQuot"/>
      </w:pPr>
      <w:r w:rsidRPr="00884B04">
        <w:t>“I would perform a global analysis of the evidence adduced both in the open and the closed hearings ...</w:t>
      </w:r>
      <w:r w:rsidRPr="00884B04" w:rsidR="00F42FFF">
        <w:t xml:space="preserve"> </w:t>
      </w:r>
      <w:r w:rsidRPr="00884B04">
        <w:t>[A]ny facts as found and recorded in the open section of the report will have been informed both by the evidence that I heard in the open hearings and by the relevant closed hearings ...</w:t>
      </w:r>
      <w:r w:rsidRPr="00884B04" w:rsidR="00F42FFF">
        <w:t xml:space="preserve"> </w:t>
      </w:r>
      <w:r w:rsidRPr="00884B04" w:rsidR="00662B04">
        <w:t xml:space="preserve">I would provide a single report to the Home Secretary, but the consequence of the restriction </w:t>
      </w:r>
      <w:r w:rsidRPr="00884B04">
        <w:t>notices and orders that had been made meant that parts would not be published if to do so would be to damage national security or international relations.”</w:t>
      </w:r>
    </w:p>
    <w:p w:rsidRPr="00884B04" w:rsidR="007E7025" w:rsidP="00884B04" w:rsidRDefault="007E7025" w14:paraId="609F9AA2" w14:textId="57FD0390">
      <w:pPr>
        <w:pStyle w:val="JuH1"/>
      </w:pPr>
      <w:r w:rsidRPr="00884B04">
        <w:t>The inquiry</w:t>
      </w:r>
      <w:r w:rsidRPr="00884B04" w:rsidR="00884B04">
        <w:t>’</w:t>
      </w:r>
      <w:r w:rsidRPr="00884B04">
        <w:t xml:space="preserve">s findings as to the responsibility for the death of </w:t>
      </w:r>
      <w:r w:rsidRPr="00884B04" w:rsidR="00F42FFF">
        <w:t>Mr L</w:t>
      </w:r>
      <w:r w:rsidRPr="00884B04">
        <w:t>itvinenko</w:t>
      </w:r>
    </w:p>
    <w:bookmarkStart w:name="paragraph00060" w:id="32"/>
    <w:p w:rsidRPr="00884B04" w:rsidR="00662B04" w:rsidP="00884B04" w:rsidRDefault="007E7025" w14:paraId="65FC3468" w14:textId="321D0B74">
      <w:pPr>
        <w:pStyle w:val="JuPara"/>
      </w:pPr>
      <w:r w:rsidRPr="00884B04">
        <w:fldChar w:fldCharType="begin"/>
      </w:r>
      <w:r w:rsidRPr="00884B04">
        <w:instrText xml:space="preserve"> SEQ level0 \*arabic </w:instrText>
      </w:r>
      <w:r w:rsidRPr="00884B04">
        <w:fldChar w:fldCharType="separate"/>
      </w:r>
      <w:r w:rsidRPr="00884B04" w:rsidR="00884B04">
        <w:rPr>
          <w:noProof/>
        </w:rPr>
        <w:t>60</w:t>
      </w:r>
      <w:r w:rsidRPr="00884B04">
        <w:fldChar w:fldCharType="end"/>
      </w:r>
      <w:bookmarkEnd w:id="32"/>
      <w:r w:rsidRPr="00884B04">
        <w:t>.</w:t>
      </w:r>
      <w:r w:rsidRPr="00884B04" w:rsidR="00FD072F">
        <w:t>  </w:t>
      </w:r>
      <w:r w:rsidRPr="00884B04">
        <w:t xml:space="preserve">The Chairman found, to the criminal standard of proof (“beyond reasonable doubt”), that </w:t>
      </w:r>
      <w:r w:rsidRPr="00884B04" w:rsidR="00F42FFF">
        <w:t>Mr L</w:t>
      </w:r>
      <w:r w:rsidRPr="00884B04">
        <w:t xml:space="preserve">itvinenko had been fatally poisoned with polonium 210 on </w:t>
      </w:r>
      <w:r w:rsidRPr="00884B04" w:rsidR="00F42FFF">
        <w:t>1 November 2006</w:t>
      </w:r>
      <w:r w:rsidRPr="00884B04">
        <w:t>.</w:t>
      </w:r>
      <w:r w:rsidRPr="00884B04" w:rsidR="00F42FFF">
        <w:t xml:space="preserve"> </w:t>
      </w:r>
      <w:r w:rsidRPr="00884B04">
        <w:t xml:space="preserve">Primary contamination in the hotel bar where </w:t>
      </w:r>
      <w:r w:rsidRPr="00884B04" w:rsidR="00F42FFF">
        <w:t>Mr L</w:t>
      </w:r>
      <w:r w:rsidRPr="00884B04">
        <w:t xml:space="preserve">itvinenko was drinking tea with </w:t>
      </w:r>
      <w:r w:rsidRPr="00884B04" w:rsidR="00F42FFF">
        <w:t>Mr L</w:t>
      </w:r>
      <w:r w:rsidRPr="00884B04">
        <w:t xml:space="preserve">ugovoy and </w:t>
      </w:r>
      <w:r w:rsidRPr="00884B04" w:rsidR="00F42FFF">
        <w:t>Mr K</w:t>
      </w:r>
      <w:r w:rsidRPr="00884B04">
        <w:t xml:space="preserve">ovtun on that day, together with the absence of primary contamination in the other places where </w:t>
      </w:r>
      <w:r w:rsidRPr="00884B04" w:rsidR="00F42FFF">
        <w:t>Mr L</w:t>
      </w:r>
      <w:r w:rsidRPr="00884B04">
        <w:t>itvinenko had visited that day, pointed to the conclusion that he had ingested the fatal dose of polonium 210 whilst drinking the tea.</w:t>
      </w:r>
      <w:r w:rsidRPr="00884B04" w:rsidR="00F42FFF">
        <w:t xml:space="preserve"> </w:t>
      </w:r>
      <w:r w:rsidRPr="00884B04" w:rsidR="00662B04">
        <w:t xml:space="preserve">There was also evidence that he had received an earlier – smaller – dose of polonium 210 prior to the fatal dose on </w:t>
      </w:r>
      <w:r w:rsidRPr="00884B04" w:rsidR="00F42FFF">
        <w:t>1 November 2006</w:t>
      </w:r>
      <w:r w:rsidRPr="00884B04" w:rsidR="00662B04">
        <w:t xml:space="preserve">. Primary contamination found on the boardroom table at Erinys where </w:t>
      </w:r>
      <w:r w:rsidRPr="00884B04" w:rsidR="00F42FFF">
        <w:t>Mr L</w:t>
      </w:r>
      <w:r w:rsidRPr="00884B04" w:rsidR="00662B04">
        <w:t xml:space="preserve">itvinenko had met with </w:t>
      </w:r>
      <w:r w:rsidRPr="00884B04" w:rsidR="00F42FFF">
        <w:t>Mr L</w:t>
      </w:r>
      <w:r w:rsidRPr="00884B04" w:rsidR="00662B04">
        <w:t xml:space="preserve">ugovoy and </w:t>
      </w:r>
      <w:r w:rsidRPr="00884B04" w:rsidR="00F42FFF">
        <w:t>Mr K</w:t>
      </w:r>
      <w:r w:rsidRPr="00884B04" w:rsidR="00662B04">
        <w:t xml:space="preserve">ovtun, and similarly high levels of contamination in </w:t>
      </w:r>
      <w:r w:rsidRPr="00884B04" w:rsidR="00F42FFF">
        <w:t>Mr L</w:t>
      </w:r>
      <w:r w:rsidRPr="00884B04" w:rsidR="00662B04">
        <w:t>ugovoy</w:t>
      </w:r>
      <w:r w:rsidRPr="00884B04" w:rsidR="00884B04">
        <w:t>’</w:t>
      </w:r>
      <w:r w:rsidRPr="00884B04" w:rsidR="00662B04">
        <w:t xml:space="preserve">s hotel room, indicated that the earlier dose was likely to have been received on </w:t>
      </w:r>
      <w:r w:rsidRPr="00884B04" w:rsidR="00F42FFF">
        <w:t>16 October 2006</w:t>
      </w:r>
      <w:r w:rsidRPr="00884B04" w:rsidR="00662B04">
        <w:t>.</w:t>
      </w:r>
    </w:p>
    <w:bookmarkStart w:name="paragraph00061" w:id="33"/>
    <w:p w:rsidRPr="00884B04" w:rsidR="007E7025" w:rsidP="00884B04" w:rsidRDefault="00662B04" w14:paraId="177367C7" w14:textId="6C4A957D">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61</w:t>
      </w:r>
      <w:r w:rsidRPr="00884B04">
        <w:fldChar w:fldCharType="end"/>
      </w:r>
      <w:bookmarkEnd w:id="33"/>
      <w:r w:rsidRPr="00884B04">
        <w:t>.</w:t>
      </w:r>
      <w:r w:rsidRPr="00884B04" w:rsidR="00FD072F">
        <w:t>  </w:t>
      </w:r>
      <w:r w:rsidRPr="00884B04">
        <w:t xml:space="preserve">The Chairman examined the theories put forward by </w:t>
      </w:r>
      <w:r w:rsidRPr="00884B04" w:rsidR="00F42FFF">
        <w:t>Mr L</w:t>
      </w:r>
      <w:r w:rsidRPr="00884B04">
        <w:t xml:space="preserve">ugovoy at a press conference and by his representatives in the inquest proceedings that </w:t>
      </w:r>
      <w:r w:rsidRPr="00884B04" w:rsidR="00F42FFF">
        <w:t>Mr L</w:t>
      </w:r>
      <w:r w:rsidRPr="00884B04">
        <w:t xml:space="preserve">itvinenko had poisoned himself either by accident, in the course of handling illicitly obtained polonium 210, or in order to commit suicide. He found those suggestions to be entirely without merit because primary radioactive contamination had </w:t>
      </w:r>
      <w:r w:rsidRPr="00884B04" w:rsidR="007E7025">
        <w:t xml:space="preserve">not been found at </w:t>
      </w:r>
      <w:r w:rsidRPr="00884B04" w:rsidR="00F42FFF">
        <w:t>Mr L</w:t>
      </w:r>
      <w:r w:rsidRPr="00884B04" w:rsidR="007E7025">
        <w:t>itvinenko</w:t>
      </w:r>
      <w:r w:rsidRPr="00884B04" w:rsidR="00884B04">
        <w:t>’</w:t>
      </w:r>
      <w:r w:rsidRPr="00884B04" w:rsidR="007E7025">
        <w:t>s house or on his clothing as it should have been, had he handled the substance on his own.</w:t>
      </w:r>
      <w:r w:rsidRPr="00884B04" w:rsidR="00F42FFF">
        <w:t xml:space="preserve"> </w:t>
      </w:r>
      <w:r w:rsidRPr="00884B04" w:rsidR="007E7025">
        <w:t>There was no evidence at all that he had been involved in dealing with radioactive materials at any point in time or had had suicidal thoughts.</w:t>
      </w:r>
      <w:r w:rsidRPr="00884B04" w:rsidR="00F42FFF">
        <w:t xml:space="preserve"> </w:t>
      </w:r>
      <w:r w:rsidRPr="00884B04" w:rsidR="007E7025">
        <w:t>It was also highly unlikely that, had he poisoned himself accidentally or deliberately, he would not have mentioned anything about the nature of the poison to the police or medical staff during the three-week period of painful and debilitating symptoms prior to his death.</w:t>
      </w:r>
    </w:p>
    <w:p w:rsidRPr="00884B04" w:rsidR="007E7025" w:rsidP="00884B04" w:rsidRDefault="00EB7A47" w14:paraId="416109A5" w14:textId="7ADE22A8">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62</w:t>
      </w:r>
      <w:r>
        <w:rPr>
          <w:noProof/>
        </w:rPr>
        <w:fldChar w:fldCharType="end"/>
      </w:r>
      <w:r w:rsidRPr="00884B04" w:rsidR="007E7025">
        <w:t>.</w:t>
      </w:r>
      <w:r w:rsidRPr="00884B04" w:rsidR="00FD072F">
        <w:t>  </w:t>
      </w:r>
      <w:r w:rsidRPr="00884B04" w:rsidR="007E7025">
        <w:t xml:space="preserve">Having excluded the theory of self-poisoning, the Chairman found, to the criminal standard of proof, that on </w:t>
      </w:r>
      <w:r w:rsidRPr="00884B04" w:rsidR="00F42FFF">
        <w:t>1 November 2006</w:t>
      </w:r>
      <w:r w:rsidRPr="00884B04" w:rsidR="007E7025">
        <w:t xml:space="preserve"> </w:t>
      </w:r>
      <w:r w:rsidRPr="00884B04" w:rsidR="00F42FFF">
        <w:t>Mr L</w:t>
      </w:r>
      <w:r w:rsidRPr="00884B04" w:rsidR="007E7025">
        <w:t xml:space="preserve">itvinenko had been poisoned by </w:t>
      </w:r>
      <w:r w:rsidRPr="00884B04" w:rsidR="00F42FFF">
        <w:t>Mr L</w:t>
      </w:r>
      <w:r w:rsidRPr="00884B04" w:rsidR="007E7025">
        <w:t xml:space="preserve">ugovoy and </w:t>
      </w:r>
      <w:r w:rsidRPr="00884B04" w:rsidR="00F42FFF">
        <w:t>Mr K</w:t>
      </w:r>
      <w:r w:rsidRPr="00884B04" w:rsidR="007E7025">
        <w:t xml:space="preserve">ovtun who had placed the polonium 210 in a teapot at the hotel bar; that they did so with the knowledge that they were administering a deadly poison; and that they had made an earlier attempt to poison him on </w:t>
      </w:r>
      <w:r w:rsidRPr="00884B04" w:rsidR="00F42FFF">
        <w:t>16 October 2006</w:t>
      </w:r>
      <w:r w:rsidRPr="00884B04" w:rsidR="007E7025">
        <w:t>.</w:t>
      </w:r>
      <w:r w:rsidRPr="00884B04" w:rsidR="00F42FFF">
        <w:t xml:space="preserve"> </w:t>
      </w:r>
      <w:r w:rsidRPr="00884B04" w:rsidR="007E7025">
        <w:t xml:space="preserve">The findings rested on scientific evidence showing primary contamination in the rooms occupied by </w:t>
      </w:r>
      <w:r w:rsidRPr="00884B04" w:rsidR="00F42FFF">
        <w:t>Mr L</w:t>
      </w:r>
      <w:r w:rsidRPr="00884B04" w:rsidR="007E7025">
        <w:t xml:space="preserve">ugovoy (on 16 October) and </w:t>
      </w:r>
      <w:r w:rsidRPr="00884B04" w:rsidR="00F42FFF">
        <w:t>Mr K</w:t>
      </w:r>
      <w:r w:rsidRPr="00884B04" w:rsidR="007E7025">
        <w:t>ovtun (on 1</w:t>
      </w:r>
      <w:r w:rsidRPr="00884B04" w:rsidR="00F42FFF">
        <w:t xml:space="preserve"> </w:t>
      </w:r>
      <w:r w:rsidRPr="00884B04" w:rsidR="007E7025">
        <w:t>November) and in the teapot, secondary contamination in the men</w:t>
      </w:r>
      <w:r w:rsidRPr="00884B04" w:rsidR="00884B04">
        <w:t>’</w:t>
      </w:r>
      <w:r w:rsidRPr="00884B04" w:rsidR="007E7025">
        <w:t xml:space="preserve">s lavatories, which they both had visited before meeting </w:t>
      </w:r>
      <w:r w:rsidRPr="00884B04" w:rsidR="00F42FFF">
        <w:t>Mr L</w:t>
      </w:r>
      <w:r w:rsidRPr="00884B04" w:rsidR="007E7025">
        <w:t>itvinenko, and in other places in London where they had gone.</w:t>
      </w:r>
      <w:r w:rsidRPr="00884B04" w:rsidR="00F42FFF">
        <w:t xml:space="preserve"> </w:t>
      </w:r>
      <w:r w:rsidRPr="00884B04" w:rsidR="00662B04">
        <w:t xml:space="preserve">Transcripts of interviews which the German police had conducted in Hamburg where </w:t>
      </w:r>
      <w:r w:rsidRPr="00884B04" w:rsidR="00F42FFF">
        <w:t>Mr K</w:t>
      </w:r>
      <w:r w:rsidRPr="00884B04" w:rsidR="00662B04">
        <w:t xml:space="preserve">ovtun had stayed before coming to London showed that he had sought to enlist an acquaintance in the plan to poison </w:t>
      </w:r>
      <w:r w:rsidRPr="00884B04" w:rsidR="00F42FFF">
        <w:t>Mr L</w:t>
      </w:r>
      <w:r w:rsidRPr="00884B04" w:rsidR="00662B04">
        <w:t>itvinenko and confided in a family member that unk</w:t>
      </w:r>
      <w:r w:rsidRPr="00884B04" w:rsidR="007E7025">
        <w:t>nown persons might have poisoned “them all”.</w:t>
      </w:r>
      <w:r w:rsidRPr="00884B04" w:rsidR="00F42FFF">
        <w:t xml:space="preserve"> </w:t>
      </w:r>
      <w:r w:rsidRPr="00884B04" w:rsidR="007E7025">
        <w:t xml:space="preserve">The Chairman also considered and rejected the evidence apparently inconsistent with </w:t>
      </w:r>
      <w:r w:rsidRPr="00884B04" w:rsidR="00F42FFF">
        <w:t>Mr L</w:t>
      </w:r>
      <w:r w:rsidRPr="00884B04" w:rsidR="007E7025">
        <w:t>ugovoy</w:t>
      </w:r>
      <w:r w:rsidRPr="00884B04" w:rsidR="00884B04">
        <w:t>’</w:t>
      </w:r>
      <w:r w:rsidRPr="00884B04" w:rsidR="007E7025">
        <w:t xml:space="preserve">s and </w:t>
      </w:r>
      <w:r w:rsidRPr="00884B04" w:rsidR="00F42FFF">
        <w:t>Mr K</w:t>
      </w:r>
      <w:r w:rsidRPr="00884B04" w:rsidR="007E7025">
        <w:t>ovtun</w:t>
      </w:r>
      <w:r w:rsidRPr="00884B04" w:rsidR="00884B04">
        <w:t>’</w:t>
      </w:r>
      <w:r w:rsidRPr="00884B04" w:rsidR="007E7025">
        <w:t>s involvement.</w:t>
      </w:r>
      <w:r w:rsidRPr="00884B04" w:rsidR="00F42FFF">
        <w:t xml:space="preserve"> </w:t>
      </w:r>
      <w:r w:rsidRPr="00884B04" w:rsidR="00662B04">
        <w:t xml:space="preserve">He found in particular that a “lie-detector” test to which </w:t>
      </w:r>
      <w:r w:rsidRPr="00884B04" w:rsidR="00F42FFF">
        <w:t>Mr L</w:t>
      </w:r>
      <w:r w:rsidRPr="00884B04" w:rsidR="00662B04">
        <w:t>ugovoy had submitted in Moscow in 2012 to show his in</w:t>
      </w:r>
      <w:r w:rsidRPr="00884B04" w:rsidR="007E7025">
        <w:t xml:space="preserve">nocence had been seriously flawed in the manner of administration and that members of security services, such as </w:t>
      </w:r>
      <w:r w:rsidRPr="00884B04" w:rsidR="00F42FFF">
        <w:t>Mr L</w:t>
      </w:r>
      <w:r w:rsidRPr="00884B04" w:rsidR="007E7025">
        <w:t>ugovoy, had in any event been trained to defeat similar tests.</w:t>
      </w:r>
      <w:r w:rsidRPr="00884B04" w:rsidR="00F42FFF">
        <w:t xml:space="preserve"> </w:t>
      </w:r>
      <w:r w:rsidRPr="00884B04" w:rsidR="007E7025">
        <w:t xml:space="preserve">As to </w:t>
      </w:r>
      <w:r w:rsidRPr="00884B04" w:rsidR="00F42FFF">
        <w:t>Mr L</w:t>
      </w:r>
      <w:r w:rsidRPr="00884B04" w:rsidR="007E7025">
        <w:t>ugovoy</w:t>
      </w:r>
      <w:r w:rsidRPr="00884B04" w:rsidR="00884B04">
        <w:t>’</w:t>
      </w:r>
      <w:r w:rsidRPr="00884B04" w:rsidR="007E7025">
        <w:t>s recurrent theme in press interviews that he had been the victim of a set up by British intelligence services, an operation of that magnitude would have been a complex, expensive and extremely risky enterprise.</w:t>
      </w:r>
      <w:r w:rsidRPr="00884B04" w:rsidR="00F42FFF">
        <w:t xml:space="preserve"> </w:t>
      </w:r>
      <w:r w:rsidRPr="00884B04" w:rsidR="00662B04">
        <w:t xml:space="preserve">However, there was </w:t>
      </w:r>
      <w:r w:rsidRPr="00884B04" w:rsidR="007E7025">
        <w:t>not a shred of evidence to substantiate the claims of a set up.</w:t>
      </w:r>
    </w:p>
    <w:p w:rsidRPr="00884B04" w:rsidR="007E7025" w:rsidP="00884B04" w:rsidRDefault="007E7025" w14:paraId="42BBDC4D" w14:textId="3348FA4F">
      <w:pPr>
        <w:pStyle w:val="JuPara"/>
      </w:pPr>
      <w:r w:rsidRPr="00884B04">
        <w:fldChar w:fldCharType="begin"/>
      </w:r>
      <w:r w:rsidRPr="00884B04">
        <w:instrText xml:space="preserve"> SEQ level0 \*arabic </w:instrText>
      </w:r>
      <w:r w:rsidRPr="00884B04">
        <w:fldChar w:fldCharType="separate"/>
      </w:r>
      <w:bookmarkStart w:name="paragraph00063" w:id="34"/>
      <w:r w:rsidRPr="00884B04" w:rsidR="00884B04">
        <w:rPr>
          <w:noProof/>
        </w:rPr>
        <w:t>63</w:t>
      </w:r>
      <w:bookmarkEnd w:id="34"/>
      <w:r w:rsidRPr="00884B04">
        <w:fldChar w:fldCharType="end"/>
      </w:r>
      <w:r w:rsidRPr="00884B04">
        <w:t>.</w:t>
      </w:r>
      <w:r w:rsidRPr="00884B04" w:rsidR="00FD072F">
        <w:t>  </w:t>
      </w:r>
      <w:r w:rsidRPr="00884B04">
        <w:t xml:space="preserve">The Chairman found that all the evidence pointed to </w:t>
      </w:r>
      <w:r w:rsidRPr="00884B04" w:rsidR="00F42FFF">
        <w:t>Mr L</w:t>
      </w:r>
      <w:r w:rsidRPr="00884B04">
        <w:t xml:space="preserve">ugovoy and </w:t>
      </w:r>
      <w:r w:rsidRPr="00884B04" w:rsidR="00F42FFF">
        <w:t>Mr K</w:t>
      </w:r>
      <w:r w:rsidRPr="00884B04">
        <w:t xml:space="preserve">ovtun having acted on behalf of someone else when they killed </w:t>
      </w:r>
      <w:r w:rsidRPr="00884B04" w:rsidR="00F42FFF">
        <w:t>Mr L</w:t>
      </w:r>
      <w:r w:rsidRPr="00884B04">
        <w:t>itvinenko:</w:t>
      </w:r>
    </w:p>
    <w:p w:rsidRPr="00884B04" w:rsidR="00662B04" w:rsidP="00884B04" w:rsidRDefault="007E7025" w14:paraId="3BFF5C40" w14:textId="77C8DEAE">
      <w:pPr>
        <w:pStyle w:val="JuQuot"/>
      </w:pPr>
      <w:r w:rsidRPr="00884B04">
        <w:t xml:space="preserve">“There is no evidence at all that either </w:t>
      </w:r>
      <w:r w:rsidRPr="00884B04" w:rsidR="00F42FFF">
        <w:t>Mr L</w:t>
      </w:r>
      <w:r w:rsidRPr="00884B04">
        <w:t xml:space="preserve">ugovoy or </w:t>
      </w:r>
      <w:r w:rsidRPr="00884B04" w:rsidR="00F42FFF">
        <w:t>Mr K</w:t>
      </w:r>
      <w:r w:rsidRPr="00884B04">
        <w:t xml:space="preserve">ovtun had any personal reason to kill </w:t>
      </w:r>
      <w:r w:rsidRPr="00884B04" w:rsidR="00F42FFF">
        <w:t>Mr L</w:t>
      </w:r>
      <w:r w:rsidRPr="00884B04">
        <w:t>itvinenko.</w:t>
      </w:r>
      <w:r w:rsidRPr="00884B04" w:rsidR="00F42FFF">
        <w:t xml:space="preserve"> Mr L</w:t>
      </w:r>
      <w:r w:rsidRPr="00884B04">
        <w:t xml:space="preserve">ugovoy may have commented after </w:t>
      </w:r>
      <w:r w:rsidRPr="00884B04" w:rsidR="00F42FFF">
        <w:t>Mr L</w:t>
      </w:r>
      <w:r w:rsidRPr="00884B04">
        <w:t>itvinenko</w:t>
      </w:r>
      <w:r w:rsidRPr="00884B04" w:rsidR="00884B04">
        <w:t>’</w:t>
      </w:r>
      <w:r w:rsidRPr="00884B04">
        <w:t xml:space="preserve">s death that he regarded </w:t>
      </w:r>
      <w:r w:rsidRPr="00884B04" w:rsidR="00F42FFF">
        <w:t>Mr L</w:t>
      </w:r>
      <w:r w:rsidRPr="00884B04">
        <w:t xml:space="preserve">itvinenko as a traitor, but I do not think for a moment that that feeling on its own would have been sufficient to motivate </w:t>
      </w:r>
      <w:r w:rsidRPr="00884B04" w:rsidR="00F42FFF">
        <w:t>Mr L</w:t>
      </w:r>
      <w:r w:rsidRPr="00884B04">
        <w:t xml:space="preserve">ugovoy to plan and conduct the protracted and costly operation against </w:t>
      </w:r>
      <w:r w:rsidRPr="00884B04" w:rsidR="00F42FFF">
        <w:t>Mr L</w:t>
      </w:r>
      <w:r w:rsidRPr="00884B04">
        <w:t>itvinenko ...</w:t>
      </w:r>
      <w:r w:rsidRPr="00884B04" w:rsidR="00F42FFF">
        <w:t xml:space="preserve"> </w:t>
      </w:r>
      <w:r w:rsidRPr="00884B04">
        <w:t xml:space="preserve">Moreover, had </w:t>
      </w:r>
      <w:r w:rsidRPr="00884B04" w:rsidR="00F42FFF">
        <w:t>Mr L</w:t>
      </w:r>
      <w:r w:rsidRPr="00884B04">
        <w:t xml:space="preserve">ugovoy and </w:t>
      </w:r>
      <w:r w:rsidRPr="00884B04" w:rsidR="00F42FFF">
        <w:t>Mr K</w:t>
      </w:r>
      <w:r w:rsidRPr="00884B04">
        <w:t xml:space="preserve">ovtun been acting on their own behalf, it seems highly unlikely that they would have had access to the polonium 210 that they used to poison </w:t>
      </w:r>
      <w:r w:rsidRPr="00884B04" w:rsidR="00F42FFF">
        <w:t>Mr L</w:t>
      </w:r>
      <w:r w:rsidRPr="00884B04">
        <w:t>itvinenko.</w:t>
      </w:r>
      <w:r w:rsidRPr="00884B04" w:rsidR="00F42FFF">
        <w:t xml:space="preserve"> </w:t>
      </w:r>
      <w:r w:rsidRPr="00884B04" w:rsidR="00662B04">
        <w:t xml:space="preserve">All the evidence points in one direction, namely that, when they killed </w:t>
      </w:r>
      <w:r w:rsidRPr="00884B04" w:rsidR="00F42FFF">
        <w:t>Mr L</w:t>
      </w:r>
      <w:r w:rsidRPr="00884B04" w:rsidR="00662B04">
        <w:t xml:space="preserve">itvinenko, </w:t>
      </w:r>
      <w:r w:rsidRPr="00884B04" w:rsidR="00F42FFF">
        <w:t>Mr L</w:t>
      </w:r>
      <w:r w:rsidRPr="00884B04" w:rsidR="00662B04">
        <w:t xml:space="preserve">ugovoy and </w:t>
      </w:r>
      <w:r w:rsidRPr="00884B04" w:rsidR="00F42FFF">
        <w:t>Mr K</w:t>
      </w:r>
      <w:r w:rsidRPr="00884B04" w:rsidR="00662B04">
        <w:t>ovtun were acting on behalf of someone else.”</w:t>
      </w:r>
    </w:p>
    <w:bookmarkStart w:name="paragraph00064" w:id="35"/>
    <w:p w:rsidRPr="00884B04" w:rsidR="007E7025" w:rsidP="00884B04" w:rsidRDefault="00662B04" w14:paraId="4E82DAC4" w14:textId="4417EAF5">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64</w:t>
      </w:r>
      <w:r w:rsidRPr="00884B04">
        <w:fldChar w:fldCharType="end"/>
      </w:r>
      <w:bookmarkEnd w:id="35"/>
      <w:r w:rsidRPr="00884B04">
        <w:t>.</w:t>
      </w:r>
      <w:r w:rsidRPr="00884B04" w:rsidR="00FD072F">
        <w:t>  </w:t>
      </w:r>
      <w:r w:rsidRPr="00884B04">
        <w:t xml:space="preserve">The Chairman examined – and excluded – the possibilities, all brought up by </w:t>
      </w:r>
      <w:r w:rsidRPr="00884B04" w:rsidR="00F42FFF">
        <w:t>Mr L</w:t>
      </w:r>
      <w:r w:rsidRPr="00884B04">
        <w:t xml:space="preserve">ugovoy, that a number of parties, including </w:t>
      </w:r>
      <w:r w:rsidRPr="00884B04" w:rsidR="00F42FFF">
        <w:t>Mr B</w:t>
      </w:r>
      <w:r w:rsidRPr="00884B04">
        <w:t xml:space="preserve">erezovskiy, the British intelligence services, groups linked to organised crime, or </w:t>
      </w:r>
      <w:r w:rsidRPr="00884B04" w:rsidR="00F42FFF">
        <w:t>Mr S</w:t>
      </w:r>
      <w:r w:rsidRPr="00884B04">
        <w:t xml:space="preserve">caramella had directed the killing. On the theory that </w:t>
      </w:r>
      <w:r w:rsidRPr="00884B04" w:rsidR="00F42FFF">
        <w:t>Mr B</w:t>
      </w:r>
      <w:r w:rsidRPr="00884B04">
        <w:t xml:space="preserve">erezovskiy might have retaliated against </w:t>
      </w:r>
      <w:r w:rsidRPr="00884B04" w:rsidR="00F42FFF">
        <w:t>Mr L</w:t>
      </w:r>
      <w:r w:rsidRPr="00884B04">
        <w:t xml:space="preserve">itvinenko for blackmailing him, the Chairman </w:t>
      </w:r>
      <w:r w:rsidRPr="00884B04" w:rsidR="007E7025">
        <w:t xml:space="preserve">noted that there was no evidence of either blackmail occurring or </w:t>
      </w:r>
      <w:r w:rsidRPr="00884B04" w:rsidR="00F42FFF">
        <w:t>Mr L</w:t>
      </w:r>
      <w:r w:rsidRPr="00884B04" w:rsidR="007E7025">
        <w:t>ugovoy</w:t>
      </w:r>
      <w:r w:rsidRPr="00884B04" w:rsidR="00884B04">
        <w:t>’</w:t>
      </w:r>
      <w:r w:rsidRPr="00884B04" w:rsidR="007E7025">
        <w:t xml:space="preserve">s acting on </w:t>
      </w:r>
      <w:r w:rsidRPr="00884B04" w:rsidR="00F42FFF">
        <w:t>Mr B</w:t>
      </w:r>
      <w:r w:rsidRPr="00884B04" w:rsidR="007E7025">
        <w:t>erezovskiy</w:t>
      </w:r>
      <w:r w:rsidRPr="00884B04" w:rsidR="00884B04">
        <w:t>’</w:t>
      </w:r>
      <w:r w:rsidRPr="00884B04" w:rsidR="007E7025">
        <w:t>s behalf.</w:t>
      </w:r>
      <w:r w:rsidRPr="00884B04" w:rsidR="00F42FFF">
        <w:t xml:space="preserve"> </w:t>
      </w:r>
      <w:r w:rsidRPr="00884B04" w:rsidR="007E7025">
        <w:t xml:space="preserve">In fact, </w:t>
      </w:r>
      <w:r w:rsidRPr="00884B04" w:rsidR="00F42FFF">
        <w:t>Mr L</w:t>
      </w:r>
      <w:r w:rsidRPr="00884B04" w:rsidR="007E7025">
        <w:t xml:space="preserve">ugovoy suggested that it was someone else acting for </w:t>
      </w:r>
      <w:r w:rsidRPr="00884B04" w:rsidR="00F42FFF">
        <w:t>Mr B</w:t>
      </w:r>
      <w:r w:rsidRPr="00884B04" w:rsidR="007E7025">
        <w:t xml:space="preserve">erezovskiy who had killed </w:t>
      </w:r>
      <w:r w:rsidRPr="00884B04" w:rsidR="00F42FFF">
        <w:t>Mr L</w:t>
      </w:r>
      <w:r w:rsidRPr="00884B04" w:rsidR="007E7025">
        <w:t xml:space="preserve">itvinenko, but that hypothesis was inconsistent with the finding that it had been </w:t>
      </w:r>
      <w:r w:rsidRPr="00884B04" w:rsidR="00F42FFF">
        <w:t>Mr L</w:t>
      </w:r>
      <w:r w:rsidRPr="00884B04" w:rsidR="007E7025">
        <w:t>ugovoy who had administered the deadly poison.</w:t>
      </w:r>
      <w:r w:rsidRPr="00884B04" w:rsidR="00F42FFF">
        <w:t xml:space="preserve"> </w:t>
      </w:r>
      <w:r w:rsidRPr="00884B04">
        <w:t xml:space="preserve">The set up by the intelligence services theory had been addressed before and found without merit. Even though it was </w:t>
      </w:r>
      <w:r w:rsidRPr="00884B04" w:rsidR="007E7025">
        <w:t xml:space="preserve">not implausible that </w:t>
      </w:r>
      <w:r w:rsidRPr="00884B04" w:rsidR="00F42FFF">
        <w:t>Mr L</w:t>
      </w:r>
      <w:r w:rsidRPr="00884B04" w:rsidR="007E7025">
        <w:t xml:space="preserve">ugovoy or </w:t>
      </w:r>
      <w:r w:rsidRPr="00884B04" w:rsidR="00F42FFF">
        <w:t>Mr K</w:t>
      </w:r>
      <w:r w:rsidRPr="00884B04" w:rsidR="007E7025">
        <w:t xml:space="preserve">ovtun had acted on the orders of Russian crime gangs whose activities </w:t>
      </w:r>
      <w:r w:rsidRPr="00884B04" w:rsidR="00F42FFF">
        <w:t>Mr L</w:t>
      </w:r>
      <w:r w:rsidRPr="00884B04" w:rsidR="007E7025">
        <w:t>itvinenko helped to elucidate, there was no evidence linking any known criminal leaders to the killing.</w:t>
      </w:r>
      <w:r w:rsidRPr="00884B04" w:rsidR="00F42FFF">
        <w:t xml:space="preserve"> </w:t>
      </w:r>
      <w:r w:rsidRPr="00884B04" w:rsidR="007E7025">
        <w:t xml:space="preserve">Nor had there been evidence of </w:t>
      </w:r>
      <w:r w:rsidRPr="00884B04" w:rsidR="00F42FFF">
        <w:t>Mr S</w:t>
      </w:r>
      <w:r w:rsidRPr="00884B04" w:rsidR="007E7025">
        <w:t>caramella</w:t>
      </w:r>
      <w:r w:rsidRPr="00884B04" w:rsidR="00884B04">
        <w:t>’</w:t>
      </w:r>
      <w:r w:rsidRPr="00884B04" w:rsidR="007E7025">
        <w:t xml:space="preserve">s having any motive to kill </w:t>
      </w:r>
      <w:r w:rsidRPr="00884B04" w:rsidR="00F42FFF">
        <w:t>Mr L</w:t>
      </w:r>
      <w:r w:rsidRPr="00884B04" w:rsidR="007E7025">
        <w:t>itvinenko or being involved in his death.</w:t>
      </w:r>
    </w:p>
    <w:p w:rsidRPr="00884B04" w:rsidR="00662B04" w:rsidP="00884B04" w:rsidRDefault="00EB7A47" w14:paraId="0D0F710A" w14:textId="0E4D80AB">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65</w:t>
      </w:r>
      <w:r>
        <w:rPr>
          <w:noProof/>
        </w:rPr>
        <w:fldChar w:fldCharType="end"/>
      </w:r>
      <w:r w:rsidRPr="00884B04" w:rsidR="007E7025">
        <w:t>.</w:t>
      </w:r>
      <w:r w:rsidRPr="00884B04" w:rsidR="00FD072F">
        <w:t>  </w:t>
      </w:r>
      <w:r w:rsidRPr="00884B04" w:rsidR="007E7025">
        <w:t xml:space="preserve">The inquiry report turned to the possibility that one or more organisations of the Russian State may have been complicit in </w:t>
      </w:r>
      <w:r w:rsidRPr="00884B04" w:rsidR="00F42FFF">
        <w:t>Mr L</w:t>
      </w:r>
      <w:r w:rsidRPr="00884B04" w:rsidR="007E7025">
        <w:t>itvinenko</w:t>
      </w:r>
      <w:r w:rsidRPr="00884B04" w:rsidR="00884B04">
        <w:t>’</w:t>
      </w:r>
      <w:r w:rsidRPr="00884B04" w:rsidR="007E7025">
        <w:t>s death.</w:t>
      </w:r>
      <w:r w:rsidRPr="00884B04" w:rsidR="00F42FFF">
        <w:t xml:space="preserve"> </w:t>
      </w:r>
      <w:r w:rsidRPr="00884B04" w:rsidR="00662B04">
        <w:t xml:space="preserve">Six chapters of the report covered the evidence that Russia was the source of polonium 210, the motives that the Russian State may have had for wishing </w:t>
      </w:r>
      <w:r w:rsidRPr="00884B04" w:rsidR="00F42FFF">
        <w:t>Mr L</w:t>
      </w:r>
      <w:r w:rsidRPr="00884B04" w:rsidR="00662B04">
        <w:t xml:space="preserve">itvinenko dead, and the evidence of links between </w:t>
      </w:r>
      <w:r w:rsidRPr="00884B04" w:rsidR="00F42FFF">
        <w:t>Mr L</w:t>
      </w:r>
      <w:r w:rsidRPr="00884B04" w:rsidR="00662B04">
        <w:t xml:space="preserve">ugovoy and </w:t>
      </w:r>
      <w:r w:rsidRPr="00884B04" w:rsidR="00F42FFF">
        <w:t>Mr K</w:t>
      </w:r>
      <w:r w:rsidRPr="00884B04" w:rsidR="00662B04">
        <w:t>ovtun and the Russian State.</w:t>
      </w:r>
    </w:p>
    <w:bookmarkStart w:name="paragraph00066" w:id="36"/>
    <w:p w:rsidRPr="00884B04" w:rsidR="00662B04" w:rsidP="00884B04" w:rsidRDefault="00662B04" w14:paraId="24704C53" w14:textId="0577A482">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66</w:t>
      </w:r>
      <w:r w:rsidRPr="00884B04">
        <w:fldChar w:fldCharType="end"/>
      </w:r>
      <w:bookmarkEnd w:id="36"/>
      <w:r w:rsidRPr="00884B04">
        <w:t>.</w:t>
      </w:r>
      <w:r w:rsidRPr="00884B04" w:rsidR="00FD072F">
        <w:t>  </w:t>
      </w:r>
      <w:r w:rsidRPr="00884B04">
        <w:t xml:space="preserve">Regarding the source of polonium 210, the Chairman accepted that there was </w:t>
      </w:r>
      <w:r w:rsidRPr="00884B04" w:rsidR="007E7025">
        <w:t xml:space="preserve">no secure basis to find that the polonium used to poison </w:t>
      </w:r>
      <w:r w:rsidRPr="00884B04" w:rsidR="00F42FFF">
        <w:t>Mr L</w:t>
      </w:r>
      <w:r w:rsidRPr="00884B04" w:rsidR="007E7025">
        <w:t>itvinenko must have come from Russia but it certainly could have come from the Avangard production facility.</w:t>
      </w:r>
      <w:r w:rsidRPr="00884B04" w:rsidR="00F42FFF">
        <w:t xml:space="preserve"> </w:t>
      </w:r>
      <w:r w:rsidRPr="00884B04" w:rsidR="007E7025">
        <w:t>The use of polonium 210 was a strong indicator of State involvement.</w:t>
      </w:r>
      <w:r w:rsidRPr="00884B04" w:rsidR="00F42FFF">
        <w:t xml:space="preserve"> </w:t>
      </w:r>
      <w:r w:rsidRPr="00884B04">
        <w:t>That was both because ordinary criminals might have been expected to use a more straightforward, less sophisticated means of killing, and because polonium 210 must have come from a reactor, and such reactors are, in general, under State control.</w:t>
      </w:r>
    </w:p>
    <w:p w:rsidRPr="00884B04" w:rsidR="007E7025" w:rsidP="00884B04" w:rsidRDefault="00EB7A47" w14:paraId="032CCEC5" w14:textId="1895038C">
      <w:pPr>
        <w:pStyle w:val="JuPara"/>
      </w:pPr>
      <w:r>
        <w:rPr>
          <w:noProof/>
        </w:rPr>
        <w:fldChar w:fldCharType="begin"/>
      </w:r>
      <w:r>
        <w:rPr>
          <w:noProof/>
        </w:rPr>
        <w:instrText xml:space="preserve"> SEQ level0 \*arabic \* MERGEFORMAT </w:instrText>
      </w:r>
      <w:r>
        <w:rPr>
          <w:noProof/>
        </w:rPr>
        <w:fldChar w:fldCharType="separate"/>
      </w:r>
      <w:bookmarkStart w:name="paragraph00067" w:id="37"/>
      <w:r w:rsidRPr="00884B04" w:rsidR="00884B04">
        <w:rPr>
          <w:noProof/>
        </w:rPr>
        <w:t>67</w:t>
      </w:r>
      <w:bookmarkEnd w:id="37"/>
      <w:r>
        <w:rPr>
          <w:noProof/>
        </w:rPr>
        <w:fldChar w:fldCharType="end"/>
      </w:r>
      <w:r w:rsidRPr="00884B04" w:rsidR="00662B04">
        <w:t>.</w:t>
      </w:r>
      <w:r w:rsidRPr="00884B04" w:rsidR="00FD072F">
        <w:t>  </w:t>
      </w:r>
      <w:r w:rsidRPr="00884B04" w:rsidR="00662B04">
        <w:t xml:space="preserve">The Chairman identified several reasons why organisations and individuals within the Russian State might have wished to target </w:t>
      </w:r>
      <w:r w:rsidRPr="00884B04" w:rsidR="00F42FFF">
        <w:t>Mr L</w:t>
      </w:r>
      <w:r w:rsidRPr="00884B04" w:rsidR="00662B04">
        <w:t xml:space="preserve">itvinenko. First of all, he was regarded as having betrayed the FSB as a result of the public disclosures he made before he left Russia, a betrayal which would have been compounded by his writing and campaigning in the United Kingdom. Secondly, according to </w:t>
      </w:r>
      <w:r w:rsidRPr="00884B04" w:rsidR="00F42FFF">
        <w:t>Mr L</w:t>
      </w:r>
      <w:r w:rsidRPr="00884B04" w:rsidR="00662B04">
        <w:t xml:space="preserve">ugovoy, the FSB had received information that </w:t>
      </w:r>
      <w:r w:rsidRPr="00884B04" w:rsidR="00F42FFF">
        <w:t>Mr L</w:t>
      </w:r>
      <w:r w:rsidRPr="00884B04" w:rsidR="00662B04">
        <w:t xml:space="preserve">itvinenko was working for British intelligence. Thirdly, </w:t>
      </w:r>
      <w:r w:rsidRPr="00884B04" w:rsidR="00F42FFF">
        <w:t>Mr L</w:t>
      </w:r>
      <w:r w:rsidRPr="00884B04" w:rsidR="00662B04">
        <w:t xml:space="preserve">itvinenko was a close associate of individuals such as </w:t>
      </w:r>
      <w:r w:rsidRPr="00884B04" w:rsidR="00F42FFF">
        <w:t>Mr B</w:t>
      </w:r>
      <w:r w:rsidRPr="00884B04" w:rsidR="00662B04">
        <w:t xml:space="preserve">erezovskiy who were prominent critics of the Russian authorities. Fourthly, the causes espoused by </w:t>
      </w:r>
      <w:r w:rsidRPr="00884B04" w:rsidR="00F42FFF">
        <w:t>Mr L</w:t>
      </w:r>
      <w:r w:rsidRPr="00884B04" w:rsidR="00662B04">
        <w:t>itvinenko – such as the FSB</w:t>
      </w:r>
      <w:r w:rsidRPr="00884B04" w:rsidR="00884B04">
        <w:t>’</w:t>
      </w:r>
      <w:r w:rsidRPr="00884B04" w:rsidR="00662B04">
        <w:t xml:space="preserve">s responsibility for the apartment bombings, the war in Chechnya and collusion between the Russian authorities and organised crime – were of particular sensitivity to the Russian authorities. Finally, there was undoubtedly a personal dimension to the antagonism between </w:t>
      </w:r>
      <w:r w:rsidRPr="00884B04" w:rsidR="00F42FFF">
        <w:t>Mr L</w:t>
      </w:r>
      <w:r w:rsidRPr="00884B04" w:rsidR="00662B04">
        <w:t xml:space="preserve">itvinenko and the President of Russia. In addition, the report </w:t>
      </w:r>
      <w:r w:rsidRPr="00884B04" w:rsidR="007E7025">
        <w:t xml:space="preserve">noted that in the years prior to </w:t>
      </w:r>
      <w:r w:rsidRPr="00884B04" w:rsidR="00F42FFF">
        <w:t>Mr L</w:t>
      </w:r>
      <w:r w:rsidRPr="00884B04" w:rsidR="007E7025">
        <w:t>itvinenko</w:t>
      </w:r>
      <w:r w:rsidRPr="00884B04" w:rsidR="00884B04">
        <w:t>’</w:t>
      </w:r>
      <w:r w:rsidRPr="00884B04" w:rsidR="007E7025">
        <w:t>s death the Russian authorities had been involved in the killing of a number of their opponents.</w:t>
      </w:r>
    </w:p>
    <w:p w:rsidRPr="00884B04" w:rsidR="007E7025" w:rsidP="00884B04" w:rsidRDefault="00EB7A47" w14:paraId="6904FB09" w14:textId="023DF2FB">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bookmarkStart w:name="paragraph00068" w:id="38"/>
      <w:r w:rsidRPr="00884B04" w:rsidR="00884B04">
        <w:rPr>
          <w:noProof/>
        </w:rPr>
        <w:t>68</w:t>
      </w:r>
      <w:bookmarkEnd w:id="38"/>
      <w:r>
        <w:rPr>
          <w:noProof/>
        </w:rPr>
        <w:fldChar w:fldCharType="end"/>
      </w:r>
      <w:r w:rsidRPr="00884B04" w:rsidR="007E7025">
        <w:t>.</w:t>
      </w:r>
      <w:r w:rsidRPr="00884B04" w:rsidR="00FD072F">
        <w:t>  </w:t>
      </w:r>
      <w:r w:rsidRPr="00884B04" w:rsidR="007E7025">
        <w:t xml:space="preserve">The report then addressed the links between </w:t>
      </w:r>
      <w:r w:rsidRPr="00884B04" w:rsidR="00F42FFF">
        <w:t>Mr L</w:t>
      </w:r>
      <w:r w:rsidRPr="00884B04" w:rsidR="007E7025">
        <w:t xml:space="preserve">ugovoy and </w:t>
      </w:r>
      <w:r w:rsidRPr="00884B04" w:rsidR="00F42FFF">
        <w:t>Mr K</w:t>
      </w:r>
      <w:r w:rsidRPr="00884B04" w:rsidR="007E7025">
        <w:t>ovtun and the Russian State.</w:t>
      </w:r>
      <w:r w:rsidRPr="00884B04" w:rsidR="00F42FFF">
        <w:t xml:space="preserve"> </w:t>
      </w:r>
      <w:r w:rsidRPr="00884B04" w:rsidR="007E7025">
        <w:t xml:space="preserve">Both </w:t>
      </w:r>
      <w:r w:rsidRPr="00884B04" w:rsidR="00F42FFF">
        <w:t>Mr L</w:t>
      </w:r>
      <w:r w:rsidRPr="00884B04" w:rsidR="007E7025">
        <w:t xml:space="preserve">ugovoy and </w:t>
      </w:r>
      <w:r w:rsidRPr="00884B04" w:rsidR="00F42FFF">
        <w:t>Mr K</w:t>
      </w:r>
      <w:r w:rsidRPr="00884B04" w:rsidR="007E7025">
        <w:t xml:space="preserve">ovtun were Russian citizens, resident in Russia, and both had served in the Russian military with </w:t>
      </w:r>
      <w:r w:rsidRPr="00884B04" w:rsidR="00F42FFF">
        <w:t>Mr L</w:t>
      </w:r>
      <w:r w:rsidRPr="00884B04" w:rsidR="007E7025">
        <w:t>ugovoy being a former member of the KGB and Federal Protection Service.</w:t>
      </w:r>
      <w:r w:rsidRPr="00884B04" w:rsidR="00F42FFF">
        <w:t xml:space="preserve"> </w:t>
      </w:r>
      <w:r w:rsidRPr="00884B04" w:rsidR="00662B04">
        <w:t xml:space="preserve">There was also evidence relating to a possible relationship between </w:t>
      </w:r>
      <w:r w:rsidRPr="00884B04" w:rsidR="00F42FFF">
        <w:t>Mr L</w:t>
      </w:r>
      <w:r w:rsidRPr="00884B04" w:rsidR="00662B04">
        <w:t xml:space="preserve">ugovoy and the FSB in the years up to and including 2006. Following his return to Russia, </w:t>
      </w:r>
      <w:r w:rsidRPr="00884B04" w:rsidR="00F42FFF">
        <w:t>Mr L</w:t>
      </w:r>
      <w:r w:rsidRPr="00884B04" w:rsidR="00662B04">
        <w:t>ugovoy had been supported and protected by the Russian authorities which awarded him an ho</w:t>
      </w:r>
      <w:r w:rsidRPr="00884B04" w:rsidR="007E7025">
        <w:t>nour for services to the homeland.</w:t>
      </w:r>
      <w:r w:rsidRPr="00884B04" w:rsidR="00F42FFF">
        <w:t xml:space="preserve"> </w:t>
      </w:r>
      <w:r w:rsidRPr="00884B04" w:rsidR="007E7025">
        <w:t xml:space="preserve">While that did not indicate that </w:t>
      </w:r>
      <w:r w:rsidRPr="00884B04" w:rsidR="00F42FFF">
        <w:t>Mr L</w:t>
      </w:r>
      <w:r w:rsidRPr="00884B04" w:rsidR="007E7025">
        <w:t xml:space="preserve">ugovoy must have been acting on behalf of the Russian State when killing </w:t>
      </w:r>
      <w:r w:rsidRPr="00884B04" w:rsidR="00F42FFF">
        <w:t>Mr L</w:t>
      </w:r>
      <w:r w:rsidRPr="00884B04" w:rsidR="007E7025">
        <w:t xml:space="preserve">itvinenko, this conduct towards </w:t>
      </w:r>
      <w:r w:rsidRPr="00884B04" w:rsidR="00F42FFF">
        <w:t>Mr L</w:t>
      </w:r>
      <w:r w:rsidRPr="00884B04" w:rsidR="007E7025">
        <w:t xml:space="preserve">ugovoy suggested a level of approval for the killing of </w:t>
      </w:r>
      <w:r w:rsidRPr="00884B04" w:rsidR="00F42FFF">
        <w:t>Mr L</w:t>
      </w:r>
      <w:r w:rsidRPr="00884B04" w:rsidR="007E7025">
        <w:t>itvinenko.</w:t>
      </w:r>
      <w:r w:rsidRPr="00884B04" w:rsidR="00F42FFF">
        <w:t xml:space="preserve"> </w:t>
      </w:r>
      <w:r w:rsidRPr="00884B04" w:rsidR="007E7025">
        <w:t xml:space="preserve">While there was less evidence relating to </w:t>
      </w:r>
      <w:r w:rsidRPr="00884B04" w:rsidR="00F42FFF">
        <w:t>Mr K</w:t>
      </w:r>
      <w:r w:rsidRPr="00884B04" w:rsidR="007E7025">
        <w:t>ovtun, he nevertheless appeared to have suffered no ill</w:t>
      </w:r>
      <w:r w:rsidRPr="00884B04" w:rsidR="007E7025">
        <w:noBreakHyphen/>
        <w:t xml:space="preserve">consequences as a result of the allegations made against him in respect of </w:t>
      </w:r>
      <w:r w:rsidRPr="00884B04" w:rsidR="00F42FFF">
        <w:t>Mr L</w:t>
      </w:r>
      <w:r w:rsidRPr="00884B04" w:rsidR="007E7025">
        <w:t>itvinenko</w:t>
      </w:r>
      <w:r w:rsidRPr="00884B04" w:rsidR="00884B04">
        <w:t>’</w:t>
      </w:r>
      <w:r w:rsidRPr="00884B04" w:rsidR="007E7025">
        <w:t>s death.</w:t>
      </w:r>
      <w:r w:rsidRPr="00884B04" w:rsidR="00F42FFF">
        <w:t xml:space="preserve"> </w:t>
      </w:r>
      <w:r w:rsidRPr="00884B04" w:rsidR="007E7025">
        <w:t xml:space="preserve">The Chairman concluded that when </w:t>
      </w:r>
      <w:r w:rsidRPr="00884B04" w:rsidR="00F42FFF">
        <w:t>Mr L</w:t>
      </w:r>
      <w:r w:rsidRPr="00884B04" w:rsidR="007E7025">
        <w:t xml:space="preserve">ugovoy poisoned </w:t>
      </w:r>
      <w:r w:rsidRPr="00884B04" w:rsidR="00F42FFF">
        <w:t>Mr L</w:t>
      </w:r>
      <w:r w:rsidRPr="00884B04" w:rsidR="007E7025">
        <w:t>itvinenko, it was “probable” that he did so under the direction of the FSB.</w:t>
      </w:r>
      <w:r w:rsidRPr="00884B04" w:rsidR="00F42FFF">
        <w:t xml:space="preserve"> </w:t>
      </w:r>
      <w:r w:rsidRPr="00884B04" w:rsidR="00662B04">
        <w:t xml:space="preserve">The Chairman added that he regarded that “as a strong probability”. He also found that </w:t>
      </w:r>
      <w:r w:rsidRPr="00884B04" w:rsidR="00F42FFF">
        <w:t>Mr K</w:t>
      </w:r>
      <w:r w:rsidRPr="00884B04" w:rsidR="00662B04">
        <w:t xml:space="preserve">ovtun was acting under FSB direction, possibly indirectly through </w:t>
      </w:r>
      <w:r w:rsidRPr="00884B04" w:rsidR="00F42FFF">
        <w:t>Mr L</w:t>
      </w:r>
      <w:r w:rsidRPr="00884B04" w:rsidR="00662B04">
        <w:t>ugovoy but probably to his k</w:t>
      </w:r>
      <w:r w:rsidRPr="00884B04" w:rsidR="007E7025">
        <w:t>nowledge.</w:t>
      </w:r>
    </w:p>
    <w:p w:rsidRPr="00884B04" w:rsidR="007E7025" w:rsidP="00884B04" w:rsidRDefault="007E7025" w14:paraId="7F1F6D32" w14:textId="7DF98EAC">
      <w:pPr>
        <w:pStyle w:val="JuPara"/>
      </w:pPr>
      <w:r w:rsidRPr="00884B04">
        <w:fldChar w:fldCharType="begin"/>
      </w:r>
      <w:r w:rsidRPr="00884B04">
        <w:instrText xml:space="preserve"> SEQ level0 \*arabic </w:instrText>
      </w:r>
      <w:r w:rsidRPr="00884B04">
        <w:fldChar w:fldCharType="separate"/>
      </w:r>
      <w:bookmarkStart w:name="paragraph00069" w:id="39"/>
      <w:r w:rsidRPr="00884B04" w:rsidR="00884B04">
        <w:rPr>
          <w:noProof/>
        </w:rPr>
        <w:t>69</w:t>
      </w:r>
      <w:bookmarkEnd w:id="39"/>
      <w:r w:rsidRPr="00884B04">
        <w:fldChar w:fldCharType="end"/>
      </w:r>
      <w:r w:rsidRPr="00884B04">
        <w:t>.</w:t>
      </w:r>
      <w:r w:rsidRPr="00884B04" w:rsidR="00FD072F">
        <w:t>  </w:t>
      </w:r>
      <w:r w:rsidRPr="00884B04">
        <w:t>The Chairman summarised his conclusions as follows:</w:t>
      </w:r>
    </w:p>
    <w:p w:rsidRPr="00884B04" w:rsidR="007E7025" w:rsidP="00884B04" w:rsidRDefault="007E7025" w14:paraId="73AD21B4" w14:textId="77777777">
      <w:pPr>
        <w:pStyle w:val="JuQuot"/>
      </w:pPr>
      <w:r w:rsidRPr="00884B04">
        <w:t xml:space="preserve">“10.7 There is abundant evidence that </w:t>
      </w:r>
      <w:r w:rsidRPr="00884B04" w:rsidR="00F42FFF">
        <w:t>Mr L</w:t>
      </w:r>
      <w:r w:rsidRPr="00884B04">
        <w:t>itvinenko met Andrey Lugovoy and his associate Dmitri Kovtun for tea at the ...</w:t>
      </w:r>
      <w:r w:rsidRPr="00884B04" w:rsidR="00F42FFF">
        <w:t xml:space="preserve"> </w:t>
      </w:r>
      <w:r w:rsidRPr="00884B04">
        <w:t>Bar of the ...</w:t>
      </w:r>
      <w:r w:rsidRPr="00884B04" w:rsidR="00F42FFF">
        <w:t xml:space="preserve"> </w:t>
      </w:r>
      <w:r w:rsidRPr="00884B04" w:rsidR="00662B04">
        <w:t>Hotel ... during the after</w:t>
      </w:r>
      <w:r w:rsidRPr="00884B04">
        <w:t xml:space="preserve">noon of </w:t>
      </w:r>
      <w:r w:rsidRPr="00884B04" w:rsidR="00F42FFF">
        <w:t>1 November 2006</w:t>
      </w:r>
      <w:r w:rsidRPr="00884B04">
        <w:t xml:space="preserve"> ...</w:t>
      </w:r>
    </w:p>
    <w:p w:rsidRPr="00884B04" w:rsidR="007E7025" w:rsidP="00884B04" w:rsidRDefault="007E7025" w14:paraId="53F2F10C" w14:textId="77777777">
      <w:pPr>
        <w:pStyle w:val="JuQuot"/>
      </w:pPr>
      <w:r w:rsidRPr="00884B04">
        <w:t xml:space="preserve">10.8 I am sure that </w:t>
      </w:r>
      <w:r w:rsidRPr="00884B04" w:rsidR="00F42FFF">
        <w:t>Mr L</w:t>
      </w:r>
      <w:r w:rsidRPr="00884B04">
        <w:t>itvinenko ingested the fatal dose of polonium 210 whilst drinking tea in the ...</w:t>
      </w:r>
      <w:r w:rsidRPr="00884B04" w:rsidR="00F42FFF">
        <w:t xml:space="preserve"> </w:t>
      </w:r>
      <w:r w:rsidRPr="00884B04">
        <w:t>Bar of the ...</w:t>
      </w:r>
      <w:r w:rsidRPr="00884B04" w:rsidR="00F42FFF">
        <w:t xml:space="preserve"> </w:t>
      </w:r>
      <w:r w:rsidRPr="00884B04" w:rsidR="00662B04">
        <w:t>Hotel during the after</w:t>
      </w:r>
      <w:r w:rsidRPr="00884B04">
        <w:t xml:space="preserve">noon of </w:t>
      </w:r>
      <w:r w:rsidRPr="00884B04" w:rsidR="00F42FFF">
        <w:t>1 November 2006</w:t>
      </w:r>
      <w:r w:rsidRPr="00884B04">
        <w:t>.</w:t>
      </w:r>
    </w:p>
    <w:p w:rsidRPr="00884B04" w:rsidR="007E7025" w:rsidP="00884B04" w:rsidRDefault="007E7025" w14:paraId="2A16408A" w14:textId="77777777">
      <w:pPr>
        <w:pStyle w:val="JuQuot"/>
      </w:pPr>
      <w:r w:rsidRPr="00884B04">
        <w:t xml:space="preserve">10.9 I have carefully considered the possibility that </w:t>
      </w:r>
      <w:r w:rsidRPr="00884B04" w:rsidR="00F42FFF">
        <w:t>Mr L</w:t>
      </w:r>
      <w:r w:rsidRPr="00884B04">
        <w:t>itvinenko ingested the fatal dose of polonium 210 as the result of an accident.</w:t>
      </w:r>
      <w:r w:rsidRPr="00884B04" w:rsidR="00F42FFF">
        <w:t xml:space="preserve"> </w:t>
      </w:r>
      <w:r w:rsidRPr="00884B04">
        <w:t xml:space="preserve">I have also considered whether </w:t>
      </w:r>
      <w:r w:rsidRPr="00884B04" w:rsidR="00F42FFF">
        <w:t>Mr L</w:t>
      </w:r>
      <w:r w:rsidRPr="00884B04">
        <w:t>itvinenko might have taken the poison deliberately, in order to commit suicide.</w:t>
      </w:r>
    </w:p>
    <w:p w:rsidRPr="00884B04" w:rsidR="007E7025" w:rsidP="00884B04" w:rsidRDefault="007E7025" w14:paraId="32B6A62E" w14:textId="77777777">
      <w:pPr>
        <w:pStyle w:val="JuQuot"/>
      </w:pPr>
      <w:r w:rsidRPr="00884B04">
        <w:t xml:space="preserve">10.10 I am sure that </w:t>
      </w:r>
      <w:r w:rsidRPr="00884B04" w:rsidR="00F42FFF">
        <w:t>Mr L</w:t>
      </w:r>
      <w:r w:rsidRPr="00884B04">
        <w:t>itvinenko did not ingest the polonium 210 either by accident or to commit suicide.</w:t>
      </w:r>
      <w:r w:rsidRPr="00884B04" w:rsidR="00F42FFF">
        <w:t xml:space="preserve"> </w:t>
      </w:r>
      <w:r w:rsidRPr="00884B04">
        <w:t>I am sure, rather, that he was deliberately poisoned by others.</w:t>
      </w:r>
    </w:p>
    <w:p w:rsidRPr="00884B04" w:rsidR="00662B04" w:rsidP="00884B04" w:rsidRDefault="007E7025" w14:paraId="24120775" w14:textId="77777777">
      <w:pPr>
        <w:pStyle w:val="JuQuot"/>
      </w:pPr>
      <w:r w:rsidRPr="00884B04">
        <w:t xml:space="preserve">10.11 I am sure that </w:t>
      </w:r>
      <w:r w:rsidRPr="00884B04" w:rsidR="00F42FFF">
        <w:t>Mr L</w:t>
      </w:r>
      <w:r w:rsidRPr="00884B04">
        <w:t xml:space="preserve">ugovoy and </w:t>
      </w:r>
      <w:r w:rsidRPr="00884B04" w:rsidR="00F42FFF">
        <w:t>Mr K</w:t>
      </w:r>
      <w:r w:rsidRPr="00884B04">
        <w:t>ovtun placed the polonium 210 in the teapot at the ...</w:t>
      </w:r>
      <w:r w:rsidRPr="00884B04" w:rsidR="00F42FFF">
        <w:t xml:space="preserve"> </w:t>
      </w:r>
      <w:r w:rsidRPr="00884B04" w:rsidR="00662B04">
        <w:t xml:space="preserve">Bar on </w:t>
      </w:r>
      <w:r w:rsidRPr="00884B04" w:rsidR="00F42FFF">
        <w:t>1 November 2006</w:t>
      </w:r>
      <w:r w:rsidRPr="00884B04" w:rsidR="00662B04">
        <w:t xml:space="preserve">. I am also sure that they did this with the intention of poisoning </w:t>
      </w:r>
      <w:r w:rsidRPr="00884B04" w:rsidR="00F42FFF">
        <w:t>Mr L</w:t>
      </w:r>
      <w:r w:rsidRPr="00884B04" w:rsidR="00662B04">
        <w:t>itvinenko.</w:t>
      </w:r>
    </w:p>
    <w:p w:rsidRPr="00884B04" w:rsidR="00662B04" w:rsidP="00884B04" w:rsidRDefault="00662B04" w14:paraId="62B4D7B0" w14:textId="77777777">
      <w:pPr>
        <w:pStyle w:val="JuQuot"/>
      </w:pPr>
      <w:r w:rsidRPr="00884B04">
        <w:t xml:space="preserve">10.12 I am sure that the two men had made an earlier attempt to poison </w:t>
      </w:r>
      <w:r w:rsidRPr="00884B04" w:rsidR="00F42FFF">
        <w:t>Mr L</w:t>
      </w:r>
      <w:r w:rsidRPr="00884B04">
        <w:t xml:space="preserve">itvinenko, also using polonium 210, at the Erinys meeting on </w:t>
      </w:r>
      <w:r w:rsidRPr="00884B04" w:rsidR="00F42FFF">
        <w:t>16 October 2006</w:t>
      </w:r>
      <w:r w:rsidRPr="00884B04">
        <w:t>.</w:t>
      </w:r>
    </w:p>
    <w:p w:rsidRPr="00884B04" w:rsidR="007E7025" w:rsidP="00884B04" w:rsidRDefault="00662B04" w14:paraId="4EC36004" w14:textId="77777777">
      <w:pPr>
        <w:pStyle w:val="JuQuot"/>
      </w:pPr>
      <w:r w:rsidRPr="00884B04">
        <w:t xml:space="preserve">10.13 I am sure that </w:t>
      </w:r>
      <w:r w:rsidRPr="00884B04" w:rsidR="00F42FFF">
        <w:t>Mr L</w:t>
      </w:r>
      <w:r w:rsidRPr="00884B04">
        <w:t xml:space="preserve">ugovoy and </w:t>
      </w:r>
      <w:r w:rsidRPr="00884B04" w:rsidR="00F42FFF">
        <w:t>Mr K</w:t>
      </w:r>
      <w:r w:rsidRPr="00884B04">
        <w:t xml:space="preserve">ovtun knew that they were using a deadly poison (as opposed, for example, to a truth drug or a sleeping draught), and that they intended to kill </w:t>
      </w:r>
      <w:r w:rsidRPr="00884B04" w:rsidR="00F42FFF">
        <w:t>Mr L</w:t>
      </w:r>
      <w:r w:rsidRPr="00884B04">
        <w:t xml:space="preserve">itvinenko. I do </w:t>
      </w:r>
      <w:r w:rsidRPr="00884B04" w:rsidR="007E7025">
        <w:t>not believe, however, that they knew precisely what the chemical that they were handling was, or the nature of all its properties.</w:t>
      </w:r>
    </w:p>
    <w:p w:rsidRPr="00884B04" w:rsidR="007E7025" w:rsidP="00884B04" w:rsidRDefault="007E7025" w14:paraId="38475491" w14:textId="77777777">
      <w:pPr>
        <w:pStyle w:val="JuQuot"/>
      </w:pPr>
      <w:r w:rsidRPr="00884B04">
        <w:t xml:space="preserve">10.14 I am sure that </w:t>
      </w:r>
      <w:r w:rsidRPr="00884B04" w:rsidR="00F42FFF">
        <w:t>Mr L</w:t>
      </w:r>
      <w:r w:rsidRPr="00884B04">
        <w:t xml:space="preserve">ugovoy and </w:t>
      </w:r>
      <w:r w:rsidRPr="00884B04" w:rsidR="00F42FFF">
        <w:t>Mr K</w:t>
      </w:r>
      <w:r w:rsidRPr="00884B04">
        <w:t xml:space="preserve">ovtun were acting on behalf of others when they poisoned </w:t>
      </w:r>
      <w:r w:rsidRPr="00884B04" w:rsidR="00F42FFF">
        <w:t>Mr L</w:t>
      </w:r>
      <w:r w:rsidRPr="00884B04">
        <w:t>itvinenko.</w:t>
      </w:r>
    </w:p>
    <w:p w:rsidRPr="00884B04" w:rsidR="007E7025" w:rsidP="00884B04" w:rsidRDefault="007E7025" w14:paraId="238413B9" w14:textId="77777777">
      <w:pPr>
        <w:pStyle w:val="JuQuot"/>
      </w:pPr>
      <w:r w:rsidRPr="00884B04">
        <w:t xml:space="preserve">10.15 When </w:t>
      </w:r>
      <w:r w:rsidRPr="00884B04" w:rsidR="00F42FFF">
        <w:t>Mr L</w:t>
      </w:r>
      <w:r w:rsidRPr="00884B04">
        <w:t xml:space="preserve">ugovoy poisoned </w:t>
      </w:r>
      <w:r w:rsidRPr="00884B04" w:rsidR="00F42FFF">
        <w:t>Mr L</w:t>
      </w:r>
      <w:r w:rsidRPr="00884B04">
        <w:t>itvinenko, it is probable that he did so under the direction of the FSB.</w:t>
      </w:r>
      <w:r w:rsidRPr="00884B04" w:rsidR="00F42FFF">
        <w:t xml:space="preserve"> </w:t>
      </w:r>
      <w:r w:rsidRPr="00884B04">
        <w:t>I would add that I regard that as a strong probability.</w:t>
      </w:r>
      <w:r w:rsidRPr="00884B04" w:rsidR="00F42FFF">
        <w:t xml:space="preserve"> </w:t>
      </w:r>
      <w:r w:rsidRPr="00884B04" w:rsidR="00662B04">
        <w:t>I</w:t>
      </w:r>
      <w:r w:rsidRPr="00884B04" w:rsidR="00F42FFF">
        <w:t xml:space="preserve"> </w:t>
      </w:r>
      <w:r w:rsidRPr="00884B04" w:rsidR="00662B04">
        <w:t xml:space="preserve">have found that </w:t>
      </w:r>
      <w:r w:rsidRPr="00884B04" w:rsidR="00F42FFF">
        <w:t>Mr K</w:t>
      </w:r>
      <w:r w:rsidRPr="00884B04" w:rsidR="00662B04">
        <w:t xml:space="preserve">ovtun also took part in the poisoning. I conclude therefore that he was also acting under FSB direction, possibly indirectly through </w:t>
      </w:r>
      <w:r w:rsidRPr="00884B04" w:rsidR="00F42FFF">
        <w:t>Mr L</w:t>
      </w:r>
      <w:r w:rsidRPr="00884B04" w:rsidR="00662B04">
        <w:t>ugovoy but probably to his k</w:t>
      </w:r>
      <w:r w:rsidRPr="00884B04">
        <w:t>nowledge.</w:t>
      </w:r>
    </w:p>
    <w:p w:rsidRPr="00884B04" w:rsidR="007E7025" w:rsidP="00884B04" w:rsidRDefault="007E7025" w14:paraId="1CF559E7" w14:textId="77777777">
      <w:pPr>
        <w:pStyle w:val="JuQuot"/>
      </w:pPr>
      <w:r w:rsidRPr="00884B04">
        <w:t xml:space="preserve">10.16 The FSB operation to kill </w:t>
      </w:r>
      <w:r w:rsidRPr="00884B04" w:rsidR="00F42FFF">
        <w:t>Mr L</w:t>
      </w:r>
      <w:r w:rsidRPr="00884B04">
        <w:t>itvinenko was probably approved by [the head of the FSB] and also by [the President of Russia].”</w:t>
      </w:r>
    </w:p>
    <w:bookmarkStart w:name="paragraph00070" w:id="40"/>
    <w:p w:rsidRPr="00884B04" w:rsidR="00662B04" w:rsidP="00884B04" w:rsidRDefault="007E7025" w14:paraId="0B86C784" w14:textId="7FABA1CD">
      <w:pPr>
        <w:pStyle w:val="JuPara"/>
      </w:pPr>
      <w:r w:rsidRPr="00884B04">
        <w:fldChar w:fldCharType="begin"/>
      </w:r>
      <w:r w:rsidRPr="00884B04">
        <w:instrText xml:space="preserve"> SEQ level0 \*arabic </w:instrText>
      </w:r>
      <w:r w:rsidRPr="00884B04">
        <w:fldChar w:fldCharType="separate"/>
      </w:r>
      <w:r w:rsidRPr="00884B04" w:rsidR="00884B04">
        <w:rPr>
          <w:noProof/>
        </w:rPr>
        <w:t>70</w:t>
      </w:r>
      <w:r w:rsidRPr="00884B04">
        <w:fldChar w:fldCharType="end"/>
      </w:r>
      <w:bookmarkEnd w:id="40"/>
      <w:r w:rsidRPr="00884B04">
        <w:t>.</w:t>
      </w:r>
      <w:r w:rsidRPr="00884B04" w:rsidR="00FD072F">
        <w:t>  </w:t>
      </w:r>
      <w:r w:rsidRPr="00884B04">
        <w:t xml:space="preserve">On </w:t>
      </w:r>
      <w:r w:rsidRPr="00884B04" w:rsidR="00F42FFF">
        <w:t>21 January 2016</w:t>
      </w:r>
      <w:r w:rsidRPr="00884B04">
        <w:t xml:space="preserve"> the Chairman of the inquiry presented the report to Parliament.</w:t>
      </w:r>
      <w:r w:rsidRPr="00884B04" w:rsidR="00F42FFF">
        <w:t xml:space="preserve"> </w:t>
      </w:r>
      <w:r w:rsidRPr="00884B04">
        <w:t>On the same day it was made publicly available, both in paper copy and online.</w:t>
      </w:r>
      <w:r w:rsidRPr="00884B04" w:rsidR="00F42FFF">
        <w:t xml:space="preserve"> </w:t>
      </w:r>
      <w:r w:rsidRPr="00884B04" w:rsidR="00662B04">
        <w:t>Later that day the Russian Ambassador to the United Kingdom dismissed the report as being a “blatant provocation of the British authorities” and “a whitewash for British special services</w:t>
      </w:r>
      <w:r w:rsidRPr="00884B04" w:rsidR="00884B04">
        <w:t>’</w:t>
      </w:r>
      <w:r w:rsidRPr="00884B04" w:rsidR="00662B04">
        <w:t xml:space="preserve"> institutional incompetence”</w:t>
      </w:r>
      <w:r w:rsidRPr="00884B04" w:rsidR="00662B04">
        <w:rPr>
          <w:rStyle w:val="FootnoteReference"/>
        </w:rPr>
        <w:footnoteReference w:id="1"/>
      </w:r>
      <w:r w:rsidRPr="00884B04" w:rsidR="00662B04">
        <w:t>.</w:t>
      </w:r>
    </w:p>
    <w:p w:rsidRPr="00884B04" w:rsidR="00662B04" w:rsidP="00884B04" w:rsidRDefault="00662B04" w14:paraId="4CA0C933" w14:textId="77777777">
      <w:pPr>
        <w:pStyle w:val="JuHHead"/>
      </w:pPr>
      <w:r w:rsidRPr="00884B04">
        <w:t>RELEVANT LEGAL FRAMEWORK</w:t>
      </w:r>
    </w:p>
    <w:p w:rsidRPr="00884B04" w:rsidR="00662B04" w:rsidP="00884B04" w:rsidRDefault="00EA0AD1" w14:paraId="4F5396D9" w14:textId="77777777">
      <w:pPr>
        <w:pStyle w:val="JuHIRoman"/>
      </w:pPr>
      <w:r w:rsidRPr="00884B04">
        <w:rPr>
          <w:caps w:val="0"/>
        </w:rPr>
        <w:t>INTERNATIONAL LAW AND PRACTICE</w:t>
      </w:r>
    </w:p>
    <w:p w:rsidRPr="00884B04" w:rsidR="00662B04" w:rsidP="00884B04" w:rsidRDefault="00662B04" w14:paraId="54CEDD32" w14:textId="5C800AC6">
      <w:pPr>
        <w:pStyle w:val="JuHA"/>
      </w:pPr>
      <w:r w:rsidRPr="00884B04">
        <w:t>Principles on the Effective Prevention and Investigation of Extra</w:t>
      </w:r>
      <w:r w:rsidRPr="00884B04" w:rsidR="00E00B24">
        <w:noBreakHyphen/>
      </w:r>
      <w:r w:rsidRPr="00884B04">
        <w:t>legal, Arbitrary and Summary Executions</w:t>
      </w:r>
    </w:p>
    <w:bookmarkStart w:name="paragraph00071" w:id="41"/>
    <w:p w:rsidRPr="00884B04" w:rsidR="007E7025" w:rsidP="00884B04" w:rsidRDefault="00662B04" w14:paraId="1F08A341" w14:textId="1CCD843E">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71</w:t>
      </w:r>
      <w:r w:rsidRPr="00884B04">
        <w:fldChar w:fldCharType="end"/>
      </w:r>
      <w:bookmarkEnd w:id="41"/>
      <w:r w:rsidRPr="00884B04">
        <w:t>.</w:t>
      </w:r>
      <w:r w:rsidRPr="00884B04" w:rsidR="00FD072F">
        <w:t>  </w:t>
      </w:r>
      <w:r w:rsidRPr="00884B04">
        <w:t>The United Nations Principles on the Effective Prevention and Investigation of Extra-legal, Arbitrary and Summary Executions, recommended in Eco</w:t>
      </w:r>
      <w:r w:rsidRPr="00884B04" w:rsidR="007E7025">
        <w:t xml:space="preserve">nomic and Social Council Resolution 1989/65 of </w:t>
      </w:r>
      <w:r w:rsidRPr="00884B04" w:rsidR="00F42FFF">
        <w:t>24 May 1989</w:t>
      </w:r>
      <w:r w:rsidRPr="00884B04" w:rsidR="007E7025">
        <w:t>, read:</w:t>
      </w:r>
    </w:p>
    <w:p w:rsidRPr="00884B04" w:rsidR="00662B04" w:rsidP="00884B04" w:rsidRDefault="007E7025" w14:paraId="296BB128" w14:textId="77777777">
      <w:pPr>
        <w:pStyle w:val="JuQuot"/>
      </w:pPr>
      <w:r w:rsidRPr="00884B04">
        <w:t>“Governments shall ensure that persons identified by the investigation as having participated in extra-legal, arbitrary or summary executions in any territory under their jurisdiction are brought to justice.</w:t>
      </w:r>
      <w:r w:rsidRPr="00884B04" w:rsidR="00F42FFF">
        <w:t xml:space="preserve"> </w:t>
      </w:r>
      <w:r w:rsidRPr="00884B04">
        <w:t>Governments shall either bring such persons to justice or cooperate to extradite any such persons to other countries wishing to exercise jurisdiction.</w:t>
      </w:r>
      <w:r w:rsidRPr="00884B04" w:rsidR="00F42FFF">
        <w:t xml:space="preserve"> </w:t>
      </w:r>
      <w:r w:rsidRPr="00884B04" w:rsidR="00662B04">
        <w:t>This principle shall apply irrespective of who and where the perpetrators or the victims are, their nationalities or where the offence was committed.” (Principle 18)</w:t>
      </w:r>
    </w:p>
    <w:p w:rsidRPr="00884B04" w:rsidR="00662B04" w:rsidP="00884B04" w:rsidRDefault="00662B04" w14:paraId="23781C62" w14:textId="77777777">
      <w:pPr>
        <w:pStyle w:val="JuHA"/>
      </w:pPr>
      <w:r w:rsidRPr="00884B04">
        <w:t>Responsibility of States for Internationally Wrongful Acts</w:t>
      </w:r>
    </w:p>
    <w:bookmarkStart w:name="paragraph00072" w:id="42"/>
    <w:p w:rsidRPr="00884B04" w:rsidR="00662B04" w:rsidP="00884B04" w:rsidRDefault="00662B04" w14:paraId="51E58EB4" w14:textId="0587B3B4">
      <w:pPr>
        <w:pStyle w:val="JuPara"/>
      </w:pPr>
      <w:r w:rsidRPr="00884B04">
        <w:fldChar w:fldCharType="begin"/>
      </w:r>
      <w:r w:rsidRPr="00884B04">
        <w:instrText xml:space="preserve"> SEQ level0 \*arabic </w:instrText>
      </w:r>
      <w:r w:rsidRPr="00884B04">
        <w:fldChar w:fldCharType="separate"/>
      </w:r>
      <w:r w:rsidRPr="00884B04" w:rsidR="00884B04">
        <w:rPr>
          <w:noProof/>
        </w:rPr>
        <w:t>72</w:t>
      </w:r>
      <w:r w:rsidRPr="00884B04">
        <w:fldChar w:fldCharType="end"/>
      </w:r>
      <w:bookmarkEnd w:id="42"/>
      <w:r w:rsidRPr="00884B04">
        <w:t>.</w:t>
      </w:r>
      <w:r w:rsidRPr="00884B04" w:rsidR="00FD072F">
        <w:t>  </w:t>
      </w:r>
      <w:r w:rsidRPr="00884B04">
        <w:t xml:space="preserve">The Draft Articles on the Responsibility of States for Internationally Wrongful Acts (“the Draft Articles”) </w:t>
      </w:r>
      <w:r w:rsidRPr="00884B04" w:rsidR="00037BC4">
        <w:t>provide as follows</w:t>
      </w:r>
      <w:r w:rsidRPr="00884B04">
        <w:t>:</w:t>
      </w:r>
    </w:p>
    <w:p w:rsidRPr="00884B04" w:rsidR="00662B04" w:rsidP="00884B04" w:rsidRDefault="00F42FFF" w14:paraId="6EA06495" w14:textId="77777777">
      <w:pPr>
        <w:pStyle w:val="JuHArticle"/>
      </w:pPr>
      <w:r w:rsidRPr="00884B04">
        <w:t>Article 8</w:t>
      </w:r>
      <w:r w:rsidRPr="00884B04" w:rsidR="00662B04">
        <w:t xml:space="preserve"> – Conduct directed or controlled by a State</w:t>
      </w:r>
    </w:p>
    <w:p w:rsidRPr="00884B04" w:rsidR="00662B04" w:rsidP="00884B04" w:rsidRDefault="00662B04" w14:paraId="1A3F9620" w14:textId="77777777">
      <w:pPr>
        <w:pStyle w:val="JuQuot"/>
      </w:pPr>
      <w:r w:rsidRPr="00884B04">
        <w:t>“The conduct of a person or group of persons shall be considered an act of a State under international law if the person or group of persons is in fact acting on the instructions of, or under the direction or control of, that State in carrying out the conduct.”</w:t>
      </w:r>
    </w:p>
    <w:p w:rsidRPr="00884B04" w:rsidR="00662B04" w:rsidP="00884B04" w:rsidRDefault="00662B04" w14:paraId="146F15FB" w14:textId="77777777">
      <w:pPr>
        <w:pStyle w:val="JuHA"/>
      </w:pPr>
      <w:r w:rsidRPr="00884B04">
        <w:t>European Convention on Extradition</w:t>
      </w:r>
    </w:p>
    <w:p w:rsidRPr="00884B04" w:rsidR="00662B04" w:rsidP="00884B04" w:rsidRDefault="00EB7A47" w14:paraId="04AAF52F" w14:textId="37743D68">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73</w:t>
      </w:r>
      <w:r>
        <w:rPr>
          <w:noProof/>
        </w:rPr>
        <w:fldChar w:fldCharType="end"/>
      </w:r>
      <w:r w:rsidRPr="00884B04" w:rsidR="00662B04">
        <w:t>.</w:t>
      </w:r>
      <w:r w:rsidRPr="00884B04" w:rsidR="00FD072F">
        <w:t>  </w:t>
      </w:r>
      <w:r w:rsidRPr="00884B04" w:rsidR="00662B04">
        <w:t xml:space="preserve">The European Convention on Extradition of </w:t>
      </w:r>
      <w:r w:rsidRPr="00884B04" w:rsidR="00F42FFF">
        <w:t>13 December 1957</w:t>
      </w:r>
      <w:r w:rsidRPr="00884B04" w:rsidR="00662B04">
        <w:t xml:space="preserve"> (“the Extradition Convention”) was ratified by Russia on </w:t>
      </w:r>
      <w:r w:rsidRPr="00884B04" w:rsidR="00F42FFF">
        <w:t>10 December 1999</w:t>
      </w:r>
      <w:r w:rsidRPr="00884B04" w:rsidR="00662B04">
        <w:t xml:space="preserve"> and entered into force on </w:t>
      </w:r>
      <w:r w:rsidRPr="00884B04" w:rsidR="00F42FFF">
        <w:t>9 March 2000</w:t>
      </w:r>
      <w:r w:rsidRPr="00884B04" w:rsidR="00662B04">
        <w:t xml:space="preserve">. This Convention obliges the Contracting Parties to surrender to each other, subject to the provisions and conditions laid down in the Convention, “all persons against whom the competent authorities of the requesting Party are proceeding for an offence or who are wanted by the said authorities for the carrying out of a sentence or detention order.” A Contracting Party has the right to refuse extradition of its nationals, but </w:t>
      </w:r>
      <w:r w:rsidRPr="00884B04" w:rsidR="00F42FFF">
        <w:t>section 6</w:t>
      </w:r>
      <w:r w:rsidRPr="00884B04" w:rsidR="00662B04">
        <w:t>(2) provides that where that is the case the requesting Party may ask it to submit the case to its competent authorities in order that proceedings may be taken if they are considered appropriate.</w:t>
      </w:r>
    </w:p>
    <w:p w:rsidRPr="00884B04" w:rsidR="00662B04" w:rsidP="00884B04" w:rsidRDefault="00EA0AD1" w14:paraId="2D8CCBFD" w14:textId="77777777">
      <w:pPr>
        <w:pStyle w:val="JuHIRoman"/>
      </w:pPr>
      <w:r w:rsidRPr="00884B04">
        <w:rPr>
          <w:caps w:val="0"/>
        </w:rPr>
        <w:t>RUSSIA</w:t>
      </w:r>
    </w:p>
    <w:p w:rsidRPr="00884B04" w:rsidR="00662B04" w:rsidP="00884B04" w:rsidRDefault="00662B04" w14:paraId="0D7A806E" w14:textId="77777777">
      <w:pPr>
        <w:pStyle w:val="JuHA"/>
      </w:pPr>
      <w:r w:rsidRPr="00884B04">
        <w:t>The Constitution</w:t>
      </w:r>
    </w:p>
    <w:bookmarkStart w:name="paragraph00074" w:id="43"/>
    <w:p w:rsidRPr="00884B04" w:rsidR="00662B04" w:rsidP="00884B04" w:rsidRDefault="00662B04" w14:paraId="2F9DB56F" w14:textId="7B5C26C2">
      <w:pPr>
        <w:pStyle w:val="JuPara"/>
      </w:pPr>
      <w:r w:rsidRPr="00884B04">
        <w:fldChar w:fldCharType="begin"/>
      </w:r>
      <w:r w:rsidRPr="00884B04">
        <w:instrText xml:space="preserve"> SEQ level0 \*arabic </w:instrText>
      </w:r>
      <w:r w:rsidRPr="00884B04">
        <w:fldChar w:fldCharType="separate"/>
      </w:r>
      <w:r w:rsidRPr="00884B04" w:rsidR="00884B04">
        <w:rPr>
          <w:noProof/>
        </w:rPr>
        <w:t>74</w:t>
      </w:r>
      <w:r w:rsidRPr="00884B04">
        <w:fldChar w:fldCharType="end"/>
      </w:r>
      <w:bookmarkEnd w:id="43"/>
      <w:r w:rsidRPr="00884B04">
        <w:t>.</w:t>
      </w:r>
      <w:r w:rsidRPr="00884B04" w:rsidR="00FD072F">
        <w:t>  </w:t>
      </w:r>
      <w:r w:rsidRPr="00884B04">
        <w:t>Extradition of Russian nationals is prohibited (</w:t>
      </w:r>
      <w:r w:rsidRPr="00884B04" w:rsidR="00F42FFF">
        <w:t>Article 6</w:t>
      </w:r>
      <w:r w:rsidRPr="00884B04">
        <w:t>1).</w:t>
      </w:r>
    </w:p>
    <w:p w:rsidRPr="00884B04" w:rsidR="00662B04" w:rsidP="00884B04" w:rsidRDefault="00662B04" w14:paraId="50462303" w14:textId="77777777">
      <w:pPr>
        <w:pStyle w:val="JuHA"/>
      </w:pPr>
      <w:r w:rsidRPr="00884B04">
        <w:t>The Criminal Code</w:t>
      </w:r>
    </w:p>
    <w:p w:rsidRPr="00884B04" w:rsidR="007E7025" w:rsidP="00884B04" w:rsidRDefault="00662B04" w14:paraId="2DBA1311" w14:textId="49042A1B">
      <w:pPr>
        <w:pStyle w:val="JuPara"/>
      </w:pPr>
      <w:r w:rsidRPr="00884B04">
        <w:fldChar w:fldCharType="begin"/>
      </w:r>
      <w:r w:rsidRPr="00884B04">
        <w:instrText xml:space="preserve"> SEQ level0 \*arabic </w:instrText>
      </w:r>
      <w:r w:rsidRPr="00884B04">
        <w:fldChar w:fldCharType="separate"/>
      </w:r>
      <w:bookmarkStart w:name="paragraph00075" w:id="44"/>
      <w:r w:rsidRPr="00884B04" w:rsidR="00884B04">
        <w:rPr>
          <w:noProof/>
        </w:rPr>
        <w:t>75</w:t>
      </w:r>
      <w:bookmarkEnd w:id="44"/>
      <w:r w:rsidRPr="00884B04">
        <w:fldChar w:fldCharType="end"/>
      </w:r>
      <w:r w:rsidRPr="00884B04">
        <w:t>.</w:t>
      </w:r>
      <w:r w:rsidRPr="00884B04" w:rsidR="00FD072F">
        <w:t>  </w:t>
      </w:r>
      <w:r w:rsidRPr="00884B04">
        <w:t xml:space="preserve">Russian nationals who committed an offence outside Russian territory should be held criminally liable under the provisions of the Code if the committed act constitutes an offence in the State in which it was committed and if the offenders have </w:t>
      </w:r>
      <w:r w:rsidRPr="00884B04" w:rsidR="007E7025">
        <w:t>not been convicted in that State (</w:t>
      </w:r>
      <w:r w:rsidRPr="00884B04" w:rsidR="00F42FFF">
        <w:t>Article 1</w:t>
      </w:r>
      <w:r w:rsidRPr="00884B04" w:rsidR="007E7025">
        <w:t>2).</w:t>
      </w:r>
      <w:r w:rsidRPr="00884B04" w:rsidR="00F42FFF">
        <w:t xml:space="preserve"> </w:t>
      </w:r>
      <w:r w:rsidRPr="00884B04" w:rsidR="007E7025">
        <w:t>The extradition of Russian nationals to the State in whose territory they committed an offence is not permitted (</w:t>
      </w:r>
      <w:r w:rsidRPr="00884B04" w:rsidR="00F42FFF">
        <w:t>Article 1</w:t>
      </w:r>
      <w:r w:rsidRPr="00884B04" w:rsidR="007E7025">
        <w:t>3).</w:t>
      </w:r>
    </w:p>
    <w:bookmarkStart w:name="paragraph00076" w:id="45"/>
    <w:p w:rsidRPr="00884B04" w:rsidR="007E7025" w:rsidP="00884B04" w:rsidRDefault="007E7025" w14:paraId="567A3902" w14:textId="09DA0064">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76</w:t>
      </w:r>
      <w:r w:rsidRPr="00884B04">
        <w:fldChar w:fldCharType="end"/>
      </w:r>
      <w:bookmarkEnd w:id="45"/>
      <w:r w:rsidRPr="00884B04">
        <w:t>.</w:t>
      </w:r>
      <w:r w:rsidRPr="00884B04" w:rsidR="00FD072F">
        <w:t>  </w:t>
      </w:r>
      <w:r w:rsidRPr="00884B04">
        <w:t>As a general rule, information from the preliminary investigation may not be disclosed.</w:t>
      </w:r>
      <w:r w:rsidRPr="00884B04" w:rsidR="00F42FFF">
        <w:t xml:space="preserve"> </w:t>
      </w:r>
      <w:r w:rsidRPr="00884B04">
        <w:t>It may however be disclosed with the permission of a prosecutor or investigator but only in so far as it does not infringe the rights and lawful interests of the participants in the criminal proceedings and does not prejudice the investigation.</w:t>
      </w:r>
      <w:r w:rsidRPr="00884B04" w:rsidR="00F42FFF">
        <w:t xml:space="preserve"> </w:t>
      </w:r>
      <w:r w:rsidRPr="00884B04">
        <w:t>It is prohibited to divulge information about the private life of the participants in criminal proceedings without their permission (</w:t>
      </w:r>
      <w:r w:rsidRPr="00884B04" w:rsidR="00F42FFF">
        <w:t>Article 1</w:t>
      </w:r>
      <w:r w:rsidRPr="00884B04">
        <w:t>61).</w:t>
      </w:r>
    </w:p>
    <w:p w:rsidRPr="00884B04" w:rsidR="007E7025" w:rsidP="00884B04" w:rsidRDefault="007E7025" w14:paraId="29E9E6A8" w14:textId="77777777">
      <w:pPr>
        <w:pStyle w:val="JuHA"/>
      </w:pPr>
      <w:r w:rsidRPr="00884B04">
        <w:t xml:space="preserve">Federal Assembly Member Status Act (Law </w:t>
      </w:r>
      <w:r w:rsidRPr="00884B04" w:rsidR="00F42FFF">
        <w:t>no. 3</w:t>
      </w:r>
      <w:r w:rsidRPr="00884B04">
        <w:t xml:space="preserve">-FZ of </w:t>
      </w:r>
      <w:r w:rsidRPr="00884B04" w:rsidR="00F42FFF">
        <w:t>8 May 1994</w:t>
      </w:r>
      <w:r w:rsidRPr="00884B04">
        <w:t>)</w:t>
      </w:r>
    </w:p>
    <w:bookmarkStart w:name="paragraph00077" w:id="46"/>
    <w:p w:rsidRPr="00884B04" w:rsidR="00662B04" w:rsidP="00884B04" w:rsidRDefault="007E7025" w14:paraId="0D428836" w14:textId="00619540">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77</w:t>
      </w:r>
      <w:r w:rsidRPr="00884B04">
        <w:fldChar w:fldCharType="end"/>
      </w:r>
      <w:bookmarkEnd w:id="46"/>
      <w:r w:rsidRPr="00884B04">
        <w:t>.</w:t>
      </w:r>
      <w:r w:rsidRPr="00884B04" w:rsidR="00FD072F">
        <w:t>  </w:t>
      </w:r>
      <w:r w:rsidRPr="00884B04">
        <w:t>A member of the State Duma shall enjoy immunity throughout his or her term of office.</w:t>
      </w:r>
      <w:r w:rsidRPr="00884B04" w:rsidR="00F42FFF">
        <w:t xml:space="preserve"> </w:t>
      </w:r>
      <w:r w:rsidRPr="00884B04" w:rsidR="00662B04">
        <w:t>However, he or she may be deprived of immunity with the consent of the State Duma (</w:t>
      </w:r>
      <w:r w:rsidRPr="00884B04" w:rsidR="00F42FFF">
        <w:t>sections 1</w:t>
      </w:r>
      <w:r w:rsidRPr="00884B04" w:rsidR="00662B04">
        <w:t>9 and 20).</w:t>
      </w:r>
    </w:p>
    <w:bookmarkStart w:name="paragraph00078" w:id="47"/>
    <w:p w:rsidRPr="00884B04" w:rsidR="00662B04" w:rsidP="00884B04" w:rsidRDefault="00662B04" w14:paraId="4C70368A" w14:textId="3F678CC4">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78</w:t>
      </w:r>
      <w:r w:rsidRPr="00884B04">
        <w:fldChar w:fldCharType="end"/>
      </w:r>
      <w:bookmarkEnd w:id="47"/>
      <w:r w:rsidRPr="00884B04">
        <w:t>.</w:t>
      </w:r>
      <w:r w:rsidRPr="00884B04" w:rsidR="00FD072F">
        <w:t>  </w:t>
      </w:r>
      <w:r w:rsidRPr="00884B04">
        <w:t>Between 2010 and 2019, the State Duma stripped eight of its members of immunity on suspicion of their having committed criminal offences ranging from the use of violence against a police officer to fraud and embezzlement of public money.</w:t>
      </w:r>
    </w:p>
    <w:p w:rsidRPr="00884B04" w:rsidR="00662B04" w:rsidP="00884B04" w:rsidRDefault="00EA0AD1" w14:paraId="07E92B72" w14:textId="77777777">
      <w:pPr>
        <w:pStyle w:val="JuHIRoman"/>
      </w:pPr>
      <w:r w:rsidRPr="00884B04">
        <w:rPr>
          <w:caps w:val="0"/>
        </w:rPr>
        <w:t>THE UNITED KINGDOM</w:t>
      </w:r>
    </w:p>
    <w:bookmarkStart w:name="paragraph00079" w:id="48"/>
    <w:p w:rsidRPr="00884B04" w:rsidR="007E7025" w:rsidP="00884B04" w:rsidRDefault="00662B04" w14:paraId="173469B1" w14:textId="397C3EDC">
      <w:pPr>
        <w:pStyle w:val="JuPara"/>
      </w:pPr>
      <w:r w:rsidRPr="00884B04">
        <w:fldChar w:fldCharType="begin"/>
      </w:r>
      <w:r w:rsidRPr="00884B04">
        <w:instrText xml:space="preserve"> SEQ level0 \*arabic </w:instrText>
      </w:r>
      <w:r w:rsidRPr="00884B04">
        <w:fldChar w:fldCharType="separate"/>
      </w:r>
      <w:r w:rsidRPr="00884B04" w:rsidR="00884B04">
        <w:rPr>
          <w:noProof/>
        </w:rPr>
        <w:t>79</w:t>
      </w:r>
      <w:r w:rsidRPr="00884B04">
        <w:fldChar w:fldCharType="end"/>
      </w:r>
      <w:bookmarkEnd w:id="48"/>
      <w:r w:rsidRPr="00884B04">
        <w:t>.</w:t>
      </w:r>
      <w:r w:rsidRPr="00884B04" w:rsidR="00FD072F">
        <w:t>  </w:t>
      </w:r>
      <w:r w:rsidRPr="00884B04">
        <w:t xml:space="preserve">The Inquiries Act 2005 provides a statutory framework for Government Ministers to order inquiries to be held where events have occurred which have caused, or which are capable of causing, public concern. Inquiries are </w:t>
      </w:r>
      <w:r w:rsidRPr="00884B04" w:rsidR="007E7025">
        <w:t>not adversarial in nature; rather, they are an inquisitorial process aimed at establishing the truth.</w:t>
      </w:r>
    </w:p>
    <w:p w:rsidRPr="00884B04" w:rsidR="007E7025" w:rsidP="00884B04" w:rsidRDefault="007E7025" w14:paraId="50C76465" w14:textId="071CE072">
      <w:pPr>
        <w:pStyle w:val="JuPara"/>
      </w:pPr>
      <w:r w:rsidRPr="00884B04">
        <w:fldChar w:fldCharType="begin"/>
      </w:r>
      <w:r w:rsidRPr="00884B04">
        <w:instrText xml:space="preserve"> SEQ level0 \*arabic </w:instrText>
      </w:r>
      <w:r w:rsidRPr="00884B04">
        <w:fldChar w:fldCharType="separate"/>
      </w:r>
      <w:r w:rsidRPr="00884B04" w:rsidR="00884B04">
        <w:rPr>
          <w:noProof/>
        </w:rPr>
        <w:t>80</w:t>
      </w:r>
      <w:r w:rsidRPr="00884B04">
        <w:fldChar w:fldCharType="end"/>
      </w:r>
      <w:r w:rsidRPr="00884B04">
        <w:t>.</w:t>
      </w:r>
      <w:r w:rsidRPr="00884B04" w:rsidR="00FD072F">
        <w:t>  </w:t>
      </w:r>
      <w:r w:rsidRPr="00884B04">
        <w:t>Inquiries are carried out by a chairman either sitting alone or with other members.</w:t>
      </w:r>
      <w:r w:rsidRPr="00884B04" w:rsidR="00F42FFF">
        <w:t xml:space="preserve"> </w:t>
      </w:r>
      <w:r w:rsidRPr="00884B04">
        <w:t>Each member is appointed by a Minister and in appointing him or her the Minister must have regard, in particular, to the need to ensure that the inquiry panel (considered as a whole) has the necessary expertise to undertake the inquiry.</w:t>
      </w:r>
      <w:r w:rsidRPr="00884B04" w:rsidR="00F42FFF">
        <w:t xml:space="preserve"> </w:t>
      </w:r>
      <w:r w:rsidRPr="00884B04" w:rsidR="00662B04">
        <w:t xml:space="preserve">The Minister must </w:t>
      </w:r>
      <w:r w:rsidRPr="00884B04">
        <w:t>notify Parliament as soon as reasonably practicable of who has been appointed as chairman; the identity of any members who have been appointed; and the inquiry</w:t>
      </w:r>
      <w:r w:rsidRPr="00884B04" w:rsidR="00884B04">
        <w:t>’</w:t>
      </w:r>
      <w:r w:rsidRPr="00884B04">
        <w:t>s terms of reference.</w:t>
      </w:r>
    </w:p>
    <w:bookmarkStart w:name="paragraph00081" w:id="49"/>
    <w:p w:rsidRPr="00884B04" w:rsidR="00662B04" w:rsidP="00884B04" w:rsidRDefault="007E7025" w14:paraId="0C636045" w14:textId="401CBBDA">
      <w:pPr>
        <w:pStyle w:val="JuPara"/>
      </w:pPr>
      <w:r w:rsidRPr="00884B04">
        <w:fldChar w:fldCharType="begin"/>
      </w:r>
      <w:r w:rsidRPr="00884B04">
        <w:instrText xml:space="preserve"> SEQ level0 \*arabic </w:instrText>
      </w:r>
      <w:r w:rsidRPr="00884B04">
        <w:fldChar w:fldCharType="separate"/>
      </w:r>
      <w:r w:rsidRPr="00884B04" w:rsidR="00884B04">
        <w:rPr>
          <w:noProof/>
        </w:rPr>
        <w:t>81</w:t>
      </w:r>
      <w:r w:rsidRPr="00884B04">
        <w:fldChar w:fldCharType="end"/>
      </w:r>
      <w:bookmarkEnd w:id="49"/>
      <w:r w:rsidRPr="00884B04">
        <w:t>.</w:t>
      </w:r>
      <w:r w:rsidRPr="00884B04" w:rsidR="00FD072F">
        <w:t>  </w:t>
      </w:r>
      <w:r w:rsidRPr="00884B04">
        <w:t>The procedure and conduct of an inquiry are to be such as the chairman of the inquiry may direct.</w:t>
      </w:r>
      <w:r w:rsidRPr="00884B04" w:rsidR="00F42FFF">
        <w:t xml:space="preserve"> </w:t>
      </w:r>
      <w:r w:rsidRPr="00884B04">
        <w:t>The chairman must take such steps as he considers reasonable to secure that members of the public (including reporters) are able to attend the inquiry or to see and hear a simultaneous transmission of proceedings at the inquiry; and to obtain or to view a record of evidence and documents given, produced or provided to the inquiry or inquiry panel.</w:t>
      </w:r>
      <w:r w:rsidRPr="00884B04" w:rsidR="00F42FFF">
        <w:t xml:space="preserve"> </w:t>
      </w:r>
      <w:r w:rsidRPr="00884B04" w:rsidR="00662B04">
        <w:t xml:space="preserve">However, pursuant to </w:t>
      </w:r>
      <w:r w:rsidRPr="00884B04" w:rsidR="00F42FFF">
        <w:t>section 1</w:t>
      </w:r>
      <w:r w:rsidRPr="00884B04" w:rsidR="00662B04">
        <w:t>9, both the chairman, through a Restriction Order, and the Minister, through a Restriction Notice, have the power to restrict public access and the disclosure of evidence where, in particular, there is a risk to national security or where a person has obtained information on condition of confidentiality.</w:t>
      </w:r>
    </w:p>
    <w:p w:rsidRPr="00884B04" w:rsidR="00662B04" w:rsidP="00884B04" w:rsidRDefault="00662B04" w14:paraId="5B70E7EB" w14:textId="6C032C95">
      <w:pPr>
        <w:pStyle w:val="JuPara"/>
      </w:pPr>
      <w:r w:rsidRPr="00884B04">
        <w:fldChar w:fldCharType="begin"/>
      </w:r>
      <w:r w:rsidRPr="00884B04">
        <w:instrText xml:space="preserve"> SEQ level0 \*arabic </w:instrText>
      </w:r>
      <w:r w:rsidRPr="00884B04">
        <w:fldChar w:fldCharType="separate"/>
      </w:r>
      <w:r w:rsidRPr="00884B04" w:rsidR="00884B04">
        <w:rPr>
          <w:noProof/>
        </w:rPr>
        <w:t>82</w:t>
      </w:r>
      <w:r w:rsidRPr="00884B04">
        <w:fldChar w:fldCharType="end"/>
      </w:r>
      <w:r w:rsidRPr="00884B04">
        <w:t>.</w:t>
      </w:r>
      <w:r w:rsidRPr="00884B04" w:rsidR="00FD072F">
        <w:t>  </w:t>
      </w:r>
      <w:r w:rsidRPr="00884B04">
        <w:t>The chairman has the power to require persons to give evidence or produce documents in his custody.</w:t>
      </w:r>
    </w:p>
    <w:bookmarkStart w:name="paragraph00083" w:id="50"/>
    <w:p w:rsidRPr="00884B04" w:rsidR="007E7025" w:rsidP="00884B04" w:rsidRDefault="00662B04" w14:paraId="157E0CB2" w14:textId="6A5D263C">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83</w:t>
      </w:r>
      <w:r w:rsidRPr="00884B04">
        <w:fldChar w:fldCharType="end"/>
      </w:r>
      <w:bookmarkEnd w:id="50"/>
      <w:r w:rsidRPr="00884B04">
        <w:t>.</w:t>
      </w:r>
      <w:r w:rsidRPr="00884B04" w:rsidR="00FD072F">
        <w:t>  </w:t>
      </w:r>
      <w:r w:rsidRPr="00884B04">
        <w:t xml:space="preserve">While an inquiry panel is </w:t>
      </w:r>
      <w:r w:rsidRPr="00884B04" w:rsidR="007E7025">
        <w:t>not to rule on, and has no power to determine, any person</w:t>
      </w:r>
      <w:r w:rsidRPr="00884B04" w:rsidR="00884B04">
        <w:t>’</w:t>
      </w:r>
      <w:r w:rsidRPr="00884B04" w:rsidR="007E7025">
        <w:t>s civil or criminal liability it should not be inhibited in the discharge of its functions by any likelihood of liability being inferred from facts that it determines or recommendations that it makes.</w:t>
      </w:r>
    </w:p>
    <w:bookmarkStart w:name="paragraph00084" w:id="51"/>
    <w:p w:rsidRPr="00884B04" w:rsidR="00662B04" w:rsidP="00884B04" w:rsidRDefault="007E7025" w14:paraId="1FB9D8D7" w14:textId="57147780">
      <w:pPr>
        <w:pStyle w:val="JuPara"/>
      </w:pPr>
      <w:r w:rsidRPr="00884B04">
        <w:fldChar w:fldCharType="begin"/>
      </w:r>
      <w:r w:rsidRPr="00884B04">
        <w:instrText xml:space="preserve"> SEQ level0 \*arabic </w:instrText>
      </w:r>
      <w:r w:rsidRPr="00884B04">
        <w:fldChar w:fldCharType="separate"/>
      </w:r>
      <w:r w:rsidRPr="00884B04" w:rsidR="00884B04">
        <w:rPr>
          <w:noProof/>
        </w:rPr>
        <w:t>84</w:t>
      </w:r>
      <w:r w:rsidRPr="00884B04">
        <w:fldChar w:fldCharType="end"/>
      </w:r>
      <w:bookmarkEnd w:id="51"/>
      <w:r w:rsidRPr="00884B04">
        <w:t>.</w:t>
      </w:r>
      <w:r w:rsidRPr="00884B04" w:rsidR="00FD072F">
        <w:t>  </w:t>
      </w:r>
      <w:r w:rsidRPr="00884B04">
        <w:t>Following the close of the inquiry the chairman must deliver a report to the Minister setting out the facts determined by the inquiry panel together with the panel</w:t>
      </w:r>
      <w:r w:rsidRPr="00884B04" w:rsidR="00884B04">
        <w:t>’</w:t>
      </w:r>
      <w:r w:rsidRPr="00884B04">
        <w:t>s recommendations.</w:t>
      </w:r>
      <w:r w:rsidRPr="00884B04" w:rsidR="00F42FFF">
        <w:t xml:space="preserve"> </w:t>
      </w:r>
      <w:r w:rsidRPr="00884B04">
        <w:t>It is generally the duty of the Minister to arrange for reports of an inquiry to be published, although if necessary in the public interest certain material in the report may be withheld from publication.</w:t>
      </w:r>
      <w:r w:rsidRPr="00884B04" w:rsidR="00F42FFF">
        <w:t xml:space="preserve"> </w:t>
      </w:r>
      <w:r w:rsidRPr="00884B04" w:rsidR="00662B04">
        <w:t>The report, as published, must be laid by the Minister, either at the time of publication or as soon afterwards as is reasonably practicable, before Parliament.</w:t>
      </w:r>
    </w:p>
    <w:bookmarkStart w:name="paragraph00085" w:id="52"/>
    <w:p w:rsidRPr="00884B04" w:rsidR="00662B04" w:rsidP="00884B04" w:rsidRDefault="00662B04" w14:paraId="37C07138" w14:textId="17FA7011">
      <w:pPr>
        <w:pStyle w:val="JuPara"/>
      </w:pPr>
      <w:r w:rsidRPr="00884B04">
        <w:fldChar w:fldCharType="begin"/>
      </w:r>
      <w:r w:rsidRPr="00884B04">
        <w:instrText xml:space="preserve"> SEQ level0 \*arabic </w:instrText>
      </w:r>
      <w:r w:rsidRPr="00884B04">
        <w:fldChar w:fldCharType="separate"/>
      </w:r>
      <w:r w:rsidRPr="00884B04" w:rsidR="00884B04">
        <w:rPr>
          <w:noProof/>
        </w:rPr>
        <w:t>85</w:t>
      </w:r>
      <w:r w:rsidRPr="00884B04">
        <w:fldChar w:fldCharType="end"/>
      </w:r>
      <w:bookmarkEnd w:id="52"/>
      <w:r w:rsidRPr="00884B04">
        <w:t>.</w:t>
      </w:r>
      <w:r w:rsidRPr="00884B04" w:rsidR="00FD072F">
        <w:t>  </w:t>
      </w:r>
      <w:r w:rsidRPr="00884B04">
        <w:t>Both decisions of a Minister in relation to an inquiry and decisions of the panel members are susceptible to judicial review.</w:t>
      </w:r>
    </w:p>
    <w:bookmarkStart w:name="paragraph00086" w:id="53"/>
    <w:p w:rsidRPr="00884B04" w:rsidR="00662B04" w:rsidP="00884B04" w:rsidRDefault="00662B04" w14:paraId="6CC44543" w14:textId="01DC9A1C">
      <w:pPr>
        <w:pStyle w:val="JuPara"/>
      </w:pPr>
      <w:r w:rsidRPr="00884B04">
        <w:fldChar w:fldCharType="begin"/>
      </w:r>
      <w:r w:rsidRPr="00884B04">
        <w:instrText xml:space="preserve"> SEQ level0 \*arabic </w:instrText>
      </w:r>
      <w:r w:rsidRPr="00884B04">
        <w:fldChar w:fldCharType="separate"/>
      </w:r>
      <w:r w:rsidRPr="00884B04" w:rsidR="00884B04">
        <w:rPr>
          <w:noProof/>
        </w:rPr>
        <w:t>86</w:t>
      </w:r>
      <w:r w:rsidRPr="00884B04">
        <w:fldChar w:fldCharType="end"/>
      </w:r>
      <w:bookmarkEnd w:id="53"/>
      <w:r w:rsidRPr="00884B04">
        <w:t>.</w:t>
      </w:r>
      <w:r w:rsidRPr="00884B04" w:rsidR="00FD072F">
        <w:t>  </w:t>
      </w:r>
      <w:r w:rsidRPr="00884B04">
        <w:t xml:space="preserve">The Inquiry </w:t>
      </w:r>
      <w:r w:rsidRPr="00884B04" w:rsidR="00F42FFF">
        <w:t>Rules 2</w:t>
      </w:r>
      <w:r w:rsidRPr="00884B04">
        <w:t xml:space="preserve">006 deal with matters of evidence and procedure in relation to inquiries. Pursuant to </w:t>
      </w:r>
      <w:r w:rsidRPr="00884B04" w:rsidR="00F42FFF">
        <w:t>Rule 5</w:t>
      </w:r>
      <w:r w:rsidRPr="00884B04">
        <w:t>, the chairman may designate a person as a core participant at any time during the course of the inquiry, provided that person consents to being so designated. In deciding whether to designate a person as a core participant, the chairman must consider whether the person played, or may have played, a direct and significant role in relation to the matters to which the inquiry relates; the person has a significant interest in an important aspect of the matters to which the inquiry relates; or the person may be subject to explicit or significant criticism during the inquiry proceedings or in the report, or in any interim report.</w:t>
      </w:r>
    </w:p>
    <w:bookmarkStart w:name="paragraph00087" w:id="54"/>
    <w:p w:rsidRPr="00884B04" w:rsidR="00662B04" w:rsidP="00884B04" w:rsidRDefault="00662B04" w14:paraId="40A205F7" w14:textId="575431A3">
      <w:pPr>
        <w:pStyle w:val="JuPara"/>
      </w:pPr>
      <w:r w:rsidRPr="00884B04">
        <w:fldChar w:fldCharType="begin"/>
      </w:r>
      <w:r w:rsidRPr="00884B04">
        <w:instrText xml:space="preserve"> SEQ level0 \*arabic </w:instrText>
      </w:r>
      <w:r w:rsidRPr="00884B04">
        <w:fldChar w:fldCharType="separate"/>
      </w:r>
      <w:r w:rsidRPr="00884B04" w:rsidR="00884B04">
        <w:rPr>
          <w:noProof/>
        </w:rPr>
        <w:t>87</w:t>
      </w:r>
      <w:r w:rsidRPr="00884B04">
        <w:fldChar w:fldCharType="end"/>
      </w:r>
      <w:bookmarkEnd w:id="54"/>
      <w:r w:rsidRPr="00884B04">
        <w:t>.</w:t>
      </w:r>
      <w:r w:rsidRPr="00884B04" w:rsidR="00FD072F">
        <w:t>  </w:t>
      </w:r>
      <w:r w:rsidRPr="00884B04">
        <w:t>Core participants and other persons required or permitted to give evidence are entitled to be legally represented throughout the inquiry proceedings. As a general rule, witnesses giving oral evidence may only be questioned by members of the inquiry panel and counsel or solicitor to the inquiry. However, the recognised legal representative of a core participant may apply to the chairman for permission to ask questions of a witness giving oral evidence. Furthermore, core participants may, either themselves or through their legal representatives, make opening and closing statements.</w:t>
      </w:r>
    </w:p>
    <w:p w:rsidRPr="00884B04" w:rsidR="00662B04" w:rsidP="00884B04" w:rsidRDefault="00EB7A47" w14:paraId="22CB9A7E" w14:textId="54157227">
      <w:pPr>
        <w:pStyle w:val="JuPara"/>
      </w:pPr>
      <w:r>
        <w:rPr>
          <w:noProof/>
        </w:rPr>
        <w:fldChar w:fldCharType="begin"/>
      </w:r>
      <w:r>
        <w:rPr>
          <w:noProof/>
        </w:rPr>
        <w:instrText xml:space="preserve"> </w:instrText>
      </w:r>
      <w:r>
        <w:rPr>
          <w:noProof/>
        </w:rPr>
        <w:instrText xml:space="preserve">SEQ level0 \*arabic \* MERGEFORMAT </w:instrText>
      </w:r>
      <w:r>
        <w:rPr>
          <w:noProof/>
        </w:rPr>
        <w:fldChar w:fldCharType="separate"/>
      </w:r>
      <w:r w:rsidRPr="00884B04" w:rsidR="00884B04">
        <w:rPr>
          <w:noProof/>
        </w:rPr>
        <w:t>88</w:t>
      </w:r>
      <w:r>
        <w:rPr>
          <w:noProof/>
        </w:rPr>
        <w:fldChar w:fldCharType="end"/>
      </w:r>
      <w:r w:rsidRPr="00884B04" w:rsidR="00662B04">
        <w:t>.</w:t>
      </w:r>
      <w:r w:rsidRPr="00884B04" w:rsidR="00FD072F">
        <w:t>  </w:t>
      </w:r>
      <w:r w:rsidRPr="00884B04" w:rsidR="00662B04">
        <w:t>Following delivery of the report (or any interim report) to the Minister, but prior to publication, the chairman must give a copy of the version of the report which is to be published to each core participant and to their recognised legal representative, if any.</w:t>
      </w:r>
    </w:p>
    <w:p w:rsidRPr="00884B04" w:rsidR="00662B04" w:rsidP="00884B04" w:rsidRDefault="00662B04" w14:paraId="77F28B5E" w14:textId="77777777">
      <w:pPr>
        <w:pStyle w:val="JuHHead"/>
        <w:numPr>
          <w:ilvl w:val="0"/>
          <w:numId w:val="1"/>
        </w:numPr>
      </w:pPr>
      <w:r w:rsidRPr="00884B04">
        <w:t>THE LAW</w:t>
      </w:r>
    </w:p>
    <w:p w:rsidRPr="00884B04" w:rsidR="00662B04" w:rsidP="00884B04" w:rsidRDefault="00EA0AD1" w14:paraId="2ED98CCF" w14:textId="7BB96830">
      <w:pPr>
        <w:pStyle w:val="JuHIRoman"/>
        <w:numPr>
          <w:ilvl w:val="1"/>
          <w:numId w:val="2"/>
        </w:numPr>
      </w:pPr>
      <w:r w:rsidRPr="00884B04">
        <w:rPr>
          <w:caps w:val="0"/>
        </w:rPr>
        <w:t>GOVERNMENT</w:t>
      </w:r>
      <w:r w:rsidRPr="00884B04" w:rsidR="00884B04">
        <w:rPr>
          <w:caps w:val="0"/>
        </w:rPr>
        <w:t>’</w:t>
      </w:r>
      <w:r w:rsidRPr="00884B04">
        <w:rPr>
          <w:caps w:val="0"/>
        </w:rPr>
        <w:t>S COMPLIANCE WITH ARTICLE 38 OF THE CONVENTION</w:t>
      </w:r>
    </w:p>
    <w:p w:rsidRPr="00884B04" w:rsidR="00662B04" w:rsidP="00884B04" w:rsidRDefault="00662B04" w14:paraId="6AFBBE2F" w14:textId="3463FD24">
      <w:pPr>
        <w:pStyle w:val="JuPara"/>
      </w:pPr>
      <w:r w:rsidRPr="00884B04">
        <w:fldChar w:fldCharType="begin"/>
      </w:r>
      <w:r w:rsidRPr="00884B04">
        <w:instrText xml:space="preserve"> SEQ level0 \*arabic </w:instrText>
      </w:r>
      <w:r w:rsidRPr="00884B04">
        <w:fldChar w:fldCharType="separate"/>
      </w:r>
      <w:r w:rsidRPr="00884B04" w:rsidR="00884B04">
        <w:rPr>
          <w:noProof/>
        </w:rPr>
        <w:t>89</w:t>
      </w:r>
      <w:r w:rsidRPr="00884B04">
        <w:fldChar w:fldCharType="end"/>
      </w:r>
      <w:r w:rsidRPr="00884B04">
        <w:t>.</w:t>
      </w:r>
      <w:r w:rsidRPr="00884B04" w:rsidR="00FD072F">
        <w:t>  </w:t>
      </w:r>
      <w:r w:rsidRPr="00884B04">
        <w:t>Before embarking on an examination of the admissibility and merits of the applicant</w:t>
      </w:r>
      <w:r w:rsidRPr="00884B04" w:rsidR="00884B04">
        <w:t>’</w:t>
      </w:r>
      <w:r w:rsidRPr="00884B04">
        <w:t>s complaints, the Court needs to address the issue of the Government</w:t>
      </w:r>
      <w:r w:rsidRPr="00884B04" w:rsidR="00884B04">
        <w:t>’</w:t>
      </w:r>
      <w:r w:rsidRPr="00884B04">
        <w:t xml:space="preserve">s compliance with their procedural obligation under </w:t>
      </w:r>
      <w:r w:rsidRPr="00884B04" w:rsidR="00F42FFF">
        <w:t>Article 3</w:t>
      </w:r>
      <w:r w:rsidRPr="00884B04">
        <w:t xml:space="preserve">8 of the Convention to submit evidence that the Court has requested from them. </w:t>
      </w:r>
      <w:r w:rsidRPr="00884B04" w:rsidR="00F42FFF">
        <w:t>Article 3</w:t>
      </w:r>
      <w:r w:rsidRPr="00884B04">
        <w:t>8 reads as follows:</w:t>
      </w:r>
    </w:p>
    <w:p w:rsidRPr="00884B04" w:rsidR="00662B04" w:rsidP="00884B04" w:rsidRDefault="00662B04" w14:paraId="56BBFADF" w14:textId="77777777">
      <w:pPr>
        <w:pStyle w:val="JuQuot"/>
      </w:pPr>
      <w:r w:rsidRPr="00884B04">
        <w:t>“The Court shall examine the case together with the representatives of the parties and, if need be, undertake an investigation, for the effective conduct of which the High Contracting Parties concerned shall furnish all necessary facilities.”</w:t>
      </w:r>
    </w:p>
    <w:bookmarkStart w:name="paragraph00090" w:id="55"/>
    <w:p w:rsidRPr="00884B04" w:rsidR="00662B04" w:rsidP="00884B04" w:rsidRDefault="00662B04" w14:paraId="04942923" w14:textId="52B9BBD8">
      <w:pPr>
        <w:pStyle w:val="JuPara"/>
      </w:pPr>
      <w:r w:rsidRPr="00884B04">
        <w:fldChar w:fldCharType="begin"/>
      </w:r>
      <w:r w:rsidRPr="00884B04">
        <w:instrText xml:space="preserve"> SEQ level0 \*arabic </w:instrText>
      </w:r>
      <w:r w:rsidRPr="00884B04">
        <w:fldChar w:fldCharType="separate"/>
      </w:r>
      <w:r w:rsidRPr="00884B04" w:rsidR="00884B04">
        <w:rPr>
          <w:noProof/>
        </w:rPr>
        <w:t>90</w:t>
      </w:r>
      <w:r w:rsidRPr="00884B04">
        <w:fldChar w:fldCharType="end"/>
      </w:r>
      <w:bookmarkEnd w:id="55"/>
      <w:r w:rsidRPr="00884B04">
        <w:t>.</w:t>
      </w:r>
      <w:r w:rsidRPr="00884B04" w:rsidR="00FD072F">
        <w:t>  </w:t>
      </w:r>
      <w:r w:rsidRPr="00884B04">
        <w:t xml:space="preserve">When giving </w:t>
      </w:r>
      <w:r w:rsidRPr="00884B04" w:rsidR="007E7025">
        <w:t xml:space="preserve">notice of the application, the Court asked the Government to submit a copy of materials relating to the domestic investigation into the death of </w:t>
      </w:r>
      <w:r w:rsidRPr="00884B04" w:rsidR="00F42FFF">
        <w:t>Mr L</w:t>
      </w:r>
      <w:r w:rsidRPr="00884B04" w:rsidR="007E7025">
        <w:t>itvinenko.</w:t>
      </w:r>
      <w:r w:rsidRPr="00884B04" w:rsidR="00F42FFF">
        <w:t xml:space="preserve"> </w:t>
      </w:r>
      <w:r w:rsidRPr="00884B04" w:rsidR="007E7025">
        <w:t>The Government refused the request on the grounds that the investigation was at the time ongoing.</w:t>
      </w:r>
      <w:r w:rsidRPr="00884B04" w:rsidR="00F42FFF">
        <w:t xml:space="preserve"> </w:t>
      </w:r>
      <w:r w:rsidRPr="00884B04">
        <w:t xml:space="preserve">They cited </w:t>
      </w:r>
      <w:r w:rsidRPr="00884B04" w:rsidR="00F42FFF">
        <w:t>Article 1</w:t>
      </w:r>
      <w:r w:rsidRPr="00884B04">
        <w:t xml:space="preserve">61 of the Code of Criminal Procedure which in their view restricted disclosure of any case file materials in the interests of the investigation (see paragraph </w:t>
      </w:r>
      <w:r w:rsidRPr="00884B04">
        <w:fldChar w:fldCharType="begin"/>
      </w:r>
      <w:r w:rsidRPr="00884B04" w:rsidR="007E7025">
        <w:instrText xml:space="preserve">REF paragraph00076 \h \* CharFormat </w:instrText>
      </w:r>
      <w:r w:rsidRPr="00884B04">
        <w:fldChar w:fldCharType="separate"/>
      </w:r>
      <w:r w:rsidRPr="00884B04" w:rsidR="00884B04">
        <w:t>76</w:t>
      </w:r>
      <w:r w:rsidRPr="00884B04">
        <w:fldChar w:fldCharType="end"/>
      </w:r>
      <w:r w:rsidRPr="00884B04">
        <w:t xml:space="preserve"> above).</w:t>
      </w:r>
    </w:p>
    <w:bookmarkStart w:name="paragraph00091" w:id="56"/>
    <w:p w:rsidRPr="00884B04" w:rsidR="00662B04" w:rsidP="00884B04" w:rsidRDefault="00662B04" w14:paraId="42FADB50" w14:textId="5D5213EA">
      <w:pPr>
        <w:pStyle w:val="JuPara"/>
      </w:pPr>
      <w:r w:rsidRPr="00884B04">
        <w:fldChar w:fldCharType="begin"/>
      </w:r>
      <w:r w:rsidRPr="00884B04">
        <w:instrText xml:space="preserve"> SEQ level0 \*arabic </w:instrText>
      </w:r>
      <w:r w:rsidRPr="00884B04">
        <w:fldChar w:fldCharType="separate"/>
      </w:r>
      <w:r w:rsidRPr="00884B04" w:rsidR="00884B04">
        <w:rPr>
          <w:noProof/>
        </w:rPr>
        <w:t>91</w:t>
      </w:r>
      <w:r w:rsidRPr="00884B04">
        <w:fldChar w:fldCharType="end"/>
      </w:r>
      <w:bookmarkEnd w:id="56"/>
      <w:r w:rsidRPr="00884B04">
        <w:t>.</w:t>
      </w:r>
      <w:r w:rsidRPr="00884B04" w:rsidR="00FD072F">
        <w:t>  </w:t>
      </w:r>
      <w:r w:rsidRPr="00884B04">
        <w:t xml:space="preserve">The Court subsequently reiterated its request to the Government to submit specifically the documents from the investigation file on which they had relied in their observations, including a forensic study of the polonium 210 samples, </w:t>
      </w:r>
      <w:r w:rsidRPr="00884B04" w:rsidR="00F42FFF">
        <w:t>Mr L</w:t>
      </w:r>
      <w:r w:rsidRPr="00884B04">
        <w:t>ugovoy</w:t>
      </w:r>
      <w:r w:rsidRPr="00884B04" w:rsidR="00884B04">
        <w:t>’</w:t>
      </w:r>
      <w:r w:rsidRPr="00884B04">
        <w:t xml:space="preserve">s statements, and </w:t>
      </w:r>
      <w:bookmarkStart w:name="_Hlk76633957" w:id="57"/>
      <w:r w:rsidRPr="00884B04">
        <w:t xml:space="preserve">copies of legal assistance requests addressed to the </w:t>
      </w:r>
      <w:r w:rsidRPr="00884B04" w:rsidR="002C7484">
        <w:t>United Kingdom</w:t>
      </w:r>
      <w:r w:rsidRPr="00884B04">
        <w:t xml:space="preserve"> authorities</w:t>
      </w:r>
      <w:bookmarkEnd w:id="57"/>
      <w:r w:rsidRPr="00884B04">
        <w:t>. The Government declined to submit any documentation, citing the same provision.</w:t>
      </w:r>
    </w:p>
    <w:bookmarkStart w:name="paragraph00092" w:id="58"/>
    <w:p w:rsidRPr="00884B04" w:rsidR="007E7025" w:rsidP="00884B04" w:rsidRDefault="00662B04" w14:paraId="2CBC5D5C" w14:textId="2529E884">
      <w:pPr>
        <w:pStyle w:val="JuPara"/>
      </w:pPr>
      <w:r w:rsidRPr="00884B04">
        <w:fldChar w:fldCharType="begin"/>
      </w:r>
      <w:r w:rsidRPr="00884B04">
        <w:instrText xml:space="preserve"> SEQ level0 \*arabic </w:instrText>
      </w:r>
      <w:r w:rsidRPr="00884B04">
        <w:fldChar w:fldCharType="separate"/>
      </w:r>
      <w:r w:rsidRPr="00884B04" w:rsidR="00884B04">
        <w:rPr>
          <w:noProof/>
        </w:rPr>
        <w:t>92</w:t>
      </w:r>
      <w:r w:rsidRPr="00884B04">
        <w:fldChar w:fldCharType="end"/>
      </w:r>
      <w:bookmarkEnd w:id="58"/>
      <w:r w:rsidRPr="00884B04">
        <w:t>.</w:t>
      </w:r>
      <w:r w:rsidRPr="00884B04" w:rsidR="00FD072F">
        <w:t>  </w:t>
      </w:r>
      <w:r w:rsidRPr="00884B04">
        <w:t xml:space="preserve">The Court reiterates that the obligation to furnish the material requested by the Court is binding on the respondent Government from the moment such a request has been formulated, whether it be on initial </w:t>
      </w:r>
      <w:r w:rsidRPr="00884B04" w:rsidR="007E7025">
        <w:t>notification of an application to the Government or at a subsequent stage in the proceedings.</w:t>
      </w:r>
      <w:r w:rsidRPr="00884B04" w:rsidR="00F42FFF">
        <w:t xml:space="preserve"> </w:t>
      </w:r>
      <w:r w:rsidRPr="00884B04" w:rsidR="007E7025">
        <w:t>A failure on a Government</w:t>
      </w:r>
      <w:r w:rsidRPr="00884B04" w:rsidR="00884B04">
        <w:t>’</w:t>
      </w:r>
      <w:r w:rsidRPr="00884B04" w:rsidR="007E7025">
        <w:t>s part to submit such material which is in their hands without a satisfactory explanation may not only give rise to the drawing of inferences as to the well-foundedness of the applicant</w:t>
      </w:r>
      <w:r w:rsidRPr="00884B04" w:rsidR="00884B04">
        <w:t>’</w:t>
      </w:r>
      <w:r w:rsidRPr="00884B04" w:rsidR="007E7025">
        <w:t>s allegations, but may also disclose the respondent State</w:t>
      </w:r>
      <w:r w:rsidRPr="00884B04" w:rsidR="00884B04">
        <w:t>’</w:t>
      </w:r>
      <w:r w:rsidRPr="00884B04" w:rsidR="007E7025">
        <w:t>s non</w:t>
      </w:r>
      <w:r w:rsidRPr="00884B04" w:rsidR="007E7025">
        <w:noBreakHyphen/>
        <w:t xml:space="preserve">compliance with its obligations under </w:t>
      </w:r>
      <w:r w:rsidRPr="00884B04" w:rsidR="00F42FFF">
        <w:t>Article 3</w:t>
      </w:r>
      <w:r w:rsidRPr="00884B04" w:rsidR="007E7025">
        <w:t xml:space="preserve">8 of the Convention (see </w:t>
      </w:r>
      <w:r w:rsidRPr="00884B04" w:rsidR="007E7025">
        <w:rPr>
          <w:i/>
        </w:rPr>
        <w:t>Janowiec and Others</w:t>
      </w:r>
      <w:r w:rsidRPr="00884B04" w:rsidR="00F42FFF">
        <w:rPr>
          <w:i/>
        </w:rPr>
        <w:t xml:space="preserve"> v. R</w:t>
      </w:r>
      <w:r w:rsidRPr="00884B04" w:rsidR="007E7025">
        <w:rPr>
          <w:i/>
        </w:rPr>
        <w:t>ussia</w:t>
      </w:r>
      <w:r w:rsidRPr="00884B04" w:rsidR="007E7025">
        <w:t xml:space="preserve"> [GC], </w:t>
      </w:r>
      <w:r w:rsidRPr="00884B04" w:rsidR="00F42FFF">
        <w:t>nos</w:t>
      </w:r>
      <w:r w:rsidRPr="00884B04" w:rsidR="00F42FFF">
        <w:rPr>
          <w:i/>
        </w:rPr>
        <w:t>.</w:t>
      </w:r>
      <w:r w:rsidRPr="00884B04" w:rsidR="00F42FFF">
        <w:t> 5</w:t>
      </w:r>
      <w:r w:rsidRPr="00884B04" w:rsidR="007E7025">
        <w:t>5508/07 and 29520/09, §</w:t>
      </w:r>
      <w:r w:rsidRPr="00884B04" w:rsidR="00F42FFF">
        <w:t>§ 2</w:t>
      </w:r>
      <w:r w:rsidRPr="00884B04" w:rsidR="007E7025">
        <w:t>02</w:t>
      </w:r>
      <w:r w:rsidRPr="00884B04" w:rsidR="007E7025">
        <w:noBreakHyphen/>
        <w:t>06, ECHR 2013).</w:t>
      </w:r>
    </w:p>
    <w:p w:rsidRPr="00884B04" w:rsidR="007E7025" w:rsidP="00884B04" w:rsidRDefault="007E7025" w14:paraId="51566F55" w14:textId="7FD0D3D1">
      <w:pPr>
        <w:pStyle w:val="JuPara"/>
      </w:pPr>
      <w:r w:rsidRPr="00884B04">
        <w:fldChar w:fldCharType="begin"/>
      </w:r>
      <w:r w:rsidRPr="00884B04">
        <w:instrText xml:space="preserve"> SEQ level0 \*arabic </w:instrText>
      </w:r>
      <w:r w:rsidRPr="00884B04">
        <w:fldChar w:fldCharType="separate"/>
      </w:r>
      <w:r w:rsidRPr="00884B04" w:rsidR="00884B04">
        <w:rPr>
          <w:noProof/>
        </w:rPr>
        <w:t>93</w:t>
      </w:r>
      <w:r w:rsidRPr="00884B04">
        <w:fldChar w:fldCharType="end"/>
      </w:r>
      <w:r w:rsidRPr="00884B04">
        <w:t>.</w:t>
      </w:r>
      <w:r w:rsidRPr="00884B04" w:rsidR="00FD072F">
        <w:t>  </w:t>
      </w:r>
      <w:r w:rsidRPr="00884B04">
        <w:t xml:space="preserve">In the instant case, the Government did not produce the material requested by the Court or furnish any explanation for their failure to do so, beyond a reference to a provision of the Code of Criminal Procedure which, </w:t>
      </w:r>
      <w:r w:rsidRPr="00884B04" w:rsidR="00CE32CA">
        <w:t>as they interpreted it</w:t>
      </w:r>
      <w:r w:rsidRPr="00884B04">
        <w:t>, precluded the disclosure of documents from the file of an ongoing investigation.</w:t>
      </w:r>
      <w:r w:rsidRPr="00884B04" w:rsidR="00F42FFF">
        <w:t xml:space="preserve"> </w:t>
      </w:r>
      <w:bookmarkStart w:name="_Hlk72153834" w:id="59"/>
      <w:r w:rsidRPr="00884B04">
        <w:t>The Court has rejected the Russian Government</w:t>
      </w:r>
      <w:r w:rsidRPr="00884B04" w:rsidR="00884B04">
        <w:t>’</w:t>
      </w:r>
      <w:r w:rsidRPr="00884B04">
        <w:t xml:space="preserve">s reliance on that provision in many cases concerning disappearances in the Chechen Republic, finding that it did not contain an absolute prohibition but rather set out the procedure for, and limits to, such disclosure (see </w:t>
      </w:r>
      <w:r w:rsidRPr="00884B04">
        <w:rPr>
          <w:i/>
          <w:iCs/>
        </w:rPr>
        <w:t>Musikhanova and Others</w:t>
      </w:r>
      <w:r w:rsidRPr="00884B04" w:rsidR="00F42FFF">
        <w:rPr>
          <w:i/>
          <w:iCs/>
        </w:rPr>
        <w:t xml:space="preserve"> v. R</w:t>
      </w:r>
      <w:r w:rsidRPr="00884B04">
        <w:rPr>
          <w:i/>
          <w:iCs/>
        </w:rPr>
        <w:t>ussia</w:t>
      </w:r>
      <w:r w:rsidRPr="00884B04">
        <w:t xml:space="preserve">, </w:t>
      </w:r>
      <w:r w:rsidRPr="00884B04" w:rsidR="00F42FFF">
        <w:t>no</w:t>
      </w:r>
      <w:r w:rsidRPr="00884B04" w:rsidR="00F42FFF">
        <w:rPr>
          <w:i/>
          <w:iCs/>
        </w:rPr>
        <w:t>.</w:t>
      </w:r>
      <w:r w:rsidRPr="00884B04" w:rsidR="00F42FFF">
        <w:t> 2</w:t>
      </w:r>
      <w:r w:rsidRPr="00884B04">
        <w:t xml:space="preserve">7243/03, </w:t>
      </w:r>
      <w:r w:rsidRPr="00884B04" w:rsidR="00F42FFF">
        <w:t>§ 1</w:t>
      </w:r>
      <w:r w:rsidRPr="00884B04">
        <w:t xml:space="preserve">07, </w:t>
      </w:r>
      <w:r w:rsidRPr="00884B04" w:rsidR="00F42FFF">
        <w:t>4 December 2008</w:t>
      </w:r>
      <w:r w:rsidRPr="00884B04">
        <w:t xml:space="preserve">, and </w:t>
      </w:r>
      <w:r w:rsidRPr="00884B04">
        <w:rPr>
          <w:i/>
          <w:iCs/>
        </w:rPr>
        <w:t>Sasita Israilova and Others</w:t>
      </w:r>
      <w:r w:rsidRPr="00884B04" w:rsidR="00F42FFF">
        <w:rPr>
          <w:i/>
          <w:iCs/>
        </w:rPr>
        <w:t xml:space="preserve"> v. R</w:t>
      </w:r>
      <w:r w:rsidRPr="00884B04">
        <w:rPr>
          <w:i/>
          <w:iCs/>
        </w:rPr>
        <w:t>ussia</w:t>
      </w:r>
      <w:r w:rsidRPr="00884B04">
        <w:t xml:space="preserve">, </w:t>
      </w:r>
      <w:r w:rsidRPr="00884B04" w:rsidR="00F42FFF">
        <w:t>no. 3</w:t>
      </w:r>
      <w:r w:rsidRPr="00884B04">
        <w:t xml:space="preserve">5079/04, </w:t>
      </w:r>
      <w:r w:rsidRPr="00884B04" w:rsidR="00F42FFF">
        <w:t>§ 1</w:t>
      </w:r>
      <w:r w:rsidRPr="00884B04">
        <w:t xml:space="preserve">45, </w:t>
      </w:r>
      <w:r w:rsidRPr="00884B04" w:rsidR="00F42FFF">
        <w:t>28 October 2010</w:t>
      </w:r>
      <w:r w:rsidRPr="00884B04">
        <w:t>).</w:t>
      </w:r>
      <w:r w:rsidRPr="00884B04" w:rsidR="00F42FFF">
        <w:t xml:space="preserve"> </w:t>
      </w:r>
      <w:r w:rsidRPr="00884B04">
        <w:t xml:space="preserve">It is also significant that at the time the Court reiterated its request for documentation (see paragraph </w:t>
      </w:r>
      <w:r w:rsidRPr="00884B04">
        <w:fldChar w:fldCharType="begin"/>
      </w:r>
      <w:r w:rsidRPr="00884B04">
        <w:instrText xml:space="preserve">REF paragraph00091 \h \* CharFormat </w:instrText>
      </w:r>
      <w:r w:rsidRPr="00884B04">
        <w:fldChar w:fldCharType="separate"/>
      </w:r>
      <w:r w:rsidRPr="00884B04" w:rsidR="00884B04">
        <w:t>91</w:t>
      </w:r>
      <w:r w:rsidRPr="00884B04">
        <w:fldChar w:fldCharType="end"/>
      </w:r>
      <w:r w:rsidRPr="00884B04">
        <w:t xml:space="preserve"> above), some fifteen years after the events in question, the Government did not claim that the investigation was still ongoing.</w:t>
      </w:r>
      <w:r w:rsidRPr="00884B04" w:rsidR="00F42FFF">
        <w:t xml:space="preserve"> </w:t>
      </w:r>
      <w:r w:rsidRPr="00884B04">
        <w:t xml:space="preserve">Moreover, many requested documents had previously been disclosed in the framework of the United Kingdom inquest procedure or formally </w:t>
      </w:r>
      <w:bookmarkEnd w:id="59"/>
      <w:r w:rsidRPr="00884B04">
        <w:t>notified to the British authorities and could therefore no longer be considered confidential.</w:t>
      </w:r>
    </w:p>
    <w:bookmarkStart w:name="paragraph00094" w:id="60"/>
    <w:p w:rsidRPr="00884B04" w:rsidR="007E7025" w:rsidP="00884B04" w:rsidRDefault="007E7025" w14:paraId="7BF9F2B5" w14:textId="69F16CA0">
      <w:pPr>
        <w:pStyle w:val="JuPara"/>
      </w:pPr>
      <w:r w:rsidRPr="00884B04">
        <w:fldChar w:fldCharType="begin"/>
      </w:r>
      <w:r w:rsidRPr="00884B04">
        <w:instrText xml:space="preserve"> SEQ level0 \*arabic </w:instrText>
      </w:r>
      <w:r w:rsidRPr="00884B04">
        <w:fldChar w:fldCharType="separate"/>
      </w:r>
      <w:r w:rsidRPr="00884B04" w:rsidR="00884B04">
        <w:rPr>
          <w:noProof/>
        </w:rPr>
        <w:t>94</w:t>
      </w:r>
      <w:r w:rsidRPr="00884B04">
        <w:fldChar w:fldCharType="end"/>
      </w:r>
      <w:bookmarkEnd w:id="60"/>
      <w:r w:rsidRPr="00884B04">
        <w:t>.</w:t>
      </w:r>
      <w:r w:rsidRPr="00884B04" w:rsidR="00FD072F">
        <w:t>  </w:t>
      </w:r>
      <w:r w:rsidRPr="00884B04">
        <w:t xml:space="preserve">Accordingly, the Court considers that the respondent State has failed to comply with its obligations under </w:t>
      </w:r>
      <w:r w:rsidRPr="00884B04" w:rsidR="00F42FFF">
        <w:t>Article 3</w:t>
      </w:r>
      <w:r w:rsidRPr="00884B04">
        <w:t>8 of the Convention on account of its unjustified refusal to submit the requested material.</w:t>
      </w:r>
      <w:r w:rsidRPr="00884B04" w:rsidR="00F42FFF">
        <w:t xml:space="preserve"> </w:t>
      </w:r>
      <w:bookmarkStart w:name="_Hlk72153838" w:id="61"/>
      <w:r w:rsidRPr="00884B04">
        <w:t>In so far as the Government have sought to rely on the documentation which they have refused to provide, the Court will draw appropriate inferences from their failure to produce them.</w:t>
      </w:r>
    </w:p>
    <w:bookmarkEnd w:id="61"/>
    <w:p w:rsidRPr="00884B04" w:rsidR="007759EA" w:rsidP="00884B04" w:rsidRDefault="00771C0B" w14:paraId="7DD8B553" w14:textId="77777777">
      <w:pPr>
        <w:pStyle w:val="JuHIRoman"/>
        <w:rPr>
          <w:caps w:val="0"/>
        </w:rPr>
      </w:pPr>
      <w:r w:rsidRPr="00884B04">
        <w:rPr>
          <w:caps w:val="0"/>
        </w:rPr>
        <w:t>PRELIMINARY ISSUE: THE ADMISSIBILITY OF THE LITVINENKO INQUIRY REPORT</w:t>
      </w:r>
    </w:p>
    <w:p w:rsidRPr="00884B04" w:rsidR="007E7025" w:rsidP="00884B04" w:rsidRDefault="007E7025" w14:paraId="57E3895F" w14:textId="2A9DABE8">
      <w:pPr>
        <w:pStyle w:val="JuHA"/>
      </w:pPr>
      <w:r w:rsidRPr="00884B04">
        <w:t>Submissions by the parties</w:t>
      </w:r>
    </w:p>
    <w:bookmarkStart w:name="paragraph00095" w:id="62"/>
    <w:p w:rsidRPr="00884B04" w:rsidR="007E7025" w:rsidP="00884B04" w:rsidRDefault="007E7025" w14:paraId="4F19E444" w14:textId="3D6446BD">
      <w:pPr>
        <w:pStyle w:val="JuPara"/>
      </w:pPr>
      <w:r w:rsidRPr="00884B04">
        <w:fldChar w:fldCharType="begin"/>
      </w:r>
      <w:r w:rsidRPr="00884B04">
        <w:instrText xml:space="preserve"> SEQ level0 \*arabic </w:instrText>
      </w:r>
      <w:r w:rsidRPr="00884B04">
        <w:fldChar w:fldCharType="separate"/>
      </w:r>
      <w:r w:rsidRPr="00884B04" w:rsidR="00884B04">
        <w:rPr>
          <w:noProof/>
        </w:rPr>
        <w:t>95</w:t>
      </w:r>
      <w:r w:rsidRPr="00884B04">
        <w:fldChar w:fldCharType="end"/>
      </w:r>
      <w:bookmarkEnd w:id="62"/>
      <w:r w:rsidRPr="00884B04">
        <w:t>.</w:t>
      </w:r>
      <w:r w:rsidRPr="00884B04" w:rsidR="00FD072F">
        <w:t>  </w:t>
      </w:r>
      <w:r w:rsidRPr="00884B04">
        <w:t>The Government submitted that the findings of the Litvinenko Inquiry could not be used to establish any violation of the Convention by Russia for two reasons.</w:t>
      </w:r>
      <w:r w:rsidRPr="00884B04" w:rsidR="00F42FFF">
        <w:t xml:space="preserve"> </w:t>
      </w:r>
      <w:r w:rsidRPr="00884B04">
        <w:t>First, it was not the role of an inquiry to determine anyone</w:t>
      </w:r>
      <w:r w:rsidRPr="00884B04" w:rsidR="00884B04">
        <w:t>’</w:t>
      </w:r>
      <w:r w:rsidRPr="00884B04">
        <w:t>s civil liability or criminal guilt.</w:t>
      </w:r>
      <w:r w:rsidRPr="00884B04" w:rsidR="00F42FFF">
        <w:t xml:space="preserve"> </w:t>
      </w:r>
      <w:r w:rsidRPr="00884B04">
        <w:t>Secondly, the Investigative Committee of the Russian Federation (“ICRF”) had carried out an analysis of the report prepared by the Chairman to the inquiry and concluded that his findings were inconsistent with the evidence which it had itself put forward, and that the Chairman had acted in contravention of British law.</w:t>
      </w:r>
      <w:r w:rsidRPr="00884B04" w:rsidR="00F42FFF">
        <w:t xml:space="preserve"> </w:t>
      </w:r>
      <w:r w:rsidRPr="00884B04" w:rsidR="00662B04">
        <w:t xml:space="preserve">From the 249 documents the ICRF had provided to the inquest, only nineteen had been used in the inquiry. In particular, </w:t>
      </w:r>
      <w:r w:rsidRPr="00884B04">
        <w:t xml:space="preserve">no use had been made of the statements by medical staff who had examined </w:t>
      </w:r>
      <w:r w:rsidRPr="00884B04" w:rsidR="00F42FFF">
        <w:t>Mr L</w:t>
      </w:r>
      <w:r w:rsidRPr="00884B04">
        <w:t xml:space="preserve">ugovoy and </w:t>
      </w:r>
      <w:r w:rsidRPr="00884B04" w:rsidR="00F42FFF">
        <w:t>Mr K</w:t>
      </w:r>
      <w:r w:rsidRPr="00884B04">
        <w:t xml:space="preserve">ovtun in Russia, the reports establishing the absence of contamination on certain aircraft and at the homes and offices of </w:t>
      </w:r>
      <w:r w:rsidRPr="00884B04" w:rsidR="00F42FFF">
        <w:t>Mr L</w:t>
      </w:r>
      <w:r w:rsidRPr="00884B04">
        <w:t xml:space="preserve">ugovoy and </w:t>
      </w:r>
      <w:r w:rsidRPr="00884B04" w:rsidR="00F42FFF">
        <w:t>Mr K</w:t>
      </w:r>
      <w:r w:rsidRPr="00884B04">
        <w:t>ovtun, or a statement by the Rosatom State nuclear energy corporation showing that no theft or unauthorised use of polonium had been reported.</w:t>
      </w:r>
      <w:r w:rsidRPr="00884B04" w:rsidR="00F42FFF">
        <w:t xml:space="preserve"> </w:t>
      </w:r>
      <w:r w:rsidRPr="00884B04">
        <w:t>Furthermore, since the ICRF had not applied for the status of a core participant to the inquiry, it had not been able to challenge the evidence or tell “the other side of the story”.</w:t>
      </w:r>
    </w:p>
    <w:bookmarkStart w:name="paragraph00096" w:id="63"/>
    <w:p w:rsidRPr="00884B04" w:rsidR="007E7025" w:rsidP="00884B04" w:rsidRDefault="007E7025" w14:paraId="2F56EDFB" w14:textId="767E44E3">
      <w:pPr>
        <w:pStyle w:val="JuPara"/>
      </w:pPr>
      <w:r w:rsidRPr="00884B04">
        <w:fldChar w:fldCharType="begin"/>
      </w:r>
      <w:r w:rsidRPr="00884B04">
        <w:instrText xml:space="preserve"> SEQ level0 \*arabic </w:instrText>
      </w:r>
      <w:r w:rsidRPr="00884B04">
        <w:fldChar w:fldCharType="separate"/>
      </w:r>
      <w:r w:rsidRPr="00884B04" w:rsidR="00884B04">
        <w:rPr>
          <w:noProof/>
        </w:rPr>
        <w:t>96</w:t>
      </w:r>
      <w:r w:rsidRPr="00884B04">
        <w:fldChar w:fldCharType="end"/>
      </w:r>
      <w:bookmarkEnd w:id="63"/>
      <w:r w:rsidRPr="00884B04">
        <w:t>.</w:t>
      </w:r>
      <w:r w:rsidRPr="00884B04" w:rsidR="00FD072F">
        <w:t>  </w:t>
      </w:r>
      <w:r w:rsidRPr="00884B04">
        <w:t>The applicant submitted that nothing in the Government</w:t>
      </w:r>
      <w:r w:rsidRPr="00884B04" w:rsidR="00884B04">
        <w:t>’</w:t>
      </w:r>
      <w:r w:rsidRPr="00884B04">
        <w:t>s claims cast any doubt on the evidence used in the inquiry or any procedural process that led to the Chairman</w:t>
      </w:r>
      <w:r w:rsidRPr="00884B04" w:rsidR="00884B04">
        <w:t>’</w:t>
      </w:r>
      <w:r w:rsidRPr="00884B04">
        <w:t>s findings.</w:t>
      </w:r>
      <w:r w:rsidRPr="00884B04" w:rsidR="00F42FFF">
        <w:t xml:space="preserve"> </w:t>
      </w:r>
      <w:r w:rsidRPr="00884B04">
        <w:t>The admissibility of documents in the inquiry proceedings depended on their relevance, and the Chairman did not need to comment on each piece of evidence.</w:t>
      </w:r>
      <w:r w:rsidRPr="00884B04" w:rsidR="00F42FFF">
        <w:t xml:space="preserve"> </w:t>
      </w:r>
      <w:r w:rsidRPr="00884B04">
        <w:t>The specific documents cited by the Government touched upon matters which were of marginal or no relevance to the inquiry</w:t>
      </w:r>
      <w:r w:rsidRPr="00884B04" w:rsidR="00884B04">
        <w:t>’</w:t>
      </w:r>
      <w:r w:rsidRPr="00884B04">
        <w:t>s terms of reference.</w:t>
      </w:r>
      <w:r w:rsidRPr="00884B04" w:rsidR="00F42FFF">
        <w:t xml:space="preserve"> </w:t>
      </w:r>
      <w:r w:rsidRPr="00884B04">
        <w:t>In contrast, where documents did go to the heart of the inquiry, such as the results of Russian testing for contamination on the planes, the Chairman had explained why he had accorded no weight to them.</w:t>
      </w:r>
      <w:r w:rsidRPr="00884B04" w:rsidR="00F42FFF">
        <w:t xml:space="preserve"> </w:t>
      </w:r>
      <w:r w:rsidRPr="00884B04">
        <w:t xml:space="preserve">Other evidence, including </w:t>
      </w:r>
      <w:r w:rsidRPr="00884B04" w:rsidR="00F42FFF">
        <w:t>Mr L</w:t>
      </w:r>
      <w:r w:rsidRPr="00884B04">
        <w:t>ugovoy</w:t>
      </w:r>
      <w:r w:rsidRPr="00884B04" w:rsidR="00884B04">
        <w:t>’</w:t>
      </w:r>
      <w:r w:rsidRPr="00884B04">
        <w:t xml:space="preserve">s and </w:t>
      </w:r>
      <w:r w:rsidRPr="00884B04" w:rsidR="00F42FFF">
        <w:t>Mr K</w:t>
      </w:r>
      <w:r w:rsidRPr="00884B04">
        <w:t>ovtun</w:t>
      </w:r>
      <w:r w:rsidRPr="00884B04" w:rsidR="00884B04">
        <w:t>’</w:t>
      </w:r>
      <w:r w:rsidRPr="00884B04">
        <w:t>s interviews provided under mutual legal assistance during the inquest, had not been used in the inquiry for legal reasons because the Russian authorities had withheld their permission to use them.</w:t>
      </w:r>
      <w:r w:rsidRPr="00884B04" w:rsidR="00F42FFF">
        <w:t xml:space="preserve"> </w:t>
      </w:r>
      <w:r w:rsidRPr="00884B04">
        <w:t>As far as core participant status was concerned, the ICRF had decided not to engage with the inquiry, describing it as a “pseudo-process”.</w:t>
      </w:r>
      <w:r w:rsidRPr="00884B04" w:rsidR="00F42FFF">
        <w:t xml:space="preserve"> </w:t>
      </w:r>
      <w:r w:rsidRPr="00884B04">
        <w:t xml:space="preserve">The ICRF deliberately absented itself and later prevented </w:t>
      </w:r>
      <w:r w:rsidRPr="00884B04" w:rsidR="00F42FFF">
        <w:t>Mr K</w:t>
      </w:r>
      <w:r w:rsidRPr="00884B04">
        <w:t>ovtun from giving oral evidence, precisely so that the Russian authorities could later criticise the inquiry</w:t>
      </w:r>
      <w:r w:rsidRPr="00884B04" w:rsidR="00884B04">
        <w:t>’</w:t>
      </w:r>
      <w:r w:rsidRPr="00884B04">
        <w:t>s findings as “one-sided”.</w:t>
      </w:r>
    </w:p>
    <w:p w:rsidRPr="00884B04" w:rsidR="007E7025" w:rsidP="00884B04" w:rsidRDefault="007E7025" w14:paraId="34F47187" w14:textId="7202371C">
      <w:pPr>
        <w:pStyle w:val="JuHA"/>
      </w:pPr>
      <w:r w:rsidRPr="00884B04">
        <w:t>The Court</w:t>
      </w:r>
      <w:r w:rsidRPr="00884B04" w:rsidR="00884B04">
        <w:t>’</w:t>
      </w:r>
      <w:r w:rsidRPr="00884B04">
        <w:t>s assessment</w:t>
      </w:r>
    </w:p>
    <w:p w:rsidRPr="00884B04" w:rsidR="007E7025" w:rsidP="00884B04" w:rsidRDefault="007E7025" w14:paraId="20B41C7D" w14:textId="77777777">
      <w:pPr>
        <w:pStyle w:val="JuH1"/>
      </w:pPr>
      <w:r w:rsidRPr="00884B04">
        <w:t>Principles relating to the admissibility of evidence</w:t>
      </w:r>
    </w:p>
    <w:bookmarkStart w:name="paragraph00097" w:id="64"/>
    <w:bookmarkStart w:name="_Hlk72153840" w:id="65"/>
    <w:p w:rsidRPr="00884B04" w:rsidR="007E7025" w:rsidP="00884B04" w:rsidRDefault="007E7025" w14:paraId="38B5B616" w14:textId="6C1BF576">
      <w:pPr>
        <w:pStyle w:val="JuPara"/>
      </w:pPr>
      <w:r w:rsidRPr="00884B04">
        <w:fldChar w:fldCharType="begin"/>
      </w:r>
      <w:r w:rsidRPr="00884B04">
        <w:instrText xml:space="preserve"> SEQ level0 \*arabic </w:instrText>
      </w:r>
      <w:r w:rsidRPr="00884B04">
        <w:fldChar w:fldCharType="separate"/>
      </w:r>
      <w:r w:rsidRPr="00884B04" w:rsidR="00884B04">
        <w:rPr>
          <w:noProof/>
        </w:rPr>
        <w:t>97</w:t>
      </w:r>
      <w:r w:rsidRPr="00884B04">
        <w:fldChar w:fldCharType="end"/>
      </w:r>
      <w:bookmarkEnd w:id="64"/>
      <w:r w:rsidRPr="00884B04">
        <w:t>.</w:t>
      </w:r>
      <w:r w:rsidRPr="00884B04" w:rsidR="00FD072F">
        <w:t>  </w:t>
      </w:r>
      <w:r w:rsidRPr="00884B04">
        <w:t>As master of its own procedure and its own rules, the Court has complete freedom in assessing not only the admissibility and relevance but also the probative value of each item of evidence before it.</w:t>
      </w:r>
      <w:r w:rsidRPr="00884B04" w:rsidR="00F42FFF">
        <w:t xml:space="preserve"> </w:t>
      </w:r>
      <w:r w:rsidRPr="00884B04">
        <w:t xml:space="preserve">The Court is not bound, under the Convention or under the general principles applicable to international tribunals, by strict rules of evidence and there are no procedural barriers to the admissibility of evidence in the proceedings before it (see </w:t>
      </w:r>
      <w:r w:rsidRPr="00884B04">
        <w:rPr>
          <w:i/>
        </w:rPr>
        <w:t>Ireland</w:t>
      </w:r>
      <w:r w:rsidRPr="00884B04" w:rsidR="00F42FFF">
        <w:rPr>
          <w:i/>
        </w:rPr>
        <w:t xml:space="preserve"> v. t</w:t>
      </w:r>
      <w:r w:rsidRPr="00884B04">
        <w:rPr>
          <w:i/>
        </w:rPr>
        <w:t>he United Kingdom</w:t>
      </w:r>
      <w:r w:rsidRPr="00884B04">
        <w:t xml:space="preserve">, </w:t>
      </w:r>
      <w:r w:rsidRPr="00884B04" w:rsidR="00F42FFF">
        <w:t>18 January 1978</w:t>
      </w:r>
      <w:r w:rsidRPr="00884B04">
        <w:t xml:space="preserve">, </w:t>
      </w:r>
      <w:r w:rsidRPr="00884B04" w:rsidR="00F42FFF">
        <w:t>§ 2</w:t>
      </w:r>
      <w:r w:rsidRPr="00884B04">
        <w:t xml:space="preserve">10 </w:t>
      </w:r>
      <w:r w:rsidRPr="00884B04">
        <w:rPr>
          <w:i/>
          <w:iCs/>
        </w:rPr>
        <w:t>in fine</w:t>
      </w:r>
      <w:r w:rsidRPr="00884B04">
        <w:t xml:space="preserve">, </w:t>
      </w:r>
      <w:r w:rsidRPr="00884B04" w:rsidR="00F42FFF">
        <w:t>Series A</w:t>
      </w:r>
      <w:r w:rsidRPr="00884B04">
        <w:t xml:space="preserve"> </w:t>
      </w:r>
      <w:r w:rsidRPr="00884B04" w:rsidR="00F42FFF">
        <w:t>no. 2</w:t>
      </w:r>
      <w:r w:rsidRPr="00884B04">
        <w:t xml:space="preserve">5, and, more recently, </w:t>
      </w:r>
      <w:r w:rsidRPr="00884B04">
        <w:rPr>
          <w:i/>
          <w:iCs/>
        </w:rPr>
        <w:t>Merabishvili</w:t>
      </w:r>
      <w:r w:rsidRPr="00884B04" w:rsidR="00F42FFF">
        <w:rPr>
          <w:i/>
          <w:iCs/>
        </w:rPr>
        <w:t xml:space="preserve"> v. G</w:t>
      </w:r>
      <w:r w:rsidRPr="00884B04">
        <w:rPr>
          <w:i/>
          <w:iCs/>
        </w:rPr>
        <w:t>eorgia</w:t>
      </w:r>
      <w:r w:rsidRPr="00884B04">
        <w:rPr>
          <w:iCs/>
        </w:rPr>
        <w:t xml:space="preserve"> [GC]</w:t>
      </w:r>
      <w:r w:rsidRPr="00884B04">
        <w:t xml:space="preserve">, </w:t>
      </w:r>
      <w:bookmarkEnd w:id="65"/>
      <w:r w:rsidRPr="00884B04" w:rsidR="00F42FFF">
        <w:t>no. 7</w:t>
      </w:r>
      <w:r w:rsidRPr="00884B04">
        <w:t xml:space="preserve">2508/13, </w:t>
      </w:r>
      <w:r w:rsidRPr="00884B04" w:rsidR="00F42FFF">
        <w:t>§ 3</w:t>
      </w:r>
      <w:r w:rsidRPr="00884B04">
        <w:t xml:space="preserve">15, </w:t>
      </w:r>
      <w:r w:rsidRPr="00884B04" w:rsidR="00F42FFF">
        <w:t>28 November 2017</w:t>
      </w:r>
      <w:r w:rsidRPr="00884B04">
        <w:t>).</w:t>
      </w:r>
    </w:p>
    <w:bookmarkStart w:name="paragraph00098" w:id="66"/>
    <w:p w:rsidRPr="00884B04" w:rsidR="007E7025" w:rsidP="00884B04" w:rsidRDefault="007E7025" w14:paraId="2E173931" w14:textId="2D6C2A35">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98</w:t>
      </w:r>
      <w:r w:rsidRPr="00884B04">
        <w:fldChar w:fldCharType="end"/>
      </w:r>
      <w:bookmarkEnd w:id="66"/>
      <w:r w:rsidRPr="00884B04">
        <w:t>.</w:t>
      </w:r>
      <w:r w:rsidRPr="00884B04" w:rsidR="00FD072F">
        <w:t>  </w:t>
      </w:r>
      <w:r w:rsidRPr="00884B04">
        <w:t>The Court</w:t>
      </w:r>
      <w:r w:rsidRPr="00884B04" w:rsidR="00884B04">
        <w:t>’</w:t>
      </w:r>
      <w:r w:rsidRPr="00884B04">
        <w:t xml:space="preserve">s reliance on evidence obtained as a result of a domestic investigation and on facts established within domestic proceedings has depended on the quality of the domestic investigative process, and the thoroughness and consistency of the proceedings in question (see </w:t>
      </w:r>
      <w:r w:rsidRPr="00884B04">
        <w:rPr>
          <w:i/>
        </w:rPr>
        <w:t>Finogenov and Others</w:t>
      </w:r>
      <w:r w:rsidRPr="00884B04" w:rsidR="00F42FFF">
        <w:rPr>
          <w:i/>
        </w:rPr>
        <w:t xml:space="preserve"> v. R</w:t>
      </w:r>
      <w:r w:rsidRPr="00884B04">
        <w:rPr>
          <w:i/>
        </w:rPr>
        <w:t>ussia</w:t>
      </w:r>
      <w:r w:rsidRPr="00884B04">
        <w:t xml:space="preserve">, </w:t>
      </w:r>
      <w:r w:rsidRPr="00884B04" w:rsidR="00F42FFF">
        <w:t>nos</w:t>
      </w:r>
      <w:r w:rsidRPr="00884B04" w:rsidR="00F42FFF">
        <w:rPr>
          <w:i/>
        </w:rPr>
        <w:t>.</w:t>
      </w:r>
      <w:r w:rsidRPr="00884B04" w:rsidR="00F42FFF">
        <w:t> 1</w:t>
      </w:r>
      <w:r w:rsidRPr="00884B04">
        <w:t xml:space="preserve">8299/03 and 27311/03, </w:t>
      </w:r>
      <w:r w:rsidRPr="00884B04" w:rsidR="00F42FFF">
        <w:t>§ 2</w:t>
      </w:r>
      <w:r w:rsidRPr="00884B04">
        <w:t xml:space="preserve">38, ECHR 2011 (extracts), and </w:t>
      </w:r>
      <w:r w:rsidRPr="00884B04">
        <w:rPr>
          <w:i/>
        </w:rPr>
        <w:t>Tagayeva and Others</w:t>
      </w:r>
      <w:r w:rsidRPr="00884B04" w:rsidR="00F42FFF">
        <w:rPr>
          <w:i/>
        </w:rPr>
        <w:t xml:space="preserve"> v. R</w:t>
      </w:r>
      <w:r w:rsidRPr="00884B04">
        <w:rPr>
          <w:i/>
        </w:rPr>
        <w:t>ussia</w:t>
      </w:r>
      <w:r w:rsidRPr="00884B04">
        <w:t xml:space="preserve">, </w:t>
      </w:r>
      <w:r w:rsidRPr="00884B04" w:rsidR="00F42FFF">
        <w:t>nos. 2</w:t>
      </w:r>
      <w:r w:rsidRPr="00884B04">
        <w:t xml:space="preserve">6562/07 and 6 others, </w:t>
      </w:r>
      <w:r w:rsidRPr="00884B04" w:rsidR="00F42FFF">
        <w:t>§ 5</w:t>
      </w:r>
      <w:r w:rsidRPr="00884B04">
        <w:t xml:space="preserve">86, </w:t>
      </w:r>
      <w:r w:rsidRPr="00884B04" w:rsidR="00F42FFF">
        <w:t>13 April 2017</w:t>
      </w:r>
      <w:r w:rsidRPr="00884B04">
        <w:t>).</w:t>
      </w:r>
    </w:p>
    <w:p w:rsidRPr="00884B04" w:rsidR="007E7025" w:rsidP="00884B04" w:rsidRDefault="007E7025" w14:paraId="4BF9E66A" w14:textId="77777777">
      <w:pPr>
        <w:pStyle w:val="JuH1"/>
      </w:pPr>
      <w:r w:rsidRPr="00884B04">
        <w:t>Application of the principles</w:t>
      </w:r>
    </w:p>
    <w:p w:rsidRPr="00884B04" w:rsidR="007E7025" w:rsidP="00884B04" w:rsidRDefault="007E7025" w14:paraId="4D0953A3" w14:textId="58C669CF">
      <w:pPr>
        <w:pStyle w:val="JuPara"/>
      </w:pPr>
      <w:r w:rsidRPr="00884B04">
        <w:fldChar w:fldCharType="begin"/>
      </w:r>
      <w:r w:rsidRPr="00884B04">
        <w:instrText xml:space="preserve"> SEQ level0 \*arabic </w:instrText>
      </w:r>
      <w:r w:rsidRPr="00884B04">
        <w:fldChar w:fldCharType="separate"/>
      </w:r>
      <w:r w:rsidRPr="00884B04" w:rsidR="00884B04">
        <w:rPr>
          <w:noProof/>
        </w:rPr>
        <w:t>99</w:t>
      </w:r>
      <w:r w:rsidRPr="00884B04">
        <w:fldChar w:fldCharType="end"/>
      </w:r>
      <w:r w:rsidRPr="00884B04">
        <w:t>.</w:t>
      </w:r>
      <w:r w:rsidRPr="00884B04" w:rsidR="00FD072F">
        <w:t>  </w:t>
      </w:r>
      <w:r w:rsidRPr="00884B04">
        <w:t xml:space="preserve">In this instance, the contested evidence is the findings of a public inquiry into the death of </w:t>
      </w:r>
      <w:r w:rsidRPr="00884B04" w:rsidR="00F42FFF">
        <w:t>Mr L</w:t>
      </w:r>
      <w:r w:rsidRPr="00884B04">
        <w:t>itvinenko held in the United Kingdom.</w:t>
      </w:r>
    </w:p>
    <w:p w:rsidRPr="00884B04" w:rsidR="007E7025" w:rsidP="00884B04" w:rsidRDefault="007E7025" w14:paraId="79DA79F7" w14:textId="77777777">
      <w:pPr>
        <w:pStyle w:val="JuHa0"/>
      </w:pPr>
      <w:r w:rsidRPr="00884B04">
        <w:t>Conduct of the inquiry</w:t>
      </w:r>
    </w:p>
    <w:p w:rsidRPr="00884B04" w:rsidR="00662B04" w:rsidP="00884B04" w:rsidRDefault="007E7025" w14:paraId="4D85EC32" w14:textId="5F8767BB">
      <w:pPr>
        <w:pStyle w:val="JuPara"/>
      </w:pPr>
      <w:r w:rsidRPr="00884B04">
        <w:fldChar w:fldCharType="begin"/>
      </w:r>
      <w:r w:rsidRPr="00884B04">
        <w:instrText xml:space="preserve"> SEQ level0 \*arabic </w:instrText>
      </w:r>
      <w:r w:rsidRPr="00884B04">
        <w:fldChar w:fldCharType="separate"/>
      </w:r>
      <w:r w:rsidRPr="00884B04" w:rsidR="00884B04">
        <w:rPr>
          <w:noProof/>
        </w:rPr>
        <w:t>100</w:t>
      </w:r>
      <w:r w:rsidRPr="00884B04">
        <w:fldChar w:fldCharType="end"/>
      </w:r>
      <w:r w:rsidRPr="00884B04">
        <w:t>.</w:t>
      </w:r>
      <w:r w:rsidRPr="00884B04" w:rsidR="00FD072F">
        <w:t>  </w:t>
      </w:r>
      <w:r w:rsidRPr="00884B04">
        <w:t xml:space="preserve">The inquiry was established under the Inquiries Act 2005 which contained detailed provisions to ensure the independence and impartiality of the chairman and any members (see paragraphs </w:t>
      </w:r>
      <w:r w:rsidRPr="00884B04">
        <w:fldChar w:fldCharType="begin"/>
      </w:r>
      <w:r w:rsidRPr="00884B04">
        <w:instrText xml:space="preserve">REF paragraph00079 \h \* CharFormat </w:instrText>
      </w:r>
      <w:r w:rsidRPr="00884B04">
        <w:fldChar w:fldCharType="separate"/>
      </w:r>
      <w:r w:rsidRPr="00884B04" w:rsidR="00884B04">
        <w:t>79</w:t>
      </w:r>
      <w:r w:rsidRPr="00884B04">
        <w:fldChar w:fldCharType="end"/>
      </w:r>
      <w:r w:rsidRPr="00884B04">
        <w:t>-</w:t>
      </w:r>
      <w:r w:rsidRPr="00884B04">
        <w:fldChar w:fldCharType="begin"/>
      </w:r>
      <w:r w:rsidRPr="00884B04">
        <w:instrText xml:space="preserve">REF paragraph00085 \h \* CharFormat </w:instrText>
      </w:r>
      <w:r w:rsidRPr="00884B04">
        <w:fldChar w:fldCharType="separate"/>
      </w:r>
      <w:r w:rsidRPr="00884B04" w:rsidR="00884B04">
        <w:t>85</w:t>
      </w:r>
      <w:r w:rsidRPr="00884B04">
        <w:fldChar w:fldCharType="end"/>
      </w:r>
      <w:r w:rsidRPr="00884B04">
        <w:t xml:space="preserve"> above).</w:t>
      </w:r>
      <w:r w:rsidRPr="00884B04" w:rsidR="00F42FFF">
        <w:t xml:space="preserve"> </w:t>
      </w:r>
      <w:r w:rsidRPr="00884B04">
        <w:t>A High Court Judge with many years</w:t>
      </w:r>
      <w:r w:rsidRPr="00884B04" w:rsidR="00884B04">
        <w:t>’</w:t>
      </w:r>
      <w:r w:rsidRPr="00884B04">
        <w:t xml:space="preserve"> experience on the bench was appointed as Chairman.</w:t>
      </w:r>
      <w:r w:rsidRPr="00884B04" w:rsidR="00F42FFF">
        <w:t xml:space="preserve"> </w:t>
      </w:r>
      <w:r w:rsidRPr="00884B04" w:rsidR="00662B04">
        <w:t>He was assisted by a team of lawyers, including Counsel to the inquiry, whose sole function was to elicit the facts, “without fear or favour towards any party or any particular line of inquiry”, and to examine all the evidence from an objective and independent standpoint.</w:t>
      </w:r>
    </w:p>
    <w:p w:rsidRPr="00884B04" w:rsidR="00662B04" w:rsidP="00884B04" w:rsidRDefault="00662B04" w14:paraId="25C3108F" w14:textId="08D48862">
      <w:pPr>
        <w:pStyle w:val="JuPara"/>
      </w:pPr>
      <w:r w:rsidRPr="00884B04">
        <w:fldChar w:fldCharType="begin"/>
      </w:r>
      <w:r w:rsidRPr="00884B04">
        <w:instrText xml:space="preserve"> SEQ level0 \*arabic </w:instrText>
      </w:r>
      <w:r w:rsidRPr="00884B04">
        <w:fldChar w:fldCharType="separate"/>
      </w:r>
      <w:r w:rsidRPr="00884B04" w:rsidR="00884B04">
        <w:rPr>
          <w:noProof/>
        </w:rPr>
        <w:t>101</w:t>
      </w:r>
      <w:r w:rsidRPr="00884B04">
        <w:fldChar w:fldCharType="end"/>
      </w:r>
      <w:r w:rsidRPr="00884B04">
        <w:t>.</w:t>
      </w:r>
      <w:r w:rsidRPr="00884B04" w:rsidR="00FD072F">
        <w:t>  </w:t>
      </w:r>
      <w:r w:rsidRPr="00884B04">
        <w:t xml:space="preserve">In addition to being independent, the inquiry satisfied the requirements of transparency and accountability. The open evidence was received, and the witnesses were heard, in public hearings. Members of the public and press had unrestricted access to the hearings and a transcript of proceedings was posted on the inquiry website at the end of each day (see paragraph </w:t>
      </w:r>
      <w:r w:rsidRPr="00884B04">
        <w:fldChar w:fldCharType="begin"/>
      </w:r>
      <w:r w:rsidRPr="00884B04" w:rsidR="007E7025">
        <w:instrText xml:space="preserve">REF paragraph00049 \h \* CharFormat </w:instrText>
      </w:r>
      <w:r w:rsidRPr="00884B04">
        <w:fldChar w:fldCharType="separate"/>
      </w:r>
      <w:r w:rsidRPr="00884B04" w:rsidR="00884B04">
        <w:t>49</w:t>
      </w:r>
      <w:r w:rsidRPr="00884B04">
        <w:fldChar w:fldCharType="end"/>
      </w:r>
      <w:r w:rsidRPr="00884B04">
        <w:t xml:space="preserve"> above). Documentary evidence could be accessed at, and downloaded from, the inquiry website throughout the duration of the proceedings. The report of the inquiry was both laid before Parliament and published (see paragraph </w:t>
      </w:r>
      <w:r w:rsidRPr="00884B04">
        <w:fldChar w:fldCharType="begin"/>
      </w:r>
      <w:r w:rsidRPr="00884B04" w:rsidR="007E7025">
        <w:instrText xml:space="preserve">REF paragraph00070 \h \* CharFormat </w:instrText>
      </w:r>
      <w:r w:rsidRPr="00884B04">
        <w:fldChar w:fldCharType="separate"/>
      </w:r>
      <w:r w:rsidRPr="00884B04" w:rsidR="00884B04">
        <w:t>70</w:t>
      </w:r>
      <w:r w:rsidRPr="00884B04">
        <w:fldChar w:fldCharType="end"/>
      </w:r>
      <w:r w:rsidRPr="00884B04">
        <w:t xml:space="preserve"> above).</w:t>
      </w:r>
    </w:p>
    <w:p w:rsidRPr="00884B04" w:rsidR="00662B04" w:rsidP="00884B04" w:rsidRDefault="00662B04" w14:paraId="475F01FC" w14:textId="2A9590F8">
      <w:pPr>
        <w:pStyle w:val="JuPara"/>
      </w:pPr>
      <w:r w:rsidRPr="00884B04">
        <w:fldChar w:fldCharType="begin"/>
      </w:r>
      <w:r w:rsidRPr="00884B04">
        <w:instrText xml:space="preserve"> SEQ level0 \*arabic </w:instrText>
      </w:r>
      <w:r w:rsidRPr="00884B04">
        <w:fldChar w:fldCharType="separate"/>
      </w:r>
      <w:r w:rsidRPr="00884B04" w:rsidR="00884B04">
        <w:rPr>
          <w:noProof/>
        </w:rPr>
        <w:t>102</w:t>
      </w:r>
      <w:r w:rsidRPr="00884B04">
        <w:fldChar w:fldCharType="end"/>
      </w:r>
      <w:r w:rsidRPr="00884B04">
        <w:t>.</w:t>
      </w:r>
      <w:r w:rsidRPr="00884B04" w:rsidR="00FD072F">
        <w:t>  </w:t>
      </w:r>
      <w:r w:rsidRPr="00884B04">
        <w:t xml:space="preserve">Decisions taken by the Chairman were susceptible to judicial review (see paragraph </w:t>
      </w:r>
      <w:r w:rsidRPr="00884B04">
        <w:fldChar w:fldCharType="begin"/>
      </w:r>
      <w:r w:rsidRPr="00884B04" w:rsidR="007E7025">
        <w:instrText xml:space="preserve">REF paragraph00085 \h \* CharFormat </w:instrText>
      </w:r>
      <w:r w:rsidRPr="00884B04">
        <w:fldChar w:fldCharType="separate"/>
      </w:r>
      <w:r w:rsidRPr="00884B04" w:rsidR="00884B04">
        <w:t>85</w:t>
      </w:r>
      <w:r w:rsidRPr="00884B04">
        <w:fldChar w:fldCharType="end"/>
      </w:r>
      <w:r w:rsidRPr="00884B04">
        <w:t xml:space="preserve"> above), with the consequence that any person affected by a decision or ruling could bring an application for judicial review before three judges of the Divisional Court in order to challenge it.</w:t>
      </w:r>
    </w:p>
    <w:bookmarkStart w:name="_Hlk72153841" w:id="67"/>
    <w:p w:rsidRPr="00884B04" w:rsidR="007E7025" w:rsidP="00884B04" w:rsidRDefault="00662B04" w14:paraId="22DBF7B1" w14:textId="1A82AE52">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103</w:t>
      </w:r>
      <w:r w:rsidRPr="00884B04">
        <w:fldChar w:fldCharType="end"/>
      </w:r>
      <w:r w:rsidRPr="00884B04">
        <w:t>.</w:t>
      </w:r>
      <w:r w:rsidRPr="00884B04" w:rsidR="00FD072F">
        <w:t>  </w:t>
      </w:r>
      <w:r w:rsidRPr="00884B04">
        <w:t xml:space="preserve">All interested parties were eligible to apply for core participant status and many did with their applications being granted by the Chairman (see paragraph </w:t>
      </w:r>
      <w:r w:rsidRPr="00884B04">
        <w:fldChar w:fldCharType="begin"/>
      </w:r>
      <w:r w:rsidRPr="00884B04" w:rsidR="007E7025">
        <w:instrText xml:space="preserve">REF paragraph00051 \h \* CharFormat </w:instrText>
      </w:r>
      <w:r w:rsidRPr="00884B04">
        <w:fldChar w:fldCharType="separate"/>
      </w:r>
      <w:r w:rsidRPr="00884B04" w:rsidR="00884B04">
        <w:t>51</w:t>
      </w:r>
      <w:r w:rsidRPr="00884B04">
        <w:fldChar w:fldCharType="end"/>
      </w:r>
      <w:r w:rsidRPr="00884B04">
        <w:t xml:space="preserve"> above). The Russian authorities chose </w:t>
      </w:r>
      <w:r w:rsidRPr="00884B04" w:rsidR="007E7025">
        <w:t>not to make such an application, whether through the ICRF or any other State agency.</w:t>
      </w:r>
      <w:r w:rsidRPr="00884B04" w:rsidR="00F42FFF">
        <w:t xml:space="preserve"> </w:t>
      </w:r>
      <w:r w:rsidRPr="00884B04" w:rsidR="007E7025">
        <w:t xml:space="preserve">Similarly, </w:t>
      </w:r>
      <w:r w:rsidRPr="00884B04" w:rsidR="00F42FFF">
        <w:t>Mr L</w:t>
      </w:r>
      <w:r w:rsidRPr="00884B04" w:rsidR="007E7025">
        <w:t xml:space="preserve">ugovoy and </w:t>
      </w:r>
      <w:r w:rsidRPr="00884B04" w:rsidR="00F42FFF">
        <w:t>Mr K</w:t>
      </w:r>
      <w:r w:rsidRPr="00884B04" w:rsidR="007E7025">
        <w:t xml:space="preserve">ovtun declined to become core participants or give evidence, even though </w:t>
      </w:r>
      <w:r w:rsidRPr="00884B04" w:rsidR="00F42FFF">
        <w:t>Mr L</w:t>
      </w:r>
      <w:r w:rsidRPr="00884B04" w:rsidR="007E7025">
        <w:t xml:space="preserve">ugovoy had been a party to the inquest, and </w:t>
      </w:r>
      <w:r w:rsidRPr="00884B04" w:rsidR="00F42FFF">
        <w:t>Mr K</w:t>
      </w:r>
      <w:r w:rsidRPr="00884B04" w:rsidR="007E7025">
        <w:t xml:space="preserve">ovtun had promised at a late stage to testify via videolink before reneging on that commitment (see paragraphs </w:t>
      </w:r>
      <w:r w:rsidRPr="00884B04" w:rsidR="007E7025">
        <w:fldChar w:fldCharType="begin"/>
      </w:r>
      <w:r w:rsidRPr="00884B04" w:rsidR="007E7025">
        <w:instrText xml:space="preserve">REF paragraph00052 \h \* CharFormat </w:instrText>
      </w:r>
      <w:r w:rsidRPr="00884B04" w:rsidR="007E7025">
        <w:fldChar w:fldCharType="separate"/>
      </w:r>
      <w:r w:rsidRPr="00884B04" w:rsidR="00884B04">
        <w:t>52</w:t>
      </w:r>
      <w:r w:rsidRPr="00884B04" w:rsidR="007E7025">
        <w:fldChar w:fldCharType="end"/>
      </w:r>
      <w:r w:rsidRPr="00884B04" w:rsidR="007E7025">
        <w:t>-</w:t>
      </w:r>
      <w:r w:rsidRPr="00884B04" w:rsidR="007E7025">
        <w:fldChar w:fldCharType="begin"/>
      </w:r>
      <w:r w:rsidRPr="00884B04" w:rsidR="007E7025">
        <w:instrText xml:space="preserve">REF paragraph00053 \h \* CharFormat </w:instrText>
      </w:r>
      <w:r w:rsidRPr="00884B04" w:rsidR="007E7025">
        <w:fldChar w:fldCharType="separate"/>
      </w:r>
      <w:r w:rsidRPr="00884B04" w:rsidR="00884B04">
        <w:t>53</w:t>
      </w:r>
      <w:r w:rsidRPr="00884B04" w:rsidR="007E7025">
        <w:fldChar w:fldCharType="end"/>
      </w:r>
      <w:r w:rsidRPr="00884B04" w:rsidR="007E7025">
        <w:t xml:space="preserve"> above).</w:t>
      </w:r>
      <w:r w:rsidRPr="00884B04" w:rsidR="00F42FFF">
        <w:t xml:space="preserve"> </w:t>
      </w:r>
      <w:r w:rsidRPr="00884B04">
        <w:t xml:space="preserve">Had any of these parties been core participants, they would have been entitled, either personally or through their appointed legal representatives, to have made opening and closing statements, and, if appropriate, to have applied for permission to question witnesses giving evidence in the open hearings (see paragraphs </w:t>
      </w:r>
      <w:r w:rsidRPr="00884B04">
        <w:fldChar w:fldCharType="begin"/>
      </w:r>
      <w:r w:rsidRPr="00884B04" w:rsidR="007E7025">
        <w:instrText xml:space="preserve">REF paragraph00049 \h \* CharFormat </w:instrText>
      </w:r>
      <w:r w:rsidRPr="00884B04">
        <w:fldChar w:fldCharType="separate"/>
      </w:r>
      <w:r w:rsidRPr="00884B04" w:rsidR="00884B04">
        <w:t>49</w:t>
      </w:r>
      <w:r w:rsidRPr="00884B04">
        <w:fldChar w:fldCharType="end"/>
      </w:r>
      <w:r w:rsidRPr="00884B04">
        <w:t xml:space="preserve">, </w:t>
      </w:r>
      <w:r w:rsidRPr="00884B04">
        <w:fldChar w:fldCharType="begin"/>
      </w:r>
      <w:r w:rsidRPr="00884B04" w:rsidR="007E7025">
        <w:instrText xml:space="preserve">REF paragraph00086 \h \* CharFormat </w:instrText>
      </w:r>
      <w:r w:rsidRPr="00884B04">
        <w:fldChar w:fldCharType="separate"/>
      </w:r>
      <w:r w:rsidRPr="00884B04" w:rsidR="00884B04">
        <w:t>86</w:t>
      </w:r>
      <w:r w:rsidRPr="00884B04">
        <w:fldChar w:fldCharType="end"/>
      </w:r>
      <w:r w:rsidRPr="00884B04">
        <w:t xml:space="preserve"> and </w:t>
      </w:r>
      <w:r w:rsidRPr="00884B04">
        <w:fldChar w:fldCharType="begin"/>
      </w:r>
      <w:r w:rsidRPr="00884B04" w:rsidR="007E7025">
        <w:instrText xml:space="preserve">REF paragraph00087 \h \* CharFormat </w:instrText>
      </w:r>
      <w:r w:rsidRPr="00884B04">
        <w:fldChar w:fldCharType="separate"/>
      </w:r>
      <w:r w:rsidRPr="00884B04" w:rsidR="00884B04">
        <w:t>87</w:t>
      </w:r>
      <w:r w:rsidRPr="00884B04">
        <w:fldChar w:fldCharType="end"/>
      </w:r>
      <w:r w:rsidRPr="00884B04">
        <w:t xml:space="preserve"> above). Nonetheless, even in their absence steps were taken to ensure that the proceedings were fair. It is highly significant that the Chairman addressed the consequences to be attached to their decision </w:t>
      </w:r>
      <w:bookmarkEnd w:id="67"/>
      <w:r w:rsidRPr="00884B04" w:rsidR="007E7025">
        <w:t xml:space="preserve">not to participate and decided that no inferences would be drawn from their absence (see paragraph </w:t>
      </w:r>
      <w:r w:rsidRPr="00884B04" w:rsidR="007E7025">
        <w:fldChar w:fldCharType="begin"/>
      </w:r>
      <w:r w:rsidRPr="00884B04" w:rsidR="007E7025">
        <w:instrText xml:space="preserve">REF paragraph00056 \h \* CharFormat </w:instrText>
      </w:r>
      <w:r w:rsidRPr="00884B04" w:rsidR="007E7025">
        <w:fldChar w:fldCharType="separate"/>
      </w:r>
      <w:r w:rsidRPr="00884B04" w:rsidR="00884B04">
        <w:t>56</w:t>
      </w:r>
      <w:r w:rsidRPr="00884B04" w:rsidR="007E7025">
        <w:fldChar w:fldCharType="end"/>
      </w:r>
      <w:r w:rsidRPr="00884B04" w:rsidR="007E7025">
        <w:t xml:space="preserve"> above).</w:t>
      </w:r>
    </w:p>
    <w:p w:rsidRPr="00884B04" w:rsidR="007E7025" w:rsidP="00884B04" w:rsidRDefault="00EB7A47" w14:paraId="6BB9FE4A" w14:textId="5C783417">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104</w:t>
      </w:r>
      <w:r>
        <w:rPr>
          <w:noProof/>
        </w:rPr>
        <w:fldChar w:fldCharType="end"/>
      </w:r>
      <w:r w:rsidRPr="00884B04" w:rsidR="007E7025">
        <w:t>.</w:t>
      </w:r>
      <w:r w:rsidRPr="00884B04" w:rsidR="00FD072F">
        <w:t>  </w:t>
      </w:r>
      <w:r w:rsidRPr="00884B04" w:rsidR="007E7025">
        <w:t>The Court cannot assess the well-foundedness of the Government</w:t>
      </w:r>
      <w:r w:rsidRPr="00884B04" w:rsidR="00884B04">
        <w:t>’</w:t>
      </w:r>
      <w:r w:rsidRPr="00884B04" w:rsidR="007E7025">
        <w:t>s claim that, in the opinion of the ICRF, the conduct of the inquiry contravened British law because the Government neither produced a copy of the ICRF report containing those findings nor explained what those findings were or what specific issues of non-compliance were alleged.</w:t>
      </w:r>
    </w:p>
    <w:p w:rsidRPr="00884B04" w:rsidR="007E7025" w:rsidP="00884B04" w:rsidRDefault="007E7025" w14:paraId="595D578A" w14:textId="77777777">
      <w:pPr>
        <w:pStyle w:val="JuHa0"/>
      </w:pPr>
      <w:r w:rsidRPr="00884B04">
        <w:t xml:space="preserve">Terms of the inquiry and </w:t>
      </w:r>
      <w:r w:rsidRPr="00884B04" w:rsidR="00133A48">
        <w:t xml:space="preserve">the </w:t>
      </w:r>
      <w:r w:rsidRPr="00884B04">
        <w:t>use of evidence</w:t>
      </w:r>
    </w:p>
    <w:p w:rsidRPr="00884B04" w:rsidR="00662B04" w:rsidP="00884B04" w:rsidRDefault="007E7025" w14:paraId="6CF4304F" w14:textId="58F53DC3">
      <w:pPr>
        <w:pStyle w:val="JuPara"/>
      </w:pPr>
      <w:r w:rsidRPr="00884B04">
        <w:fldChar w:fldCharType="begin"/>
      </w:r>
      <w:r w:rsidRPr="00884B04">
        <w:instrText xml:space="preserve"> SEQ level0 \*arabic </w:instrText>
      </w:r>
      <w:r w:rsidRPr="00884B04">
        <w:fldChar w:fldCharType="separate"/>
      </w:r>
      <w:r w:rsidRPr="00884B04" w:rsidR="00884B04">
        <w:rPr>
          <w:noProof/>
        </w:rPr>
        <w:t>105</w:t>
      </w:r>
      <w:r w:rsidRPr="00884B04">
        <w:fldChar w:fldCharType="end"/>
      </w:r>
      <w:r w:rsidRPr="00884B04">
        <w:t>.</w:t>
      </w:r>
      <w:r w:rsidRPr="00884B04" w:rsidR="00FD072F">
        <w:t>  </w:t>
      </w:r>
      <w:r w:rsidRPr="00884B04">
        <w:t>The Court is satisfied that the inquiry was thorough and meticulous in its assessment of the evidence.</w:t>
      </w:r>
      <w:r w:rsidRPr="00884B04" w:rsidR="00F42FFF">
        <w:t xml:space="preserve"> </w:t>
      </w:r>
      <w:r w:rsidRPr="00884B04">
        <w:t xml:space="preserve">Indeed, the Chairman expressly recognised that the circumstances of the inquiry called for an exceptionally rigorous and exemplary approach (see paragraph </w:t>
      </w:r>
      <w:r w:rsidRPr="00884B04">
        <w:fldChar w:fldCharType="begin"/>
      </w:r>
      <w:r w:rsidRPr="00884B04">
        <w:instrText xml:space="preserve">REF paragraph00058 \h \* CharFormat </w:instrText>
      </w:r>
      <w:r w:rsidRPr="00884B04">
        <w:fldChar w:fldCharType="separate"/>
      </w:r>
      <w:r w:rsidRPr="00884B04" w:rsidR="00884B04">
        <w:t>58</w:t>
      </w:r>
      <w:r w:rsidRPr="00884B04">
        <w:fldChar w:fldCharType="end"/>
      </w:r>
      <w:r w:rsidRPr="00884B04">
        <w:t xml:space="preserve"> above).</w:t>
      </w:r>
      <w:r w:rsidRPr="00884B04" w:rsidR="00F42FFF">
        <w:t xml:space="preserve"> </w:t>
      </w:r>
      <w:r w:rsidRPr="00884B04" w:rsidR="00662B04">
        <w:t>A total of sixty</w:t>
      </w:r>
      <w:r w:rsidRPr="00884B04" w:rsidR="00C83919">
        <w:noBreakHyphen/>
      </w:r>
      <w:r w:rsidRPr="00884B04" w:rsidR="00662B04">
        <w:t xml:space="preserve">two witnesses gave oral evidence and witness statements from a further twenty witnesses were read to the inquiry (see paragraph </w:t>
      </w:r>
      <w:r w:rsidRPr="00884B04" w:rsidR="00662B04">
        <w:fldChar w:fldCharType="begin"/>
      </w:r>
      <w:r w:rsidRPr="00884B04">
        <w:instrText xml:space="preserve">REF paragraph00049 \h \* CharFormat </w:instrText>
      </w:r>
      <w:r w:rsidRPr="00884B04" w:rsidR="00662B04">
        <w:fldChar w:fldCharType="separate"/>
      </w:r>
      <w:r w:rsidRPr="00884B04" w:rsidR="00884B04">
        <w:t>49</w:t>
      </w:r>
      <w:r w:rsidRPr="00884B04" w:rsidR="00662B04">
        <w:fldChar w:fldCharType="end"/>
      </w:r>
      <w:r w:rsidRPr="00884B04" w:rsidR="00662B04">
        <w:t xml:space="preserve"> above). The Chairman adduced a large volume of evidence obtained from a variety of sources, but was precluded from considering the evidence obtained from Russia by way of mutual legal assistance as the Russian authorities had refused to allow this material to be used in the inquiry proceedings (see paragraph </w:t>
      </w:r>
      <w:r w:rsidRPr="00884B04" w:rsidR="00662B04">
        <w:fldChar w:fldCharType="begin"/>
      </w:r>
      <w:r w:rsidRPr="00884B04">
        <w:instrText xml:space="preserve">REF paragraph00054 \h \* CharFormat </w:instrText>
      </w:r>
      <w:r w:rsidRPr="00884B04" w:rsidR="00662B04">
        <w:fldChar w:fldCharType="separate"/>
      </w:r>
      <w:r w:rsidRPr="00884B04" w:rsidR="00884B04">
        <w:t>54</w:t>
      </w:r>
      <w:r w:rsidRPr="00884B04" w:rsidR="00662B04">
        <w:fldChar w:fldCharType="end"/>
      </w:r>
      <w:r w:rsidRPr="00884B04" w:rsidR="00662B04">
        <w:t xml:space="preserve"> above).</w:t>
      </w:r>
    </w:p>
    <w:p w:rsidRPr="00884B04" w:rsidR="00662B04" w:rsidP="00884B04" w:rsidRDefault="00662B04" w14:paraId="6EEE251B" w14:textId="63674D5C">
      <w:pPr>
        <w:pStyle w:val="JuPara"/>
      </w:pPr>
      <w:r w:rsidRPr="00884B04">
        <w:fldChar w:fldCharType="begin"/>
      </w:r>
      <w:r w:rsidRPr="00884B04">
        <w:instrText xml:space="preserve"> SEQ level0 \*arabic </w:instrText>
      </w:r>
      <w:r w:rsidRPr="00884B04">
        <w:fldChar w:fldCharType="separate"/>
      </w:r>
      <w:r w:rsidRPr="00884B04" w:rsidR="00884B04">
        <w:rPr>
          <w:noProof/>
        </w:rPr>
        <w:t>106</w:t>
      </w:r>
      <w:r w:rsidRPr="00884B04">
        <w:fldChar w:fldCharType="end"/>
      </w:r>
      <w:r w:rsidRPr="00884B04">
        <w:t>.</w:t>
      </w:r>
      <w:r w:rsidRPr="00884B04" w:rsidR="00FD072F">
        <w:t>  </w:t>
      </w:r>
      <w:r w:rsidRPr="00884B04">
        <w:t xml:space="preserve">An inquiry may </w:t>
      </w:r>
      <w:r w:rsidRPr="00884B04" w:rsidR="007E7025">
        <w:t>not find a person guilty of a criminal offence or determine a question of civil liability because it is no part of the function of an inquiry to prove a case of any kind.</w:t>
      </w:r>
      <w:r w:rsidRPr="00884B04" w:rsidR="00F42FFF">
        <w:t xml:space="preserve"> </w:t>
      </w:r>
      <w:r w:rsidRPr="00884B04" w:rsidR="007E7025">
        <w:t xml:space="preserve">However, the Inquiry Rules permitted the Chairman to make findings of fact from which the likelihood of liability could be inferred if the evidence permitted this, seeking out and recording all factual matters required by the public interest, even if that involved reaching conclusions about the identity of the person or persons responsible for the death, and the motives underlying it (see paragraph </w:t>
      </w:r>
      <w:r w:rsidRPr="00884B04" w:rsidR="007E7025">
        <w:fldChar w:fldCharType="begin"/>
      </w:r>
      <w:r w:rsidRPr="00884B04" w:rsidR="007E7025">
        <w:instrText xml:space="preserve">REF paragraph00083 \h \* CharFormat </w:instrText>
      </w:r>
      <w:r w:rsidRPr="00884B04" w:rsidR="007E7025">
        <w:fldChar w:fldCharType="separate"/>
      </w:r>
      <w:r w:rsidRPr="00884B04" w:rsidR="00884B04">
        <w:t>83</w:t>
      </w:r>
      <w:r w:rsidRPr="00884B04" w:rsidR="007E7025">
        <w:fldChar w:fldCharType="end"/>
      </w:r>
      <w:r w:rsidRPr="00884B04" w:rsidR="007E7025">
        <w:t xml:space="preserve"> above).</w:t>
      </w:r>
      <w:r w:rsidRPr="00884B04" w:rsidR="00F42FFF">
        <w:t xml:space="preserve"> </w:t>
      </w:r>
      <w:r w:rsidRPr="00884B04">
        <w:t xml:space="preserve">The Chairman was entitled to set out which of his findings of fact were made to the criminal standard of proof, that of “beyond reasonable doubt”, and which ones to the ordinary civil standard of proof, that of the “balance of probabilities” (see paragraph </w:t>
      </w:r>
      <w:r w:rsidRPr="00884B04">
        <w:fldChar w:fldCharType="begin"/>
      </w:r>
      <w:r w:rsidRPr="00884B04" w:rsidR="007E7025">
        <w:instrText xml:space="preserve">REF paragraph00057 \h \* CharFormat </w:instrText>
      </w:r>
      <w:r w:rsidRPr="00884B04">
        <w:fldChar w:fldCharType="separate"/>
      </w:r>
      <w:r w:rsidRPr="00884B04" w:rsidR="00884B04">
        <w:t>57</w:t>
      </w:r>
      <w:r w:rsidRPr="00884B04">
        <w:fldChar w:fldCharType="end"/>
      </w:r>
      <w:r w:rsidRPr="00884B04">
        <w:t xml:space="preserve"> above).</w:t>
      </w:r>
    </w:p>
    <w:p w:rsidRPr="00884B04" w:rsidR="007E7025" w:rsidP="00884B04" w:rsidRDefault="00662B04" w14:paraId="411277EB" w14:textId="6B92D8FC">
      <w:pPr>
        <w:pStyle w:val="JuPara"/>
      </w:pPr>
      <w:r w:rsidRPr="00884B04">
        <w:fldChar w:fldCharType="begin"/>
      </w:r>
      <w:r w:rsidRPr="00884B04">
        <w:instrText xml:space="preserve"> SEQ level0 \*arabic </w:instrText>
      </w:r>
      <w:r w:rsidRPr="00884B04">
        <w:fldChar w:fldCharType="separate"/>
      </w:r>
      <w:r w:rsidRPr="00884B04" w:rsidR="00884B04">
        <w:rPr>
          <w:noProof/>
        </w:rPr>
        <w:t>107</w:t>
      </w:r>
      <w:r w:rsidRPr="00884B04">
        <w:fldChar w:fldCharType="end"/>
      </w:r>
      <w:r w:rsidRPr="00884B04">
        <w:t>.</w:t>
      </w:r>
      <w:r w:rsidRPr="00884B04" w:rsidR="00FD072F">
        <w:t>  </w:t>
      </w:r>
      <w:r w:rsidRPr="00884B04">
        <w:t>In so far as the Government contended that the inquiry was “one</w:t>
      </w:r>
      <w:r w:rsidRPr="00884B04">
        <w:noBreakHyphen/>
        <w:t xml:space="preserve">sided” as there was </w:t>
      </w:r>
      <w:r w:rsidRPr="00884B04" w:rsidR="007E7025">
        <w:t>no one to tell the “other side of the story”, the Court notes that they failed to offer any details as to what exactly “the other side of the story” might be.</w:t>
      </w:r>
      <w:r w:rsidRPr="00884B04" w:rsidR="00F42FFF">
        <w:t xml:space="preserve"> </w:t>
      </w:r>
      <w:r w:rsidRPr="00884B04" w:rsidR="007E7025">
        <w:t xml:space="preserve">It is clear that the inquiry considered and ultimately rejected as unsupported by evidence alternative explanations for </w:t>
      </w:r>
      <w:r w:rsidRPr="00884B04" w:rsidR="00F42FFF">
        <w:t>Mr L</w:t>
      </w:r>
      <w:r w:rsidRPr="00884B04" w:rsidR="007E7025">
        <w:t>itvinenko</w:t>
      </w:r>
      <w:r w:rsidRPr="00884B04" w:rsidR="00884B04">
        <w:t>’</w:t>
      </w:r>
      <w:r w:rsidRPr="00884B04" w:rsidR="007E7025">
        <w:t xml:space="preserve">s death, including those that </w:t>
      </w:r>
      <w:r w:rsidRPr="00884B04" w:rsidR="00F42FFF">
        <w:t>Mr L</w:t>
      </w:r>
      <w:r w:rsidRPr="00884B04" w:rsidR="007E7025">
        <w:t>ugovoy put forward in his press appearances.</w:t>
      </w:r>
      <w:r w:rsidRPr="00884B04" w:rsidR="00F42FFF">
        <w:t xml:space="preserve"> </w:t>
      </w:r>
      <w:r w:rsidRPr="00884B04">
        <w:t xml:space="preserve">In particular, the Chairman considered whether </w:t>
      </w:r>
      <w:r w:rsidRPr="00884B04" w:rsidR="00F42FFF">
        <w:t>Mr L</w:t>
      </w:r>
      <w:r w:rsidRPr="00884B04">
        <w:t xml:space="preserve">itvinenko might have poisoned himself, either accidentally or deliberately (see paragraph </w:t>
      </w:r>
      <w:r w:rsidRPr="00884B04">
        <w:fldChar w:fldCharType="begin"/>
      </w:r>
      <w:r w:rsidRPr="00884B04" w:rsidR="007E7025">
        <w:instrText xml:space="preserve">REF paragraph00060 \h \* CharFormat </w:instrText>
      </w:r>
      <w:r w:rsidRPr="00884B04">
        <w:fldChar w:fldCharType="separate"/>
      </w:r>
      <w:r w:rsidRPr="00884B04" w:rsidR="00884B04">
        <w:t>60</w:t>
      </w:r>
      <w:r w:rsidRPr="00884B04">
        <w:fldChar w:fldCharType="end"/>
      </w:r>
      <w:r w:rsidRPr="00884B04">
        <w:t xml:space="preserve"> above). He also considered whether the killing of </w:t>
      </w:r>
      <w:r w:rsidRPr="00884B04" w:rsidR="00F42FFF">
        <w:t>Mr L</w:t>
      </w:r>
      <w:r w:rsidRPr="00884B04">
        <w:t xml:space="preserve">itvinenko might have been directed by the United Kingdom intelligence services, groups linked to organised crime, or </w:t>
      </w:r>
      <w:r w:rsidRPr="00884B04" w:rsidR="00F42FFF">
        <w:t>Mr L</w:t>
      </w:r>
      <w:r w:rsidRPr="00884B04">
        <w:t>itvinenko</w:t>
      </w:r>
      <w:r w:rsidRPr="00884B04" w:rsidR="00884B04">
        <w:t>’</w:t>
      </w:r>
      <w:r w:rsidRPr="00884B04">
        <w:t xml:space="preserve">s business associates or acquaintances. However, </w:t>
      </w:r>
      <w:r w:rsidRPr="00884B04" w:rsidR="007E7025">
        <w:t xml:space="preserve">none of these theories were supported by any evidence whatsoever (see paragraph </w:t>
      </w:r>
      <w:r w:rsidRPr="00884B04" w:rsidR="007E7025">
        <w:fldChar w:fldCharType="begin"/>
      </w:r>
      <w:r w:rsidRPr="00884B04" w:rsidR="007E7025">
        <w:instrText xml:space="preserve">REF paragraph00064 \h \* CharFormat </w:instrText>
      </w:r>
      <w:r w:rsidRPr="00884B04" w:rsidR="007E7025">
        <w:fldChar w:fldCharType="separate"/>
      </w:r>
      <w:r w:rsidRPr="00884B04" w:rsidR="00884B04">
        <w:t>64</w:t>
      </w:r>
      <w:r w:rsidRPr="00884B04" w:rsidR="007E7025">
        <w:fldChar w:fldCharType="end"/>
      </w:r>
      <w:r w:rsidRPr="00884B04" w:rsidR="007E7025">
        <w:t xml:space="preserve"> above).</w:t>
      </w:r>
    </w:p>
    <w:p w:rsidRPr="00884B04" w:rsidR="007E7025" w:rsidP="00884B04" w:rsidRDefault="007E7025" w14:paraId="7C8F36A1" w14:textId="5F92CE4C">
      <w:pPr>
        <w:pStyle w:val="JuPara"/>
      </w:pPr>
      <w:r w:rsidRPr="00884B04">
        <w:fldChar w:fldCharType="begin"/>
      </w:r>
      <w:r w:rsidRPr="00884B04">
        <w:instrText xml:space="preserve"> SEQ level0 \*arabic </w:instrText>
      </w:r>
      <w:r w:rsidRPr="00884B04">
        <w:fldChar w:fldCharType="separate"/>
      </w:r>
      <w:r w:rsidRPr="00884B04" w:rsidR="00884B04">
        <w:rPr>
          <w:noProof/>
        </w:rPr>
        <w:t>108</w:t>
      </w:r>
      <w:r w:rsidRPr="00884B04">
        <w:fldChar w:fldCharType="end"/>
      </w:r>
      <w:r w:rsidRPr="00884B04">
        <w:t>.</w:t>
      </w:r>
      <w:r w:rsidRPr="00884B04" w:rsidR="00FD072F">
        <w:t>  </w:t>
      </w:r>
      <w:r w:rsidRPr="00884B04">
        <w:t>It is true that neither the parties nor the Court have had access to the closed evidence as this material has been in the exclusive possession of the United Kingdom Government.</w:t>
      </w:r>
      <w:r w:rsidRPr="00884B04" w:rsidR="00F42FFF">
        <w:t xml:space="preserve"> </w:t>
      </w:r>
      <w:r w:rsidRPr="00884B04">
        <w:t xml:space="preserve">However, in cases where the Court has not had sight of national security material on which decisions restricting human rights are based, it has instead scrutinised the national decision-making procedure to ensure that it incorporated adequate safeguards to protect the interests of the person concerned (see, </w:t>
      </w:r>
      <w:r w:rsidRPr="00884B04">
        <w:rPr>
          <w:i/>
          <w:iCs/>
        </w:rPr>
        <w:t>mutatis mutandis</w:t>
      </w:r>
      <w:r w:rsidRPr="00884B04">
        <w:t xml:space="preserve">, </w:t>
      </w:r>
      <w:r w:rsidRPr="00884B04" w:rsidR="00807025">
        <w:rPr>
          <w:i/>
        </w:rPr>
        <w:t>Yam v.</w:t>
      </w:r>
      <w:r w:rsidRPr="00884B04" w:rsidR="00C83919">
        <w:rPr>
          <w:i/>
        </w:rPr>
        <w:t> </w:t>
      </w:r>
      <w:r w:rsidRPr="00884B04" w:rsidR="00807025">
        <w:rPr>
          <w:i/>
        </w:rPr>
        <w:t>the</w:t>
      </w:r>
      <w:r w:rsidRPr="00884B04" w:rsidR="00C83919">
        <w:rPr>
          <w:i/>
        </w:rPr>
        <w:t> </w:t>
      </w:r>
      <w:r w:rsidRPr="00884B04" w:rsidR="00807025">
        <w:rPr>
          <w:i/>
        </w:rPr>
        <w:t>United</w:t>
      </w:r>
      <w:r w:rsidRPr="00884B04" w:rsidR="00C83919">
        <w:rPr>
          <w:i/>
        </w:rPr>
        <w:t> </w:t>
      </w:r>
      <w:r w:rsidRPr="00884B04" w:rsidR="00807025">
        <w:rPr>
          <w:i/>
        </w:rPr>
        <w:t>Kingdom</w:t>
      </w:r>
      <w:r w:rsidRPr="00884B04" w:rsidR="00807025">
        <w:rPr>
          <w:iCs/>
        </w:rPr>
        <w:t>, no. 31295/11, § 56, 16 January 2020</w:t>
      </w:r>
      <w:r w:rsidRPr="00884B04">
        <w:t>).</w:t>
      </w:r>
      <w:r w:rsidRPr="00884B04" w:rsidR="00F42FFF">
        <w:t xml:space="preserve"> </w:t>
      </w:r>
      <w:r w:rsidRPr="00884B04">
        <w:t>The Court therefore takes note of the fact that the closed evidence procedure was set out in detail in the inquiry report and the nature of the closed material was described, albeit in broad terms.</w:t>
      </w:r>
      <w:r w:rsidRPr="00884B04" w:rsidR="00F42FFF">
        <w:t xml:space="preserve"> </w:t>
      </w:r>
      <w:r w:rsidRPr="00884B04">
        <w:t>The Chairman, Counsel and Solicitor to the Inquiry and the legal team for the Home Secretary were present at the closed hearings.</w:t>
      </w:r>
      <w:r w:rsidRPr="00884B04" w:rsidR="00F42FFF">
        <w:t xml:space="preserve"> </w:t>
      </w:r>
      <w:r w:rsidRPr="00884B04" w:rsidR="00662B04">
        <w:t xml:space="preserve">Counsel could make submissions regarding documentary evidence and witnesses giving oral evidence could be questioned by the Chairman and Counsel (see paragraph </w:t>
      </w:r>
      <w:r w:rsidRPr="00884B04" w:rsidR="00662B04">
        <w:fldChar w:fldCharType="begin"/>
      </w:r>
      <w:r w:rsidRPr="00884B04">
        <w:instrText xml:space="preserve">REF paragraph00087 \h \* CharFormat </w:instrText>
      </w:r>
      <w:r w:rsidRPr="00884B04" w:rsidR="00662B04">
        <w:fldChar w:fldCharType="separate"/>
      </w:r>
      <w:r w:rsidRPr="00884B04" w:rsidR="00884B04">
        <w:t>87</w:t>
      </w:r>
      <w:r w:rsidRPr="00884B04" w:rsidR="00662B04">
        <w:fldChar w:fldCharType="end"/>
      </w:r>
      <w:r w:rsidRPr="00884B04" w:rsidR="00662B04">
        <w:t xml:space="preserve"> above). Although material subject to a Restriction Notice could </w:t>
      </w:r>
      <w:r w:rsidRPr="00884B04">
        <w:t xml:space="preserve">not be referred to in the public hearings and had to be redacted from the report prior to its publication, the Restriction Notices were themselves public documents, which were published both on the inquiry website and also as appendixes to the report (see paragraph </w:t>
      </w:r>
      <w:r w:rsidRPr="00884B04">
        <w:fldChar w:fldCharType="begin"/>
      </w:r>
      <w:r w:rsidRPr="00884B04">
        <w:instrText xml:space="preserve">REF paragraph00081 \h \* CharFormat </w:instrText>
      </w:r>
      <w:r w:rsidRPr="00884B04">
        <w:fldChar w:fldCharType="separate"/>
      </w:r>
      <w:r w:rsidRPr="00884B04" w:rsidR="00884B04">
        <w:t>81</w:t>
      </w:r>
      <w:r w:rsidRPr="00884B04">
        <w:fldChar w:fldCharType="end"/>
      </w:r>
      <w:r w:rsidRPr="00884B04">
        <w:t xml:space="preserve"> above).</w:t>
      </w:r>
      <w:r w:rsidRPr="00884B04" w:rsidR="00F42FFF">
        <w:t xml:space="preserve"> </w:t>
      </w:r>
      <w:r w:rsidRPr="00884B04">
        <w:t>The Court is therefore satisfied that, to the extent possible under the circumstances, the taking and use of closed evidence was attended with appropriate safeguards.</w:t>
      </w:r>
    </w:p>
    <w:p w:rsidRPr="00884B04" w:rsidR="007E7025" w:rsidP="00884B04" w:rsidRDefault="007E7025" w14:paraId="1D2FAA8A" w14:textId="7578F5AD">
      <w:pPr>
        <w:pStyle w:val="JuPara"/>
      </w:pPr>
      <w:r w:rsidRPr="00884B04">
        <w:fldChar w:fldCharType="begin"/>
      </w:r>
      <w:r w:rsidRPr="00884B04">
        <w:instrText xml:space="preserve"> SEQ level0 \*arabic </w:instrText>
      </w:r>
      <w:r w:rsidRPr="00884B04">
        <w:fldChar w:fldCharType="separate"/>
      </w:r>
      <w:r w:rsidRPr="00884B04" w:rsidR="00884B04">
        <w:rPr>
          <w:noProof/>
        </w:rPr>
        <w:t>109</w:t>
      </w:r>
      <w:r w:rsidRPr="00884B04">
        <w:fldChar w:fldCharType="end"/>
      </w:r>
      <w:r w:rsidRPr="00884B04">
        <w:t>.</w:t>
      </w:r>
      <w:r w:rsidRPr="00884B04" w:rsidR="00FD072F">
        <w:t>  </w:t>
      </w:r>
      <w:r w:rsidRPr="00884B04">
        <w:t>Finally, the Court notes that the findings of the inquiry do not stand alone.</w:t>
      </w:r>
      <w:r w:rsidRPr="00884B04" w:rsidR="00F42FFF">
        <w:t xml:space="preserve"> </w:t>
      </w:r>
      <w:r w:rsidRPr="00884B04">
        <w:t>They were consistent with the outcome of a criminal investigation conducted by the MPS.</w:t>
      </w:r>
      <w:r w:rsidRPr="00884B04" w:rsidR="00F42FFF">
        <w:t xml:space="preserve"> </w:t>
      </w:r>
      <w:r w:rsidRPr="00884B04" w:rsidR="00662B04">
        <w:t xml:space="preserve">Having assessed the evidence obtained by the MPS, the CPS determined that there was sufficient evidence against both </w:t>
      </w:r>
      <w:r w:rsidRPr="00884B04" w:rsidR="00F42FFF">
        <w:t>Mr L</w:t>
      </w:r>
      <w:r w:rsidRPr="00884B04" w:rsidR="00662B04">
        <w:t xml:space="preserve">ugovoy and </w:t>
      </w:r>
      <w:r w:rsidRPr="00884B04" w:rsidR="00F42FFF">
        <w:t>Mr K</w:t>
      </w:r>
      <w:r w:rsidRPr="00884B04" w:rsidR="00662B04">
        <w:t xml:space="preserve">ovtun to charge them with </w:t>
      </w:r>
      <w:r w:rsidRPr="00884B04" w:rsidR="00F42FFF">
        <w:t>Mr L</w:t>
      </w:r>
      <w:r w:rsidRPr="00884B04" w:rsidR="00662B04">
        <w:t>itvinenko</w:t>
      </w:r>
      <w:r w:rsidRPr="00884B04" w:rsidR="00884B04">
        <w:t>’</w:t>
      </w:r>
      <w:r w:rsidRPr="00884B04" w:rsidR="00662B04">
        <w:t xml:space="preserve">s murder by poisoning (see paragraphs </w:t>
      </w:r>
      <w:r w:rsidRPr="00884B04" w:rsidR="00662B04">
        <w:fldChar w:fldCharType="begin"/>
      </w:r>
      <w:r w:rsidRPr="00884B04">
        <w:instrText xml:space="preserve">REF paragraph00037 \h \* CharFormat </w:instrText>
      </w:r>
      <w:r w:rsidRPr="00884B04" w:rsidR="00662B04">
        <w:fldChar w:fldCharType="separate"/>
      </w:r>
      <w:r w:rsidRPr="00884B04" w:rsidR="00884B04">
        <w:t>37</w:t>
      </w:r>
      <w:r w:rsidRPr="00884B04" w:rsidR="00662B04">
        <w:fldChar w:fldCharType="end"/>
      </w:r>
      <w:r w:rsidRPr="00884B04" w:rsidR="00662B04">
        <w:t xml:space="preserve"> and </w:t>
      </w:r>
      <w:r w:rsidRPr="00884B04" w:rsidR="00662B04">
        <w:fldChar w:fldCharType="begin"/>
      </w:r>
      <w:r w:rsidRPr="00884B04">
        <w:instrText xml:space="preserve">REF paragraph00039 \h \* CharFormat </w:instrText>
      </w:r>
      <w:r w:rsidRPr="00884B04" w:rsidR="00662B04">
        <w:fldChar w:fldCharType="separate"/>
      </w:r>
      <w:r w:rsidRPr="00884B04" w:rsidR="00884B04">
        <w:t>39</w:t>
      </w:r>
      <w:r w:rsidRPr="00884B04" w:rsidR="00662B04">
        <w:fldChar w:fldCharType="end"/>
      </w:r>
      <w:r w:rsidRPr="00884B04" w:rsidR="00662B04">
        <w:t xml:space="preserve"> above). The fact that they did </w:t>
      </w:r>
      <w:r w:rsidRPr="00884B04">
        <w:t>not ultimately stand trial for the crimes with which they were charged was not therefore due to a lack of evidence but rather due to the Russian Federation</w:t>
      </w:r>
      <w:r w:rsidRPr="00884B04" w:rsidR="00884B04">
        <w:t>’</w:t>
      </w:r>
      <w:r w:rsidRPr="00884B04">
        <w:t>s refusal to extradite them.</w:t>
      </w:r>
    </w:p>
    <w:p w:rsidRPr="00884B04" w:rsidR="007E7025" w:rsidP="00884B04" w:rsidRDefault="007E7025" w14:paraId="48AE20E9" w14:textId="77777777">
      <w:pPr>
        <w:pStyle w:val="JuHa0"/>
      </w:pPr>
      <w:r w:rsidRPr="00884B04">
        <w:t>Conclusion</w:t>
      </w:r>
    </w:p>
    <w:p w:rsidRPr="00884B04" w:rsidR="007E7025" w:rsidP="00884B04" w:rsidRDefault="00EB7A47" w14:paraId="5B316E00" w14:textId="6419DE20">
      <w:pPr>
        <w:pStyle w:val="JuPara"/>
      </w:pPr>
      <w:r>
        <w:rPr>
          <w:noProof/>
        </w:rPr>
        <w:fldChar w:fldCharType="begin"/>
      </w:r>
      <w:r>
        <w:rPr>
          <w:noProof/>
        </w:rPr>
        <w:instrText xml:space="preserve"> SEQ level0 \*arabic \* MERGEFORMAT </w:instrText>
      </w:r>
      <w:r>
        <w:rPr>
          <w:noProof/>
        </w:rPr>
        <w:fldChar w:fldCharType="separate"/>
      </w:r>
      <w:bookmarkStart w:name="paragraph00110" w:id="68"/>
      <w:r w:rsidRPr="00884B04" w:rsidR="00884B04">
        <w:rPr>
          <w:noProof/>
        </w:rPr>
        <w:t>110</w:t>
      </w:r>
      <w:bookmarkEnd w:id="68"/>
      <w:r>
        <w:rPr>
          <w:noProof/>
        </w:rPr>
        <w:fldChar w:fldCharType="end"/>
      </w:r>
      <w:r w:rsidRPr="00884B04" w:rsidR="007E7025">
        <w:t>.</w:t>
      </w:r>
      <w:r w:rsidRPr="00884B04" w:rsidR="00FD072F">
        <w:t>  </w:t>
      </w:r>
      <w:r w:rsidRPr="00884B04" w:rsidR="007E7025">
        <w:t xml:space="preserve">As there is no reason to doubt the quality of the domestic investigative process, or the independence, fairness and transparency of the inquiry proceedings, the Court considers that it cannot disregard the findings of the inquiry into the death of </w:t>
      </w:r>
      <w:r w:rsidRPr="00884B04" w:rsidR="00F42FFF">
        <w:t>Mr L</w:t>
      </w:r>
      <w:r w:rsidRPr="00884B04" w:rsidR="007E7025">
        <w:t>itvinenko solely because the authorities of the respondent State abstained from exercising their right to participate in those proceedings.</w:t>
      </w:r>
      <w:r w:rsidRPr="00884B04" w:rsidR="00F42FFF">
        <w:t xml:space="preserve"> </w:t>
      </w:r>
      <w:r w:rsidRPr="00884B04" w:rsidR="007E7025">
        <w:t>Accordingly, the Court finds that the inquiry report should be admitted into evidence.</w:t>
      </w:r>
    </w:p>
    <w:p w:rsidRPr="00884B04" w:rsidR="007E7025" w:rsidP="00884B04" w:rsidRDefault="007E7025" w14:paraId="1255CA4C" w14:textId="77777777">
      <w:pPr>
        <w:pStyle w:val="JuHIRoman"/>
      </w:pPr>
      <w:r w:rsidRPr="00884B04">
        <w:t>ALLEGED VIOLATION OF ARTICLE 2 OF THE CONVENTION</w:t>
      </w:r>
    </w:p>
    <w:p w:rsidRPr="00884B04" w:rsidR="007E7025" w:rsidP="00884B04" w:rsidRDefault="007E7025" w14:paraId="003E865A" w14:textId="6D471B27">
      <w:pPr>
        <w:pStyle w:val="JuPara"/>
      </w:pPr>
      <w:r w:rsidRPr="00884B04">
        <w:fldChar w:fldCharType="begin"/>
      </w:r>
      <w:r w:rsidRPr="00884B04">
        <w:instrText xml:space="preserve"> SEQ level0 \*arabic </w:instrText>
      </w:r>
      <w:r w:rsidRPr="00884B04">
        <w:fldChar w:fldCharType="separate"/>
      </w:r>
      <w:r w:rsidRPr="00884B04" w:rsidR="00884B04">
        <w:rPr>
          <w:noProof/>
        </w:rPr>
        <w:t>111</w:t>
      </w:r>
      <w:r w:rsidRPr="00884B04">
        <w:fldChar w:fldCharType="end"/>
      </w:r>
      <w:r w:rsidRPr="00884B04">
        <w:t>.</w:t>
      </w:r>
      <w:r w:rsidRPr="00884B04" w:rsidR="00FD072F">
        <w:t>  </w:t>
      </w:r>
      <w:r w:rsidRPr="00884B04">
        <w:t xml:space="preserve">The applicant complained under </w:t>
      </w:r>
      <w:r w:rsidRPr="00884B04" w:rsidR="00F42FFF">
        <w:t>Articles 2</w:t>
      </w:r>
      <w:r w:rsidRPr="00884B04">
        <w:t xml:space="preserve"> and 3 of the Convention that her husband, </w:t>
      </w:r>
      <w:r w:rsidRPr="00884B04" w:rsidR="00F42FFF">
        <w:t>Mr L</w:t>
      </w:r>
      <w:r w:rsidRPr="00884B04">
        <w:t xml:space="preserve">itvinenko, had been murdered in a particularly painful manner by </w:t>
      </w:r>
      <w:r w:rsidRPr="00884B04" w:rsidR="00F42FFF">
        <w:t>Mr L</w:t>
      </w:r>
      <w:r w:rsidRPr="00884B04">
        <w:t>ugovoy (with others) while acting as an agent for, or in connivance with, or with the knowledge and support of, the Russian authorities, and that the Russian authorities had failed to conduct an effective investigation into the murder.</w:t>
      </w:r>
      <w:r w:rsidRPr="00884B04" w:rsidR="00F42FFF">
        <w:t xml:space="preserve"> </w:t>
      </w:r>
      <w:r w:rsidRPr="00884B04">
        <w:t xml:space="preserve">The Court will consider this complaint from the standpoint of the right to life guaranteed under </w:t>
      </w:r>
      <w:r w:rsidRPr="00884B04" w:rsidR="00F42FFF">
        <w:t>Article 2</w:t>
      </w:r>
      <w:r w:rsidRPr="00884B04">
        <w:t xml:space="preserve"> of the Convention which reads as follows:</w:t>
      </w:r>
    </w:p>
    <w:p w:rsidRPr="00884B04" w:rsidR="00662B04" w:rsidP="00884B04" w:rsidRDefault="007E7025" w14:paraId="79B4DBC5" w14:textId="1037DD22">
      <w:pPr>
        <w:pStyle w:val="JuQuot"/>
      </w:pPr>
      <w:r w:rsidRPr="00884B04">
        <w:t>“1.</w:t>
      </w:r>
      <w:r w:rsidRPr="00884B04" w:rsidR="00FD072F">
        <w:t>  </w:t>
      </w:r>
      <w:r w:rsidRPr="00884B04">
        <w:t>Everyone</w:t>
      </w:r>
      <w:r w:rsidRPr="00884B04" w:rsidR="00884B04">
        <w:t>’</w:t>
      </w:r>
      <w:r w:rsidRPr="00884B04">
        <w:t>s right to life shall be protected by law.</w:t>
      </w:r>
      <w:r w:rsidRPr="00884B04" w:rsidR="00F42FFF">
        <w:t xml:space="preserve"> </w:t>
      </w:r>
      <w:r w:rsidRPr="00884B04" w:rsidR="00662B04">
        <w:t>No one shall be deprived of his life intentionally save in the execution of a sentence of a court following his conviction of a crime for which this penalty is provided by law ...”</w:t>
      </w:r>
    </w:p>
    <w:p w:rsidRPr="00884B04" w:rsidR="00662B04" w:rsidP="00884B04" w:rsidRDefault="00662B04" w14:paraId="2A6013CC" w14:textId="77777777">
      <w:pPr>
        <w:pStyle w:val="JuHA"/>
        <w:numPr>
          <w:ilvl w:val="2"/>
          <w:numId w:val="1"/>
        </w:numPr>
      </w:pPr>
      <w:r w:rsidRPr="00884B04">
        <w:t>Submissions by the parties</w:t>
      </w:r>
    </w:p>
    <w:p w:rsidRPr="00884B04" w:rsidR="00662B04" w:rsidP="00884B04" w:rsidRDefault="00662B04" w14:paraId="42E44B4E" w14:textId="77777777">
      <w:pPr>
        <w:pStyle w:val="JuH1"/>
      </w:pPr>
      <w:r w:rsidRPr="00884B04">
        <w:t xml:space="preserve">Compatibility </w:t>
      </w:r>
      <w:r w:rsidRPr="00884B04">
        <w:rPr>
          <w:i w:val="0"/>
          <w:iCs w:val="0"/>
        </w:rPr>
        <w:t>ratione loci</w:t>
      </w:r>
      <w:r w:rsidRPr="00884B04">
        <w:t xml:space="preserve"> and jurisdiction</w:t>
      </w:r>
    </w:p>
    <w:p w:rsidRPr="00884B04" w:rsidR="00662B04" w:rsidP="00884B04" w:rsidRDefault="00662B04" w14:paraId="4B29D324" w14:textId="77777777">
      <w:pPr>
        <w:pStyle w:val="JuHa0"/>
      </w:pPr>
      <w:r w:rsidRPr="00884B04">
        <w:t>The Government</w:t>
      </w:r>
    </w:p>
    <w:p w:rsidRPr="00884B04" w:rsidR="007E7025" w:rsidP="00884B04" w:rsidRDefault="00662B04" w14:paraId="1E95E3D2" w14:textId="337BE07E">
      <w:pPr>
        <w:pStyle w:val="JuPara"/>
      </w:pPr>
      <w:r w:rsidRPr="00884B04">
        <w:fldChar w:fldCharType="begin"/>
      </w:r>
      <w:r w:rsidRPr="00884B04">
        <w:instrText xml:space="preserve"> SEQ level0 \*arabic </w:instrText>
      </w:r>
      <w:r w:rsidRPr="00884B04">
        <w:fldChar w:fldCharType="separate"/>
      </w:r>
      <w:r w:rsidRPr="00884B04" w:rsidR="00884B04">
        <w:rPr>
          <w:noProof/>
        </w:rPr>
        <w:t>112</w:t>
      </w:r>
      <w:r w:rsidRPr="00884B04">
        <w:fldChar w:fldCharType="end"/>
      </w:r>
      <w:r w:rsidRPr="00884B04">
        <w:t>.</w:t>
      </w:r>
      <w:r w:rsidRPr="00884B04" w:rsidR="00FD072F">
        <w:t>  </w:t>
      </w:r>
      <w:r w:rsidRPr="00884B04">
        <w:t xml:space="preserve">The Government submitted that the application was inadmissible </w:t>
      </w:r>
      <w:r w:rsidRPr="00884B04">
        <w:rPr>
          <w:i/>
          <w:iCs/>
        </w:rPr>
        <w:t>ratione loci</w:t>
      </w:r>
      <w:r w:rsidRPr="00884B04">
        <w:t xml:space="preserve"> in its entirety because the events had occurred outside Russian jurisdiction. At the time of his poisoning, </w:t>
      </w:r>
      <w:r w:rsidRPr="00884B04" w:rsidR="00F42FFF">
        <w:t>Mr L</w:t>
      </w:r>
      <w:r w:rsidRPr="00884B04">
        <w:t xml:space="preserve">itvinenko was a British national physically present in the United Kingdom. Russia had </w:t>
      </w:r>
      <w:r w:rsidRPr="00884B04" w:rsidR="007E7025">
        <w:t>no “actual authority” over British territory and there was no causal link between any actions by the Russian authorities and the events in the instant case.</w:t>
      </w:r>
      <w:r w:rsidRPr="00884B04" w:rsidR="00F42FFF">
        <w:t xml:space="preserve"> </w:t>
      </w:r>
      <w:r w:rsidRPr="00884B04" w:rsidR="007E7025">
        <w:t>The circumstances of the applicant</w:t>
      </w:r>
      <w:r w:rsidRPr="00884B04" w:rsidR="00884B04">
        <w:t>’</w:t>
      </w:r>
      <w:r w:rsidRPr="00884B04" w:rsidR="007E7025">
        <w:t>s case did not fall within any of the exceptions to the territorial principle of establishing the State</w:t>
      </w:r>
      <w:r w:rsidRPr="00884B04" w:rsidR="00884B04">
        <w:t>’</w:t>
      </w:r>
      <w:r w:rsidRPr="00884B04" w:rsidR="007E7025">
        <w:t xml:space="preserve">s jurisdiction as they were set forth in </w:t>
      </w:r>
      <w:bookmarkStart w:name="_Hlk83046107" w:id="69"/>
      <w:r w:rsidRPr="00884B04" w:rsidR="007E7025">
        <w:rPr>
          <w:i/>
        </w:rPr>
        <w:t>Al-Skeini and Others</w:t>
      </w:r>
      <w:r w:rsidRPr="00884B04" w:rsidR="00F42FFF">
        <w:rPr>
          <w:i/>
        </w:rPr>
        <w:t xml:space="preserve"> v. t</w:t>
      </w:r>
      <w:r w:rsidRPr="00884B04" w:rsidR="007E7025">
        <w:rPr>
          <w:i/>
        </w:rPr>
        <w:t>he United Kingdom</w:t>
      </w:r>
      <w:r w:rsidRPr="00884B04" w:rsidR="007E7025">
        <w:t xml:space="preserve"> ([GC], </w:t>
      </w:r>
      <w:r w:rsidRPr="00884B04" w:rsidR="00F42FFF">
        <w:t>no. 5</w:t>
      </w:r>
      <w:r w:rsidRPr="00884B04" w:rsidR="007E7025">
        <w:t>5721/07, §</w:t>
      </w:r>
      <w:r w:rsidRPr="00884B04" w:rsidR="00F42FFF">
        <w:t>§ 1</w:t>
      </w:r>
      <w:r w:rsidRPr="00884B04" w:rsidR="007E7025">
        <w:t>34-38, ECHR 2011</w:t>
      </w:r>
      <w:bookmarkEnd w:id="69"/>
      <w:r w:rsidRPr="00884B04" w:rsidR="007E7025">
        <w:t xml:space="preserve">) and </w:t>
      </w:r>
      <w:bookmarkStart w:name="_Hlk83046205" w:id="70"/>
      <w:r w:rsidRPr="00884B04" w:rsidR="007E7025">
        <w:rPr>
          <w:i/>
        </w:rPr>
        <w:t>Jaloud</w:t>
      </w:r>
      <w:r w:rsidRPr="00884B04" w:rsidR="00F42FFF">
        <w:rPr>
          <w:i/>
        </w:rPr>
        <w:t xml:space="preserve"> v. t</w:t>
      </w:r>
      <w:r w:rsidRPr="00884B04" w:rsidR="007E7025">
        <w:rPr>
          <w:i/>
        </w:rPr>
        <w:t>he</w:t>
      </w:r>
      <w:r w:rsidRPr="00884B04" w:rsidR="00C83919">
        <w:rPr>
          <w:i/>
        </w:rPr>
        <w:t> </w:t>
      </w:r>
      <w:r w:rsidRPr="00884B04" w:rsidR="007E7025">
        <w:rPr>
          <w:i/>
        </w:rPr>
        <w:t>Netherlands</w:t>
      </w:r>
      <w:r w:rsidRPr="00884B04" w:rsidR="00C83919">
        <w:t> </w:t>
      </w:r>
      <w:r w:rsidRPr="00884B04" w:rsidR="007E7025">
        <w:t xml:space="preserve">([GC], </w:t>
      </w:r>
      <w:r w:rsidRPr="00884B04" w:rsidR="00F42FFF">
        <w:t>no. 4</w:t>
      </w:r>
      <w:r w:rsidRPr="00884B04" w:rsidR="007E7025">
        <w:t>7708/08, §</w:t>
      </w:r>
      <w:r w:rsidRPr="00884B04" w:rsidR="00F42FFF">
        <w:t>§ 1</w:t>
      </w:r>
      <w:r w:rsidRPr="00884B04" w:rsidR="007E7025">
        <w:t>39-53, ECHR 2014</w:t>
      </w:r>
      <w:bookmarkEnd w:id="70"/>
      <w:r w:rsidRPr="00884B04" w:rsidR="007E7025">
        <w:t>).</w:t>
      </w:r>
      <w:r w:rsidRPr="00884B04" w:rsidR="00F42FFF">
        <w:t xml:space="preserve"> </w:t>
      </w:r>
      <w:r w:rsidRPr="00884B04" w:rsidR="007E7025">
        <w:t>Moreover, whilst in those cases the presence of the respondent State</w:t>
      </w:r>
      <w:r w:rsidRPr="00884B04" w:rsidR="00884B04">
        <w:t>’</w:t>
      </w:r>
      <w:r w:rsidRPr="00884B04" w:rsidR="007E7025">
        <w:t xml:space="preserve">s military personnel acting in an official capacity on the territory of a third State was undisputed, the present case was substantially different in that the person responsible for </w:t>
      </w:r>
      <w:r w:rsidRPr="00884B04" w:rsidR="00F42FFF">
        <w:t>Mr L</w:t>
      </w:r>
      <w:r w:rsidRPr="00884B04" w:rsidR="007E7025">
        <w:t>itvinenko</w:t>
      </w:r>
      <w:r w:rsidRPr="00884B04" w:rsidR="00884B04">
        <w:t>’</w:t>
      </w:r>
      <w:r w:rsidRPr="00884B04" w:rsidR="007E7025">
        <w:t>s death had never been identified and that, whoever that person was, there was no reason to believe that he or she had acted on the authority or with connivance of the Russian State.</w:t>
      </w:r>
      <w:r w:rsidRPr="00884B04" w:rsidR="00F42FFF">
        <w:t xml:space="preserve"> </w:t>
      </w:r>
      <w:r w:rsidRPr="00884B04" w:rsidR="007E7025">
        <w:t xml:space="preserve">In support of their position, the Government referred to the findings of a domestic investigation which had not established </w:t>
      </w:r>
      <w:r w:rsidRPr="00884B04" w:rsidR="00F42FFF">
        <w:t>Mr L</w:t>
      </w:r>
      <w:r w:rsidRPr="00884B04" w:rsidR="007E7025">
        <w:t>ugovoy</w:t>
      </w:r>
      <w:r w:rsidRPr="00884B04" w:rsidR="00884B04">
        <w:t>’</w:t>
      </w:r>
      <w:r w:rsidRPr="00884B04" w:rsidR="007E7025">
        <w:t xml:space="preserve">s involvement in the killing and also to their argument that the inquiry report was inadmissible in the proceedings before the Court (see paragraph </w:t>
      </w:r>
      <w:r w:rsidRPr="00884B04" w:rsidR="007E7025">
        <w:fldChar w:fldCharType="begin"/>
      </w:r>
      <w:r w:rsidRPr="00884B04" w:rsidR="007E7025">
        <w:instrText xml:space="preserve">REF paragraph00095 \h \* CharFormat </w:instrText>
      </w:r>
      <w:r w:rsidRPr="00884B04" w:rsidR="007E7025">
        <w:fldChar w:fldCharType="separate"/>
      </w:r>
      <w:r w:rsidRPr="00884B04" w:rsidR="00884B04">
        <w:t>95</w:t>
      </w:r>
      <w:r w:rsidRPr="00884B04" w:rsidR="007E7025">
        <w:fldChar w:fldCharType="end"/>
      </w:r>
      <w:r w:rsidRPr="00884B04" w:rsidR="007E7025">
        <w:t xml:space="preserve"> above).</w:t>
      </w:r>
    </w:p>
    <w:p w:rsidRPr="00884B04" w:rsidR="007E7025" w:rsidP="00884B04" w:rsidRDefault="007E7025" w14:paraId="7751BDA9" w14:textId="77777777">
      <w:pPr>
        <w:pStyle w:val="JuHa0"/>
      </w:pPr>
      <w:r w:rsidRPr="00884B04">
        <w:t>The applicant</w:t>
      </w:r>
    </w:p>
    <w:p w:rsidRPr="00884B04" w:rsidR="007E7025" w:rsidP="00884B04" w:rsidRDefault="007E7025" w14:paraId="15E5FC73" w14:textId="081DC6BD">
      <w:pPr>
        <w:pStyle w:val="JuPara"/>
      </w:pPr>
      <w:r w:rsidRPr="00884B04">
        <w:fldChar w:fldCharType="begin"/>
      </w:r>
      <w:r w:rsidRPr="00884B04">
        <w:instrText xml:space="preserve"> SEQ level0 \*arabic </w:instrText>
      </w:r>
      <w:r w:rsidRPr="00884B04">
        <w:fldChar w:fldCharType="separate"/>
      </w:r>
      <w:r w:rsidRPr="00884B04" w:rsidR="00884B04">
        <w:rPr>
          <w:noProof/>
        </w:rPr>
        <w:t>113</w:t>
      </w:r>
      <w:r w:rsidRPr="00884B04">
        <w:fldChar w:fldCharType="end"/>
      </w:r>
      <w:r w:rsidRPr="00884B04">
        <w:t>.</w:t>
      </w:r>
      <w:r w:rsidRPr="00884B04" w:rsidR="00FD072F">
        <w:t>  </w:t>
      </w:r>
      <w:r w:rsidRPr="00884B04">
        <w:t>The applicant submitted that authority, knowledge, support and connivance of the Russian authorities in her husband</w:t>
      </w:r>
      <w:r w:rsidRPr="00884B04" w:rsidR="00884B04">
        <w:t>’</w:t>
      </w:r>
      <w:r w:rsidRPr="00884B04">
        <w:t>s murder had occurred in Russia.</w:t>
      </w:r>
      <w:r w:rsidRPr="00884B04" w:rsidR="00F42FFF">
        <w:t xml:space="preserve"> </w:t>
      </w:r>
      <w:r w:rsidRPr="00884B04">
        <w:t>The acts of preparation, planning, knowledge and agreement had taken place in the Russian territory.</w:t>
      </w:r>
      <w:r w:rsidRPr="00884B04" w:rsidR="00F42FFF">
        <w:t xml:space="preserve"> </w:t>
      </w:r>
      <w:r w:rsidRPr="00884B04">
        <w:t xml:space="preserve">The polonium 210 used to kill </w:t>
      </w:r>
      <w:r w:rsidRPr="00884B04" w:rsidR="00F42FFF">
        <w:t>Mr L</w:t>
      </w:r>
      <w:r w:rsidRPr="00884B04">
        <w:t xml:space="preserve">itvinenko had been produced at the Avangard facility in Russia and made available to </w:t>
      </w:r>
      <w:r w:rsidRPr="00884B04" w:rsidR="00F42FFF">
        <w:t>Mr L</w:t>
      </w:r>
      <w:r w:rsidRPr="00884B04">
        <w:t>ugovoy and others.</w:t>
      </w:r>
      <w:r w:rsidRPr="00884B04" w:rsidR="00F42FFF">
        <w:t xml:space="preserve"> Mr L</w:t>
      </w:r>
      <w:r w:rsidRPr="00884B04" w:rsidR="00662B04">
        <w:t>ugovoy and others had travelled from Russia to the United Kingdom to carry out the act of murder and returned to Russia afterwards. The applicant relied on the Court</w:t>
      </w:r>
      <w:r w:rsidRPr="00884B04" w:rsidR="00884B04">
        <w:t>’</w:t>
      </w:r>
      <w:r w:rsidRPr="00884B04" w:rsidR="00662B04">
        <w:t>s case</w:t>
      </w:r>
      <w:r w:rsidRPr="00884B04" w:rsidR="00C83919">
        <w:noBreakHyphen/>
      </w:r>
      <w:r w:rsidRPr="00884B04" w:rsidR="00662B04">
        <w:t>law that “the acquiescence or connivance of the authorities of a Contracting State in the acts of private individuals which violate the Convention rights of other individuals within its jurisdiction may engage that State</w:t>
      </w:r>
      <w:r w:rsidRPr="00884B04" w:rsidR="00884B04">
        <w:t>’</w:t>
      </w:r>
      <w:r w:rsidRPr="00884B04" w:rsidR="00662B04">
        <w:t>s responsibility under the Convention” (</w:t>
      </w:r>
      <w:r w:rsidRPr="00884B04" w:rsidR="00662B04">
        <w:rPr>
          <w:i/>
        </w:rPr>
        <w:t>Cyprus</w:t>
      </w:r>
      <w:r w:rsidRPr="00884B04" w:rsidR="00F42FFF">
        <w:rPr>
          <w:i/>
        </w:rPr>
        <w:t xml:space="preserve"> v. T</w:t>
      </w:r>
      <w:r w:rsidRPr="00884B04" w:rsidR="00662B04">
        <w:rPr>
          <w:i/>
        </w:rPr>
        <w:t>urkey</w:t>
      </w:r>
      <w:r w:rsidRPr="00884B04" w:rsidR="00F42FFF">
        <w:t xml:space="preserve"> </w:t>
      </w:r>
      <w:r w:rsidRPr="00884B04" w:rsidR="00662B04">
        <w:t xml:space="preserve">[GC], </w:t>
      </w:r>
      <w:r w:rsidRPr="00884B04" w:rsidR="00F42FFF">
        <w:t>no. 2</w:t>
      </w:r>
      <w:r w:rsidRPr="00884B04">
        <w:t xml:space="preserve">5781/94, </w:t>
      </w:r>
      <w:r w:rsidRPr="00884B04" w:rsidR="00F42FFF">
        <w:t>§ 8</w:t>
      </w:r>
      <w:r w:rsidRPr="00884B04">
        <w:t>1, ECHR 2001</w:t>
      </w:r>
      <w:r w:rsidRPr="00884B04">
        <w:noBreakHyphen/>
        <w:t>IV).</w:t>
      </w:r>
    </w:p>
    <w:p w:rsidRPr="00884B04" w:rsidR="00662B04" w:rsidP="00884B04" w:rsidRDefault="007E7025" w14:paraId="33128B97" w14:textId="5AEB6654">
      <w:pPr>
        <w:pStyle w:val="JuPara"/>
      </w:pPr>
      <w:r w:rsidRPr="00884B04">
        <w:fldChar w:fldCharType="begin"/>
      </w:r>
      <w:r w:rsidRPr="00884B04">
        <w:instrText xml:space="preserve"> SEQ level0 \*arabic </w:instrText>
      </w:r>
      <w:r w:rsidRPr="00884B04">
        <w:fldChar w:fldCharType="separate"/>
      </w:r>
      <w:r w:rsidRPr="00884B04" w:rsidR="00884B04">
        <w:rPr>
          <w:noProof/>
        </w:rPr>
        <w:t>114</w:t>
      </w:r>
      <w:r w:rsidRPr="00884B04">
        <w:fldChar w:fldCharType="end"/>
      </w:r>
      <w:r w:rsidRPr="00884B04">
        <w:t>.</w:t>
      </w:r>
      <w:r w:rsidRPr="00884B04" w:rsidR="00FD072F">
        <w:t>  </w:t>
      </w:r>
      <w:r w:rsidRPr="00884B04">
        <w:t>T</w:t>
      </w:r>
      <w:r w:rsidRPr="00884B04">
        <w:rPr>
          <w:lang w:val="en-US"/>
        </w:rPr>
        <w:t>he</w:t>
      </w:r>
      <w:r w:rsidRPr="00884B04">
        <w:t xml:space="preserve"> application of fatal force by a State agent to an individual outside the State</w:t>
      </w:r>
      <w:r w:rsidRPr="00884B04" w:rsidR="00884B04">
        <w:t>’</w:t>
      </w:r>
      <w:r w:rsidRPr="00884B04">
        <w:t>s national territory was sufficient, in itself, to bring that individual into the State</w:t>
      </w:r>
      <w:r w:rsidRPr="00884B04" w:rsidR="00884B04">
        <w:t>’</w:t>
      </w:r>
      <w:r w:rsidRPr="00884B04">
        <w:t xml:space="preserve">s jurisdiction (she referred to the </w:t>
      </w:r>
      <w:r w:rsidRPr="00884B04">
        <w:rPr>
          <w:i/>
          <w:iCs/>
        </w:rPr>
        <w:t>Al-Skeini</w:t>
      </w:r>
      <w:r w:rsidRPr="00884B04">
        <w:t xml:space="preserve"> and </w:t>
      </w:r>
      <w:r w:rsidRPr="00884B04">
        <w:rPr>
          <w:i/>
          <w:iCs/>
        </w:rPr>
        <w:t>Jaloud</w:t>
      </w:r>
      <w:r w:rsidRPr="00884B04">
        <w:t xml:space="preserve"> judgments, cited above).</w:t>
      </w:r>
      <w:r w:rsidRPr="00884B04" w:rsidR="00F42FFF">
        <w:t xml:space="preserve"> </w:t>
      </w:r>
      <w:r w:rsidRPr="00884B04">
        <w:t xml:space="preserve">Holding otherwise would mean that an assassination committed on the sovereign territory of Russia would be in violation of </w:t>
      </w:r>
      <w:r w:rsidRPr="00884B04" w:rsidR="00F42FFF">
        <w:t>Article 2</w:t>
      </w:r>
      <w:r w:rsidRPr="00884B04">
        <w:t xml:space="preserve">, whilst precisely the same conduct committed on the territory of another Contracting State would not – even where the victim had been granted asylum to protect </w:t>
      </w:r>
      <w:r w:rsidRPr="00884B04" w:rsidR="00AF31F1">
        <w:t xml:space="preserve">him </w:t>
      </w:r>
      <w:r w:rsidRPr="00884B04">
        <w:t>against the risk.</w:t>
      </w:r>
      <w:r w:rsidRPr="00884B04" w:rsidR="00F42FFF">
        <w:t xml:space="preserve"> </w:t>
      </w:r>
      <w:r w:rsidRPr="00884B04">
        <w:t>This would create a perverse incentive for the State concerned to conduct assassinations abroad, rather than in Russia, because extra-territorial assassinations would be free from constraint under the Convention, and free from the supervision of the Court.</w:t>
      </w:r>
      <w:r w:rsidRPr="00884B04" w:rsidR="00F42FFF">
        <w:t xml:space="preserve"> </w:t>
      </w:r>
      <w:r w:rsidRPr="00884B04" w:rsidR="00662B04">
        <w:t>It would, at the same time, create a perverse incentive to violate the sovereignty of other Contracting States of the Council of Europe.</w:t>
      </w:r>
    </w:p>
    <w:p w:rsidRPr="00884B04" w:rsidR="00662B04" w:rsidP="00884B04" w:rsidRDefault="00662B04" w14:paraId="6981E217" w14:textId="4F00C9F3">
      <w:pPr>
        <w:pStyle w:val="JuPara"/>
      </w:pPr>
      <w:r w:rsidRPr="00884B04">
        <w:fldChar w:fldCharType="begin"/>
      </w:r>
      <w:r w:rsidRPr="00884B04">
        <w:instrText xml:space="preserve"> SEQ level0 \*arabic </w:instrText>
      </w:r>
      <w:r w:rsidRPr="00884B04">
        <w:fldChar w:fldCharType="separate"/>
      </w:r>
      <w:r w:rsidRPr="00884B04" w:rsidR="00884B04">
        <w:rPr>
          <w:noProof/>
        </w:rPr>
        <w:t>115</w:t>
      </w:r>
      <w:r w:rsidRPr="00884B04">
        <w:fldChar w:fldCharType="end"/>
      </w:r>
      <w:r w:rsidRPr="00884B04">
        <w:t>.</w:t>
      </w:r>
      <w:r w:rsidRPr="00884B04" w:rsidR="00FD072F">
        <w:t>  </w:t>
      </w:r>
      <w:r w:rsidRPr="00884B04">
        <w:t xml:space="preserve">The applicant concluded that Russia also had jurisdiction, or had assumed jurisdiction, over the matter on account of it having commenced a criminal investigation. The Russian authorities also asserted their exclusive jurisdiction in so far as the provisions of the Constitution and the reservation to the European Convention on Extradition prevented them from extraditing </w:t>
      </w:r>
      <w:r w:rsidRPr="00884B04" w:rsidR="00F42FFF">
        <w:t>Mr L</w:t>
      </w:r>
      <w:r w:rsidRPr="00884B04">
        <w:t>ugovoy to the United Kingdom for trial.</w:t>
      </w:r>
    </w:p>
    <w:p w:rsidRPr="00884B04" w:rsidR="00662B04" w:rsidP="00884B04" w:rsidRDefault="00662B04" w14:paraId="36CB7C13" w14:textId="77777777">
      <w:pPr>
        <w:pStyle w:val="JuH1"/>
      </w:pPr>
      <w:r w:rsidRPr="00884B04">
        <w:t xml:space="preserve">Substantive obligation under </w:t>
      </w:r>
      <w:r w:rsidRPr="00884B04" w:rsidR="00F42FFF">
        <w:t>Article 2</w:t>
      </w:r>
      <w:r w:rsidRPr="00884B04">
        <w:t xml:space="preserve"> of the Convention</w:t>
      </w:r>
    </w:p>
    <w:p w:rsidRPr="00884B04" w:rsidR="00662B04" w:rsidP="00884B04" w:rsidRDefault="00662B04" w14:paraId="3763B813" w14:textId="77777777">
      <w:pPr>
        <w:pStyle w:val="JuHa0"/>
      </w:pPr>
      <w:r w:rsidRPr="00884B04">
        <w:t>The Government</w:t>
      </w:r>
    </w:p>
    <w:p w:rsidRPr="00884B04" w:rsidR="007E7025" w:rsidP="00884B04" w:rsidRDefault="00662B04" w14:paraId="07997C36" w14:textId="34F610F6">
      <w:pPr>
        <w:pStyle w:val="JuPara"/>
      </w:pPr>
      <w:r w:rsidRPr="00884B04">
        <w:fldChar w:fldCharType="begin"/>
      </w:r>
      <w:r w:rsidRPr="00884B04">
        <w:instrText xml:space="preserve"> SEQ level0 \*arabic </w:instrText>
      </w:r>
      <w:r w:rsidRPr="00884B04">
        <w:fldChar w:fldCharType="separate"/>
      </w:r>
      <w:r w:rsidRPr="00884B04" w:rsidR="00884B04">
        <w:rPr>
          <w:noProof/>
        </w:rPr>
        <w:t>116</w:t>
      </w:r>
      <w:r w:rsidRPr="00884B04">
        <w:fldChar w:fldCharType="end"/>
      </w:r>
      <w:r w:rsidRPr="00884B04">
        <w:t>.</w:t>
      </w:r>
      <w:r w:rsidRPr="00884B04" w:rsidR="00FD072F">
        <w:t>  </w:t>
      </w:r>
      <w:r w:rsidRPr="00884B04">
        <w:t xml:space="preserve">The Government submitted that the domestic investigation “into the death of A.V. Litvinenko and attempted murder of D.V. Kovtun” had </w:t>
      </w:r>
      <w:r w:rsidRPr="00884B04" w:rsidR="007E7025">
        <w:t>not established the involvement of any Russian authorities or agents of special services.</w:t>
      </w:r>
      <w:r w:rsidRPr="00884B04" w:rsidR="00F42FFF">
        <w:t xml:space="preserve"> </w:t>
      </w:r>
      <w:r w:rsidRPr="00884B04" w:rsidR="007E7025">
        <w:t xml:space="preserve">The investigation did not find evidence of any leak or theft of polonium 210 from the Avangard production facility, where the applicant claimed the polonium 210 used to poison </w:t>
      </w:r>
      <w:r w:rsidRPr="00884B04" w:rsidR="00F42FFF">
        <w:t>Mr L</w:t>
      </w:r>
      <w:r w:rsidRPr="00884B04" w:rsidR="007E7025">
        <w:t xml:space="preserve">itvinenko had been produced, or from its storage rooms or laboratory, and a search in </w:t>
      </w:r>
      <w:r w:rsidRPr="00884B04" w:rsidR="00F42FFF">
        <w:t>Mr L</w:t>
      </w:r>
      <w:r w:rsidRPr="00884B04" w:rsidR="007E7025">
        <w:t>ugovoy</w:t>
      </w:r>
      <w:r w:rsidRPr="00884B04" w:rsidR="00884B04">
        <w:t>’</w:t>
      </w:r>
      <w:r w:rsidRPr="00884B04" w:rsidR="007E7025">
        <w:t>s office, car and home did not yield any useful material for the investigation.</w:t>
      </w:r>
      <w:r w:rsidRPr="00884B04" w:rsidR="00F42FFF">
        <w:t xml:space="preserve"> </w:t>
      </w:r>
      <w:r w:rsidRPr="00884B04" w:rsidR="007E7025">
        <w:t xml:space="preserve">Moreover, the materials submitted by the British authorities did not contain sufficient evidence for </w:t>
      </w:r>
      <w:r w:rsidRPr="00884B04" w:rsidR="00F42FFF">
        <w:t>Mr L</w:t>
      </w:r>
      <w:r w:rsidRPr="00884B04" w:rsidR="007E7025">
        <w:t>ugovoy</w:t>
      </w:r>
      <w:r w:rsidRPr="00884B04" w:rsidR="00884B04">
        <w:t>’</w:t>
      </w:r>
      <w:r w:rsidRPr="00884B04" w:rsidR="007E7025">
        <w:t>s prosecution in Russia.</w:t>
      </w:r>
      <w:r w:rsidRPr="00884B04" w:rsidR="00F42FFF">
        <w:t xml:space="preserve"> </w:t>
      </w:r>
      <w:r w:rsidRPr="00884B04" w:rsidR="007E7025">
        <w:t>The Russian investigators did their best in the situation of a dearth of evidence which was attributable to the British authorities</w:t>
      </w:r>
      <w:r w:rsidRPr="00884B04" w:rsidR="00884B04">
        <w:t>’</w:t>
      </w:r>
      <w:r w:rsidRPr="00884B04" w:rsidR="007E7025">
        <w:t xml:space="preserve"> failure to execute fully the Russian requests for legal assistance.</w:t>
      </w:r>
      <w:r w:rsidRPr="00884B04" w:rsidR="00F42FFF">
        <w:t xml:space="preserve"> </w:t>
      </w:r>
      <w:r w:rsidRPr="00884B04">
        <w:t>The applicant</w:t>
      </w:r>
      <w:r w:rsidRPr="00884B04" w:rsidR="00884B04">
        <w:t>’</w:t>
      </w:r>
      <w:r w:rsidRPr="00884B04">
        <w:t xml:space="preserve">s own conduct had been counterproductive; she stated that she did </w:t>
      </w:r>
      <w:r w:rsidRPr="00884B04" w:rsidR="007E7025">
        <w:t>not wish to have any part in the Russian investigation or exercise her procedural rights.</w:t>
      </w:r>
      <w:r w:rsidRPr="00884B04" w:rsidR="00F42FFF">
        <w:t xml:space="preserve"> </w:t>
      </w:r>
      <w:r w:rsidRPr="00884B04" w:rsidR="007E7025">
        <w:t>She also put forwarded unsubstantiated allegations of the existence of a pattern or practice of State-sponsored assassinations.</w:t>
      </w:r>
      <w:r w:rsidRPr="00884B04" w:rsidR="00F42FFF">
        <w:t xml:space="preserve"> </w:t>
      </w:r>
      <w:r w:rsidRPr="00884B04">
        <w:t>Not only did those claims fall outside the scope of the present case but they were based on the erroneous assumption that the State</w:t>
      </w:r>
      <w:r w:rsidRPr="00884B04" w:rsidR="00884B04">
        <w:t>’</w:t>
      </w:r>
      <w:r w:rsidRPr="00884B04">
        <w:t xml:space="preserve">s responsibility for a particular incident could be established by reference to other kinds of blameworthy conduct allegedly attributable to that State. The applicant was </w:t>
      </w:r>
      <w:r w:rsidRPr="00884B04" w:rsidR="007E7025">
        <w:t>not a victim of any of the alleged incidents and their circumstances were irrelevant to the present proceedings.</w:t>
      </w:r>
    </w:p>
    <w:p w:rsidRPr="00884B04" w:rsidR="007E7025" w:rsidP="00884B04" w:rsidRDefault="007E7025" w14:paraId="263EC5C9" w14:textId="77777777">
      <w:pPr>
        <w:pStyle w:val="JuHa0"/>
      </w:pPr>
      <w:bookmarkStart w:name="_Hlk73452801" w:id="71"/>
      <w:r w:rsidRPr="00884B04">
        <w:t>The applicant</w:t>
      </w:r>
    </w:p>
    <w:bookmarkEnd w:id="71"/>
    <w:p w:rsidRPr="00884B04" w:rsidR="00662B04" w:rsidP="00884B04" w:rsidRDefault="007E7025" w14:paraId="51368344" w14:textId="0BC9B402">
      <w:pPr>
        <w:pStyle w:val="JuPara"/>
      </w:pPr>
      <w:r w:rsidRPr="00884B04">
        <w:fldChar w:fldCharType="begin"/>
      </w:r>
      <w:r w:rsidRPr="00884B04">
        <w:instrText xml:space="preserve"> SEQ level0 \*arabic </w:instrText>
      </w:r>
      <w:r w:rsidRPr="00884B04">
        <w:fldChar w:fldCharType="separate"/>
      </w:r>
      <w:r w:rsidRPr="00884B04" w:rsidR="00884B04">
        <w:rPr>
          <w:noProof/>
        </w:rPr>
        <w:t>117</w:t>
      </w:r>
      <w:r w:rsidRPr="00884B04">
        <w:fldChar w:fldCharType="end"/>
      </w:r>
      <w:r w:rsidRPr="00884B04">
        <w:t>.</w:t>
      </w:r>
      <w:r w:rsidRPr="00884B04" w:rsidR="00FD072F">
        <w:t>  </w:t>
      </w:r>
      <w:r w:rsidRPr="00884B04">
        <w:t xml:space="preserve">The applicant submitted that a thorough investigation by the British authorities had collected compelling evidence in support of her claim that her husband had been murdered by </w:t>
      </w:r>
      <w:r w:rsidRPr="00884B04" w:rsidR="00F42FFF">
        <w:t>Mr L</w:t>
      </w:r>
      <w:r w:rsidRPr="00884B04">
        <w:t>ugovoy with others, acting as agents for, or with the knowledge, support and connivance of, the Russian authorities.</w:t>
      </w:r>
      <w:r w:rsidRPr="00884B04" w:rsidR="00F42FFF">
        <w:t xml:space="preserve"> </w:t>
      </w:r>
      <w:r w:rsidRPr="00884B04">
        <w:t xml:space="preserve">First of all, evidence was found of a polonium trail at three addresses in London which </w:t>
      </w:r>
      <w:r w:rsidRPr="00884B04" w:rsidR="00F42FFF">
        <w:t>Mr L</w:t>
      </w:r>
      <w:r w:rsidRPr="00884B04">
        <w:t>ugovoy had used and on the aircraft he had taken to travel between Moscow and London.</w:t>
      </w:r>
      <w:r w:rsidRPr="00884B04" w:rsidR="00F42FFF">
        <w:t xml:space="preserve"> </w:t>
      </w:r>
      <w:r w:rsidRPr="00884B04" w:rsidR="00662B04">
        <w:t xml:space="preserve">Secondly, scientific evidence established that it was highly likely that the polonium 210 used to kill </w:t>
      </w:r>
      <w:r w:rsidRPr="00884B04" w:rsidR="00F42FFF">
        <w:t>Mr L</w:t>
      </w:r>
      <w:r w:rsidRPr="00884B04" w:rsidR="00662B04">
        <w:t xml:space="preserve">itvinenko had come from a government facility in Russia; it was inconceivable that material of such quality could have come into </w:t>
      </w:r>
      <w:r w:rsidRPr="00884B04" w:rsidR="00F42FFF">
        <w:t>Mr L</w:t>
      </w:r>
      <w:r w:rsidRPr="00884B04" w:rsidR="00662B04">
        <w:t>ugovoy</w:t>
      </w:r>
      <w:r w:rsidRPr="00884B04" w:rsidR="00884B04">
        <w:t>’</w:t>
      </w:r>
      <w:r w:rsidRPr="00884B04" w:rsidR="00662B04">
        <w:t>s possession without the authority or connivance of the Russian authorities. Finally, the Government had failed to rebut the strong presumption which the available evidence created.</w:t>
      </w:r>
    </w:p>
    <w:p w:rsidRPr="00884B04" w:rsidR="007E7025" w:rsidP="00884B04" w:rsidRDefault="00662B04" w14:paraId="335699FA" w14:textId="65BEA31B">
      <w:pPr>
        <w:pStyle w:val="JuPara"/>
      </w:pPr>
      <w:r w:rsidRPr="00884B04">
        <w:fldChar w:fldCharType="begin"/>
      </w:r>
      <w:r w:rsidRPr="00884B04">
        <w:instrText xml:space="preserve"> SEQ level0 \*arabic </w:instrText>
      </w:r>
      <w:r w:rsidRPr="00884B04">
        <w:fldChar w:fldCharType="separate"/>
      </w:r>
      <w:r w:rsidRPr="00884B04" w:rsidR="00884B04">
        <w:rPr>
          <w:noProof/>
        </w:rPr>
        <w:t>118</w:t>
      </w:r>
      <w:r w:rsidRPr="00884B04">
        <w:fldChar w:fldCharType="end"/>
      </w:r>
      <w:r w:rsidRPr="00884B04">
        <w:t>.</w:t>
      </w:r>
      <w:r w:rsidRPr="00884B04" w:rsidR="00FD072F">
        <w:t>  </w:t>
      </w:r>
      <w:r w:rsidRPr="00884B04">
        <w:t xml:space="preserve">The applicant invited the Court to accept and adopt the finding of the inquiry that there was a “strong probability” of </w:t>
      </w:r>
      <w:r w:rsidRPr="00884B04" w:rsidR="00F42FFF">
        <w:t>Mr L</w:t>
      </w:r>
      <w:r w:rsidRPr="00884B04">
        <w:t xml:space="preserve">ugovoy and </w:t>
      </w:r>
      <w:r w:rsidRPr="00884B04" w:rsidR="00F42FFF">
        <w:t>Mr K</w:t>
      </w:r>
      <w:r w:rsidRPr="00884B04">
        <w:t xml:space="preserve">ovtun acting as agents of the Russian State when they murdered </w:t>
      </w:r>
      <w:r w:rsidRPr="00884B04" w:rsidR="00F42FFF">
        <w:t>Mr L</w:t>
      </w:r>
      <w:r w:rsidRPr="00884B04">
        <w:t>itvinenko and that the assassination had been authorised by the Russian FSB. That finding was corroborated by overwhelming evidence establishing that the Russian State had engaged, over many years, in a pattern and practice of extra-territorial targeted assassinations in Qatar (2003, Zelimkhan Yandarbiyev), the United Kingdom (2006, Litvinenko; 2018, Sergey Skripal), Bulgaria (2015, Emelian Gebrev), Montenegro (2016, Milo Đuka</w:t>
      </w:r>
      <w:r w:rsidRPr="00884B04" w:rsidR="007E7025">
        <w:t>nović), Germany (2019, Zelimkhan Khangoshvili) and elsewhere in Europe.</w:t>
      </w:r>
      <w:r w:rsidRPr="00884B04" w:rsidR="00F42FFF">
        <w:t xml:space="preserve"> </w:t>
      </w:r>
      <w:r w:rsidRPr="00884B04" w:rsidR="007E7025">
        <w:t>Those events formed part of the same overall pattern of Convention violations as those at issue in the present case.</w:t>
      </w:r>
      <w:r w:rsidRPr="00884B04" w:rsidR="00F42FFF">
        <w:t xml:space="preserve"> </w:t>
      </w:r>
      <w:r w:rsidRPr="00884B04">
        <w:t>They each involved a pre</w:t>
      </w:r>
      <w:r w:rsidRPr="00884B04">
        <w:noBreakHyphen/>
        <w:t xml:space="preserve">meditated and carefully planned clandestine killing, or attempted killing, by Russian State agents, in violation of the substantive guarantee of </w:t>
      </w:r>
      <w:r w:rsidRPr="00884B04" w:rsidR="00F42FFF">
        <w:t>Article 2</w:t>
      </w:r>
      <w:r w:rsidRPr="00884B04">
        <w:t>, on the sovereign territory of a</w:t>
      </w:r>
      <w:r w:rsidRPr="00884B04" w:rsidR="007E7025">
        <w:t>nother Contracting State, followed by a carefully planned and executed attempt to cover up State responsibility through the failure to co-operate with an independent investigation, deliberate attempts to disrupt or frustrate such an investigation, and a campaign of State-sponsored misinformation.</w:t>
      </w:r>
    </w:p>
    <w:p w:rsidRPr="00884B04" w:rsidR="007E7025" w:rsidP="00884B04" w:rsidRDefault="007E7025" w14:paraId="1C5DD03B" w14:textId="77777777">
      <w:pPr>
        <w:pStyle w:val="JuH1"/>
      </w:pPr>
      <w:r w:rsidRPr="00884B04">
        <w:t>Procedural obligation to investigate</w:t>
      </w:r>
    </w:p>
    <w:p w:rsidRPr="00884B04" w:rsidR="007E7025" w:rsidP="00884B04" w:rsidRDefault="007E7025" w14:paraId="560A3B0D" w14:textId="77777777">
      <w:pPr>
        <w:pStyle w:val="JuHa0"/>
      </w:pPr>
      <w:r w:rsidRPr="00884B04">
        <w:t>The Government</w:t>
      </w:r>
    </w:p>
    <w:p w:rsidRPr="00884B04" w:rsidR="00662B04" w:rsidP="00884B04" w:rsidRDefault="007E7025" w14:paraId="618856D5" w14:textId="386CE05E">
      <w:pPr>
        <w:pStyle w:val="JuPara"/>
      </w:pPr>
      <w:r w:rsidRPr="00884B04">
        <w:fldChar w:fldCharType="begin"/>
      </w:r>
      <w:r w:rsidRPr="00884B04">
        <w:instrText xml:space="preserve"> SEQ level0 \*arabic </w:instrText>
      </w:r>
      <w:r w:rsidRPr="00884B04">
        <w:fldChar w:fldCharType="separate"/>
      </w:r>
      <w:r w:rsidRPr="00884B04" w:rsidR="00884B04">
        <w:rPr>
          <w:noProof/>
        </w:rPr>
        <w:t>119</w:t>
      </w:r>
      <w:r w:rsidRPr="00884B04">
        <w:fldChar w:fldCharType="end"/>
      </w:r>
      <w:r w:rsidRPr="00884B04">
        <w:t>.</w:t>
      </w:r>
      <w:r w:rsidRPr="00884B04" w:rsidR="00FD072F">
        <w:t>  </w:t>
      </w:r>
      <w:r w:rsidRPr="00884B04">
        <w:t>On the procedural obligation of the respondent State in a situation where the death of the person concerned occurred outside the scope of that State</w:t>
      </w:r>
      <w:r w:rsidRPr="00884B04" w:rsidR="00884B04">
        <w:t>’</w:t>
      </w:r>
      <w:r w:rsidRPr="00884B04">
        <w:t>s jurisdiction, the Government submitted that particular regard should be had to the transnational dimension of the case which imposed a duty on all the States concerned to cooperate effectively with each other.</w:t>
      </w:r>
      <w:r w:rsidRPr="00884B04" w:rsidR="00F42FFF">
        <w:t xml:space="preserve"> </w:t>
      </w:r>
      <w:r w:rsidRPr="00884B04">
        <w:t>The investigative authorities in Russia, which was both a requested and requesting State, had taken all necessary steps to trigger the proper mechanisms for cooperation and also properly responded to similar requests from the British authorities.</w:t>
      </w:r>
      <w:r w:rsidRPr="00884B04" w:rsidR="00F42FFF">
        <w:t xml:space="preserve"> </w:t>
      </w:r>
      <w:r w:rsidRPr="00884B04" w:rsidR="00662B04">
        <w:t xml:space="preserve">In fact, the Russian authorities had sent a number of requests for legal assistance to the United Kingdom authorities which had failed to act upon them. The Government referred, by way of example, to a letter of </w:t>
      </w:r>
      <w:r w:rsidRPr="00884B04" w:rsidR="00F42FFF">
        <w:t>5 March 200</w:t>
      </w:r>
      <w:r w:rsidRPr="00884B04" w:rsidR="007873C4">
        <w:t>7</w:t>
      </w:r>
      <w:r w:rsidRPr="00884B04" w:rsidR="00662B04">
        <w:t xml:space="preserve"> by which the United Kingdom authorities had refused to inspect certain scenes and interview certain witnesses on the grounds that these actions were </w:t>
      </w:r>
      <w:r w:rsidRPr="00884B04">
        <w:t>not deemed important for the investigation.</w:t>
      </w:r>
      <w:r w:rsidRPr="00884B04" w:rsidR="00F42FFF">
        <w:t xml:space="preserve"> </w:t>
      </w:r>
      <w:r w:rsidRPr="00884B04">
        <w:t>The United Kingdom authorities had withheld the medical report on the cause of death and samples of polonium 210, and had not interviewed all individuals whose statements Russia wished to obtain.</w:t>
      </w:r>
      <w:r w:rsidRPr="00884B04" w:rsidR="00F42FFF">
        <w:t xml:space="preserve"> </w:t>
      </w:r>
      <w:r w:rsidRPr="00884B04">
        <w:t>As a consequence, the Russian investigation was denied information which could have helped the authorities to elucidate the matter.</w:t>
      </w:r>
      <w:r w:rsidRPr="00884B04" w:rsidR="00F42FFF">
        <w:t xml:space="preserve"> </w:t>
      </w:r>
      <w:r w:rsidRPr="00884B04" w:rsidR="00662B04">
        <w:t xml:space="preserve">Moreover, in so far as the United Kingdom authorities appeared to believe that their jurisdiction was the appropriate venue for any trial into the murder of a British national occurring on British soil, it was clear that they had </w:t>
      </w:r>
      <w:r w:rsidRPr="00884B04">
        <w:t>no genuine interest in seeking or providing assistance to the Russian investigation.</w:t>
      </w:r>
      <w:r w:rsidRPr="00884B04" w:rsidR="00F42FFF">
        <w:t xml:space="preserve"> </w:t>
      </w:r>
      <w:r w:rsidRPr="00884B04">
        <w:t>In contrast, the Russian authorities had fully complied with the United Kingdom</w:t>
      </w:r>
      <w:r w:rsidRPr="00884B04" w:rsidR="00884B04">
        <w:t>’</w:t>
      </w:r>
      <w:r w:rsidRPr="00884B04">
        <w:t xml:space="preserve">s requests for legal assistance: they had interviewed </w:t>
      </w:r>
      <w:r w:rsidRPr="00884B04" w:rsidR="00F42FFF">
        <w:t>Mr L</w:t>
      </w:r>
      <w:r w:rsidRPr="00884B04">
        <w:t>ugovoy and others, identified the users of mobile phone numbers, and provided medical reports and other data.</w:t>
      </w:r>
      <w:r w:rsidRPr="00884B04" w:rsidR="00F42FFF">
        <w:t xml:space="preserve"> </w:t>
      </w:r>
      <w:r w:rsidRPr="00884B04" w:rsidR="00662B04">
        <w:t xml:space="preserve">It was however impossible to grant the extradition request because of the constitutional ban on the extradition of Russian nationals. Finally, </w:t>
      </w:r>
      <w:r w:rsidRPr="00884B04" w:rsidR="00F42FFF">
        <w:t>Mr L</w:t>
      </w:r>
      <w:r w:rsidRPr="00884B04" w:rsidR="00662B04">
        <w:t>ugovoy</w:t>
      </w:r>
      <w:r w:rsidRPr="00884B04" w:rsidR="00884B04">
        <w:t>’</w:t>
      </w:r>
      <w:r w:rsidRPr="00884B04" w:rsidR="00662B04">
        <w:t>s election to the Parliament in December 2007 had provided him with immunity from prosecution.</w:t>
      </w:r>
    </w:p>
    <w:p w:rsidRPr="00884B04" w:rsidR="00662B04" w:rsidP="00884B04" w:rsidRDefault="00662B04" w14:paraId="467825E9" w14:textId="77777777">
      <w:pPr>
        <w:pStyle w:val="JuHa0"/>
      </w:pPr>
      <w:r w:rsidRPr="00884B04">
        <w:t>The applicant</w:t>
      </w:r>
    </w:p>
    <w:p w:rsidRPr="00884B04" w:rsidR="007E7025" w:rsidP="00884B04" w:rsidRDefault="00662B04" w14:paraId="0A533124" w14:textId="42F54736">
      <w:pPr>
        <w:pStyle w:val="JuPara"/>
      </w:pPr>
      <w:r w:rsidRPr="00884B04">
        <w:fldChar w:fldCharType="begin"/>
      </w:r>
      <w:r w:rsidRPr="00884B04">
        <w:instrText xml:space="preserve"> SEQ level0 \*arabic </w:instrText>
      </w:r>
      <w:r w:rsidRPr="00884B04">
        <w:fldChar w:fldCharType="separate"/>
      </w:r>
      <w:r w:rsidRPr="00884B04" w:rsidR="00884B04">
        <w:rPr>
          <w:noProof/>
        </w:rPr>
        <w:t>120</w:t>
      </w:r>
      <w:r w:rsidRPr="00884B04">
        <w:fldChar w:fldCharType="end"/>
      </w:r>
      <w:r w:rsidRPr="00884B04">
        <w:t>.</w:t>
      </w:r>
      <w:r w:rsidRPr="00884B04" w:rsidR="00FD072F">
        <w:t>  </w:t>
      </w:r>
      <w:r w:rsidRPr="00884B04">
        <w:t xml:space="preserve">On the procedural limb of </w:t>
      </w:r>
      <w:r w:rsidRPr="00884B04" w:rsidR="00F42FFF">
        <w:t>Article 2</w:t>
      </w:r>
      <w:r w:rsidRPr="00884B04">
        <w:t xml:space="preserve">, the applicant submitted that the Russian authorities had had every opportunity to carry out </w:t>
      </w:r>
      <w:r w:rsidRPr="00884B04" w:rsidR="003F6995">
        <w:t>an</w:t>
      </w:r>
      <w:r w:rsidRPr="00884B04">
        <w:t xml:space="preserve"> investigation between December 2006 and December 2007 before </w:t>
      </w:r>
      <w:r w:rsidRPr="00884B04" w:rsidR="00F42FFF">
        <w:t>Mr L</w:t>
      </w:r>
      <w:r w:rsidRPr="00884B04">
        <w:t xml:space="preserve">ugovoy had obtained immunity. Referring to the United Nations Principles on the investigation of extra-legal executions (see paragraph </w:t>
      </w:r>
      <w:r w:rsidRPr="00884B04">
        <w:fldChar w:fldCharType="begin"/>
      </w:r>
      <w:r w:rsidRPr="00884B04" w:rsidR="007E7025">
        <w:instrText xml:space="preserve">REF paragraph00071 \h \* CharFormat </w:instrText>
      </w:r>
      <w:r w:rsidRPr="00884B04">
        <w:fldChar w:fldCharType="separate"/>
      </w:r>
      <w:r w:rsidRPr="00884B04" w:rsidR="00884B04">
        <w:t>71</w:t>
      </w:r>
      <w:r w:rsidRPr="00884B04">
        <w:fldChar w:fldCharType="end"/>
      </w:r>
      <w:r w:rsidRPr="00884B04">
        <w:t xml:space="preserve"> above), she argued that the duty to investigate fell on the Russian authorities because of their refusal to extradite </w:t>
      </w:r>
      <w:r w:rsidRPr="00884B04" w:rsidR="00F42FFF">
        <w:t>Mr L</w:t>
      </w:r>
      <w:r w:rsidRPr="00884B04">
        <w:t xml:space="preserve">ugovoy to the United Kingdom. The investigation had fallen short of the effectiveness requirement: there had been </w:t>
      </w:r>
      <w:r w:rsidRPr="00884B04" w:rsidR="007E7025">
        <w:t>no accountability for the preparatory acts such as the obtaining of polonium 210; witnesses had not been interviewed and evidence had not been secured; no one</w:t>
      </w:r>
      <w:r w:rsidRPr="00884B04" w:rsidR="00884B04">
        <w:t>’</w:t>
      </w:r>
      <w:r w:rsidRPr="00884B04" w:rsidR="007E7025">
        <w:t>s prosecution had been achieved or contemplated.</w:t>
      </w:r>
    </w:p>
    <w:p w:rsidRPr="00884B04" w:rsidR="007E7025" w:rsidP="00884B04" w:rsidRDefault="007E7025" w14:paraId="3490EF38" w14:textId="77777777">
      <w:pPr>
        <w:pStyle w:val="JuHa0"/>
      </w:pPr>
      <w:r w:rsidRPr="00884B04">
        <w:t>The United Kingdom Government</w:t>
      </w:r>
    </w:p>
    <w:bookmarkStart w:name="paragraph00121" w:id="72"/>
    <w:p w:rsidRPr="00884B04" w:rsidR="00662B04" w:rsidP="00884B04" w:rsidRDefault="007E7025" w14:paraId="37361993" w14:textId="049B2250">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121</w:t>
      </w:r>
      <w:r w:rsidRPr="00884B04">
        <w:fldChar w:fldCharType="end"/>
      </w:r>
      <w:bookmarkEnd w:id="72"/>
      <w:r w:rsidRPr="00884B04">
        <w:t>.</w:t>
      </w:r>
      <w:r w:rsidRPr="00884B04" w:rsidR="00FD072F">
        <w:t>  </w:t>
      </w:r>
      <w:r w:rsidRPr="00884B04">
        <w:t>Replying to the Court</w:t>
      </w:r>
      <w:r w:rsidRPr="00884B04" w:rsidR="00884B04">
        <w:t>’</w:t>
      </w:r>
      <w:r w:rsidRPr="00884B04">
        <w:t>s invitation to respond to the Russian Government</w:t>
      </w:r>
      <w:r w:rsidRPr="00884B04" w:rsidR="00884B04">
        <w:t>’</w:t>
      </w:r>
      <w:r w:rsidRPr="00884B04">
        <w:t>s allegations of insufficient co-operation, the United Kingdom Government submitted that, prior to the Russian Government</w:t>
      </w:r>
      <w:r w:rsidRPr="00884B04" w:rsidR="00884B04">
        <w:t>’</w:t>
      </w:r>
      <w:r w:rsidRPr="00884B04">
        <w:t xml:space="preserve">s refusal to execute the request for extradition of </w:t>
      </w:r>
      <w:r w:rsidRPr="00884B04" w:rsidR="00F42FFF">
        <w:t>Mr L</w:t>
      </w:r>
      <w:r w:rsidRPr="00884B04">
        <w:t>ugovoy, the United Kingdom authorities had complied, so far as possible, with the mutual legal assistance requests addressed to them.</w:t>
      </w:r>
      <w:r w:rsidRPr="00884B04" w:rsidR="00F42FFF">
        <w:t xml:space="preserve"> </w:t>
      </w:r>
      <w:r w:rsidRPr="00884B04">
        <w:t xml:space="preserve">Thereafter, the provision of further evidence to Russia was suspended owing to the growing concerns that the Russian State was likely to have been responsible for </w:t>
      </w:r>
      <w:r w:rsidRPr="00884B04" w:rsidR="00F42FFF">
        <w:t>Mr L</w:t>
      </w:r>
      <w:r w:rsidRPr="00884B04">
        <w:t>itvinenko</w:t>
      </w:r>
      <w:r w:rsidRPr="00884B04" w:rsidR="00884B04">
        <w:t>’</w:t>
      </w:r>
      <w:r w:rsidRPr="00884B04">
        <w:t>s murder on British soil.</w:t>
      </w:r>
      <w:r w:rsidRPr="00884B04" w:rsidR="00F42FFF">
        <w:t xml:space="preserve"> </w:t>
      </w:r>
      <w:r w:rsidRPr="00884B04" w:rsidR="00662B04">
        <w:t xml:space="preserve">It was felt that the provision of evidence could lead to a trial taking place in Russia which would be but a sham or a publicity stunt designed to displace responsibility for the murder. If the trial were held and concluded, this would have permitted </w:t>
      </w:r>
      <w:r w:rsidRPr="00884B04" w:rsidR="00F42FFF">
        <w:t>Mr L</w:t>
      </w:r>
      <w:r w:rsidRPr="00884B04" w:rsidR="00662B04">
        <w:t>ugovoy to rely on the bar of double jeopardy in order to resist extradition to the United Kingdom in the event of his apprehension outside Russia.</w:t>
      </w:r>
    </w:p>
    <w:bookmarkStart w:name="paragraph00122" w:id="73"/>
    <w:p w:rsidRPr="00884B04" w:rsidR="00662B04" w:rsidP="00884B04" w:rsidRDefault="00662B04" w14:paraId="317FFB43" w14:textId="44FAEE80">
      <w:pPr>
        <w:pStyle w:val="JuPara"/>
      </w:pPr>
      <w:r w:rsidRPr="00884B04">
        <w:fldChar w:fldCharType="begin"/>
      </w:r>
      <w:r w:rsidRPr="00884B04">
        <w:instrText xml:space="preserve"> SEQ level0 \*arabic </w:instrText>
      </w:r>
      <w:r w:rsidRPr="00884B04">
        <w:fldChar w:fldCharType="separate"/>
      </w:r>
      <w:r w:rsidRPr="00884B04" w:rsidR="00884B04">
        <w:rPr>
          <w:noProof/>
        </w:rPr>
        <w:t>122</w:t>
      </w:r>
      <w:r w:rsidRPr="00884B04">
        <w:fldChar w:fldCharType="end"/>
      </w:r>
      <w:bookmarkEnd w:id="73"/>
      <w:r w:rsidRPr="00884B04">
        <w:t>.</w:t>
      </w:r>
      <w:r w:rsidRPr="00884B04" w:rsidR="00FD072F">
        <w:t>  </w:t>
      </w:r>
      <w:r w:rsidRPr="00884B04">
        <w:t>As regards the Russian Government</w:t>
      </w:r>
      <w:r w:rsidRPr="00884B04" w:rsidR="00884B04">
        <w:t>’</w:t>
      </w:r>
      <w:r w:rsidRPr="00884B04">
        <w:t xml:space="preserve">s allegations relating to particular pieces of evidence, the United Kingdom Government submitted that </w:t>
      </w:r>
      <w:r w:rsidRPr="00884B04" w:rsidR="00F42FFF">
        <w:t>Mr L</w:t>
      </w:r>
      <w:r w:rsidRPr="00884B04">
        <w:t>itvinenko</w:t>
      </w:r>
      <w:r w:rsidRPr="00884B04" w:rsidR="00884B04">
        <w:t>’</w:t>
      </w:r>
      <w:r w:rsidRPr="00884B04">
        <w:t xml:space="preserve">s medical file and </w:t>
      </w:r>
      <w:r w:rsidRPr="00884B04" w:rsidR="007E7025">
        <w:t>notes, and also written and oral evidence from the two pathologists who conducted his post-mortem examination, had been examined in open session and published on the inquiry</w:t>
      </w:r>
      <w:r w:rsidRPr="00884B04" w:rsidR="00884B04">
        <w:t>’</w:t>
      </w:r>
      <w:r w:rsidRPr="00884B04" w:rsidR="007E7025">
        <w:t>s website.</w:t>
      </w:r>
      <w:r w:rsidRPr="00884B04" w:rsidR="00F42FFF">
        <w:t xml:space="preserve"> </w:t>
      </w:r>
      <w:r w:rsidRPr="00884B04" w:rsidR="007E7025">
        <w:t>The inquiry had also received detailed evidence from an expert nuclear physicist concerning the properties and sources of polonium 210.</w:t>
      </w:r>
      <w:r w:rsidRPr="00884B04" w:rsidR="00F42FFF">
        <w:t xml:space="preserve"> </w:t>
      </w:r>
      <w:r w:rsidRPr="00884B04">
        <w:t>Furthermore, had the ICRF applied for core participant status, it would have been afforded access to all the materials of the inquiry, with the exception of the sensitive evidence received in closed hearings.</w:t>
      </w:r>
    </w:p>
    <w:p w:rsidRPr="00884B04" w:rsidR="00A7773F" w:rsidP="00884B04" w:rsidRDefault="00A7773F" w14:paraId="15D71189" w14:textId="33C1801D">
      <w:pPr>
        <w:pStyle w:val="JuHA"/>
        <w:rPr>
          <w:lang w:val="en-US"/>
        </w:rPr>
      </w:pPr>
      <w:r w:rsidRPr="00884B04">
        <w:rPr>
          <w:lang w:val="en-US"/>
        </w:rPr>
        <w:t>The Court</w:t>
      </w:r>
      <w:r w:rsidRPr="00884B04" w:rsidR="00884B04">
        <w:rPr>
          <w:lang w:val="en-US"/>
        </w:rPr>
        <w:t>’</w:t>
      </w:r>
      <w:r w:rsidRPr="00884B04">
        <w:rPr>
          <w:lang w:val="en-US"/>
        </w:rPr>
        <w:t>s assessment</w:t>
      </w:r>
    </w:p>
    <w:p w:rsidRPr="00884B04" w:rsidR="00A7773F" w:rsidP="00884B04" w:rsidRDefault="00A7773F" w14:paraId="76C8603A" w14:textId="77777777">
      <w:pPr>
        <w:pStyle w:val="JuH1"/>
        <w:rPr>
          <w:lang w:val="en-US"/>
        </w:rPr>
      </w:pPr>
      <w:r w:rsidRPr="00884B04">
        <w:rPr>
          <w:lang w:val="en-US"/>
        </w:rPr>
        <w:t>General principles relating to jurisdiction</w:t>
      </w:r>
    </w:p>
    <w:p w:rsidRPr="00884B04" w:rsidR="00A7773F" w:rsidP="00884B04" w:rsidRDefault="00A7773F" w14:paraId="00207867" w14:textId="77777777">
      <w:pPr>
        <w:pStyle w:val="JuHa0"/>
      </w:pPr>
      <w:r w:rsidRPr="00884B04">
        <w:t>Exercise of extraterritorial jurisdiction – general considerations</w:t>
      </w:r>
    </w:p>
    <w:p w:rsidRPr="00884B04" w:rsidR="00A7773F" w:rsidP="00884B04" w:rsidRDefault="00EB7A47" w14:paraId="78B7A71C" w14:textId="65FAA456">
      <w:pPr>
        <w:pStyle w:val="JuPara"/>
      </w:pPr>
      <w:r>
        <w:rPr>
          <w:noProof/>
        </w:rPr>
        <w:fldChar w:fldCharType="begin"/>
      </w:r>
      <w:r>
        <w:rPr>
          <w:noProof/>
        </w:rPr>
        <w:instrText xml:space="preserve"> SEQ level0 \*arabic \* MERGEFORMAT </w:instrText>
      </w:r>
      <w:r>
        <w:rPr>
          <w:noProof/>
        </w:rPr>
        <w:fldChar w:fldCharType="separate"/>
      </w:r>
      <w:bookmarkStart w:name="paragraph00123" w:id="74"/>
      <w:r w:rsidRPr="00884B04" w:rsidR="00884B04">
        <w:rPr>
          <w:noProof/>
        </w:rPr>
        <w:t>123</w:t>
      </w:r>
      <w:bookmarkEnd w:id="74"/>
      <w:r>
        <w:rPr>
          <w:noProof/>
        </w:rPr>
        <w:fldChar w:fldCharType="end"/>
      </w:r>
      <w:r w:rsidRPr="00884B04" w:rsidR="00A7773F">
        <w:t>.</w:t>
      </w:r>
      <w:r w:rsidRPr="00884B04" w:rsidR="00FD072F">
        <w:t>  </w:t>
      </w:r>
      <w:r w:rsidRPr="00884B04" w:rsidR="00F42FFF">
        <w:t>Article 1</w:t>
      </w:r>
      <w:r w:rsidRPr="00884B04" w:rsidR="00A7773F">
        <w:t xml:space="preserve"> of the Convention reads as follows:</w:t>
      </w:r>
    </w:p>
    <w:p w:rsidRPr="00884B04" w:rsidR="00A7773F" w:rsidP="00884B04" w:rsidRDefault="00A7773F" w14:paraId="3892D702" w14:textId="77777777">
      <w:pPr>
        <w:pStyle w:val="JuQuot"/>
      </w:pPr>
      <w:r w:rsidRPr="00884B04">
        <w:t>“The High Contracting Parties shall secure to everyone within their jurisdiction the rights and freedoms defined in Section I of [the] Convention.”</w:t>
      </w:r>
    </w:p>
    <w:p w:rsidRPr="00884B04" w:rsidR="00A7773F" w:rsidP="00884B04" w:rsidRDefault="00EB7A47" w14:paraId="744F36EC" w14:textId="7C537D1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124</w:t>
      </w:r>
      <w:r>
        <w:rPr>
          <w:noProof/>
        </w:rPr>
        <w:fldChar w:fldCharType="end"/>
      </w:r>
      <w:r w:rsidRPr="00884B04" w:rsidR="00A7773F">
        <w:t>.</w:t>
      </w:r>
      <w:r w:rsidRPr="00884B04" w:rsidR="00FD072F">
        <w:t>  </w:t>
      </w:r>
      <w:r w:rsidRPr="00884B04" w:rsidR="00A7773F">
        <w:t>The Court reiterates that the exercise of jurisdiction is a necessary condition for a Contracting State to be able to be held responsible for acts or omissions imputed to it which give rise to an allegation of the infringement of rights and freedoms set forth in the Convention.</w:t>
      </w:r>
      <w:r w:rsidRPr="00884B04" w:rsidR="00F42FFF">
        <w:t xml:space="preserve"> </w:t>
      </w:r>
      <w:r w:rsidRPr="00884B04" w:rsidR="00A7773F">
        <w:t>While a State</w:t>
      </w:r>
      <w:r w:rsidRPr="00884B04" w:rsidR="00884B04">
        <w:t>’</w:t>
      </w:r>
      <w:r w:rsidRPr="00884B04" w:rsidR="00A7773F">
        <w:t xml:space="preserve">s jurisdictional competence under </w:t>
      </w:r>
      <w:r w:rsidRPr="00884B04" w:rsidR="00F42FFF">
        <w:t>Article 1</w:t>
      </w:r>
      <w:r w:rsidRPr="00884B04" w:rsidR="00A7773F">
        <w:t xml:space="preserve"> is primarily territorial, the Court in its case-law has recognised a number of exceptional circumstances capable of giving rise to the exercise of jurisdiction by a Contracting State outside its own territorial boundaries. In each case, the question whether exceptional circumstances exist which require and justify a finding by the Court that the State was exercising jurisdiction extraterritorially must be determined with reference to the particular facts (see </w:t>
      </w:r>
      <w:r w:rsidRPr="00884B04" w:rsidR="00A7773F">
        <w:rPr>
          <w:i/>
          <w:iCs/>
        </w:rPr>
        <w:t>Al-Skeini and Others</w:t>
      </w:r>
      <w:r w:rsidRPr="00884B04" w:rsidR="00A7773F">
        <w:t xml:space="preserve">, cited above, </w:t>
      </w:r>
      <w:r w:rsidRPr="00884B04" w:rsidR="00F42FFF">
        <w:t>§ 1</w:t>
      </w:r>
      <w:r w:rsidRPr="00884B04" w:rsidR="00A7773F">
        <w:t xml:space="preserve">32; </w:t>
      </w:r>
      <w:r w:rsidRPr="00884B04" w:rsidR="00A7773F">
        <w:rPr>
          <w:i/>
        </w:rPr>
        <w:t>Hirsi Jamaa and Others</w:t>
      </w:r>
      <w:r w:rsidRPr="00884B04" w:rsidR="00F42FFF">
        <w:rPr>
          <w:i/>
        </w:rPr>
        <w:t xml:space="preserve"> v. I</w:t>
      </w:r>
      <w:r w:rsidRPr="00884B04" w:rsidR="00A7773F">
        <w:rPr>
          <w:i/>
        </w:rPr>
        <w:t>taly</w:t>
      </w:r>
      <w:r w:rsidRPr="00884B04" w:rsidR="00A7773F">
        <w:t xml:space="preserve"> [GC], </w:t>
      </w:r>
      <w:r w:rsidRPr="00884B04" w:rsidR="00F42FFF">
        <w:t>no. 2</w:t>
      </w:r>
      <w:r w:rsidRPr="00884B04" w:rsidR="00A7773F">
        <w:t>7765/09, §</w:t>
      </w:r>
      <w:r w:rsidRPr="00884B04" w:rsidR="00F42FFF">
        <w:t>§ </w:t>
      </w:r>
      <w:r w:rsidRPr="00884B04" w:rsidR="009B4DA7">
        <w:t>1</w:t>
      </w:r>
      <w:r w:rsidRPr="00884B04" w:rsidR="00A7773F">
        <w:t>30-32, ECHR 2012;</w:t>
      </w:r>
      <w:r w:rsidRPr="00884B04" w:rsidR="009B4DA7">
        <w:t xml:space="preserve"> and </w:t>
      </w:r>
      <w:r w:rsidRPr="00884B04" w:rsidR="009B4DA7">
        <w:rPr>
          <w:i/>
        </w:rPr>
        <w:t>M.N. and Others</w:t>
      </w:r>
      <w:r w:rsidRPr="00884B04" w:rsidR="00F42FFF">
        <w:rPr>
          <w:i/>
        </w:rPr>
        <w:t xml:space="preserve"> v. B</w:t>
      </w:r>
      <w:r w:rsidRPr="00884B04" w:rsidR="009B4DA7">
        <w:rPr>
          <w:i/>
        </w:rPr>
        <w:t xml:space="preserve">elgium </w:t>
      </w:r>
      <w:r w:rsidRPr="00884B04" w:rsidR="009B4DA7">
        <w:t xml:space="preserve">(dec.) [GC], </w:t>
      </w:r>
      <w:r w:rsidRPr="00884B04" w:rsidR="00F42FFF">
        <w:t>no. 3</w:t>
      </w:r>
      <w:r w:rsidRPr="00884B04" w:rsidR="009B4DA7">
        <w:t>599/18, §</w:t>
      </w:r>
      <w:r w:rsidRPr="00884B04" w:rsidR="00F42FFF">
        <w:t>§ 9</w:t>
      </w:r>
      <w:r w:rsidRPr="00884B04" w:rsidR="009B4DA7">
        <w:t xml:space="preserve">7-98 and 101-02, </w:t>
      </w:r>
      <w:r w:rsidRPr="00884B04" w:rsidR="00F42FFF">
        <w:t>5 May 2020</w:t>
      </w:r>
      <w:r w:rsidRPr="00884B04" w:rsidR="00A7773F">
        <w:t>).</w:t>
      </w:r>
    </w:p>
    <w:p w:rsidRPr="00884B04" w:rsidR="0009376E" w:rsidP="00884B04" w:rsidRDefault="00FA11B4" w14:paraId="1DFAFBB7" w14:textId="77777777">
      <w:pPr>
        <w:pStyle w:val="JuHa0"/>
      </w:pPr>
      <w:r w:rsidRPr="00884B04">
        <w:t xml:space="preserve">Substantive obligation under </w:t>
      </w:r>
      <w:r w:rsidRPr="00884B04" w:rsidR="00F42FFF">
        <w:t>Article 2</w:t>
      </w:r>
      <w:r w:rsidRPr="00884B04">
        <w:t xml:space="preserve"> of the Convention</w:t>
      </w:r>
    </w:p>
    <w:bookmarkStart w:name="paragraph00144" w:id="75"/>
    <w:p w:rsidRPr="00884B04" w:rsidR="00220AB0" w:rsidP="00884B04" w:rsidRDefault="00220AB0" w14:paraId="4097583F" w14:textId="45A40199">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125</w:t>
      </w:r>
      <w:r w:rsidRPr="00884B04">
        <w:fldChar w:fldCharType="end"/>
      </w:r>
      <w:bookmarkEnd w:id="75"/>
      <w:r w:rsidRPr="00884B04">
        <w:t>.</w:t>
      </w:r>
      <w:r w:rsidRPr="00884B04" w:rsidR="00FD072F">
        <w:t>  </w:t>
      </w:r>
      <w:r w:rsidRPr="00884B04">
        <w:t xml:space="preserve">The two main criteria governing the exercise of extraterritorial jurisdiction are that of “effective control” by the State over an area outside its territory (spatial concept of jurisdiction) and that of “State agent authority and control” over individuals (personal concept of jurisdiction) (see </w:t>
      </w:r>
      <w:r w:rsidRPr="00884B04">
        <w:rPr>
          <w:i/>
          <w:iCs/>
        </w:rPr>
        <w:t>Al-Skeini and Others</w:t>
      </w:r>
      <w:r w:rsidRPr="00884B04">
        <w:t>, cited above, §</w:t>
      </w:r>
      <w:r w:rsidRPr="00884B04" w:rsidR="00F42FFF">
        <w:t>§ 1</w:t>
      </w:r>
      <w:r w:rsidRPr="00884B04">
        <w:t>33-40</w:t>
      </w:r>
      <w:r w:rsidRPr="00884B04" w:rsidR="003204EE">
        <w:t xml:space="preserve">, and </w:t>
      </w:r>
      <w:r w:rsidRPr="00884B04" w:rsidR="003204EE">
        <w:rPr>
          <w:i/>
          <w:iCs/>
        </w:rPr>
        <w:t>Georgia</w:t>
      </w:r>
      <w:r w:rsidRPr="00884B04" w:rsidR="00F42FFF">
        <w:rPr>
          <w:i/>
          <w:iCs/>
        </w:rPr>
        <w:t xml:space="preserve"> v. R</w:t>
      </w:r>
      <w:r w:rsidRPr="00884B04" w:rsidR="003204EE">
        <w:rPr>
          <w:i/>
          <w:iCs/>
        </w:rPr>
        <w:t>ussia</w:t>
      </w:r>
      <w:r w:rsidRPr="00884B04" w:rsidR="00CD49B2">
        <w:rPr>
          <w:i/>
          <w:iCs/>
        </w:rPr>
        <w:t> </w:t>
      </w:r>
      <w:r w:rsidRPr="00884B04" w:rsidR="003204EE">
        <w:rPr>
          <w:i/>
          <w:iCs/>
        </w:rPr>
        <w:t>(II)</w:t>
      </w:r>
      <w:r w:rsidRPr="00884B04" w:rsidR="003204EE">
        <w:t xml:space="preserve"> [GC], </w:t>
      </w:r>
      <w:r w:rsidRPr="00884B04" w:rsidR="00F42FFF">
        <w:t>no. 3</w:t>
      </w:r>
      <w:r w:rsidRPr="00884B04" w:rsidR="003204EE">
        <w:t xml:space="preserve">8263/08, </w:t>
      </w:r>
      <w:r w:rsidRPr="00884B04" w:rsidR="00F42FFF">
        <w:t>§ 1</w:t>
      </w:r>
      <w:r w:rsidRPr="00884B04" w:rsidR="003204EE">
        <w:t xml:space="preserve">15, </w:t>
      </w:r>
      <w:r w:rsidRPr="00884B04" w:rsidR="00F42FFF">
        <w:t>21 January 2021</w:t>
      </w:r>
      <w:r w:rsidRPr="00884B04">
        <w:t>).</w:t>
      </w:r>
      <w:r w:rsidRPr="00884B04" w:rsidR="003204EE">
        <w:t xml:space="preserve"> In the present case, it is the second of these criteria that is relevant.</w:t>
      </w:r>
    </w:p>
    <w:p w:rsidRPr="00884B04" w:rsidR="00A7773F" w:rsidP="00884B04" w:rsidRDefault="00EB7A47" w14:paraId="09214EA5" w14:textId="7B45BD4D">
      <w:pPr>
        <w:pStyle w:val="JuPara"/>
        <w:rPr>
          <w:lang w:bidi="en-US"/>
        </w:rPr>
      </w:pPr>
      <w:r>
        <w:rPr>
          <w:noProof/>
        </w:rPr>
        <w:fldChar w:fldCharType="begin"/>
      </w:r>
      <w:r>
        <w:rPr>
          <w:noProof/>
        </w:rPr>
        <w:instrText xml:space="preserve"> SEQ level0 \*arabic \* MERGEFORMAT </w:instrText>
      </w:r>
      <w:r>
        <w:rPr>
          <w:noProof/>
        </w:rPr>
        <w:fldChar w:fldCharType="separate"/>
      </w:r>
      <w:bookmarkStart w:name="paragraph00126" w:id="76"/>
      <w:r w:rsidRPr="00884B04" w:rsidR="00884B04">
        <w:rPr>
          <w:noProof/>
        </w:rPr>
        <w:t>126</w:t>
      </w:r>
      <w:bookmarkEnd w:id="76"/>
      <w:r>
        <w:rPr>
          <w:noProof/>
        </w:rPr>
        <w:fldChar w:fldCharType="end"/>
      </w:r>
      <w:r w:rsidRPr="00884B04" w:rsidR="00A7773F">
        <w:t>.</w:t>
      </w:r>
      <w:r w:rsidRPr="00884B04" w:rsidR="00FD072F">
        <w:t>  </w:t>
      </w:r>
      <w:r w:rsidRPr="00884B04" w:rsidR="00A7773F">
        <w:t>Under the personal concept of jurisdiction, “the use of force by a State</w:t>
      </w:r>
      <w:r w:rsidRPr="00884B04" w:rsidR="00884B04">
        <w:t>’</w:t>
      </w:r>
      <w:r w:rsidRPr="00884B04" w:rsidR="00A7773F">
        <w:t>s agents operating outside its territory may bring the individual thereby brought under the control of the State</w:t>
      </w:r>
      <w:r w:rsidRPr="00884B04" w:rsidR="00884B04">
        <w:t>’</w:t>
      </w:r>
      <w:r w:rsidRPr="00884B04" w:rsidR="00A7773F">
        <w:t>s authorities into the State</w:t>
      </w:r>
      <w:r w:rsidRPr="00884B04" w:rsidR="00884B04">
        <w:t>’</w:t>
      </w:r>
      <w:r w:rsidRPr="00884B04" w:rsidR="00A7773F">
        <w:t xml:space="preserve">s </w:t>
      </w:r>
      <w:r w:rsidRPr="00884B04" w:rsidR="00F42FFF">
        <w:t>Article 1</w:t>
      </w:r>
      <w:r w:rsidRPr="00884B04" w:rsidR="00A7773F">
        <w:t xml:space="preserve"> jurisdiction” (</w:t>
      </w:r>
      <w:r w:rsidRPr="00884B04" w:rsidR="00827F7B">
        <w:t xml:space="preserve">see </w:t>
      </w:r>
      <w:r w:rsidRPr="00884B04" w:rsidR="00827F7B">
        <w:rPr>
          <w:i/>
          <w:iCs/>
        </w:rPr>
        <w:t>Al-Skeini and Others</w:t>
      </w:r>
      <w:r w:rsidRPr="00884B04" w:rsidR="00827F7B">
        <w:t>, cited above,</w:t>
      </w:r>
      <w:r w:rsidRPr="00884B04" w:rsidR="00A7773F">
        <w:rPr>
          <w:lang w:bidi="en-US"/>
        </w:rPr>
        <w:t xml:space="preserve"> </w:t>
      </w:r>
      <w:r w:rsidRPr="00884B04" w:rsidR="00F42FFF">
        <w:rPr>
          <w:lang w:bidi="en-US"/>
        </w:rPr>
        <w:t>§ 1</w:t>
      </w:r>
      <w:r w:rsidRPr="00884B04" w:rsidR="00A7773F">
        <w:rPr>
          <w:lang w:bidi="en-US"/>
        </w:rPr>
        <w:t>36</w:t>
      </w:r>
      <w:r w:rsidRPr="00884B04" w:rsidR="00A7773F">
        <w:t>).</w:t>
      </w:r>
      <w:r w:rsidRPr="00884B04" w:rsidR="00827F7B">
        <w:rPr>
          <w:lang w:bidi="en-US"/>
        </w:rPr>
        <w:t xml:space="preserve"> </w:t>
      </w:r>
      <w:r w:rsidRPr="00884B04" w:rsidR="00A7773F">
        <w:rPr>
          <w:lang w:bidi="en-US"/>
        </w:rPr>
        <w:t>Jurisdiction in such cases does not arise solely from the control exercised by the Contracting State over the physical premises in which individuals are held but rather from “the exercise of physical power and control over the person in question” (</w:t>
      </w:r>
      <w:r w:rsidRPr="00884B04" w:rsidR="00A7773F">
        <w:t>ibid.</w:t>
      </w:r>
      <w:r w:rsidRPr="00884B04" w:rsidR="00A7773F">
        <w:rPr>
          <w:lang w:bidi="en-US"/>
        </w:rPr>
        <w:t xml:space="preserve">, </w:t>
      </w:r>
      <w:r w:rsidRPr="00884B04" w:rsidR="00F42FFF">
        <w:rPr>
          <w:lang w:bidi="en-US"/>
        </w:rPr>
        <w:t>§ 1</w:t>
      </w:r>
      <w:r w:rsidRPr="00884B04" w:rsidR="00A7773F">
        <w:rPr>
          <w:lang w:bidi="en-US"/>
        </w:rPr>
        <w:t>36).</w:t>
      </w:r>
      <w:r w:rsidRPr="00884B04" w:rsidR="00F42FFF">
        <w:rPr>
          <w:lang w:bidi="en-US"/>
        </w:rPr>
        <w:t xml:space="preserve"> </w:t>
      </w:r>
      <w:r w:rsidRPr="00884B04" w:rsidR="00A7773F">
        <w:rPr>
          <w:lang w:bidi="en-US"/>
        </w:rPr>
        <w:t xml:space="preserve">Whenever a State through its agents exercises control and authority over an individual, and thus jurisdiction, the State is under an obligation under </w:t>
      </w:r>
      <w:r w:rsidRPr="00884B04" w:rsidR="00F42FFF">
        <w:rPr>
          <w:lang w:bidi="en-US"/>
        </w:rPr>
        <w:t>Article 1</w:t>
      </w:r>
      <w:r w:rsidRPr="00884B04" w:rsidR="00A7773F">
        <w:rPr>
          <w:lang w:bidi="en-US"/>
        </w:rPr>
        <w:t xml:space="preserve"> to secure to that individual the rights and freedoms under Section I of the Convention that are relevant to the situation of that individual.</w:t>
      </w:r>
      <w:r w:rsidRPr="00884B04" w:rsidR="00F42FFF">
        <w:rPr>
          <w:lang w:bidi="en-US"/>
        </w:rPr>
        <w:t xml:space="preserve"> </w:t>
      </w:r>
      <w:r w:rsidRPr="00884B04" w:rsidR="00A7773F">
        <w:rPr>
          <w:lang w:bidi="en-US"/>
        </w:rPr>
        <w:t xml:space="preserve">In this sense the Convention rights can be “divided and tailored” (ibid., </w:t>
      </w:r>
      <w:r w:rsidRPr="00884B04" w:rsidR="00F42FFF">
        <w:rPr>
          <w:lang w:bidi="en-US"/>
        </w:rPr>
        <w:t>§ 1</w:t>
      </w:r>
      <w:r w:rsidRPr="00884B04" w:rsidR="00A7773F">
        <w:rPr>
          <w:lang w:bidi="en-US"/>
        </w:rPr>
        <w:t xml:space="preserve">37; see also </w:t>
      </w:r>
      <w:r w:rsidRPr="00884B04" w:rsidR="00A7773F">
        <w:rPr>
          <w:i/>
          <w:iCs/>
          <w:lang w:bidi="en-US"/>
        </w:rPr>
        <w:t>Jaloud</w:t>
      </w:r>
      <w:r w:rsidRPr="00884B04" w:rsidR="00A7773F">
        <w:rPr>
          <w:lang w:bidi="en-US"/>
        </w:rPr>
        <w:t xml:space="preserve">, cited above, </w:t>
      </w:r>
      <w:r w:rsidRPr="00884B04" w:rsidR="00F42FFF">
        <w:rPr>
          <w:lang w:bidi="en-US"/>
        </w:rPr>
        <w:t>§ 1</w:t>
      </w:r>
      <w:r w:rsidRPr="00884B04" w:rsidR="00A7773F">
        <w:rPr>
          <w:lang w:bidi="en-US"/>
        </w:rPr>
        <w:t>54).</w:t>
      </w:r>
    </w:p>
    <w:bookmarkStart w:name="paragraph00147" w:id="77"/>
    <w:p w:rsidRPr="00884B04" w:rsidR="00A7773F" w:rsidP="00884B04" w:rsidRDefault="00A7773F" w14:paraId="5DD2B6AE" w14:textId="6228870E">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127</w:t>
      </w:r>
      <w:r w:rsidRPr="00884B04">
        <w:fldChar w:fldCharType="end"/>
      </w:r>
      <w:bookmarkEnd w:id="77"/>
      <w:r w:rsidRPr="00884B04">
        <w:t>.</w:t>
      </w:r>
      <w:r w:rsidRPr="00884B04" w:rsidR="00FD072F">
        <w:t>  </w:t>
      </w:r>
      <w:r w:rsidRPr="00884B04">
        <w:t>The Court reiterates that “a State may also be held accountable for violation of the Convention rights and freedoms of persons who are in the territory of another State but who are found to be under the former State</w:t>
      </w:r>
      <w:r w:rsidRPr="00884B04" w:rsidR="00884B04">
        <w:t>’</w:t>
      </w:r>
      <w:r w:rsidRPr="00884B04">
        <w:t xml:space="preserve">s authority and control through its agents operating – whether lawfully or unlawfully – in the latter State” (see </w:t>
      </w:r>
      <w:bookmarkStart w:name="_Hlk72831550" w:id="78"/>
      <w:r w:rsidRPr="00884B04">
        <w:rPr>
          <w:i/>
        </w:rPr>
        <w:t>Öcalan</w:t>
      </w:r>
      <w:r w:rsidRPr="00884B04" w:rsidR="00F42FFF">
        <w:rPr>
          <w:i/>
        </w:rPr>
        <w:t xml:space="preserve"> v. T</w:t>
      </w:r>
      <w:r w:rsidRPr="00884B04">
        <w:rPr>
          <w:i/>
        </w:rPr>
        <w:t>urkey</w:t>
      </w:r>
      <w:r w:rsidRPr="00884B04">
        <w:t xml:space="preserve"> [GC], </w:t>
      </w:r>
      <w:r w:rsidRPr="00884B04" w:rsidR="00F42FFF">
        <w:t>no. 4</w:t>
      </w:r>
      <w:r w:rsidRPr="00884B04">
        <w:t xml:space="preserve">6221/99, </w:t>
      </w:r>
      <w:r w:rsidRPr="00884B04" w:rsidR="00F42FFF">
        <w:t>§ 9</w:t>
      </w:r>
      <w:r w:rsidRPr="00884B04">
        <w:t>1, ECHR 2005</w:t>
      </w:r>
      <w:r w:rsidRPr="00884B04">
        <w:noBreakHyphen/>
        <w:t xml:space="preserve">IV, and </w:t>
      </w:r>
      <w:r w:rsidRPr="00884B04">
        <w:rPr>
          <w:i/>
        </w:rPr>
        <w:t xml:space="preserve">Issa </w:t>
      </w:r>
      <w:bookmarkEnd w:id="78"/>
      <w:r w:rsidRPr="00884B04">
        <w:rPr>
          <w:i/>
        </w:rPr>
        <w:t>and Others</w:t>
      </w:r>
      <w:r w:rsidRPr="00884B04" w:rsidR="00F42FFF">
        <w:rPr>
          <w:i/>
        </w:rPr>
        <w:t xml:space="preserve"> v. T</w:t>
      </w:r>
      <w:r w:rsidRPr="00884B04">
        <w:rPr>
          <w:i/>
        </w:rPr>
        <w:t>urkey</w:t>
      </w:r>
      <w:r w:rsidRPr="00884B04">
        <w:rPr>
          <w:iCs/>
        </w:rPr>
        <w:t>,</w:t>
      </w:r>
      <w:r w:rsidRPr="00884B04">
        <w:rPr>
          <w:i/>
        </w:rPr>
        <w:t xml:space="preserve"> </w:t>
      </w:r>
      <w:r w:rsidRPr="00884B04" w:rsidR="00F42FFF">
        <w:t>no. 3</w:t>
      </w:r>
      <w:r w:rsidRPr="00884B04">
        <w:t xml:space="preserve">1821/96, </w:t>
      </w:r>
      <w:r w:rsidRPr="00884B04" w:rsidR="00F42FFF">
        <w:t>§ 7</w:t>
      </w:r>
      <w:r w:rsidRPr="00884B04">
        <w:t xml:space="preserve">1, </w:t>
      </w:r>
      <w:r w:rsidRPr="00884B04" w:rsidR="00F42FFF">
        <w:t>16 November 2004</w:t>
      </w:r>
      <w:r w:rsidRPr="00884B04">
        <w:t>).</w:t>
      </w:r>
      <w:r w:rsidRPr="00884B04" w:rsidR="00F42FFF">
        <w:t xml:space="preserve"> </w:t>
      </w:r>
      <w:r w:rsidRPr="00884B04">
        <w:t xml:space="preserve">That approach was followed in a series of cases including </w:t>
      </w:r>
      <w:r w:rsidRPr="00884B04">
        <w:rPr>
          <w:i/>
        </w:rPr>
        <w:t>Isaak</w:t>
      </w:r>
      <w:r w:rsidRPr="00884B04" w:rsidR="00F42FFF">
        <w:rPr>
          <w:i/>
        </w:rPr>
        <w:t xml:space="preserve"> v. T</w:t>
      </w:r>
      <w:r w:rsidRPr="00884B04">
        <w:rPr>
          <w:i/>
        </w:rPr>
        <w:t>urkey</w:t>
      </w:r>
      <w:r w:rsidRPr="00884B04">
        <w:rPr>
          <w:iCs/>
        </w:rPr>
        <w:t xml:space="preserve"> ((dec.), </w:t>
      </w:r>
      <w:r w:rsidRPr="00884B04" w:rsidR="00F42FFF">
        <w:rPr>
          <w:iCs/>
        </w:rPr>
        <w:t>no. 4</w:t>
      </w:r>
      <w:r w:rsidRPr="00884B04">
        <w:rPr>
          <w:iCs/>
        </w:rPr>
        <w:t xml:space="preserve">4587/98, </w:t>
      </w:r>
      <w:r w:rsidRPr="00884B04" w:rsidR="00F42FFF">
        <w:rPr>
          <w:iCs/>
        </w:rPr>
        <w:t>28 September 2006</w:t>
      </w:r>
      <w:r w:rsidRPr="00884B04">
        <w:t xml:space="preserve">), </w:t>
      </w:r>
      <w:r w:rsidRPr="00884B04">
        <w:rPr>
          <w:i/>
        </w:rPr>
        <w:t>Pad and Others</w:t>
      </w:r>
      <w:r w:rsidRPr="00884B04" w:rsidR="00F42FFF">
        <w:rPr>
          <w:i/>
        </w:rPr>
        <w:t xml:space="preserve"> v. T</w:t>
      </w:r>
      <w:r w:rsidRPr="00884B04">
        <w:rPr>
          <w:i/>
        </w:rPr>
        <w:t xml:space="preserve">urkey </w:t>
      </w:r>
      <w:r w:rsidRPr="00884B04">
        <w:rPr>
          <w:iCs/>
        </w:rPr>
        <w:t xml:space="preserve">((dec.), </w:t>
      </w:r>
      <w:r w:rsidRPr="00884B04" w:rsidR="00F42FFF">
        <w:rPr>
          <w:iCs/>
        </w:rPr>
        <w:t>no. 6</w:t>
      </w:r>
      <w:r w:rsidRPr="00884B04">
        <w:rPr>
          <w:iCs/>
        </w:rPr>
        <w:t xml:space="preserve">0167/00, </w:t>
      </w:r>
      <w:r w:rsidRPr="00884B04" w:rsidR="00F42FFF">
        <w:rPr>
          <w:iCs/>
        </w:rPr>
        <w:t>28 June 2007</w:t>
      </w:r>
      <w:r w:rsidRPr="00884B04">
        <w:rPr>
          <w:iCs/>
        </w:rPr>
        <w:t xml:space="preserve">), </w:t>
      </w:r>
      <w:r w:rsidRPr="00884B04">
        <w:rPr>
          <w:i/>
        </w:rPr>
        <w:t>Andreou</w:t>
      </w:r>
      <w:r w:rsidRPr="00884B04" w:rsidR="00F42FFF">
        <w:rPr>
          <w:i/>
        </w:rPr>
        <w:t xml:space="preserve"> v. T</w:t>
      </w:r>
      <w:r w:rsidRPr="00884B04">
        <w:rPr>
          <w:i/>
        </w:rPr>
        <w:t>urkey</w:t>
      </w:r>
      <w:r w:rsidRPr="00884B04">
        <w:rPr>
          <w:iCs/>
        </w:rPr>
        <w:t xml:space="preserve"> ((dec.), </w:t>
      </w:r>
      <w:r w:rsidRPr="00884B04" w:rsidR="00F42FFF">
        <w:rPr>
          <w:iCs/>
        </w:rPr>
        <w:t>no. 4</w:t>
      </w:r>
      <w:r w:rsidRPr="00884B04">
        <w:rPr>
          <w:iCs/>
        </w:rPr>
        <w:t xml:space="preserve">5653/99, </w:t>
      </w:r>
      <w:r w:rsidRPr="00884B04" w:rsidR="00F42FFF">
        <w:rPr>
          <w:iCs/>
        </w:rPr>
        <w:t>3 June 2008</w:t>
      </w:r>
      <w:r w:rsidRPr="00884B04">
        <w:rPr>
          <w:iCs/>
        </w:rPr>
        <w:t xml:space="preserve">), and </w:t>
      </w:r>
      <w:r w:rsidRPr="00884B04">
        <w:rPr>
          <w:i/>
        </w:rPr>
        <w:t>Solomou and Others</w:t>
      </w:r>
      <w:r w:rsidRPr="00884B04" w:rsidR="00F42FFF">
        <w:rPr>
          <w:i/>
        </w:rPr>
        <w:t xml:space="preserve"> v. T</w:t>
      </w:r>
      <w:r w:rsidRPr="00884B04">
        <w:rPr>
          <w:i/>
        </w:rPr>
        <w:t xml:space="preserve">urkey </w:t>
      </w:r>
      <w:r w:rsidRPr="00884B04">
        <w:rPr>
          <w:iCs/>
        </w:rPr>
        <w:t>(</w:t>
      </w:r>
      <w:r w:rsidRPr="00884B04" w:rsidR="00F42FFF">
        <w:t>no. 3</w:t>
      </w:r>
      <w:r w:rsidRPr="00884B04">
        <w:t>6832/97, §</w:t>
      </w:r>
      <w:r w:rsidRPr="00884B04" w:rsidR="00F42FFF">
        <w:t>§ 4</w:t>
      </w:r>
      <w:r w:rsidRPr="00884B04">
        <w:t xml:space="preserve">8-51, </w:t>
      </w:r>
      <w:r w:rsidRPr="00884B04" w:rsidR="00F42FFF">
        <w:t>24 June 2008</w:t>
      </w:r>
      <w:r w:rsidRPr="00884B04">
        <w:t>).</w:t>
      </w:r>
      <w:r w:rsidRPr="00884B04" w:rsidR="00F42FFF">
        <w:t xml:space="preserve"> </w:t>
      </w:r>
      <w:r w:rsidRPr="00884B04">
        <w:t>In those cases, control over individuals on account of incursions and targeting of specific persons by the armed forces or police of the respondent State was sufficient to bring the affected persons “under the authority and/or effective control of the respondent State through its agents”.</w:t>
      </w:r>
    </w:p>
    <w:p w:rsidRPr="00884B04" w:rsidR="00A7773F" w:rsidP="00884B04" w:rsidRDefault="00EB7A47" w14:paraId="77B70786" w14:textId="5A290EA5">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128</w:t>
      </w:r>
      <w:r>
        <w:rPr>
          <w:noProof/>
        </w:rPr>
        <w:fldChar w:fldCharType="end"/>
      </w:r>
      <w:r w:rsidRPr="00884B04" w:rsidR="00A7773F">
        <w:t>.</w:t>
      </w:r>
      <w:r w:rsidRPr="00884B04" w:rsidR="00FD072F">
        <w:t>  </w:t>
      </w:r>
      <w:r w:rsidRPr="00884B04" w:rsidR="00A7773F">
        <w:t xml:space="preserve">The Court has held that “accountability in such situations stems from the fact that </w:t>
      </w:r>
      <w:r w:rsidRPr="00884B04" w:rsidR="00F42FFF">
        <w:t>Article 1</w:t>
      </w:r>
      <w:r w:rsidRPr="00884B04" w:rsidR="00A7773F">
        <w:t xml:space="preserve"> of the Convention cannot be interpreted so as to allow a State party to perpetrate violations of the Convention on the territory of another State, which it could not perpetrate on its own territory” (see </w:t>
      </w:r>
      <w:r w:rsidRPr="00884B04" w:rsidR="00A7773F">
        <w:rPr>
          <w:i/>
          <w:iCs/>
        </w:rPr>
        <w:t>Issa and Others</w:t>
      </w:r>
      <w:r w:rsidRPr="00884B04" w:rsidR="00A7773F">
        <w:t xml:space="preserve">, </w:t>
      </w:r>
      <w:r w:rsidRPr="00884B04" w:rsidR="00F42FFF">
        <w:t>§ 7</w:t>
      </w:r>
      <w:r w:rsidRPr="00884B04" w:rsidR="00A7773F">
        <w:t xml:space="preserve">1, and </w:t>
      </w:r>
      <w:r w:rsidRPr="00884B04" w:rsidR="00A7773F">
        <w:rPr>
          <w:i/>
          <w:iCs/>
        </w:rPr>
        <w:t>Solomou and Others</w:t>
      </w:r>
      <w:r w:rsidRPr="00884B04" w:rsidR="00A7773F">
        <w:t xml:space="preserve">, </w:t>
      </w:r>
      <w:r w:rsidRPr="00884B04" w:rsidR="00F42FFF">
        <w:t>§ 4</w:t>
      </w:r>
      <w:r w:rsidRPr="00884B04" w:rsidR="00A7773F">
        <w:t>5, both cited above).</w:t>
      </w:r>
      <w:r w:rsidRPr="00884B04" w:rsidR="00F42FFF">
        <w:t xml:space="preserve"> </w:t>
      </w:r>
      <w:r w:rsidRPr="00884B04" w:rsidR="00A7773F">
        <w:t>Targeted violations of the human rights of an individual by one Contracting State in the territory of another Contracting State undermine the effectiveness of the Convention both as a guardian of human rights and as a guarantor of peace, stability and the rule of law in Europe.</w:t>
      </w:r>
    </w:p>
    <w:p w:rsidRPr="00884B04" w:rsidR="00A7773F" w:rsidP="00884B04" w:rsidRDefault="00EB7A47" w14:paraId="43A8A979" w14:textId="62E9A683">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129</w:t>
      </w:r>
      <w:r>
        <w:rPr>
          <w:noProof/>
        </w:rPr>
        <w:fldChar w:fldCharType="end"/>
      </w:r>
      <w:r w:rsidRPr="00884B04" w:rsidR="00A7773F">
        <w:t>.</w:t>
      </w:r>
      <w:r w:rsidRPr="00884B04" w:rsidR="00FD072F">
        <w:t>  </w:t>
      </w:r>
      <w:r w:rsidRPr="00884B04" w:rsidR="00A7773F">
        <w:t xml:space="preserve">In its recent judgment in </w:t>
      </w:r>
      <w:r w:rsidRPr="00884B04" w:rsidR="00A7773F">
        <w:rPr>
          <w:i/>
          <w:iCs/>
        </w:rPr>
        <w:t>Georgia</w:t>
      </w:r>
      <w:r w:rsidRPr="00884B04" w:rsidR="00F42FFF">
        <w:rPr>
          <w:i/>
          <w:iCs/>
        </w:rPr>
        <w:t xml:space="preserve"> v. R</w:t>
      </w:r>
      <w:r w:rsidRPr="00884B04" w:rsidR="00A7773F">
        <w:rPr>
          <w:i/>
          <w:iCs/>
        </w:rPr>
        <w:t>ussia (II)</w:t>
      </w:r>
      <w:r w:rsidRPr="00884B04" w:rsidR="00A7773F">
        <w:t>, the Court referred in particular to cases where State agents targeted an individual</w:t>
      </w:r>
      <w:r w:rsidRPr="00884B04" w:rsidR="00884B04">
        <w:t>’</w:t>
      </w:r>
      <w:r w:rsidRPr="00884B04" w:rsidR="00A7773F">
        <w:t xml:space="preserve">s life and limb extra-territorially even without having formally exercised powers of arrest or detention over that person (see </w:t>
      </w:r>
      <w:r w:rsidRPr="00884B04" w:rsidR="003204EE">
        <w:rPr>
          <w:i/>
        </w:rPr>
        <w:t>Georgia</w:t>
      </w:r>
      <w:r w:rsidRPr="00884B04" w:rsidR="00F42FFF">
        <w:rPr>
          <w:i/>
        </w:rPr>
        <w:t xml:space="preserve"> v. R</w:t>
      </w:r>
      <w:r w:rsidRPr="00884B04" w:rsidR="003204EE">
        <w:rPr>
          <w:i/>
        </w:rPr>
        <w:t>ussia (II)</w:t>
      </w:r>
      <w:r w:rsidRPr="00884B04" w:rsidR="003204EE">
        <w:t>, cited above, §</w:t>
      </w:r>
      <w:r w:rsidRPr="00884B04" w:rsidR="00F42FFF">
        <w:t>§ 1</w:t>
      </w:r>
      <w:r w:rsidRPr="00884B04" w:rsidR="003204EE">
        <w:t>30-31</w:t>
      </w:r>
      <w:r w:rsidRPr="00884B04" w:rsidR="00A7773F">
        <w:t>).</w:t>
      </w:r>
      <w:r w:rsidRPr="00884B04" w:rsidR="00F42FFF">
        <w:t xml:space="preserve"> </w:t>
      </w:r>
      <w:r w:rsidRPr="00884B04" w:rsidR="00A7773F">
        <w:t>It considered that those cases concerning, as they did, “isolated and specific acts involving an element of proximity” must be distinguished from situations of “armed confrontation and fighting between enemy military forces seeking to establish control over an area in a context of chaos” which exclude any form of “effective control” over an area or of “State agent authority and control” over individuals (ibid., §</w:t>
      </w:r>
      <w:r w:rsidRPr="00884B04" w:rsidR="00F42FFF">
        <w:t>§ 1</w:t>
      </w:r>
      <w:r w:rsidRPr="00884B04" w:rsidR="00A7773F">
        <w:t>32-33 and 137-38).</w:t>
      </w:r>
    </w:p>
    <w:p w:rsidRPr="00884B04" w:rsidR="007759EA" w:rsidP="00884B04" w:rsidRDefault="00A7773F" w14:paraId="1126E8BD" w14:textId="4CABA16F">
      <w:pPr>
        <w:pStyle w:val="JuPara"/>
      </w:pPr>
      <w:r w:rsidRPr="00884B04">
        <w:fldChar w:fldCharType="begin"/>
      </w:r>
      <w:r w:rsidRPr="00884B04">
        <w:instrText xml:space="preserve"> SEQ level0 \*arabic </w:instrText>
      </w:r>
      <w:r w:rsidRPr="00884B04">
        <w:fldChar w:fldCharType="separate"/>
      </w:r>
      <w:bookmarkStart w:name="paragraph00130" w:id="79"/>
      <w:r w:rsidRPr="00884B04" w:rsidR="00884B04">
        <w:rPr>
          <w:noProof/>
        </w:rPr>
        <w:t>130</w:t>
      </w:r>
      <w:bookmarkEnd w:id="79"/>
      <w:r w:rsidRPr="00884B04">
        <w:fldChar w:fldCharType="end"/>
      </w:r>
      <w:r w:rsidRPr="00884B04">
        <w:t>.</w:t>
      </w:r>
      <w:r w:rsidRPr="00884B04" w:rsidR="00FD072F">
        <w:t>  </w:t>
      </w:r>
      <w:r w:rsidRPr="00884B04">
        <w:t>The line of cases referred to by the Grand Chamber –</w:t>
      </w:r>
      <w:r w:rsidRPr="00884B04">
        <w:rPr>
          <w:i/>
        </w:rPr>
        <w:t xml:space="preserve"> Issa and Others,</w:t>
      </w:r>
      <w:r w:rsidRPr="00884B04">
        <w:t xml:space="preserve"> </w:t>
      </w:r>
      <w:r w:rsidRPr="00884B04">
        <w:rPr>
          <w:i/>
        </w:rPr>
        <w:t>Isaak, Pad and Others</w:t>
      </w:r>
      <w:r w:rsidRPr="00884B04">
        <w:rPr>
          <w:iCs/>
        </w:rPr>
        <w:t xml:space="preserve">, </w:t>
      </w:r>
      <w:r w:rsidRPr="00884B04">
        <w:rPr>
          <w:i/>
        </w:rPr>
        <w:t xml:space="preserve">Andreou </w:t>
      </w:r>
      <w:r w:rsidRPr="00884B04">
        <w:rPr>
          <w:iCs/>
        </w:rPr>
        <w:t xml:space="preserve">and </w:t>
      </w:r>
      <w:r w:rsidRPr="00884B04">
        <w:rPr>
          <w:i/>
        </w:rPr>
        <w:t xml:space="preserve">Solomou and Others, </w:t>
      </w:r>
      <w:r w:rsidRPr="00884B04">
        <w:rPr>
          <w:iCs/>
        </w:rPr>
        <w:t>all cited above – concerned the actions of the respondent States</w:t>
      </w:r>
      <w:r w:rsidRPr="00884B04" w:rsidR="00884B04">
        <w:rPr>
          <w:iCs/>
        </w:rPr>
        <w:t>’</w:t>
      </w:r>
      <w:r w:rsidRPr="00884B04">
        <w:rPr>
          <w:iCs/>
        </w:rPr>
        <w:t xml:space="preserve"> armed forces</w:t>
      </w:r>
      <w:r w:rsidRPr="00884B04">
        <w:t xml:space="preserve"> on or close to their borders. However, in the view of the Court, the principle that a State exercises extraterritorial jurisdiction in cases concerning specific acts involving an element of proximity should apply with equal force in cases of extrajudicial targeted killings by State agents acting in the territory of another Contracting State outside of the context of a military operation.</w:t>
      </w:r>
      <w:r w:rsidRPr="00884B04" w:rsidR="00F42FFF">
        <w:t xml:space="preserve"> </w:t>
      </w:r>
      <w:r w:rsidRPr="00884B04">
        <w:t xml:space="preserve">This approach is consistent with the wording of </w:t>
      </w:r>
      <w:r w:rsidRPr="00884B04" w:rsidR="00F42FFF">
        <w:t>Article 1</w:t>
      </w:r>
      <w:r w:rsidRPr="00884B04">
        <w:t xml:space="preserve">5 </w:t>
      </w:r>
      <w:r w:rsidRPr="00884B04" w:rsidR="00F42FFF">
        <w:rPr>
          <w:rFonts w:cstheme="minorHAnsi"/>
        </w:rPr>
        <w:t>§ </w:t>
      </w:r>
      <w:r w:rsidRPr="00884B04" w:rsidR="00F42FFF">
        <w:t>2</w:t>
      </w:r>
      <w:r w:rsidRPr="00884B04">
        <w:t xml:space="preserve"> of the Convention which allows for no derogations from </w:t>
      </w:r>
      <w:r w:rsidRPr="00884B04" w:rsidR="00F42FFF">
        <w:t>Article 2</w:t>
      </w:r>
      <w:r w:rsidRPr="00884B04">
        <w:t>, except in respect of deaths resulting from lawful acts of war.</w:t>
      </w:r>
    </w:p>
    <w:p w:rsidRPr="00884B04" w:rsidR="006C2E18" w:rsidP="00884B04" w:rsidRDefault="006C2E18" w14:paraId="4A19C132" w14:textId="7DB12D61">
      <w:pPr>
        <w:pStyle w:val="JuHa0"/>
      </w:pPr>
      <w:r w:rsidRPr="00884B04">
        <w:t>Procedural obligation to investigate</w:t>
      </w:r>
    </w:p>
    <w:p w:rsidRPr="00884B04" w:rsidR="00A7773F" w:rsidP="00884B04" w:rsidRDefault="00A7773F" w14:paraId="59156EDC" w14:textId="5B17C5B7">
      <w:pPr>
        <w:pStyle w:val="JuPara"/>
      </w:pPr>
      <w:r w:rsidRPr="00884B04">
        <w:fldChar w:fldCharType="begin"/>
      </w:r>
      <w:r w:rsidRPr="00884B04">
        <w:instrText xml:space="preserve"> SEQ level0 \*arabic </w:instrText>
      </w:r>
      <w:r w:rsidRPr="00884B04">
        <w:fldChar w:fldCharType="separate"/>
      </w:r>
      <w:bookmarkStart w:name="paragraph00131" w:id="80"/>
      <w:r w:rsidRPr="00884B04" w:rsidR="00884B04">
        <w:rPr>
          <w:noProof/>
        </w:rPr>
        <w:t>131</w:t>
      </w:r>
      <w:bookmarkEnd w:id="80"/>
      <w:r w:rsidRPr="00884B04">
        <w:fldChar w:fldCharType="end"/>
      </w:r>
      <w:r w:rsidRPr="00884B04">
        <w:t>.</w:t>
      </w:r>
      <w:r w:rsidRPr="00884B04" w:rsidR="00FD072F">
        <w:t>  </w:t>
      </w:r>
      <w:r w:rsidRPr="00884B04">
        <w:t xml:space="preserve">As regards the procedural limb of </w:t>
      </w:r>
      <w:r w:rsidRPr="00884B04" w:rsidR="00F42FFF">
        <w:t>Article 2</w:t>
      </w:r>
      <w:r w:rsidRPr="00884B04">
        <w:t xml:space="preserve"> in cases where the death occurred under a different jurisdiction from that of the State in respect of which the procedural obligation is said to arise, the Court held that the institution by the investigative or judicial authorities of the respondent State of their own criminal investigation into that death, is </w:t>
      </w:r>
      <w:r w:rsidRPr="00884B04" w:rsidR="00FA11B4">
        <w:t xml:space="preserve">in principle </w:t>
      </w:r>
      <w:r w:rsidRPr="00884B04">
        <w:t xml:space="preserve">sufficient to establish a jurisdictional link for the purposes of </w:t>
      </w:r>
      <w:r w:rsidRPr="00884B04" w:rsidR="00F42FFF">
        <w:t>Article 1</w:t>
      </w:r>
      <w:r w:rsidRPr="00884B04">
        <w:t xml:space="preserve"> between that State and the victim</w:t>
      </w:r>
      <w:r w:rsidRPr="00884B04" w:rsidR="00884B04">
        <w:t>’</w:t>
      </w:r>
      <w:r w:rsidRPr="00884B04">
        <w:t xml:space="preserve">s relatives who bring proceedings before the Court. The Court emphasised that that approach was in line with the nature of the procedural obligation to carry out an effective investigation under </w:t>
      </w:r>
      <w:r w:rsidRPr="00884B04" w:rsidR="00F42FFF">
        <w:t>Article 2</w:t>
      </w:r>
      <w:r w:rsidRPr="00884B04">
        <w:t xml:space="preserve">, which has evolved into a separate and autonomous obligation, capable of binding the State even when the death occurred outside its jurisdiction (see </w:t>
      </w:r>
      <w:r w:rsidRPr="00884B04">
        <w:rPr>
          <w:i/>
          <w:iCs/>
        </w:rPr>
        <w:t>Güzelyurtlu and Others</w:t>
      </w:r>
      <w:r w:rsidRPr="00884B04" w:rsidR="00F42FFF">
        <w:rPr>
          <w:i/>
          <w:iCs/>
        </w:rPr>
        <w:t xml:space="preserve"> v. C</w:t>
      </w:r>
      <w:r w:rsidRPr="00884B04">
        <w:rPr>
          <w:i/>
          <w:iCs/>
        </w:rPr>
        <w:t>yprus</w:t>
      </w:r>
      <w:r w:rsidRPr="00884B04" w:rsidR="00F42FFF">
        <w:rPr>
          <w:i/>
          <w:iCs/>
        </w:rPr>
        <w:t xml:space="preserve"> </w:t>
      </w:r>
      <w:r w:rsidRPr="00884B04">
        <w:rPr>
          <w:i/>
          <w:iCs/>
        </w:rPr>
        <w:t>and Turkey</w:t>
      </w:r>
      <w:r w:rsidRPr="00884B04">
        <w:t xml:space="preserve"> [GC], </w:t>
      </w:r>
      <w:r w:rsidRPr="00884B04" w:rsidR="00F42FFF">
        <w:t>no. 3</w:t>
      </w:r>
      <w:r w:rsidRPr="00884B04">
        <w:t>6925/07, §</w:t>
      </w:r>
      <w:r w:rsidRPr="00884B04" w:rsidR="00F42FFF">
        <w:t>§ 1</w:t>
      </w:r>
      <w:r w:rsidRPr="00884B04">
        <w:t>88</w:t>
      </w:r>
      <w:r w:rsidRPr="00884B04" w:rsidR="00BC665D">
        <w:noBreakHyphen/>
      </w:r>
      <w:r w:rsidRPr="00884B04">
        <w:t xml:space="preserve">89, </w:t>
      </w:r>
      <w:r w:rsidRPr="00884B04" w:rsidR="00F42FFF">
        <w:t>29 January 2019</w:t>
      </w:r>
      <w:r w:rsidRPr="00884B04">
        <w:t xml:space="preserve">, with further references; see also </w:t>
      </w:r>
      <w:r w:rsidRPr="00884B04">
        <w:rPr>
          <w:i/>
        </w:rPr>
        <w:t>Romeo Castaño</w:t>
      </w:r>
      <w:r w:rsidRPr="00884B04" w:rsidR="00F42FFF">
        <w:rPr>
          <w:i/>
        </w:rPr>
        <w:t xml:space="preserve"> v. B</w:t>
      </w:r>
      <w:r w:rsidRPr="00884B04">
        <w:rPr>
          <w:i/>
        </w:rPr>
        <w:t>elgium</w:t>
      </w:r>
      <w:r w:rsidRPr="00884B04">
        <w:t xml:space="preserve">, </w:t>
      </w:r>
      <w:r w:rsidRPr="00884B04" w:rsidR="00F42FFF">
        <w:t>no. 8</w:t>
      </w:r>
      <w:r w:rsidRPr="00884B04">
        <w:t xml:space="preserve">351/17, </w:t>
      </w:r>
      <w:r w:rsidRPr="00884B04" w:rsidR="00F42FFF">
        <w:t>§ 3</w:t>
      </w:r>
      <w:r w:rsidRPr="00884B04">
        <w:t xml:space="preserve">7, </w:t>
      </w:r>
      <w:r w:rsidRPr="00884B04" w:rsidR="00F42FFF">
        <w:t>9 July 2019</w:t>
      </w:r>
      <w:r w:rsidRPr="00884B04">
        <w:t>).</w:t>
      </w:r>
    </w:p>
    <w:p w:rsidRPr="00884B04" w:rsidR="007759EA" w:rsidP="00884B04" w:rsidRDefault="00EB7A47" w14:paraId="58F66348" w14:textId="17BAD80D">
      <w:pPr>
        <w:pStyle w:val="JuPara"/>
      </w:pPr>
      <w:r>
        <w:rPr>
          <w:noProof/>
        </w:rPr>
        <w:fldChar w:fldCharType="begin"/>
      </w:r>
      <w:r>
        <w:rPr>
          <w:noProof/>
        </w:rPr>
        <w:instrText xml:space="preserve"> SEQ level0 \*arabic \* MERGEFORMAT </w:instrText>
      </w:r>
      <w:r>
        <w:rPr>
          <w:noProof/>
        </w:rPr>
        <w:fldChar w:fldCharType="separate"/>
      </w:r>
      <w:bookmarkStart w:name="paragraph00125" w:id="81"/>
      <w:r w:rsidRPr="00884B04" w:rsidR="00884B04">
        <w:rPr>
          <w:noProof/>
        </w:rPr>
        <w:t>132</w:t>
      </w:r>
      <w:bookmarkEnd w:id="81"/>
      <w:r>
        <w:rPr>
          <w:noProof/>
        </w:rPr>
        <w:fldChar w:fldCharType="end"/>
      </w:r>
      <w:r w:rsidRPr="00884B04" w:rsidR="00403FD1">
        <w:t>.</w:t>
      </w:r>
      <w:r w:rsidRPr="00884B04" w:rsidR="00FD072F">
        <w:t>  </w:t>
      </w:r>
      <w:r w:rsidRPr="00884B04" w:rsidR="00A7773F">
        <w:t xml:space="preserve">Where no investigation or proceedings have been instituted in a Contracting State, according to its domestic law, in respect of a death which has occurred outside its jurisdiction, </w:t>
      </w:r>
      <w:r w:rsidRPr="00884B04" w:rsidR="00FA11B4">
        <w:t xml:space="preserve">the Court will have to determine whether </w:t>
      </w:r>
      <w:r w:rsidRPr="00884B04" w:rsidR="00A7773F">
        <w:t xml:space="preserve">a jurisdictional link may </w:t>
      </w:r>
      <w:r w:rsidRPr="00884B04" w:rsidR="00FA11B4">
        <w:t>nevertheless</w:t>
      </w:r>
      <w:r w:rsidRPr="00884B04" w:rsidR="00A7773F">
        <w:t xml:space="preserve"> be established for the procedural obligation imposed by </w:t>
      </w:r>
      <w:r w:rsidRPr="00884B04" w:rsidR="00F42FFF">
        <w:t>Article 2</w:t>
      </w:r>
      <w:r w:rsidRPr="00884B04" w:rsidR="00A7773F">
        <w:t xml:space="preserve"> to come into effect in respect of that State.</w:t>
      </w:r>
      <w:r w:rsidRPr="00884B04" w:rsidR="00F42FFF">
        <w:t xml:space="preserve"> </w:t>
      </w:r>
      <w:r w:rsidRPr="00884B04" w:rsidR="00A7773F">
        <w:t xml:space="preserve">Although the procedural obligation under </w:t>
      </w:r>
      <w:r w:rsidRPr="00884B04" w:rsidR="00F42FFF">
        <w:t>Article 2</w:t>
      </w:r>
      <w:r w:rsidRPr="00884B04" w:rsidR="00A7773F">
        <w:t xml:space="preserve"> will in principle only be triggered for the Contracting State under whose jurisdiction the deceased was to be found at the time of death</w:t>
      </w:r>
      <w:r w:rsidRPr="00884B04" w:rsidR="00FD3A4F">
        <w:t>,</w:t>
      </w:r>
      <w:r w:rsidRPr="00884B04" w:rsidR="00A7773F">
        <w:t xml:space="preserve"> “special features” in a given case will justify</w:t>
      </w:r>
      <w:r w:rsidRPr="00884B04" w:rsidR="00FD3A4F">
        <w:t xml:space="preserve"> a</w:t>
      </w:r>
      <w:r w:rsidRPr="00884B04" w:rsidR="00A7773F">
        <w:t xml:space="preserve"> departure from this approach (see </w:t>
      </w:r>
      <w:bookmarkStart w:name="_Hlk75340022" w:id="82"/>
      <w:bookmarkStart w:name="_Hlk83030109" w:id="83"/>
      <w:r w:rsidRPr="00884B04" w:rsidR="00A7773F">
        <w:rPr>
          <w:i/>
          <w:iCs/>
        </w:rPr>
        <w:t xml:space="preserve">Güzelyurtlu </w:t>
      </w:r>
      <w:bookmarkEnd w:id="82"/>
      <w:r w:rsidRPr="00884B04" w:rsidR="00A7773F">
        <w:rPr>
          <w:i/>
          <w:iCs/>
        </w:rPr>
        <w:t>and Others</w:t>
      </w:r>
      <w:r w:rsidRPr="00884B04" w:rsidR="00A7773F">
        <w:t xml:space="preserve">, cited above, </w:t>
      </w:r>
      <w:r w:rsidRPr="00884B04" w:rsidR="00F42FFF">
        <w:rPr>
          <w:rFonts w:cstheme="minorHAnsi"/>
        </w:rPr>
        <w:t>§ </w:t>
      </w:r>
      <w:r w:rsidRPr="00884B04" w:rsidR="00F42FFF">
        <w:t>1</w:t>
      </w:r>
      <w:r w:rsidRPr="00884B04" w:rsidR="00A7773F">
        <w:t>90</w:t>
      </w:r>
      <w:bookmarkEnd w:id="83"/>
      <w:r w:rsidRPr="00884B04" w:rsidR="00A7773F">
        <w:t>).</w:t>
      </w:r>
      <w:r w:rsidRPr="00884B04" w:rsidR="00F42FFF">
        <w:t xml:space="preserve"> </w:t>
      </w:r>
      <w:r w:rsidRPr="00884B04" w:rsidR="00A7773F">
        <w:t xml:space="preserve">However, the Court has not defined </w:t>
      </w:r>
      <w:r w:rsidRPr="00884B04" w:rsidR="00A7773F">
        <w:rPr>
          <w:i/>
          <w:iCs/>
        </w:rPr>
        <w:t>in abstracto</w:t>
      </w:r>
      <w:r w:rsidRPr="00884B04" w:rsidR="00A7773F">
        <w:t xml:space="preserve"> which “special features” trigger the existence of a jurisdictional link in relation to the procedural obligation to investigate under </w:t>
      </w:r>
      <w:r w:rsidRPr="00884B04" w:rsidR="00F42FFF">
        <w:t>Article 2</w:t>
      </w:r>
      <w:r w:rsidRPr="00884B04" w:rsidR="00A7773F">
        <w:t xml:space="preserve">, since these features will necessarily depend on the particular circumstances of each case and may vary considerably from one case to the other (see </w:t>
      </w:r>
      <w:r w:rsidRPr="00884B04" w:rsidR="00A7773F">
        <w:rPr>
          <w:i/>
          <w:iCs/>
        </w:rPr>
        <w:t>Güzelyurtlu and Others</w:t>
      </w:r>
      <w:r w:rsidRPr="00884B04" w:rsidR="00A7773F">
        <w:t xml:space="preserve">, cited above, </w:t>
      </w:r>
      <w:r w:rsidRPr="00884B04" w:rsidR="00F42FFF">
        <w:rPr>
          <w:rFonts w:cstheme="minorHAnsi"/>
        </w:rPr>
        <w:t>§ </w:t>
      </w:r>
      <w:r w:rsidRPr="00884B04" w:rsidR="00F42FFF">
        <w:t>1</w:t>
      </w:r>
      <w:r w:rsidRPr="00884B04" w:rsidR="00A7773F">
        <w:t>90).</w:t>
      </w:r>
    </w:p>
    <w:p w:rsidRPr="00884B04" w:rsidR="00662B04" w:rsidP="00884B04" w:rsidRDefault="00662B04" w14:paraId="1D403CA1" w14:textId="1CBB4FF0">
      <w:pPr>
        <w:pStyle w:val="JuH1"/>
      </w:pPr>
      <w:r w:rsidRPr="00884B04">
        <w:t>Admissibility</w:t>
      </w:r>
    </w:p>
    <w:p w:rsidRPr="00884B04" w:rsidR="007E7025" w:rsidP="00884B04" w:rsidRDefault="007E7025" w14:paraId="44629BFE" w14:textId="77777777">
      <w:pPr>
        <w:pStyle w:val="JuHa0"/>
      </w:pPr>
      <w:r w:rsidRPr="00884B04">
        <w:t xml:space="preserve">Procedural limb of </w:t>
      </w:r>
      <w:r w:rsidRPr="00884B04" w:rsidR="00F42FFF">
        <w:t>Article 2</w:t>
      </w:r>
    </w:p>
    <w:p w:rsidRPr="00884B04" w:rsidR="007E7025" w:rsidP="00884B04" w:rsidRDefault="007E7025" w14:paraId="16073F42" w14:textId="0023CC69">
      <w:pPr>
        <w:pStyle w:val="JuPara"/>
      </w:pPr>
      <w:r w:rsidRPr="00884B04">
        <w:fldChar w:fldCharType="begin"/>
      </w:r>
      <w:r w:rsidRPr="00884B04">
        <w:instrText xml:space="preserve"> SEQ level0 \*arabic </w:instrText>
      </w:r>
      <w:r w:rsidRPr="00884B04">
        <w:fldChar w:fldCharType="separate"/>
      </w:r>
      <w:r w:rsidRPr="00884B04" w:rsidR="00884B04">
        <w:rPr>
          <w:noProof/>
        </w:rPr>
        <w:t>133</w:t>
      </w:r>
      <w:r w:rsidRPr="00884B04">
        <w:fldChar w:fldCharType="end"/>
      </w:r>
      <w:r w:rsidRPr="00884B04">
        <w:t>.</w:t>
      </w:r>
      <w:r w:rsidRPr="00884B04" w:rsidR="00FD072F">
        <w:t>  </w:t>
      </w:r>
      <w:r w:rsidRPr="00884B04">
        <w:t>The Court notes that the Russian authorities instituted their own criminal investigation into the death of the applicant</w:t>
      </w:r>
      <w:r w:rsidRPr="00884B04" w:rsidR="00884B04">
        <w:t>’</w:t>
      </w:r>
      <w:r w:rsidRPr="00884B04">
        <w:t>s husband under the domestic law provisions which gave them jurisdiction to investigate offences against Russian nationals wherever they were committed (see paragraph</w:t>
      </w:r>
      <w:r w:rsidRPr="00884B04" w:rsidR="00B70B31">
        <w:t>s</w:t>
      </w:r>
      <w:r w:rsidRPr="00884B04">
        <w:t xml:space="preserve"> </w:t>
      </w:r>
      <w:r w:rsidRPr="00884B04">
        <w:fldChar w:fldCharType="begin"/>
      </w:r>
      <w:r w:rsidRPr="00884B04">
        <w:instrText xml:space="preserve">REF paragraph00041 \h \* CharFormat </w:instrText>
      </w:r>
      <w:r w:rsidRPr="00884B04">
        <w:fldChar w:fldCharType="separate"/>
      </w:r>
      <w:r w:rsidRPr="00884B04" w:rsidR="00884B04">
        <w:t>41</w:t>
      </w:r>
      <w:r w:rsidRPr="00884B04">
        <w:fldChar w:fldCharType="end"/>
      </w:r>
      <w:r w:rsidRPr="00884B04">
        <w:t xml:space="preserve"> </w:t>
      </w:r>
      <w:r w:rsidRPr="00884B04" w:rsidR="00B70B31">
        <w:t xml:space="preserve">and </w:t>
      </w:r>
      <w:r w:rsidRPr="00884B04" w:rsidR="00B70B31">
        <w:fldChar w:fldCharType="begin"/>
      </w:r>
      <w:r w:rsidRPr="00884B04" w:rsidR="00B70B31">
        <w:instrText xml:space="preserve"> REF paragraph00075 \h  \* CharFormat </w:instrText>
      </w:r>
      <w:r w:rsidRPr="00884B04" w:rsidR="00B70B31">
        <w:fldChar w:fldCharType="separate"/>
      </w:r>
      <w:r w:rsidRPr="00884B04" w:rsidR="00884B04">
        <w:t>75</w:t>
      </w:r>
      <w:r w:rsidRPr="00884B04" w:rsidR="00B70B31">
        <w:fldChar w:fldCharType="end"/>
      </w:r>
      <w:r w:rsidRPr="00884B04" w:rsidR="00B70B31">
        <w:t xml:space="preserve"> </w:t>
      </w:r>
      <w:r w:rsidRPr="00884B04">
        <w:t>above).</w:t>
      </w:r>
      <w:r w:rsidRPr="00884B04" w:rsidR="00F42FFF">
        <w:t xml:space="preserve"> </w:t>
      </w:r>
      <w:r w:rsidRPr="00884B04">
        <w:t xml:space="preserve">The pursuance of those proceedings established a “jurisdictional link” between the applicant, who complained under the procedural limb of </w:t>
      </w:r>
      <w:r w:rsidRPr="00884B04" w:rsidR="00F42FFF">
        <w:t>Article 2</w:t>
      </w:r>
      <w:r w:rsidRPr="00884B04">
        <w:t xml:space="preserve"> in respect of her husband</w:t>
      </w:r>
      <w:r w:rsidRPr="00884B04" w:rsidR="00884B04">
        <w:t>’</w:t>
      </w:r>
      <w:r w:rsidRPr="00884B04">
        <w:t xml:space="preserve">s death, and the Russian State (see </w:t>
      </w:r>
      <w:r w:rsidRPr="00884B04">
        <w:rPr>
          <w:i/>
          <w:iCs/>
        </w:rPr>
        <w:t>Güzelyurtlu and Others</w:t>
      </w:r>
      <w:r w:rsidRPr="00884B04">
        <w:t xml:space="preserve">, cited above, </w:t>
      </w:r>
      <w:r w:rsidRPr="00884B04" w:rsidR="00F42FFF">
        <w:t>§ 1</w:t>
      </w:r>
      <w:r w:rsidRPr="00884B04">
        <w:t>91).</w:t>
      </w:r>
    </w:p>
    <w:p w:rsidRPr="00884B04" w:rsidR="007E7025" w:rsidP="00884B04" w:rsidRDefault="007E7025" w14:paraId="2F12949B" w14:textId="04245BBD">
      <w:pPr>
        <w:pStyle w:val="JuPara"/>
      </w:pPr>
      <w:r w:rsidRPr="00884B04">
        <w:fldChar w:fldCharType="begin"/>
      </w:r>
      <w:r w:rsidRPr="00884B04">
        <w:instrText xml:space="preserve"> SEQ level0 \*arabic </w:instrText>
      </w:r>
      <w:r w:rsidRPr="00884B04">
        <w:fldChar w:fldCharType="separate"/>
      </w:r>
      <w:bookmarkStart w:name="paragraph00134" w:id="84"/>
      <w:r w:rsidRPr="00884B04" w:rsidR="00884B04">
        <w:rPr>
          <w:noProof/>
        </w:rPr>
        <w:t>134</w:t>
      </w:r>
      <w:bookmarkEnd w:id="84"/>
      <w:r w:rsidRPr="00884B04">
        <w:fldChar w:fldCharType="end"/>
      </w:r>
      <w:r w:rsidRPr="00884B04">
        <w:t>.</w:t>
      </w:r>
      <w:r w:rsidRPr="00884B04" w:rsidR="00FD072F">
        <w:t>  </w:t>
      </w:r>
      <w:r w:rsidRPr="00884B04">
        <w:t>In addition, the Court notes that the suspects in the murder are Russian nationals who, since their return to Russia, have enjoyed the constitutional protection from extradition.</w:t>
      </w:r>
      <w:r w:rsidRPr="00884B04" w:rsidR="00F42FFF">
        <w:t xml:space="preserve"> </w:t>
      </w:r>
      <w:r w:rsidRPr="00884B04">
        <w:t xml:space="preserve">That protection was relied upon by the Russian authorities to refuse the extradition of one of them to the United Kingdom (see paragraphs </w:t>
      </w:r>
      <w:r w:rsidRPr="00884B04">
        <w:fldChar w:fldCharType="begin"/>
      </w:r>
      <w:r w:rsidRPr="00884B04">
        <w:instrText xml:space="preserve">REF paragraph00038 \h \* CharFormat </w:instrText>
      </w:r>
      <w:r w:rsidRPr="00884B04">
        <w:fldChar w:fldCharType="separate"/>
      </w:r>
      <w:r w:rsidRPr="00884B04" w:rsidR="00884B04">
        <w:t>38</w:t>
      </w:r>
      <w:r w:rsidRPr="00884B04">
        <w:fldChar w:fldCharType="end"/>
      </w:r>
      <w:r w:rsidRPr="00884B04">
        <w:t xml:space="preserve"> and </w:t>
      </w:r>
      <w:r w:rsidRPr="00884B04">
        <w:fldChar w:fldCharType="begin"/>
      </w:r>
      <w:r w:rsidRPr="00884B04">
        <w:instrText xml:space="preserve">REF paragraph00045 \h \* CharFormat </w:instrText>
      </w:r>
      <w:r w:rsidRPr="00884B04">
        <w:fldChar w:fldCharType="separate"/>
      </w:r>
      <w:r w:rsidRPr="00884B04" w:rsidR="00884B04">
        <w:t>45</w:t>
      </w:r>
      <w:r w:rsidRPr="00884B04">
        <w:fldChar w:fldCharType="end"/>
      </w:r>
      <w:r w:rsidRPr="00884B04">
        <w:t xml:space="preserve"> above).</w:t>
      </w:r>
      <w:r w:rsidRPr="00884B04" w:rsidR="00F42FFF">
        <w:t xml:space="preserve"> </w:t>
      </w:r>
      <w:r w:rsidRPr="00884B04" w:rsidR="00662B04">
        <w:t xml:space="preserve">As a consequence, the United Kingdom authorities were prevented from pursuing the criminal prosecution of the suspects. Whereas the possibility that a State may refuse a request for extradition of its own national is </w:t>
      </w:r>
      <w:r w:rsidRPr="00884B04">
        <w:t xml:space="preserve">not as such incompatible with the obligation to conduct an effective investigation, the </w:t>
      </w:r>
      <w:r w:rsidRPr="00884B04" w:rsidR="00C27540">
        <w:t xml:space="preserve">fact that the </w:t>
      </w:r>
      <w:r w:rsidRPr="00884B04">
        <w:t>Government</w:t>
      </w:r>
      <w:r w:rsidRPr="00884B04" w:rsidR="00C27540">
        <w:t xml:space="preserve"> retained exclusive jurisdiction over</w:t>
      </w:r>
      <w:r w:rsidRPr="00884B04">
        <w:t xml:space="preserve"> an individual who is accused of a serious human rights violation constitutes a “special feature” of the case establishing the respondent State</w:t>
      </w:r>
      <w:r w:rsidRPr="00884B04" w:rsidR="00884B04">
        <w:t>’</w:t>
      </w:r>
      <w:r w:rsidRPr="00884B04">
        <w:t xml:space="preserve">s jurisdiction under </w:t>
      </w:r>
      <w:r w:rsidRPr="00884B04" w:rsidR="00F42FFF">
        <w:t>Article 1</w:t>
      </w:r>
      <w:r w:rsidRPr="00884B04">
        <w:t xml:space="preserve"> of the Convention in respect of the applicant</w:t>
      </w:r>
      <w:r w:rsidRPr="00884B04" w:rsidR="00884B04">
        <w:t>’</w:t>
      </w:r>
      <w:r w:rsidRPr="00884B04">
        <w:t xml:space="preserve">s complaint under the procedural limb of </w:t>
      </w:r>
      <w:r w:rsidRPr="00884B04" w:rsidR="00F42FFF">
        <w:t>Article 2</w:t>
      </w:r>
      <w:r w:rsidRPr="00884B04">
        <w:t xml:space="preserve"> (see</w:t>
      </w:r>
      <w:r w:rsidRPr="00884B04" w:rsidR="00C27540">
        <w:t xml:space="preserve"> </w:t>
      </w:r>
      <w:bookmarkStart w:name="_Hlk83030137" w:id="85"/>
      <w:r w:rsidRPr="00884B04" w:rsidR="00C27540">
        <w:rPr>
          <w:i/>
        </w:rPr>
        <w:t>Hanan</w:t>
      </w:r>
      <w:r w:rsidRPr="00884B04" w:rsidR="00F42FFF">
        <w:rPr>
          <w:i/>
        </w:rPr>
        <w:t xml:space="preserve"> v. G</w:t>
      </w:r>
      <w:r w:rsidRPr="00884B04" w:rsidR="00C27540">
        <w:rPr>
          <w:i/>
        </w:rPr>
        <w:t>ermany</w:t>
      </w:r>
      <w:r w:rsidRPr="00884B04" w:rsidR="00C27540">
        <w:t xml:space="preserve"> [GC], </w:t>
      </w:r>
      <w:r w:rsidRPr="00884B04" w:rsidR="00F42FFF">
        <w:t>no. 4</w:t>
      </w:r>
      <w:r w:rsidRPr="00884B04" w:rsidR="00C27540">
        <w:t xml:space="preserve">871/16, </w:t>
      </w:r>
      <w:r w:rsidRPr="00884B04" w:rsidR="00F42FFF">
        <w:t>§ 1</w:t>
      </w:r>
      <w:r w:rsidRPr="00884B04" w:rsidR="00C27540">
        <w:t xml:space="preserve">42, </w:t>
      </w:r>
      <w:r w:rsidRPr="00884B04" w:rsidR="00F42FFF">
        <w:t>16 February 2021</w:t>
      </w:r>
      <w:bookmarkEnd w:id="85"/>
      <w:r w:rsidRPr="00884B04">
        <w:rPr>
          <w:iCs/>
        </w:rPr>
        <w:t>)</w:t>
      </w:r>
      <w:r w:rsidRPr="00884B04">
        <w:t>.</w:t>
      </w:r>
      <w:r w:rsidRPr="00884B04" w:rsidR="00F42FFF">
        <w:t xml:space="preserve"> </w:t>
      </w:r>
      <w:r w:rsidRPr="00884B04">
        <w:t xml:space="preserve">Any other finding would undermine the fight against impunity for serious human-rights violations within the “legal space of the Convention”, impeding the application of criminal laws put in place by the United Kingdom to protect the right to life of their citizens and, indeed, of any individuals within its jurisdiction (see </w:t>
      </w:r>
      <w:r w:rsidRPr="00884B04">
        <w:rPr>
          <w:i/>
          <w:iCs/>
        </w:rPr>
        <w:t>Güzelyurtlu and Others</w:t>
      </w:r>
      <w:r w:rsidRPr="00884B04">
        <w:t xml:space="preserve">, cited above, </w:t>
      </w:r>
      <w:r w:rsidRPr="00884B04" w:rsidR="00F42FFF">
        <w:t>§ 1</w:t>
      </w:r>
      <w:r w:rsidRPr="00884B04">
        <w:t>95).</w:t>
      </w:r>
    </w:p>
    <w:p w:rsidRPr="00884B04" w:rsidR="007E7025" w:rsidP="00884B04" w:rsidRDefault="00EB7A47" w14:paraId="76DBB8AD" w14:textId="0AEB64A9">
      <w:pPr>
        <w:pStyle w:val="JuPara"/>
      </w:pPr>
      <w:r>
        <w:rPr>
          <w:noProof/>
        </w:rPr>
        <w:fldChar w:fldCharType="begin"/>
      </w:r>
      <w:r>
        <w:rPr>
          <w:noProof/>
        </w:rPr>
        <w:instrText xml:space="preserve"> SEQ level0 \*arabic \* MERGEFORMAT </w:instrText>
      </w:r>
      <w:r>
        <w:rPr>
          <w:noProof/>
        </w:rPr>
        <w:fldChar w:fldCharType="separate"/>
      </w:r>
      <w:bookmarkStart w:name="paragraph00128" w:id="86"/>
      <w:r w:rsidRPr="00884B04" w:rsidR="00884B04">
        <w:rPr>
          <w:noProof/>
        </w:rPr>
        <w:t>135</w:t>
      </w:r>
      <w:bookmarkEnd w:id="86"/>
      <w:r>
        <w:rPr>
          <w:noProof/>
        </w:rPr>
        <w:fldChar w:fldCharType="end"/>
      </w:r>
      <w:r w:rsidRPr="00884B04" w:rsidR="007E7025">
        <w:t>.</w:t>
      </w:r>
      <w:r w:rsidRPr="00884B04" w:rsidR="00FD072F">
        <w:t>  </w:t>
      </w:r>
      <w:r w:rsidRPr="00884B04" w:rsidR="007E7025">
        <w:t>The Court therefore concludes that the Government</w:t>
      </w:r>
      <w:r w:rsidRPr="00884B04" w:rsidR="00884B04">
        <w:t>’</w:t>
      </w:r>
      <w:r w:rsidRPr="00884B04" w:rsidR="007E7025">
        <w:t xml:space="preserve">s objection of incompatibility </w:t>
      </w:r>
      <w:r w:rsidRPr="00884B04" w:rsidR="007E7025">
        <w:rPr>
          <w:i/>
          <w:iCs/>
        </w:rPr>
        <w:t>ratione loci</w:t>
      </w:r>
      <w:r w:rsidRPr="00884B04" w:rsidR="007E7025">
        <w:t xml:space="preserve"> should be dismissed in respect of the procedural limb of the complaint.</w:t>
      </w:r>
    </w:p>
    <w:p w:rsidRPr="00884B04" w:rsidR="007E7025" w:rsidP="00884B04" w:rsidRDefault="007E7025" w14:paraId="6648B1CB" w14:textId="77777777">
      <w:pPr>
        <w:pStyle w:val="JuHa0"/>
      </w:pPr>
      <w:r w:rsidRPr="00884B04">
        <w:t xml:space="preserve">Substantive limb of </w:t>
      </w:r>
      <w:r w:rsidRPr="00884B04" w:rsidR="00F42FFF">
        <w:t>Article 2</w:t>
      </w:r>
    </w:p>
    <w:p w:rsidRPr="00884B04" w:rsidR="007E7025" w:rsidP="00884B04" w:rsidRDefault="007E7025" w14:paraId="0DD996C9" w14:textId="7742788D">
      <w:pPr>
        <w:pStyle w:val="JuPara"/>
      </w:pPr>
      <w:r w:rsidRPr="00884B04">
        <w:fldChar w:fldCharType="begin"/>
      </w:r>
      <w:r w:rsidRPr="00884B04">
        <w:instrText xml:space="preserve"> SEQ level0 \*arabic </w:instrText>
      </w:r>
      <w:r w:rsidRPr="00884B04">
        <w:fldChar w:fldCharType="separate"/>
      </w:r>
      <w:r w:rsidRPr="00884B04" w:rsidR="00884B04">
        <w:rPr>
          <w:noProof/>
        </w:rPr>
        <w:t>136</w:t>
      </w:r>
      <w:r w:rsidRPr="00884B04">
        <w:fldChar w:fldCharType="end"/>
      </w:r>
      <w:r w:rsidRPr="00884B04">
        <w:t>.</w:t>
      </w:r>
      <w:r w:rsidRPr="00884B04" w:rsidR="00FD072F">
        <w:t>  </w:t>
      </w:r>
      <w:r w:rsidRPr="00884B04">
        <w:t xml:space="preserve">As regards the complaint under the substantive limb of </w:t>
      </w:r>
      <w:r w:rsidRPr="00884B04" w:rsidR="00F42FFF">
        <w:t>Article 2</w:t>
      </w:r>
      <w:r w:rsidRPr="00884B04">
        <w:t>, the Court considers that the Government</w:t>
      </w:r>
      <w:r w:rsidRPr="00884B04" w:rsidR="00884B04">
        <w:t>’</w:t>
      </w:r>
      <w:r w:rsidRPr="00884B04">
        <w:t xml:space="preserve">s objection </w:t>
      </w:r>
      <w:r w:rsidRPr="00884B04">
        <w:rPr>
          <w:i/>
          <w:iCs/>
        </w:rPr>
        <w:t>ratione loci</w:t>
      </w:r>
      <w:r w:rsidRPr="00884B04">
        <w:t xml:space="preserve"> – that is to say, whether or not </w:t>
      </w:r>
      <w:r w:rsidRPr="00884B04" w:rsidR="00F42FFF">
        <w:t>Mr L</w:t>
      </w:r>
      <w:r w:rsidRPr="00884B04">
        <w:t xml:space="preserve">itvinenko was under the control of </w:t>
      </w:r>
      <w:r w:rsidRPr="00884B04" w:rsidR="00F42FFF">
        <w:t>Mr L</w:t>
      </w:r>
      <w:r w:rsidRPr="00884B04">
        <w:t xml:space="preserve">ugovoy and others and whether or not </w:t>
      </w:r>
      <w:r w:rsidRPr="00884B04" w:rsidR="00F42FFF">
        <w:t>Mr L</w:t>
      </w:r>
      <w:r w:rsidRPr="00884B04">
        <w:t>ugovoy and others acted as agents of the Russian State at the material time – is interlinked with the substance of the applicant</w:t>
      </w:r>
      <w:r w:rsidRPr="00884B04" w:rsidR="00884B04">
        <w:t>’</w:t>
      </w:r>
      <w:r w:rsidRPr="00884B04">
        <w:t xml:space="preserve">s complaint and shall be examined together with the merits (see </w:t>
      </w:r>
      <w:bookmarkStart w:name="_Hlk83044874" w:id="87"/>
      <w:r w:rsidRPr="00884B04">
        <w:rPr>
          <w:i/>
        </w:rPr>
        <w:t>Makuchyan and Minasyan</w:t>
      </w:r>
      <w:r w:rsidRPr="00884B04" w:rsidR="00F42FFF">
        <w:rPr>
          <w:i/>
        </w:rPr>
        <w:t xml:space="preserve"> v. A</w:t>
      </w:r>
      <w:r w:rsidRPr="00884B04">
        <w:rPr>
          <w:i/>
        </w:rPr>
        <w:t>zerbaijan and Hungary</w:t>
      </w:r>
      <w:r w:rsidRPr="00884B04">
        <w:t xml:space="preserve">, </w:t>
      </w:r>
      <w:r w:rsidRPr="00884B04" w:rsidR="00F42FFF">
        <w:t>no. 1</w:t>
      </w:r>
      <w:r w:rsidRPr="00884B04">
        <w:t xml:space="preserve">7247/13, </w:t>
      </w:r>
      <w:r w:rsidRPr="00884B04" w:rsidR="00F42FFF">
        <w:t>§ 5</w:t>
      </w:r>
      <w:r w:rsidRPr="00884B04">
        <w:t xml:space="preserve">2, </w:t>
      </w:r>
      <w:r w:rsidRPr="00884B04" w:rsidR="00F42FFF">
        <w:t>26 May 2020</w:t>
      </w:r>
      <w:bookmarkEnd w:id="87"/>
      <w:r w:rsidRPr="00884B04">
        <w:t>).</w:t>
      </w:r>
    </w:p>
    <w:p w:rsidRPr="00884B04" w:rsidR="007E7025" w:rsidP="00884B04" w:rsidRDefault="007E7025" w14:paraId="6F7A4EEB" w14:textId="77777777">
      <w:pPr>
        <w:pStyle w:val="JuHa0"/>
      </w:pPr>
      <w:r w:rsidRPr="00884B04">
        <w:t>Conclusion as to the admissibility</w:t>
      </w:r>
    </w:p>
    <w:p w:rsidRPr="00884B04" w:rsidR="007E7025" w:rsidP="00884B04" w:rsidRDefault="007E7025" w14:paraId="42328C86" w14:textId="67CC5D08">
      <w:pPr>
        <w:pStyle w:val="JuPara"/>
      </w:pPr>
      <w:r w:rsidRPr="00884B04">
        <w:fldChar w:fldCharType="begin"/>
      </w:r>
      <w:r w:rsidRPr="00884B04">
        <w:instrText xml:space="preserve"> SEQ level0 \*arabic </w:instrText>
      </w:r>
      <w:r w:rsidRPr="00884B04">
        <w:fldChar w:fldCharType="separate"/>
      </w:r>
      <w:r w:rsidRPr="00884B04" w:rsidR="00884B04">
        <w:rPr>
          <w:noProof/>
        </w:rPr>
        <w:t>137</w:t>
      </w:r>
      <w:r w:rsidRPr="00884B04">
        <w:fldChar w:fldCharType="end"/>
      </w:r>
      <w:r w:rsidRPr="00884B04">
        <w:t>.</w:t>
      </w:r>
      <w:r w:rsidRPr="00884B04" w:rsidR="00FD072F">
        <w:t>  </w:t>
      </w:r>
      <w:r w:rsidRPr="00884B04">
        <w:t>The Court considers that the complaint raises serious questions of fact and law which are of such complexity that their determination should depend on an examination on the merits.</w:t>
      </w:r>
      <w:r w:rsidRPr="00884B04" w:rsidR="00F42FFF">
        <w:t xml:space="preserve"> </w:t>
      </w:r>
      <w:r w:rsidRPr="00884B04">
        <w:t xml:space="preserve">It cannot, therefore, be considered manifestly ill-founded within the meaning of </w:t>
      </w:r>
      <w:r w:rsidRPr="00884B04" w:rsidR="00F42FFF">
        <w:t>Article 3</w:t>
      </w:r>
      <w:r w:rsidRPr="00884B04">
        <w:t xml:space="preserve">5 </w:t>
      </w:r>
      <w:r w:rsidRPr="00884B04" w:rsidR="00F42FFF">
        <w:t>§ 3</w:t>
      </w:r>
      <w:r w:rsidRPr="00884B04" w:rsidR="00431B21">
        <w:t xml:space="preserve"> (a)</w:t>
      </w:r>
      <w:r w:rsidRPr="00884B04">
        <w:t xml:space="preserve"> of the Convention, and no other ground for declaring it inadmissible has been established.</w:t>
      </w:r>
      <w:r w:rsidRPr="00884B04" w:rsidR="00F42FFF">
        <w:t xml:space="preserve"> </w:t>
      </w:r>
      <w:r w:rsidRPr="00884B04">
        <w:t>It must therefore be declared admissible.</w:t>
      </w:r>
    </w:p>
    <w:p w:rsidRPr="00884B04" w:rsidR="007E7025" w:rsidP="00884B04" w:rsidRDefault="007E7025" w14:paraId="2845D3F6" w14:textId="77777777">
      <w:pPr>
        <w:pStyle w:val="JuH1"/>
      </w:pPr>
      <w:r w:rsidRPr="00884B04">
        <w:t>Merits</w:t>
      </w:r>
    </w:p>
    <w:p w:rsidRPr="00884B04" w:rsidR="007E7025" w:rsidP="00884B04" w:rsidRDefault="007E7025" w14:paraId="19E151B2" w14:textId="77777777">
      <w:pPr>
        <w:pStyle w:val="JuHa0"/>
      </w:pPr>
      <w:r w:rsidRPr="00884B04">
        <w:t xml:space="preserve">Procedural obligation under </w:t>
      </w:r>
      <w:r w:rsidRPr="00884B04" w:rsidR="00F42FFF">
        <w:t>Article 2</w:t>
      </w:r>
    </w:p>
    <w:p w:rsidRPr="00884B04" w:rsidR="00662B04" w:rsidP="00884B04" w:rsidRDefault="007E7025" w14:paraId="7407DE85" w14:textId="2F463F96">
      <w:pPr>
        <w:pStyle w:val="JuPara"/>
        <w:rPr>
          <w:lang w:bidi="en-US"/>
        </w:rPr>
      </w:pPr>
      <w:r w:rsidRPr="00884B04">
        <w:fldChar w:fldCharType="begin"/>
      </w:r>
      <w:r w:rsidRPr="00884B04">
        <w:instrText xml:space="preserve"> SEQ level0 \*arabic </w:instrText>
      </w:r>
      <w:r w:rsidRPr="00884B04">
        <w:fldChar w:fldCharType="separate"/>
      </w:r>
      <w:r w:rsidRPr="00884B04" w:rsidR="00884B04">
        <w:rPr>
          <w:noProof/>
        </w:rPr>
        <w:t>138</w:t>
      </w:r>
      <w:r w:rsidRPr="00884B04">
        <w:fldChar w:fldCharType="end"/>
      </w:r>
      <w:r w:rsidRPr="00884B04">
        <w:rPr>
          <w:lang w:bidi="en-US"/>
        </w:rPr>
        <w:t>.</w:t>
      </w:r>
      <w:r w:rsidRPr="00884B04" w:rsidR="00FD072F">
        <w:rPr>
          <w:lang w:bidi="en-US"/>
        </w:rPr>
        <w:t>  </w:t>
      </w:r>
      <w:r w:rsidRPr="00884B04">
        <w:rPr>
          <w:lang w:bidi="en-US"/>
        </w:rPr>
        <w:t>The essential purpose of an investigation is to “secure the effective implementation of the domestic laws which protect the right to life” and ensure the accountability of those responsible.</w:t>
      </w:r>
      <w:r w:rsidRPr="00884B04" w:rsidR="00F42FFF">
        <w:t xml:space="preserve"> </w:t>
      </w:r>
      <w:r w:rsidRPr="00884B04" w:rsidR="00662B04">
        <w:rPr>
          <w:lang w:bidi="en-US"/>
        </w:rPr>
        <w:t xml:space="preserve">In order to be effective, an investigation must be capable of leading to the establishment of the facts and, where appropriate, the identification and punishment of those responsible. The obligation to conduct an effective investigation is an obligation </w:t>
      </w:r>
      <w:r w:rsidRPr="00884B04">
        <w:rPr>
          <w:lang w:bidi="en-US"/>
        </w:rPr>
        <w:t xml:space="preserve">not of result but of means: </w:t>
      </w:r>
      <w:r w:rsidRPr="00884B04">
        <w:t>the authorities must take the reasonable measures available to them to secure evidence concerning the incident at issue</w:t>
      </w:r>
      <w:r w:rsidRPr="00884B04">
        <w:rPr>
          <w:lang w:bidi="en-US"/>
        </w:rPr>
        <w:t xml:space="preserve"> (see </w:t>
      </w:r>
      <w:bookmarkStart w:name="_Hlk83044898" w:id="88"/>
      <w:r w:rsidRPr="00884B04">
        <w:rPr>
          <w:i/>
        </w:rPr>
        <w:t>Mustafa Tunç and Fecire Tunç</w:t>
      </w:r>
      <w:r w:rsidRPr="00884B04" w:rsidR="00F42FFF">
        <w:rPr>
          <w:i/>
        </w:rPr>
        <w:t xml:space="preserve"> v. T</w:t>
      </w:r>
      <w:r w:rsidRPr="00884B04">
        <w:rPr>
          <w:i/>
        </w:rPr>
        <w:t>urkey</w:t>
      </w:r>
      <w:r w:rsidRPr="00884B04">
        <w:t xml:space="preserve"> [GC], </w:t>
      </w:r>
      <w:r w:rsidRPr="00884B04" w:rsidR="00F42FFF">
        <w:t>no. 2</w:t>
      </w:r>
      <w:r w:rsidRPr="00884B04">
        <w:t>4014/05, §</w:t>
      </w:r>
      <w:r w:rsidRPr="00884B04" w:rsidR="00F42FFF">
        <w:t>§ 1</w:t>
      </w:r>
      <w:r w:rsidRPr="00884B04">
        <w:t xml:space="preserve">72-73, </w:t>
      </w:r>
      <w:r w:rsidRPr="00884B04" w:rsidR="00F42FFF">
        <w:t>14 April 2015</w:t>
      </w:r>
      <w:bookmarkEnd w:id="88"/>
      <w:r w:rsidRPr="00884B04">
        <w:rPr>
          <w:lang w:bidi="en-US"/>
        </w:rPr>
        <w:t>).</w:t>
      </w:r>
      <w:r w:rsidRPr="00884B04" w:rsidR="00F42FFF">
        <w:rPr>
          <w:lang w:bidi="en-US"/>
        </w:rPr>
        <w:t xml:space="preserve"> </w:t>
      </w:r>
      <w:r w:rsidRPr="00884B04">
        <w:rPr>
          <w:lang w:bidi="en-US"/>
        </w:rPr>
        <w:t>The investigation</w:t>
      </w:r>
      <w:r w:rsidRPr="00884B04" w:rsidR="00884B04">
        <w:rPr>
          <w:lang w:bidi="en-US"/>
        </w:rPr>
        <w:t>’</w:t>
      </w:r>
      <w:r w:rsidRPr="00884B04">
        <w:rPr>
          <w:lang w:bidi="en-US"/>
        </w:rPr>
        <w:t>s conclusions must be based on thorough, objective and impartial analysis of all relevant elements.</w:t>
      </w:r>
      <w:r w:rsidRPr="00884B04" w:rsidR="00F42FFF">
        <w:rPr>
          <w:lang w:bidi="en-US"/>
        </w:rPr>
        <w:t xml:space="preserve"> </w:t>
      </w:r>
      <w:r w:rsidRPr="00884B04" w:rsidR="00662B04">
        <w:rPr>
          <w:lang w:bidi="en-US"/>
        </w:rPr>
        <w:t>Failing to follow an obvious line of inquiry undermines to a decisive extent the investigation</w:t>
      </w:r>
      <w:r w:rsidRPr="00884B04" w:rsidR="00884B04">
        <w:rPr>
          <w:lang w:bidi="en-US"/>
        </w:rPr>
        <w:t>’</w:t>
      </w:r>
      <w:r w:rsidRPr="00884B04" w:rsidR="00662B04">
        <w:rPr>
          <w:lang w:bidi="en-US"/>
        </w:rPr>
        <w:t>s ability to establish the circumstances of the case and the identity of those responsible. The nature and degree of scrutiny which satisfy the minimum threshold of the investigation</w:t>
      </w:r>
      <w:r w:rsidRPr="00884B04" w:rsidR="00884B04">
        <w:rPr>
          <w:lang w:bidi="en-US"/>
        </w:rPr>
        <w:t>’</w:t>
      </w:r>
      <w:r w:rsidRPr="00884B04" w:rsidR="00662B04">
        <w:rPr>
          <w:lang w:bidi="en-US"/>
        </w:rPr>
        <w:t>s effectiveness depend on the circumstances of the particular case and must be assessed on the basis of all relevant facts and with regard to the practical realities of investigation work (ibid., §</w:t>
      </w:r>
      <w:r w:rsidRPr="00884B04" w:rsidR="00F42FFF">
        <w:rPr>
          <w:rFonts w:cstheme="minorHAnsi"/>
          <w:lang w:bidi="en-US"/>
        </w:rPr>
        <w:t>§ </w:t>
      </w:r>
      <w:r w:rsidRPr="00884B04" w:rsidR="00F42FFF">
        <w:rPr>
          <w:lang w:bidi="en-US"/>
        </w:rPr>
        <w:t>1</w:t>
      </w:r>
      <w:r w:rsidRPr="00884B04" w:rsidR="00662B04">
        <w:rPr>
          <w:lang w:bidi="en-US"/>
        </w:rPr>
        <w:t>74-75).</w:t>
      </w:r>
    </w:p>
    <w:p w:rsidRPr="00884B04" w:rsidR="007E7025" w:rsidP="00884B04" w:rsidRDefault="00EB7A47" w14:paraId="6CF091BE" w14:textId="21D1E853">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139</w:t>
      </w:r>
      <w:r>
        <w:rPr>
          <w:noProof/>
        </w:rPr>
        <w:fldChar w:fldCharType="end"/>
      </w:r>
      <w:r w:rsidRPr="00884B04" w:rsidR="00662B04">
        <w:t>.</w:t>
      </w:r>
      <w:r w:rsidRPr="00884B04" w:rsidR="00FD072F">
        <w:t>  </w:t>
      </w:r>
      <w:r w:rsidRPr="00884B04" w:rsidR="00662B04">
        <w:t xml:space="preserve">In the present case the Russian investigative authorities launched an investigation into the death of </w:t>
      </w:r>
      <w:r w:rsidRPr="00884B04" w:rsidR="00F42FFF">
        <w:t>Mr L</w:t>
      </w:r>
      <w:r w:rsidRPr="00884B04" w:rsidR="00662B04">
        <w:t xml:space="preserve">itvinenko in December 2006, two weeks after his death (see paragraph </w:t>
      </w:r>
      <w:r w:rsidRPr="00884B04" w:rsidR="00662B04">
        <w:fldChar w:fldCharType="begin"/>
      </w:r>
      <w:r w:rsidRPr="00884B04" w:rsidR="007E7025">
        <w:instrText xml:space="preserve">REF paragraph00041 \h \* CharFormat </w:instrText>
      </w:r>
      <w:r w:rsidRPr="00884B04" w:rsidR="00662B04">
        <w:fldChar w:fldCharType="separate"/>
      </w:r>
      <w:r w:rsidRPr="00884B04" w:rsidR="00884B04">
        <w:t>41</w:t>
      </w:r>
      <w:r w:rsidRPr="00884B04" w:rsidR="00662B04">
        <w:fldChar w:fldCharType="end"/>
      </w:r>
      <w:r w:rsidRPr="00884B04" w:rsidR="00662B04">
        <w:t xml:space="preserve"> above). However, the issue is </w:t>
      </w:r>
      <w:r w:rsidRPr="00884B04" w:rsidR="007E7025">
        <w:t xml:space="preserve">not so much whether there was an investigation, since it appears that there was one, as whether it was “effective” and whether the authorities were determined to identify and prosecute those responsible for the death of </w:t>
      </w:r>
      <w:r w:rsidRPr="00884B04" w:rsidR="00F42FFF">
        <w:t>Mr L</w:t>
      </w:r>
      <w:r w:rsidRPr="00884B04" w:rsidR="007E7025">
        <w:t>itvinenko.</w:t>
      </w:r>
    </w:p>
    <w:p w:rsidRPr="00884B04" w:rsidR="007E7025" w:rsidP="00884B04" w:rsidRDefault="00EB7A47" w14:paraId="641428EC" w14:textId="3022F449">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140</w:t>
      </w:r>
      <w:r>
        <w:rPr>
          <w:noProof/>
        </w:rPr>
        <w:fldChar w:fldCharType="end"/>
      </w:r>
      <w:r w:rsidRPr="00884B04" w:rsidR="007E7025">
        <w:t>.</w:t>
      </w:r>
      <w:r w:rsidRPr="00884B04" w:rsidR="00FD072F">
        <w:t>  </w:t>
      </w:r>
      <w:r w:rsidRPr="00884B04" w:rsidR="007E7025">
        <w:t>The Government provided the Court with an outline of the investigative steps which had been taken.</w:t>
      </w:r>
      <w:r w:rsidRPr="00884B04" w:rsidR="00F42FFF">
        <w:t xml:space="preserve"> </w:t>
      </w:r>
      <w:r w:rsidRPr="00884B04" w:rsidR="007E7025">
        <w:t xml:space="preserve">It would appear that in April 2007 a Deputy Prosecutor General and assisting investigators travelled to London where they conducted several interviews (see paragraph </w:t>
      </w:r>
      <w:r w:rsidRPr="00884B04" w:rsidR="007E7025">
        <w:fldChar w:fldCharType="begin"/>
      </w:r>
      <w:r w:rsidRPr="00884B04" w:rsidR="007E7025">
        <w:instrText xml:space="preserve">REF paragraph00041 \h \* CharFormat </w:instrText>
      </w:r>
      <w:r w:rsidRPr="00884B04" w:rsidR="007E7025">
        <w:fldChar w:fldCharType="separate"/>
      </w:r>
      <w:r w:rsidRPr="00884B04" w:rsidR="00884B04">
        <w:t>41</w:t>
      </w:r>
      <w:r w:rsidRPr="00884B04" w:rsidR="007E7025">
        <w:fldChar w:fldCharType="end"/>
      </w:r>
      <w:r w:rsidRPr="00884B04" w:rsidR="007E7025">
        <w:t xml:space="preserve"> above).</w:t>
      </w:r>
      <w:r w:rsidRPr="00884B04" w:rsidR="00F42FFF">
        <w:t xml:space="preserve"> </w:t>
      </w:r>
      <w:r w:rsidRPr="00884B04" w:rsidR="00662B04">
        <w:t xml:space="preserve">Furthermore, the Government referred to a number of elements in their observations. In particular, they claimed to have carried out tests for polonium 210 on the aircraft used by </w:t>
      </w:r>
      <w:r w:rsidRPr="00884B04" w:rsidR="00F42FFF">
        <w:t>Mr L</w:t>
      </w:r>
      <w:r w:rsidRPr="00884B04" w:rsidR="00662B04">
        <w:t xml:space="preserve">ugovoy and </w:t>
      </w:r>
      <w:r w:rsidRPr="00884B04" w:rsidR="00F42FFF">
        <w:t>Mr K</w:t>
      </w:r>
      <w:r w:rsidRPr="00884B04" w:rsidR="00662B04">
        <w:t xml:space="preserve">ovtun to travel between London and Moscow, on both </w:t>
      </w:r>
      <w:r w:rsidRPr="00884B04" w:rsidR="00F42FFF">
        <w:t>Mr L</w:t>
      </w:r>
      <w:r w:rsidRPr="00884B04" w:rsidR="00662B04">
        <w:t xml:space="preserve">ugovoy and </w:t>
      </w:r>
      <w:r w:rsidRPr="00884B04" w:rsidR="00F42FFF">
        <w:t>Mr K</w:t>
      </w:r>
      <w:r w:rsidRPr="00884B04" w:rsidR="00662B04">
        <w:t xml:space="preserve">ovtun themselves, and on items relating to them. They also claimed that interviews were carried out with some of </w:t>
      </w:r>
      <w:r w:rsidRPr="00884B04" w:rsidR="00F42FFF">
        <w:t>Mr L</w:t>
      </w:r>
      <w:r w:rsidRPr="00884B04" w:rsidR="00662B04">
        <w:t>itvinenko</w:t>
      </w:r>
      <w:r w:rsidRPr="00884B04" w:rsidR="00884B04">
        <w:t>’</w:t>
      </w:r>
      <w:r w:rsidRPr="00884B04" w:rsidR="00662B04">
        <w:t xml:space="preserve">s family members and associates. Nevertheless, while documentary evidence of some of these tests or interviews may have been submitted to the inquest, </w:t>
      </w:r>
      <w:r w:rsidRPr="00884B04" w:rsidR="007E7025">
        <w:t>no such documentation has been submitted to the Court.</w:t>
      </w:r>
    </w:p>
    <w:p w:rsidRPr="00884B04" w:rsidR="00662B04" w:rsidP="00884B04" w:rsidRDefault="007E7025" w14:paraId="7472CC29" w14:textId="1FC3B76F">
      <w:pPr>
        <w:pStyle w:val="JuPara"/>
      </w:pPr>
      <w:r w:rsidRPr="00884B04">
        <w:fldChar w:fldCharType="begin"/>
      </w:r>
      <w:r w:rsidRPr="00884B04">
        <w:instrText xml:space="preserve"> SEQ level0 \*arabic </w:instrText>
      </w:r>
      <w:r w:rsidRPr="00884B04">
        <w:fldChar w:fldCharType="separate"/>
      </w:r>
      <w:r w:rsidRPr="00884B04" w:rsidR="00884B04">
        <w:rPr>
          <w:noProof/>
        </w:rPr>
        <w:t>141</w:t>
      </w:r>
      <w:r w:rsidRPr="00884B04">
        <w:fldChar w:fldCharType="end"/>
      </w:r>
      <w:r w:rsidRPr="00884B04">
        <w:t>.</w:t>
      </w:r>
      <w:r w:rsidRPr="00884B04" w:rsidR="00FD072F">
        <w:t>  </w:t>
      </w:r>
      <w:r w:rsidRPr="00884B04">
        <w:t>Upon communication the Court specifically asked the Government a number of questions concerning the conduct of the domestic investigation.</w:t>
      </w:r>
      <w:r w:rsidRPr="00884B04" w:rsidR="00F42FFF">
        <w:t xml:space="preserve"> </w:t>
      </w:r>
      <w:r w:rsidRPr="00884B04">
        <w:t xml:space="preserve">In particular, it asked if </w:t>
      </w:r>
      <w:r w:rsidRPr="00884B04" w:rsidR="00F42FFF">
        <w:t>Mr L</w:t>
      </w:r>
      <w:r w:rsidRPr="00884B04">
        <w:t xml:space="preserve">ugovoy had been interviewed; if the polonium 210 trail had been searched for and located within Russia; if </w:t>
      </w:r>
      <w:r w:rsidRPr="00884B04" w:rsidR="00F42FFF">
        <w:t>Mr L</w:t>
      </w:r>
      <w:r w:rsidRPr="00884B04">
        <w:t>ugovoy</w:t>
      </w:r>
      <w:r w:rsidRPr="00884B04" w:rsidR="00884B04">
        <w:t>’</w:t>
      </w:r>
      <w:r w:rsidRPr="00884B04">
        <w:t>s home, car or office had been tested for polonium 210; if the production and storage facilities at the laboratory where polonium 210 was manufactured had been checked for any missing batches; and whether the officials responsible for production, storage or circulation of polonium 210 had been interviewed.</w:t>
      </w:r>
      <w:r w:rsidRPr="00884B04" w:rsidR="00F42FFF">
        <w:t xml:space="preserve"> </w:t>
      </w:r>
      <w:r w:rsidRPr="00884B04" w:rsidR="00662B04">
        <w:t xml:space="preserve">The Court also asked the Government to submit a copy of materials from the domestic investigation file which they declined to do (see paragraph </w:t>
      </w:r>
      <w:r w:rsidRPr="00884B04" w:rsidR="00662B04">
        <w:fldChar w:fldCharType="begin"/>
      </w:r>
      <w:r w:rsidRPr="00884B04">
        <w:instrText xml:space="preserve">REF paragraph00090 \h \* CharFormat </w:instrText>
      </w:r>
      <w:r w:rsidRPr="00884B04" w:rsidR="00662B04">
        <w:fldChar w:fldCharType="separate"/>
      </w:r>
      <w:r w:rsidRPr="00884B04" w:rsidR="00884B04">
        <w:t>90</w:t>
      </w:r>
      <w:r w:rsidRPr="00884B04" w:rsidR="00662B04">
        <w:fldChar w:fldCharType="end"/>
      </w:r>
      <w:r w:rsidRPr="00884B04" w:rsidR="00662B04">
        <w:t xml:space="preserve"> above).</w:t>
      </w:r>
    </w:p>
    <w:p w:rsidRPr="00884B04" w:rsidR="00662B04" w:rsidP="00884B04" w:rsidRDefault="00EB7A47" w14:paraId="730F2658" w14:textId="48A9E976">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142</w:t>
      </w:r>
      <w:r>
        <w:rPr>
          <w:noProof/>
        </w:rPr>
        <w:fldChar w:fldCharType="end"/>
      </w:r>
      <w:r w:rsidRPr="00884B04" w:rsidR="00662B04">
        <w:t>.</w:t>
      </w:r>
      <w:r w:rsidRPr="00884B04" w:rsidR="00FD072F">
        <w:t>  </w:t>
      </w:r>
      <w:r w:rsidRPr="00884B04" w:rsidR="00662B04">
        <w:t xml:space="preserve">In their observations to the Court, the Government claimed that </w:t>
      </w:r>
      <w:r w:rsidRPr="00884B04" w:rsidR="00F42FFF">
        <w:t>Mr L</w:t>
      </w:r>
      <w:r w:rsidRPr="00884B04" w:rsidR="00662B04">
        <w:t xml:space="preserve">ugovoy had been interviewed by Russian investigators and his car and home had been searched but </w:t>
      </w:r>
      <w:r w:rsidRPr="00884B04" w:rsidR="007E7025">
        <w:t>no material evidence was discovered and no basis was found for establishing criminal liability.</w:t>
      </w:r>
      <w:r w:rsidRPr="00884B04" w:rsidR="00F42FFF">
        <w:t xml:space="preserve"> </w:t>
      </w:r>
      <w:r w:rsidRPr="00884B04" w:rsidR="007E7025">
        <w:t>They further claimed that the investigative authorities had established no leakage of polonium 210 from production or storage rooms of the facility where it was manufactured, and that no incidences of theft were established.</w:t>
      </w:r>
      <w:r w:rsidRPr="00884B04" w:rsidR="00F42FFF">
        <w:t xml:space="preserve"> </w:t>
      </w:r>
      <w:r w:rsidRPr="00884B04" w:rsidR="007E7025">
        <w:t>The Court asked the Government to submit copies of the documents to which they referred in their observations and which formed a basis for their assertions.</w:t>
      </w:r>
      <w:r w:rsidRPr="00884B04" w:rsidR="00F42FFF">
        <w:t xml:space="preserve"> </w:t>
      </w:r>
      <w:r w:rsidRPr="00884B04" w:rsidR="00662B04">
        <w:t>However, once again, the Court</w:t>
      </w:r>
      <w:r w:rsidRPr="00884B04" w:rsidR="00884B04">
        <w:t>’</w:t>
      </w:r>
      <w:r w:rsidRPr="00884B04" w:rsidR="00662B04">
        <w:t xml:space="preserve">s request for documentation has been declined without justification (see paragraph </w:t>
      </w:r>
      <w:r w:rsidRPr="00884B04" w:rsidR="00662B04">
        <w:fldChar w:fldCharType="begin"/>
      </w:r>
      <w:r w:rsidRPr="00884B04" w:rsidR="007E7025">
        <w:instrText xml:space="preserve">REF paragraph00091 \h \* CharFormat </w:instrText>
      </w:r>
      <w:r w:rsidRPr="00884B04" w:rsidR="00662B04">
        <w:fldChar w:fldCharType="separate"/>
      </w:r>
      <w:r w:rsidRPr="00884B04" w:rsidR="00884B04">
        <w:t>91</w:t>
      </w:r>
      <w:r w:rsidRPr="00884B04" w:rsidR="00662B04">
        <w:fldChar w:fldCharType="end"/>
      </w:r>
      <w:r w:rsidRPr="00884B04" w:rsidR="00662B04">
        <w:t xml:space="preserve"> above).</w:t>
      </w:r>
    </w:p>
    <w:p w:rsidRPr="00884B04" w:rsidR="00662B04" w:rsidP="00884B04" w:rsidRDefault="00662B04" w14:paraId="273EFC13" w14:textId="0CAF0A1B">
      <w:pPr>
        <w:pStyle w:val="JuPara"/>
      </w:pPr>
      <w:r w:rsidRPr="00884B04">
        <w:fldChar w:fldCharType="begin"/>
      </w:r>
      <w:r w:rsidRPr="00884B04">
        <w:instrText xml:space="preserve"> SEQ level0 \*arabic </w:instrText>
      </w:r>
      <w:r w:rsidRPr="00884B04">
        <w:fldChar w:fldCharType="separate"/>
      </w:r>
      <w:r w:rsidRPr="00884B04" w:rsidR="00884B04">
        <w:rPr>
          <w:noProof/>
        </w:rPr>
        <w:t>143</w:t>
      </w:r>
      <w:r w:rsidRPr="00884B04">
        <w:fldChar w:fldCharType="end"/>
      </w:r>
      <w:r w:rsidRPr="00884B04">
        <w:t>.</w:t>
      </w:r>
      <w:r w:rsidRPr="00884B04" w:rsidR="00FD072F">
        <w:t>  </w:t>
      </w:r>
      <w:r w:rsidRPr="00884B04">
        <w:t xml:space="preserve">As the Court has indicated in paragraph </w:t>
      </w:r>
      <w:r w:rsidRPr="00884B04">
        <w:fldChar w:fldCharType="begin"/>
      </w:r>
      <w:r w:rsidRPr="00884B04" w:rsidR="007E7025">
        <w:instrText xml:space="preserve">REF paragraph00094 \h \* CharFormat </w:instrText>
      </w:r>
      <w:r w:rsidRPr="00884B04">
        <w:fldChar w:fldCharType="separate"/>
      </w:r>
      <w:r w:rsidRPr="00884B04" w:rsidR="00884B04">
        <w:t>94</w:t>
      </w:r>
      <w:r w:rsidRPr="00884B04">
        <w:fldChar w:fldCharType="end"/>
      </w:r>
      <w:r w:rsidRPr="00884B04">
        <w:t xml:space="preserve"> above, a failure on a Government</w:t>
      </w:r>
      <w:r w:rsidRPr="00884B04" w:rsidR="00884B04">
        <w:t>’</w:t>
      </w:r>
      <w:r w:rsidRPr="00884B04">
        <w:t>s part to submit material which is in their hands without a satisfactory explanation may give rise to the drawing of inferences as to the well</w:t>
      </w:r>
      <w:r w:rsidRPr="00884B04">
        <w:noBreakHyphen/>
        <w:t>foundedness of the applicant</w:t>
      </w:r>
      <w:r w:rsidRPr="00884B04" w:rsidR="00884B04">
        <w:t>’</w:t>
      </w:r>
      <w:r w:rsidRPr="00884B04">
        <w:t>s allegations. In the present case, on account of the Government</w:t>
      </w:r>
      <w:r w:rsidRPr="00884B04" w:rsidR="00884B04">
        <w:t>’</w:t>
      </w:r>
      <w:r w:rsidRPr="00884B04">
        <w:t xml:space="preserve">s unjustified refusal to submit the requested documentation, the Court finds that the respondent Government has failed to discharge their burden of proof so as to demonstrate that the Russian authorities have carried out an effective investigation </w:t>
      </w:r>
      <w:r w:rsidRPr="00884B04">
        <w:rPr>
          <w:lang w:bidi="en-US"/>
        </w:rPr>
        <w:t xml:space="preserve">capable of leading to the establishment of the facts and bringing to justice of those responsible for </w:t>
      </w:r>
      <w:r w:rsidRPr="00884B04" w:rsidR="00F42FFF">
        <w:rPr>
          <w:lang w:bidi="en-US"/>
        </w:rPr>
        <w:t>Mr L</w:t>
      </w:r>
      <w:r w:rsidRPr="00884B04">
        <w:rPr>
          <w:lang w:bidi="en-US"/>
        </w:rPr>
        <w:t>itvinenko</w:t>
      </w:r>
      <w:r w:rsidRPr="00884B04" w:rsidR="00884B04">
        <w:rPr>
          <w:lang w:bidi="en-US"/>
        </w:rPr>
        <w:t>’</w:t>
      </w:r>
      <w:r w:rsidRPr="00884B04">
        <w:rPr>
          <w:lang w:bidi="en-US"/>
        </w:rPr>
        <w:t>s killing</w:t>
      </w:r>
      <w:r w:rsidRPr="00884B04">
        <w:t>.</w:t>
      </w:r>
    </w:p>
    <w:p w:rsidRPr="00884B04" w:rsidR="00662B04" w:rsidP="00884B04" w:rsidRDefault="00EB7A47" w14:paraId="3659335A" w14:textId="07EDC1C1">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144</w:t>
      </w:r>
      <w:r>
        <w:rPr>
          <w:noProof/>
        </w:rPr>
        <w:fldChar w:fldCharType="end"/>
      </w:r>
      <w:r w:rsidRPr="00884B04" w:rsidR="00662B04">
        <w:t>.</w:t>
      </w:r>
      <w:r w:rsidRPr="00884B04" w:rsidR="00FD072F">
        <w:t>  </w:t>
      </w:r>
      <w:r w:rsidRPr="00884B04" w:rsidR="00662B04">
        <w:t>It also appears that the Russian authorities attempted to thwart the efforts of the British investigators to establish the facts of the case.</w:t>
      </w:r>
      <w:r w:rsidRPr="00884B04" w:rsidR="00F42FFF">
        <w:t xml:space="preserve"> </w:t>
      </w:r>
      <w:r w:rsidRPr="00884B04" w:rsidR="00662B04">
        <w:t xml:space="preserve">They refused to make available the aircraft on which </w:t>
      </w:r>
      <w:r w:rsidRPr="00884B04" w:rsidR="00F42FFF">
        <w:t>Mr L</w:t>
      </w:r>
      <w:r w:rsidRPr="00884B04" w:rsidR="00662B04">
        <w:t xml:space="preserve">ugovoy and </w:t>
      </w:r>
      <w:r w:rsidRPr="00884B04" w:rsidR="00F42FFF">
        <w:t>Mr K</w:t>
      </w:r>
      <w:r w:rsidRPr="00884B04" w:rsidR="00662B04">
        <w:t xml:space="preserve">ovtun had travelled from Moscow to London for testing for radioactive contamination (see paragraph </w:t>
      </w:r>
      <w:r w:rsidRPr="00884B04" w:rsidR="00662B04">
        <w:fldChar w:fldCharType="begin"/>
      </w:r>
      <w:r w:rsidRPr="00884B04" w:rsidR="007E7025">
        <w:instrText xml:space="preserve">REF paragraph00014 \h \* CharFormat </w:instrText>
      </w:r>
      <w:r w:rsidRPr="00884B04" w:rsidR="00662B04">
        <w:fldChar w:fldCharType="separate"/>
      </w:r>
      <w:r w:rsidRPr="00884B04" w:rsidR="00884B04">
        <w:t>14</w:t>
      </w:r>
      <w:r w:rsidRPr="00884B04" w:rsidR="00662B04">
        <w:fldChar w:fldCharType="end"/>
      </w:r>
      <w:r w:rsidRPr="00884B04" w:rsidR="00662B04">
        <w:t xml:space="preserve"> above). They also made an unsubstantiated claim that the aircraft on which the two men had flown back to Moscow was free of contamination (see paragraph </w:t>
      </w:r>
      <w:r w:rsidRPr="00884B04" w:rsidR="00662B04">
        <w:fldChar w:fldCharType="begin"/>
      </w:r>
      <w:r w:rsidRPr="00884B04" w:rsidR="007E7025">
        <w:instrText xml:space="preserve">REF paragraph00020 \h \* CharFormat </w:instrText>
      </w:r>
      <w:r w:rsidRPr="00884B04" w:rsidR="00662B04">
        <w:fldChar w:fldCharType="separate"/>
      </w:r>
      <w:r w:rsidRPr="00884B04" w:rsidR="00884B04">
        <w:t>20</w:t>
      </w:r>
      <w:r w:rsidRPr="00884B04" w:rsidR="00662B04">
        <w:fldChar w:fldCharType="end"/>
      </w:r>
      <w:r w:rsidRPr="00884B04" w:rsidR="00662B04">
        <w:t xml:space="preserve"> above).</w:t>
      </w:r>
    </w:p>
    <w:bookmarkStart w:name="paragraph00138" w:id="89"/>
    <w:p w:rsidRPr="00884B04" w:rsidR="007E7025" w:rsidP="00884B04" w:rsidRDefault="00662B04" w14:paraId="1713E45B" w14:textId="442F6775">
      <w:pPr>
        <w:pStyle w:val="JuPara"/>
      </w:pPr>
      <w:r w:rsidRPr="00884B04">
        <w:fldChar w:fldCharType="begin"/>
      </w:r>
      <w:r w:rsidRPr="00884B04">
        <w:instrText xml:space="preserve"> SEQ level0 \*arabic </w:instrText>
      </w:r>
      <w:r w:rsidRPr="00884B04">
        <w:fldChar w:fldCharType="separate"/>
      </w:r>
      <w:r w:rsidRPr="00884B04" w:rsidR="00884B04">
        <w:rPr>
          <w:noProof/>
        </w:rPr>
        <w:t>145</w:t>
      </w:r>
      <w:r w:rsidRPr="00884B04">
        <w:fldChar w:fldCharType="end"/>
      </w:r>
      <w:bookmarkEnd w:id="89"/>
      <w:r w:rsidRPr="00884B04">
        <w:t>.</w:t>
      </w:r>
      <w:r w:rsidRPr="00884B04" w:rsidR="00FD072F">
        <w:t>  </w:t>
      </w:r>
      <w:r w:rsidRPr="00884B04">
        <w:t>Shortly after a magistrates</w:t>
      </w:r>
      <w:r w:rsidRPr="00884B04" w:rsidR="00884B04">
        <w:t>’</w:t>
      </w:r>
      <w:r w:rsidRPr="00884B04">
        <w:t xml:space="preserve"> court issued a warrant for the arrest of </w:t>
      </w:r>
      <w:r w:rsidRPr="00884B04" w:rsidR="00F42FFF">
        <w:t>Mr L</w:t>
      </w:r>
      <w:r w:rsidRPr="00884B04">
        <w:t>ugovoy, a last-minute an</w:t>
      </w:r>
      <w:r w:rsidRPr="00884B04" w:rsidR="007E7025">
        <w:t>nouncement was made that he would run for election to the Duma as a member of the Liberal Democratic party.</w:t>
      </w:r>
      <w:r w:rsidRPr="00884B04" w:rsidR="00F42FFF">
        <w:t xml:space="preserve"> </w:t>
      </w:r>
      <w:r w:rsidRPr="00884B04" w:rsidR="007E7025">
        <w:t>When he was elected two months</w:t>
      </w:r>
      <w:r w:rsidRPr="00884B04" w:rsidR="00884B04">
        <w:t>’</w:t>
      </w:r>
      <w:r w:rsidRPr="00884B04" w:rsidR="007E7025">
        <w:t xml:space="preserve"> later, he acquired parliamentary immunity (see paragraph </w:t>
      </w:r>
      <w:r w:rsidRPr="00884B04" w:rsidR="007E7025">
        <w:fldChar w:fldCharType="begin"/>
      </w:r>
      <w:r w:rsidRPr="00884B04" w:rsidR="007E7025">
        <w:instrText xml:space="preserve">REF paragraph00043 \h \* CharFormat </w:instrText>
      </w:r>
      <w:r w:rsidRPr="00884B04" w:rsidR="007E7025">
        <w:fldChar w:fldCharType="separate"/>
      </w:r>
      <w:r w:rsidRPr="00884B04" w:rsidR="00884B04">
        <w:t>43</w:t>
      </w:r>
      <w:r w:rsidRPr="00884B04" w:rsidR="007E7025">
        <w:fldChar w:fldCharType="end"/>
      </w:r>
      <w:r w:rsidRPr="00884B04" w:rsidR="007E7025">
        <w:t xml:space="preserve"> above).</w:t>
      </w:r>
      <w:r w:rsidRPr="00884B04" w:rsidR="00F42FFF">
        <w:t xml:space="preserve"> </w:t>
      </w:r>
      <w:r w:rsidRPr="00884B04">
        <w:t>He was subsequently re-elected on the same party</w:t>
      </w:r>
      <w:r w:rsidRPr="00884B04" w:rsidR="00884B04">
        <w:t>’</w:t>
      </w:r>
      <w:r w:rsidRPr="00884B04">
        <w:t xml:space="preserve">s ticket. This, however, was </w:t>
      </w:r>
      <w:r w:rsidRPr="00884B04" w:rsidR="007E7025">
        <w:t xml:space="preserve">not an absolute bar to his being investigated or even prosecuted; the relevant legal provisions and the practice of their application indicated he could have been deprived of his immunity with the consent of the lower chamber of Parliament of which he was a member (see paragraphs </w:t>
      </w:r>
      <w:r w:rsidRPr="00884B04" w:rsidR="007E7025">
        <w:fldChar w:fldCharType="begin"/>
      </w:r>
      <w:r w:rsidRPr="00884B04" w:rsidR="007E7025">
        <w:instrText xml:space="preserve">REF paragraph00077 \h \* CharFormat </w:instrText>
      </w:r>
      <w:r w:rsidRPr="00884B04" w:rsidR="007E7025">
        <w:fldChar w:fldCharType="separate"/>
      </w:r>
      <w:r w:rsidRPr="00884B04" w:rsidR="00884B04">
        <w:t>77</w:t>
      </w:r>
      <w:r w:rsidRPr="00884B04" w:rsidR="007E7025">
        <w:fldChar w:fldCharType="end"/>
      </w:r>
      <w:r w:rsidRPr="00884B04" w:rsidR="007E7025">
        <w:t xml:space="preserve"> and </w:t>
      </w:r>
      <w:r w:rsidRPr="00884B04" w:rsidR="007E7025">
        <w:fldChar w:fldCharType="begin"/>
      </w:r>
      <w:r w:rsidRPr="00884B04" w:rsidR="007E7025">
        <w:instrText xml:space="preserve">REF paragraph00078 \h \* CharFormat </w:instrText>
      </w:r>
      <w:r w:rsidRPr="00884B04" w:rsidR="007E7025">
        <w:fldChar w:fldCharType="separate"/>
      </w:r>
      <w:r w:rsidRPr="00884B04" w:rsidR="00884B04">
        <w:t>78</w:t>
      </w:r>
      <w:r w:rsidRPr="00884B04" w:rsidR="007E7025">
        <w:fldChar w:fldCharType="end"/>
      </w:r>
      <w:r w:rsidRPr="00884B04" w:rsidR="007E7025">
        <w:t xml:space="preserve"> above).</w:t>
      </w:r>
      <w:r w:rsidRPr="00884B04" w:rsidR="00F42FFF">
        <w:t xml:space="preserve"> </w:t>
      </w:r>
      <w:r w:rsidRPr="00884B04" w:rsidR="007E7025">
        <w:t>Yet there is no indication that the Russian authorities sought to explore this possibility.</w:t>
      </w:r>
    </w:p>
    <w:p w:rsidRPr="00884B04" w:rsidR="007E7025" w:rsidP="00884B04" w:rsidRDefault="00EB7A47" w14:paraId="712C36AC" w14:textId="32FAE95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146</w:t>
      </w:r>
      <w:r>
        <w:rPr>
          <w:noProof/>
        </w:rPr>
        <w:fldChar w:fldCharType="end"/>
      </w:r>
      <w:r w:rsidRPr="00884B04" w:rsidR="007E7025">
        <w:t>.</w:t>
      </w:r>
      <w:r w:rsidRPr="00884B04" w:rsidR="00FD072F">
        <w:t>  </w:t>
      </w:r>
      <w:r w:rsidRPr="00884B04" w:rsidR="007E7025">
        <w:t>There remains the Government</w:t>
      </w:r>
      <w:r w:rsidRPr="00884B04" w:rsidR="00884B04">
        <w:t>’</w:t>
      </w:r>
      <w:r w:rsidRPr="00884B04" w:rsidR="007E7025">
        <w:t>s argument that the investigation in the present case had a transnational dimension and that any failings on the part of the Russian authorities had been due to the United Kingdom authorities</w:t>
      </w:r>
      <w:r w:rsidRPr="00884B04" w:rsidR="00884B04">
        <w:t>’</w:t>
      </w:r>
      <w:r w:rsidRPr="00884B04" w:rsidR="007E7025">
        <w:t xml:space="preserve"> failure to comply with their requests for legal assistance.</w:t>
      </w:r>
      <w:r w:rsidRPr="00884B04" w:rsidR="00F42FFF">
        <w:t xml:space="preserve"> </w:t>
      </w:r>
      <w:r w:rsidRPr="00884B04" w:rsidR="007E7025">
        <w:t xml:space="preserve">As no complaint has been made against the United Kingdom, it does not fall to the Court to consider whether the United Kingdom authorities complied with their obligation to cooperate with their Russian counterparts (see, by contrast, </w:t>
      </w:r>
      <w:r w:rsidRPr="00884B04" w:rsidR="007E7025">
        <w:rPr>
          <w:i/>
          <w:iCs/>
        </w:rPr>
        <w:t>Güzelyurtlu</w:t>
      </w:r>
      <w:r w:rsidRPr="00884B04" w:rsidR="007E7025">
        <w:t xml:space="preserve">, cited above, </w:t>
      </w:r>
      <w:r w:rsidRPr="00884B04" w:rsidR="00F42FFF">
        <w:t>§ 2</w:t>
      </w:r>
      <w:r w:rsidRPr="00884B04" w:rsidR="007E7025">
        <w:t>41 et seq.).</w:t>
      </w:r>
      <w:r w:rsidRPr="00884B04" w:rsidR="00F42FFF">
        <w:t xml:space="preserve"> </w:t>
      </w:r>
      <w:r w:rsidRPr="00884B04" w:rsidR="007E7025">
        <w:t xml:space="preserve">Nonetheless, for the reasons set out below the Court does not accept that the actions of the United Kingdom authorities displace the inference that their Russian counterparts failed to conduct an effective investigation into </w:t>
      </w:r>
      <w:r w:rsidRPr="00884B04" w:rsidR="00F42FFF">
        <w:t>Mr L</w:t>
      </w:r>
      <w:r w:rsidRPr="00884B04" w:rsidR="007E7025">
        <w:t>itvinenko</w:t>
      </w:r>
      <w:r w:rsidRPr="00884B04" w:rsidR="00884B04">
        <w:t>’</w:t>
      </w:r>
      <w:r w:rsidRPr="00884B04" w:rsidR="007E7025">
        <w:t>s death.</w:t>
      </w:r>
    </w:p>
    <w:p w:rsidRPr="00884B04" w:rsidR="007E7025" w:rsidP="00884B04" w:rsidRDefault="007E7025" w14:paraId="483A467E" w14:textId="2DCDB69B">
      <w:pPr>
        <w:pStyle w:val="JuPara"/>
      </w:pPr>
      <w:r w:rsidRPr="00884B04">
        <w:fldChar w:fldCharType="begin"/>
      </w:r>
      <w:r w:rsidRPr="00884B04">
        <w:instrText xml:space="preserve"> SEQ level0 \*arabic </w:instrText>
      </w:r>
      <w:r w:rsidRPr="00884B04">
        <w:fldChar w:fldCharType="separate"/>
      </w:r>
      <w:r w:rsidRPr="00884B04" w:rsidR="00884B04">
        <w:rPr>
          <w:noProof/>
        </w:rPr>
        <w:t>147</w:t>
      </w:r>
      <w:r w:rsidRPr="00884B04">
        <w:fldChar w:fldCharType="end"/>
      </w:r>
      <w:r w:rsidRPr="00884B04">
        <w:t>.</w:t>
      </w:r>
      <w:r w:rsidRPr="00884B04" w:rsidR="00FD072F">
        <w:t>  </w:t>
      </w:r>
      <w:r w:rsidRPr="00884B04">
        <w:t>As the Government have not submitted either the criminal investigation file or the requests to the United Kingdom for legal assistance, they have not demonstrated that the material requested from the United Kingdom was in fact necessary for their own investigation to progress.</w:t>
      </w:r>
      <w:r w:rsidRPr="00884B04" w:rsidR="00F42FFF">
        <w:t xml:space="preserve"> </w:t>
      </w:r>
      <w:r w:rsidRPr="00884B04">
        <w:t xml:space="preserve">This omission is of particular note given that by the time the requests were made the Russian investigation had already concluded that there had been no leaks or thefts from the Russian facility manufacturing polonium 210, and had already “exonerated” </w:t>
      </w:r>
      <w:r w:rsidRPr="00884B04" w:rsidR="00F42FFF">
        <w:t>Mr L</w:t>
      </w:r>
      <w:r w:rsidRPr="00884B04">
        <w:t xml:space="preserve">ugovoy and </w:t>
      </w:r>
      <w:r w:rsidRPr="00884B04" w:rsidR="00F42FFF">
        <w:t>Mr K</w:t>
      </w:r>
      <w:r w:rsidRPr="00884B04">
        <w:t>ovtun of their involvement in the killing and indicated that no other suspects were being investigated.</w:t>
      </w:r>
    </w:p>
    <w:bookmarkStart w:name="paragraph00141" w:id="90"/>
    <w:p w:rsidRPr="00884B04" w:rsidR="007E7025" w:rsidP="00884B04" w:rsidRDefault="007E7025" w14:paraId="7EAF19B9" w14:textId="1221E110">
      <w:pPr>
        <w:pStyle w:val="JuPara"/>
      </w:pPr>
      <w:r w:rsidRPr="00884B04">
        <w:rPr>
          <w:lang w:bidi="en-US"/>
        </w:rPr>
        <w:fldChar w:fldCharType="begin"/>
      </w:r>
      <w:r w:rsidRPr="00884B04">
        <w:rPr>
          <w:lang w:bidi="en-US"/>
        </w:rPr>
        <w:instrText xml:space="preserve"> SEQ level0 \*arabic </w:instrText>
      </w:r>
      <w:r w:rsidRPr="00884B04">
        <w:rPr>
          <w:lang w:bidi="en-US"/>
        </w:rPr>
        <w:fldChar w:fldCharType="separate"/>
      </w:r>
      <w:r w:rsidRPr="00884B04" w:rsidR="00884B04">
        <w:rPr>
          <w:noProof/>
          <w:lang w:bidi="en-US"/>
        </w:rPr>
        <w:t>148</w:t>
      </w:r>
      <w:r w:rsidRPr="00884B04">
        <w:rPr>
          <w:lang w:bidi="en-US"/>
        </w:rPr>
        <w:fldChar w:fldCharType="end"/>
      </w:r>
      <w:bookmarkEnd w:id="90"/>
      <w:r w:rsidRPr="00884B04">
        <w:rPr>
          <w:lang w:bidi="en-US"/>
        </w:rPr>
        <w:t>.</w:t>
      </w:r>
      <w:r w:rsidRPr="00884B04" w:rsidR="00FD072F">
        <w:rPr>
          <w:lang w:bidi="en-US"/>
        </w:rPr>
        <w:t>  </w:t>
      </w:r>
      <w:r w:rsidRPr="00884B04">
        <w:t xml:space="preserve">In light of the foregoing, the Court considers that there has been a violation of the procedural limb of </w:t>
      </w:r>
      <w:r w:rsidRPr="00884B04" w:rsidR="00F42FFF">
        <w:t>Article 2</w:t>
      </w:r>
      <w:r w:rsidRPr="00884B04">
        <w:t xml:space="preserve"> to the Convention on account of the Russian authorities</w:t>
      </w:r>
      <w:r w:rsidRPr="00884B04" w:rsidR="00884B04">
        <w:t>’</w:t>
      </w:r>
      <w:r w:rsidRPr="00884B04">
        <w:t xml:space="preserve"> failure to conduct an effective investigation into the death of </w:t>
      </w:r>
      <w:r w:rsidRPr="00884B04" w:rsidR="00F42FFF">
        <w:t>Mr L</w:t>
      </w:r>
      <w:r w:rsidRPr="00884B04">
        <w:t>itvinenko.</w:t>
      </w:r>
    </w:p>
    <w:p w:rsidRPr="00884B04" w:rsidR="007E7025" w:rsidP="00884B04" w:rsidRDefault="007E7025" w14:paraId="1E7AD920" w14:textId="77777777">
      <w:pPr>
        <w:pStyle w:val="JuHa0"/>
      </w:pPr>
      <w:r w:rsidRPr="00884B04">
        <w:t xml:space="preserve">Substantive obligation under </w:t>
      </w:r>
      <w:r w:rsidRPr="00884B04" w:rsidR="00F42FFF">
        <w:t>Article 2</w:t>
      </w:r>
      <w:r w:rsidRPr="00884B04">
        <w:t xml:space="preserve"> of the Convention</w:t>
      </w:r>
    </w:p>
    <w:p w:rsidRPr="00884B04" w:rsidR="007E7025" w:rsidP="00884B04" w:rsidRDefault="00662B04" w14:paraId="69E87178" w14:textId="0D1587E3">
      <w:pPr>
        <w:pStyle w:val="JuPara"/>
        <w:rPr>
          <w:lang w:bidi="en-US"/>
        </w:rPr>
      </w:pPr>
      <w:r w:rsidRPr="00884B04">
        <w:rPr>
          <w:lang w:bidi="en-US"/>
        </w:rPr>
        <w:fldChar w:fldCharType="begin"/>
      </w:r>
      <w:r w:rsidRPr="00884B04">
        <w:rPr>
          <w:lang w:bidi="en-US"/>
        </w:rPr>
        <w:instrText xml:space="preserve"> SEQ level0 \*arabic \* MERGEFORMAT </w:instrText>
      </w:r>
      <w:r w:rsidRPr="00884B04">
        <w:rPr>
          <w:lang w:bidi="en-US"/>
        </w:rPr>
        <w:fldChar w:fldCharType="separate"/>
      </w:r>
      <w:r w:rsidRPr="00884B04" w:rsidR="00884B04">
        <w:rPr>
          <w:noProof/>
          <w:lang w:bidi="en-US"/>
        </w:rPr>
        <w:t>149</w:t>
      </w:r>
      <w:r w:rsidRPr="00884B04">
        <w:rPr>
          <w:lang w:bidi="en-US"/>
        </w:rPr>
        <w:fldChar w:fldCharType="end"/>
      </w:r>
      <w:r w:rsidRPr="00884B04">
        <w:rPr>
          <w:lang w:bidi="en-US"/>
        </w:rPr>
        <w:t>.</w:t>
      </w:r>
      <w:r w:rsidRPr="00884B04" w:rsidR="00FD072F">
        <w:rPr>
          <w:lang w:bidi="en-US"/>
        </w:rPr>
        <w:t>  </w:t>
      </w:r>
      <w:r w:rsidRPr="00884B04">
        <w:rPr>
          <w:lang w:bidi="en-US"/>
        </w:rPr>
        <w:t xml:space="preserve">At the time he was poisoned </w:t>
      </w:r>
      <w:r w:rsidRPr="00884B04" w:rsidR="00F42FFF">
        <w:rPr>
          <w:lang w:bidi="en-US"/>
        </w:rPr>
        <w:t>Mr L</w:t>
      </w:r>
      <w:r w:rsidRPr="00884B04">
        <w:rPr>
          <w:lang w:bidi="en-US"/>
        </w:rPr>
        <w:t xml:space="preserve">itvinenko was in the United Kingdom and therefore </w:t>
      </w:r>
      <w:r w:rsidRPr="00884B04" w:rsidR="007E7025">
        <w:rPr>
          <w:lang w:bidi="en-US"/>
        </w:rPr>
        <w:t>not present in an area over which the Russian State exercised “effective control”.</w:t>
      </w:r>
      <w:r w:rsidRPr="00884B04" w:rsidR="00F42FFF">
        <w:rPr>
          <w:lang w:bidi="en-US"/>
        </w:rPr>
        <w:t xml:space="preserve"> </w:t>
      </w:r>
      <w:r w:rsidRPr="00884B04" w:rsidR="007E7025">
        <w:rPr>
          <w:lang w:bidi="en-US"/>
        </w:rPr>
        <w:t xml:space="preserve">It remains therefore to be established whether </w:t>
      </w:r>
      <w:r w:rsidRPr="00884B04" w:rsidR="00403FD1">
        <w:rPr>
          <w:lang w:bidi="en-US"/>
        </w:rPr>
        <w:t xml:space="preserve">the Russian State can be held accountable for the alleged violation of his right to life </w:t>
      </w:r>
      <w:r w:rsidRPr="00884B04" w:rsidR="00403FD1">
        <w:t>under the personal concept of jurisdiction</w:t>
      </w:r>
      <w:r w:rsidRPr="00884B04" w:rsidR="007E7025">
        <w:rPr>
          <w:lang w:bidi="en-US"/>
        </w:rPr>
        <w:t>.</w:t>
      </w:r>
    </w:p>
    <w:bookmarkStart w:name="paragraph00151" w:id="91"/>
    <w:p w:rsidRPr="00884B04" w:rsidR="00662B04" w:rsidP="00884B04" w:rsidRDefault="007E7025" w14:paraId="1556086D" w14:textId="3B965D26">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150</w:t>
      </w:r>
      <w:r w:rsidRPr="00884B04">
        <w:fldChar w:fldCharType="end"/>
      </w:r>
      <w:bookmarkEnd w:id="91"/>
      <w:r w:rsidRPr="00884B04">
        <w:t>.</w:t>
      </w:r>
      <w:r w:rsidRPr="00884B04" w:rsidR="00FD072F">
        <w:t>  </w:t>
      </w:r>
      <w:r w:rsidRPr="00884B04" w:rsidR="00403FD1">
        <w:t>In the light of the Court</w:t>
      </w:r>
      <w:r w:rsidRPr="00884B04" w:rsidR="00884B04">
        <w:t>’</w:t>
      </w:r>
      <w:r w:rsidRPr="00884B04" w:rsidR="00403FD1">
        <w:t xml:space="preserve">s case-law summarised in </w:t>
      </w:r>
      <w:r w:rsidRPr="00884B04" w:rsidR="00403FD1">
        <w:rPr>
          <w:lang w:bidi="en-US"/>
        </w:rPr>
        <w:t xml:space="preserve">paragraphs </w:t>
      </w:r>
      <w:r w:rsidRPr="00884B04" w:rsidR="00403FD1">
        <w:rPr>
          <w:lang w:bidi="en-US"/>
        </w:rPr>
        <w:fldChar w:fldCharType="begin"/>
      </w:r>
      <w:r w:rsidRPr="00884B04" w:rsidR="00403FD1">
        <w:rPr>
          <w:lang w:bidi="en-US"/>
        </w:rPr>
        <w:instrText xml:space="preserve"> REF paragraph00126 \h  \* CharFormat </w:instrText>
      </w:r>
      <w:r w:rsidRPr="00884B04" w:rsidR="00403FD1">
        <w:rPr>
          <w:lang w:bidi="en-US"/>
        </w:rPr>
      </w:r>
      <w:r w:rsidRPr="00884B04" w:rsidR="00403FD1">
        <w:rPr>
          <w:lang w:bidi="en-US"/>
        </w:rPr>
        <w:fldChar w:fldCharType="separate"/>
      </w:r>
      <w:r w:rsidRPr="00884B04" w:rsidR="00884B04">
        <w:rPr>
          <w:lang w:bidi="en-US"/>
        </w:rPr>
        <w:t>126</w:t>
      </w:r>
      <w:r w:rsidRPr="00884B04" w:rsidR="00403FD1">
        <w:rPr>
          <w:lang w:bidi="en-US"/>
        </w:rPr>
        <w:fldChar w:fldCharType="end"/>
      </w:r>
      <w:r w:rsidRPr="00884B04" w:rsidR="00403FD1">
        <w:rPr>
          <w:lang w:bidi="en-US"/>
        </w:rPr>
        <w:t>-</w:t>
      </w:r>
      <w:r w:rsidRPr="00884B04" w:rsidR="00403FD1">
        <w:rPr>
          <w:lang w:bidi="en-US"/>
        </w:rPr>
        <w:fldChar w:fldCharType="begin"/>
      </w:r>
      <w:r w:rsidRPr="00884B04" w:rsidR="00403FD1">
        <w:rPr>
          <w:lang w:bidi="en-US"/>
        </w:rPr>
        <w:instrText xml:space="preserve"> REF paragraph00130 \h  \* CharFormat </w:instrText>
      </w:r>
      <w:r w:rsidRPr="00884B04" w:rsidR="00403FD1">
        <w:rPr>
          <w:lang w:bidi="en-US"/>
        </w:rPr>
      </w:r>
      <w:r w:rsidRPr="00884B04" w:rsidR="00403FD1">
        <w:rPr>
          <w:lang w:bidi="en-US"/>
        </w:rPr>
        <w:fldChar w:fldCharType="separate"/>
      </w:r>
      <w:r w:rsidRPr="00884B04" w:rsidR="00884B04">
        <w:rPr>
          <w:lang w:bidi="en-US"/>
        </w:rPr>
        <w:t>130</w:t>
      </w:r>
      <w:r w:rsidRPr="00884B04" w:rsidR="00403FD1">
        <w:rPr>
          <w:lang w:bidi="en-US"/>
        </w:rPr>
        <w:fldChar w:fldCharType="end"/>
      </w:r>
      <w:r w:rsidRPr="00884B04" w:rsidR="00403FD1">
        <w:rPr>
          <w:lang w:bidi="en-US"/>
        </w:rPr>
        <w:t xml:space="preserve"> above</w:t>
      </w:r>
      <w:r w:rsidRPr="00884B04">
        <w:t>, the fate of the applicant</w:t>
      </w:r>
      <w:r w:rsidRPr="00884B04" w:rsidR="00884B04">
        <w:t>’</w:t>
      </w:r>
      <w:r w:rsidRPr="00884B04">
        <w:t xml:space="preserve">s complaint about the assassination of her husband depends on the answers to the following two interrelated questions: </w:t>
      </w:r>
      <w:bookmarkStart w:name="_Hlk76634304" w:id="92"/>
      <w:r w:rsidRPr="00884B04">
        <w:t xml:space="preserve">(i) whether the assassination of </w:t>
      </w:r>
      <w:r w:rsidRPr="00884B04" w:rsidR="00F42FFF">
        <w:t>Mr L</w:t>
      </w:r>
      <w:r w:rsidRPr="00884B04">
        <w:t>itvinenko amounted to the exercise of physical power and control over his life in a situation of proximate targeting, and (ii) whether it was carried out by individuals acting as State agents.</w:t>
      </w:r>
      <w:r w:rsidRPr="00884B04" w:rsidR="00F42FFF">
        <w:t xml:space="preserve"> </w:t>
      </w:r>
      <w:bookmarkEnd w:id="92"/>
      <w:r w:rsidRPr="00884B04" w:rsidR="00662B04">
        <w:t>The Court will establish the facts on the basis of the evidence available in the case-file.</w:t>
      </w:r>
    </w:p>
    <w:p w:rsidRPr="00884B04" w:rsidR="00662B04" w:rsidP="00884B04" w:rsidRDefault="00662B04" w14:paraId="208DEC6E" w14:textId="77777777">
      <w:pPr>
        <w:pStyle w:val="JuHi"/>
      </w:pPr>
      <w:r w:rsidRPr="00884B04">
        <w:t>Evaluation of evidence by the Court</w:t>
      </w:r>
    </w:p>
    <w:p w:rsidRPr="00884B04" w:rsidR="007759EA" w:rsidP="00884B04" w:rsidRDefault="00EB7A47" w14:paraId="14E19F27" w14:textId="0617CC69">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151</w:t>
      </w:r>
      <w:r>
        <w:rPr>
          <w:noProof/>
        </w:rPr>
        <w:fldChar w:fldCharType="end"/>
      </w:r>
      <w:r w:rsidRPr="00884B04" w:rsidR="00662B04">
        <w:t>.</w:t>
      </w:r>
      <w:r w:rsidRPr="00884B04" w:rsidR="00FD072F">
        <w:t>  </w:t>
      </w:r>
      <w:r w:rsidRPr="00884B04" w:rsidR="00662B04">
        <w:t xml:space="preserve">In assessing evidence in cases concerning an alleged violation of the right to life, the Court has adopted the standard of proof “beyond reasonable doubt”. However, it has </w:t>
      </w:r>
      <w:r w:rsidRPr="00884B04" w:rsidR="007E7025">
        <w:t>not borrowed the approach of the national legal systems that use that standard, since its role is not to rule on criminal guilt or civil liability but on Contracting States</w:t>
      </w:r>
      <w:r w:rsidRPr="00884B04" w:rsidR="00884B04">
        <w:t>’</w:t>
      </w:r>
      <w:r w:rsidRPr="00884B04" w:rsidR="007E7025">
        <w:t xml:space="preserve"> responsibility under the Convention.</w:t>
      </w:r>
      <w:r w:rsidRPr="00884B04" w:rsidR="00F42FFF">
        <w:t xml:space="preserve"> </w:t>
      </w:r>
      <w:r w:rsidRPr="00884B04" w:rsidR="007E7025">
        <w:t xml:space="preserve">The specificity of its task under </w:t>
      </w:r>
      <w:r w:rsidRPr="00884B04" w:rsidR="00F42FFF">
        <w:t>Article 1</w:t>
      </w:r>
      <w:r w:rsidRPr="00884B04" w:rsidR="007E7025">
        <w:t>9 of the Convention – to ensure the observance by the Contracting States of their engagement to secure the fundamental rights enshrined in the Convention – conditions its approach to the issues of evidence and proof.</w:t>
      </w:r>
      <w:r w:rsidRPr="00884B04" w:rsidR="00F42FFF">
        <w:t xml:space="preserve"> </w:t>
      </w:r>
      <w:r w:rsidRPr="00884B04" w:rsidR="00662B04">
        <w:t xml:space="preserve">In the proceedings before the Court, there are </w:t>
      </w:r>
      <w:r w:rsidRPr="00884B04" w:rsidR="007E7025">
        <w:t>no pre-determined formulae for assessment of evidence.</w:t>
      </w:r>
      <w:r w:rsidRPr="00884B04" w:rsidR="00F42FFF">
        <w:t xml:space="preserve"> </w:t>
      </w:r>
      <w:r w:rsidRPr="00884B04" w:rsidR="007E7025">
        <w:t>It adopts the conclusions that are, in its view, supported by the free evaluation of all evidence, including such inferences as may flow from the facts and the parties</w:t>
      </w:r>
      <w:r w:rsidRPr="00884B04" w:rsidR="00884B04">
        <w:t>’</w:t>
      </w:r>
      <w:r w:rsidRPr="00884B04" w:rsidR="007E7025">
        <w:t xml:space="preserve"> submissions (see </w:t>
      </w:r>
      <w:bookmarkStart w:name="_Hlk83044997" w:id="93"/>
      <w:r w:rsidRPr="00884B04" w:rsidR="007E7025">
        <w:rPr>
          <w:i/>
        </w:rPr>
        <w:t>Nachova and Others</w:t>
      </w:r>
      <w:r w:rsidRPr="00884B04" w:rsidR="00F42FFF">
        <w:rPr>
          <w:i/>
        </w:rPr>
        <w:t xml:space="preserve"> v. B</w:t>
      </w:r>
      <w:r w:rsidRPr="00884B04" w:rsidR="007E7025">
        <w:rPr>
          <w:i/>
        </w:rPr>
        <w:t>ulgaria</w:t>
      </w:r>
      <w:r w:rsidRPr="00884B04" w:rsidR="007E7025">
        <w:t xml:space="preserve"> [GC], </w:t>
      </w:r>
      <w:r w:rsidRPr="00884B04" w:rsidR="00F42FFF">
        <w:t>nos. 4</w:t>
      </w:r>
      <w:r w:rsidRPr="00884B04" w:rsidR="007E7025">
        <w:t xml:space="preserve">3577/98 and 43579/98, </w:t>
      </w:r>
      <w:r w:rsidRPr="00884B04" w:rsidR="00F42FFF">
        <w:t>§ 1</w:t>
      </w:r>
      <w:r w:rsidRPr="00884B04" w:rsidR="007E7025">
        <w:t>47, ECHR</w:t>
      </w:r>
      <w:r w:rsidRPr="00884B04" w:rsidR="001266A6">
        <w:t> </w:t>
      </w:r>
      <w:r w:rsidRPr="00884B04" w:rsidR="007E7025">
        <w:t>2005</w:t>
      </w:r>
      <w:r w:rsidRPr="00884B04" w:rsidR="007E7025">
        <w:noBreakHyphen/>
        <w:t>VII).</w:t>
      </w:r>
    </w:p>
    <w:p w:rsidRPr="00884B04" w:rsidR="007E7025" w:rsidP="00884B04" w:rsidRDefault="007E7025" w14:paraId="37613692" w14:textId="3CE6B77A">
      <w:pPr>
        <w:pStyle w:val="JuPara"/>
      </w:pPr>
      <w:r w:rsidRPr="00884B04">
        <w:fldChar w:fldCharType="begin"/>
      </w:r>
      <w:r w:rsidRPr="00884B04">
        <w:instrText xml:space="preserve"> SEQ level0 \*arabic </w:instrText>
      </w:r>
      <w:r w:rsidRPr="00884B04">
        <w:fldChar w:fldCharType="separate"/>
      </w:r>
      <w:r w:rsidRPr="00884B04" w:rsidR="00884B04">
        <w:rPr>
          <w:noProof/>
        </w:rPr>
        <w:t>152</w:t>
      </w:r>
      <w:r w:rsidRPr="00884B04">
        <w:fldChar w:fldCharType="end"/>
      </w:r>
      <w:r w:rsidRPr="00884B04">
        <w:t>.</w:t>
      </w:r>
      <w:r w:rsidRPr="00884B04" w:rsidR="00FD072F">
        <w:t>  </w:t>
      </w:r>
      <w:r w:rsidRPr="00884B04">
        <w:t>In addition, the conduct of the parties in relation to the Court</w:t>
      </w:r>
      <w:r w:rsidRPr="00884B04" w:rsidR="00884B04">
        <w:t>’</w:t>
      </w:r>
      <w:r w:rsidRPr="00884B04">
        <w:t xml:space="preserve">s efforts to obtain evidence may constitute an element to be taken into account (see </w:t>
      </w:r>
      <w:r w:rsidRPr="00884B04">
        <w:rPr>
          <w:i/>
        </w:rPr>
        <w:t>Ilaşcu and Others</w:t>
      </w:r>
      <w:r w:rsidRPr="00884B04" w:rsidR="00F42FFF">
        <w:rPr>
          <w:i/>
        </w:rPr>
        <w:t xml:space="preserve"> v. M</w:t>
      </w:r>
      <w:r w:rsidRPr="00884B04">
        <w:rPr>
          <w:i/>
        </w:rPr>
        <w:t>oldova and Russia</w:t>
      </w:r>
      <w:r w:rsidRPr="00884B04">
        <w:t xml:space="preserve"> [GC], </w:t>
      </w:r>
      <w:r w:rsidRPr="00884B04" w:rsidR="00F42FFF">
        <w:t>no. 4</w:t>
      </w:r>
      <w:r w:rsidRPr="00884B04">
        <w:t xml:space="preserve">8787/99, </w:t>
      </w:r>
      <w:r w:rsidRPr="00884B04" w:rsidR="00F42FFF">
        <w:t>§ 2</w:t>
      </w:r>
      <w:r w:rsidRPr="00884B04">
        <w:t>6, ECHR 2004</w:t>
      </w:r>
      <w:r w:rsidRPr="00884B04">
        <w:noBreakHyphen/>
        <w:t>VII).</w:t>
      </w:r>
      <w:r w:rsidRPr="00884B04" w:rsidR="00F42FFF">
        <w:t xml:space="preserve"> </w:t>
      </w:r>
      <w:r w:rsidRPr="00884B04">
        <w:t>In this connection, the Court has held that where it is unable to establish the exact circumstances of a case for reasons objectively attributable to the State authorities, it is for the respondent Government to explain, in a satisfactory and convincing manner, the sequence of events and to exhibit solid evidence that can refute the applicant</w:t>
      </w:r>
      <w:r w:rsidRPr="00884B04" w:rsidR="00884B04">
        <w:t>’</w:t>
      </w:r>
      <w:r w:rsidRPr="00884B04">
        <w:t xml:space="preserve">s allegations (see </w:t>
      </w:r>
      <w:r w:rsidRPr="00884B04">
        <w:rPr>
          <w:i/>
        </w:rPr>
        <w:t>Mansuroğlu</w:t>
      </w:r>
      <w:r w:rsidRPr="00884B04" w:rsidR="00F42FFF">
        <w:rPr>
          <w:i/>
        </w:rPr>
        <w:t xml:space="preserve"> v. T</w:t>
      </w:r>
      <w:r w:rsidRPr="00884B04">
        <w:rPr>
          <w:i/>
        </w:rPr>
        <w:t>urkey</w:t>
      </w:r>
      <w:r w:rsidRPr="00884B04">
        <w:t xml:space="preserve">, </w:t>
      </w:r>
      <w:r w:rsidRPr="00884B04" w:rsidR="00F42FFF">
        <w:t>no. 4</w:t>
      </w:r>
      <w:r w:rsidRPr="00884B04">
        <w:t xml:space="preserve">3443/98, </w:t>
      </w:r>
      <w:r w:rsidRPr="00884B04" w:rsidR="00F42FFF">
        <w:t>§ 8</w:t>
      </w:r>
      <w:r w:rsidRPr="00884B04">
        <w:t xml:space="preserve">0, </w:t>
      </w:r>
      <w:r w:rsidRPr="00884B04" w:rsidR="00F42FFF">
        <w:t>26 February 2008</w:t>
      </w:r>
      <w:r w:rsidRPr="00884B04">
        <w:t xml:space="preserve">, and </w:t>
      </w:r>
      <w:r w:rsidRPr="00884B04">
        <w:rPr>
          <w:i/>
        </w:rPr>
        <w:t>Tagayeva and Others</w:t>
      </w:r>
      <w:r w:rsidRPr="00884B04">
        <w:t xml:space="preserve">, cited above, </w:t>
      </w:r>
      <w:r w:rsidRPr="00884B04" w:rsidR="00F42FFF">
        <w:t>§ 5</w:t>
      </w:r>
      <w:r w:rsidRPr="00884B04">
        <w:t>86).</w:t>
      </w:r>
    </w:p>
    <w:p w:rsidRPr="00884B04" w:rsidR="007E7025" w:rsidP="00884B04" w:rsidRDefault="007E7025" w14:paraId="27775C7A" w14:textId="26E32A74">
      <w:pPr>
        <w:pStyle w:val="JuPara"/>
      </w:pPr>
      <w:r w:rsidRPr="00884B04">
        <w:fldChar w:fldCharType="begin"/>
      </w:r>
      <w:r w:rsidRPr="00884B04">
        <w:instrText xml:space="preserve"> SEQ level0 \*arabic </w:instrText>
      </w:r>
      <w:r w:rsidRPr="00884B04">
        <w:fldChar w:fldCharType="separate"/>
      </w:r>
      <w:r w:rsidRPr="00884B04" w:rsidR="00884B04">
        <w:rPr>
          <w:noProof/>
        </w:rPr>
        <w:t>153</w:t>
      </w:r>
      <w:r w:rsidRPr="00884B04">
        <w:fldChar w:fldCharType="end"/>
      </w:r>
      <w:r w:rsidRPr="00884B04">
        <w:t>.</w:t>
      </w:r>
      <w:r w:rsidRPr="00884B04" w:rsidR="00FD072F">
        <w:t>  </w:t>
      </w:r>
      <w:r w:rsidRPr="00884B04">
        <w:t xml:space="preserve">The Court has found a violation of </w:t>
      </w:r>
      <w:r w:rsidRPr="00884B04" w:rsidR="00F42FFF">
        <w:t>Article 2</w:t>
      </w:r>
      <w:r w:rsidRPr="00884B04">
        <w:t xml:space="preserve"> where a </w:t>
      </w:r>
      <w:r w:rsidRPr="00884B04">
        <w:rPr>
          <w:i/>
          <w:iCs/>
        </w:rPr>
        <w:t>prima facie</w:t>
      </w:r>
      <w:r w:rsidRPr="00884B04">
        <w:t xml:space="preserve"> case had been made that an individual was killed by State agents and the Government failed to provide any other satisfactory and convincing explanation of the events.</w:t>
      </w:r>
      <w:r w:rsidRPr="00884B04" w:rsidR="00F42FFF">
        <w:t xml:space="preserve"> </w:t>
      </w:r>
      <w:r w:rsidRPr="00884B04" w:rsidR="00662B04">
        <w:t>It also found that it could draw inferences from the Government</w:t>
      </w:r>
      <w:r w:rsidRPr="00884B04" w:rsidR="00884B04">
        <w:t>’</w:t>
      </w:r>
      <w:r w:rsidRPr="00884B04" w:rsidR="00662B04">
        <w:t xml:space="preserve">s conduct in respect of the investigation documents (see, for example, </w:t>
      </w:r>
      <w:r w:rsidRPr="00884B04" w:rsidR="00662B04">
        <w:rPr>
          <w:i/>
        </w:rPr>
        <w:t>Khashiyev and Akayeva</w:t>
      </w:r>
      <w:r w:rsidRPr="00884B04" w:rsidR="00F42FFF">
        <w:rPr>
          <w:i/>
        </w:rPr>
        <w:t xml:space="preserve"> v. R</w:t>
      </w:r>
      <w:r w:rsidRPr="00884B04" w:rsidR="00662B04">
        <w:rPr>
          <w:i/>
        </w:rPr>
        <w:t>ussia</w:t>
      </w:r>
      <w:r w:rsidRPr="00884B04" w:rsidR="00662B04">
        <w:t xml:space="preserve">, </w:t>
      </w:r>
      <w:r w:rsidRPr="00884B04" w:rsidR="00F42FFF">
        <w:t>nos. 5</w:t>
      </w:r>
      <w:r w:rsidRPr="00884B04">
        <w:t xml:space="preserve">7942/00 and 57945/00, </w:t>
      </w:r>
      <w:r w:rsidRPr="00884B04" w:rsidR="00F42FFF">
        <w:t>§ 1</w:t>
      </w:r>
      <w:r w:rsidRPr="00884B04">
        <w:t xml:space="preserve">39, </w:t>
      </w:r>
      <w:r w:rsidRPr="00884B04" w:rsidR="00F42FFF">
        <w:t>24 February 2005</w:t>
      </w:r>
      <w:bookmarkEnd w:id="93"/>
      <w:r w:rsidRPr="00884B04">
        <w:t>).</w:t>
      </w:r>
      <w:r w:rsidRPr="00884B04" w:rsidR="00F42FFF">
        <w:t xml:space="preserve"> </w:t>
      </w:r>
      <w:r w:rsidRPr="00884B04">
        <w:t>It has not, however, found a violation in cases where the applicant</w:t>
      </w:r>
      <w:r w:rsidRPr="00884B04" w:rsidR="00884B04">
        <w:t>’</w:t>
      </w:r>
      <w:r w:rsidRPr="00884B04">
        <w:t xml:space="preserve">s allegations are tenable but the circumstances of the death nevertheless remain a matter of speculation and assumption (see, for example, </w:t>
      </w:r>
      <w:bookmarkStart w:name="_Hlk83045061" w:id="94"/>
      <w:r w:rsidRPr="00884B04">
        <w:rPr>
          <w:i/>
        </w:rPr>
        <w:t>Buldan</w:t>
      </w:r>
      <w:r w:rsidRPr="00884B04" w:rsidR="00F42FFF">
        <w:rPr>
          <w:i/>
        </w:rPr>
        <w:t xml:space="preserve"> v. T</w:t>
      </w:r>
      <w:r w:rsidRPr="00884B04">
        <w:rPr>
          <w:i/>
        </w:rPr>
        <w:t>urkey</w:t>
      </w:r>
      <w:r w:rsidRPr="00884B04">
        <w:t xml:space="preserve">, </w:t>
      </w:r>
      <w:r w:rsidRPr="00884B04" w:rsidR="00F42FFF">
        <w:t>no. 2</w:t>
      </w:r>
      <w:r w:rsidRPr="00884B04">
        <w:t xml:space="preserve">8298/95, </w:t>
      </w:r>
      <w:r w:rsidRPr="00884B04" w:rsidR="00F42FFF">
        <w:t>§ 8</w:t>
      </w:r>
      <w:r w:rsidRPr="00884B04">
        <w:t xml:space="preserve">1, </w:t>
      </w:r>
      <w:r w:rsidRPr="00884B04" w:rsidR="00F42FFF">
        <w:t>20 April 2004</w:t>
      </w:r>
      <w:bookmarkEnd w:id="94"/>
      <w:r w:rsidRPr="00884B04">
        <w:t>).</w:t>
      </w:r>
    </w:p>
    <w:p w:rsidRPr="00884B04" w:rsidR="007E7025" w:rsidP="00884B04" w:rsidRDefault="00651B52" w14:paraId="29237B34" w14:textId="77777777">
      <w:pPr>
        <w:pStyle w:val="JuHi"/>
      </w:pPr>
      <w:r w:rsidRPr="00884B04">
        <w:t>Establishment of the facts</w:t>
      </w:r>
    </w:p>
    <w:p w:rsidRPr="00884B04" w:rsidR="00662B04" w:rsidP="00884B04" w:rsidRDefault="007E7025" w14:paraId="513A4D49" w14:textId="0550E33D">
      <w:pPr>
        <w:pStyle w:val="JuPara"/>
      </w:pPr>
      <w:r w:rsidRPr="00884B04">
        <w:fldChar w:fldCharType="begin"/>
      </w:r>
      <w:r w:rsidRPr="00884B04">
        <w:instrText xml:space="preserve"> SEQ level0 \*arabic </w:instrText>
      </w:r>
      <w:r w:rsidRPr="00884B04">
        <w:fldChar w:fldCharType="separate"/>
      </w:r>
      <w:r w:rsidRPr="00884B04" w:rsidR="00884B04">
        <w:rPr>
          <w:noProof/>
        </w:rPr>
        <w:t>154</w:t>
      </w:r>
      <w:r w:rsidRPr="00884B04">
        <w:fldChar w:fldCharType="end"/>
      </w:r>
      <w:r w:rsidRPr="00884B04">
        <w:t>.</w:t>
      </w:r>
      <w:r w:rsidRPr="00884B04" w:rsidR="00FD072F">
        <w:t>  </w:t>
      </w:r>
      <w:r w:rsidRPr="00884B04">
        <w:t xml:space="preserve">In the present case, the circumstances of </w:t>
      </w:r>
      <w:r w:rsidRPr="00884B04" w:rsidR="00F42FFF">
        <w:t>Mr L</w:t>
      </w:r>
      <w:r w:rsidRPr="00884B04">
        <w:t>itvinenko</w:t>
      </w:r>
      <w:r w:rsidRPr="00884B04" w:rsidR="00884B04">
        <w:t>’</w:t>
      </w:r>
      <w:r w:rsidRPr="00884B04">
        <w:t>s death are no longer a “matter of speculation and assumption”.</w:t>
      </w:r>
      <w:r w:rsidRPr="00884B04" w:rsidR="00F42FFF">
        <w:t xml:space="preserve"> </w:t>
      </w:r>
      <w:r w:rsidRPr="00884B04">
        <w:t>It has been established, beyond reasonable doubt, that he was poisoned with polonium 210, a</w:t>
      </w:r>
      <w:r w:rsidRPr="00884B04" w:rsidR="00F42FFF">
        <w:t xml:space="preserve"> </w:t>
      </w:r>
      <w:r w:rsidRPr="00884B04">
        <w:t>rare radioactive isotope.</w:t>
      </w:r>
      <w:r w:rsidRPr="00884B04" w:rsidR="00F42FFF">
        <w:t xml:space="preserve"> </w:t>
      </w:r>
      <w:r w:rsidRPr="00884B04" w:rsidR="00662B04">
        <w:t xml:space="preserve">It has been further established, also beyond reasonable doubt, that the poison was administered by </w:t>
      </w:r>
      <w:r w:rsidRPr="00884B04" w:rsidR="00F42FFF">
        <w:t>Mr L</w:t>
      </w:r>
      <w:r w:rsidRPr="00884B04" w:rsidR="00662B04">
        <w:t xml:space="preserve">ugovoy and </w:t>
      </w:r>
      <w:r w:rsidRPr="00884B04" w:rsidR="00F42FFF">
        <w:t>Mr K</w:t>
      </w:r>
      <w:r w:rsidRPr="00884B04" w:rsidR="00662B04">
        <w:t>ovtun.</w:t>
      </w:r>
    </w:p>
    <w:p w:rsidRPr="00884B04" w:rsidR="00662B04" w:rsidP="00884B04" w:rsidRDefault="00EB7A47" w14:paraId="44B3C9BA" w14:textId="518F75D1">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155</w:t>
      </w:r>
      <w:r>
        <w:rPr>
          <w:noProof/>
        </w:rPr>
        <w:fldChar w:fldCharType="end"/>
      </w:r>
      <w:r w:rsidRPr="00884B04" w:rsidR="00662B04">
        <w:t>.</w:t>
      </w:r>
      <w:r w:rsidRPr="00884B04" w:rsidR="00FD072F">
        <w:t>  </w:t>
      </w:r>
      <w:r w:rsidRPr="00884B04" w:rsidR="00662B04">
        <w:t xml:space="preserve">Primary contamination – that is to say, evidence of direct contact between the radioactive substance and the surface on which it was deposited – was found in the hotel rooms where </w:t>
      </w:r>
      <w:r w:rsidRPr="00884B04" w:rsidR="00F42FFF">
        <w:t>Mr L</w:t>
      </w:r>
      <w:r w:rsidRPr="00884B04" w:rsidR="00662B04">
        <w:t xml:space="preserve">ugovoy and </w:t>
      </w:r>
      <w:r w:rsidRPr="00884B04" w:rsidR="00F42FFF">
        <w:t>Mr K</w:t>
      </w:r>
      <w:r w:rsidRPr="00884B04" w:rsidR="00662B04">
        <w:t xml:space="preserve">ovtun stayed on three occasions but also in the boardroom where they had first met </w:t>
      </w:r>
      <w:r w:rsidRPr="00884B04" w:rsidR="00F42FFF">
        <w:t>Mr L</w:t>
      </w:r>
      <w:r w:rsidRPr="00884B04" w:rsidR="00662B04">
        <w:t>itvinenko and in the teapot from which his tea had been poured. Secondary contamination – resulting from a transfer of primary contamination by someone</w:t>
      </w:r>
      <w:r w:rsidRPr="00884B04" w:rsidR="00884B04">
        <w:t>’</w:t>
      </w:r>
      <w:r w:rsidRPr="00884B04" w:rsidR="00662B04">
        <w:t xml:space="preserve">s hand or foot – was discovered in most places that </w:t>
      </w:r>
      <w:r w:rsidRPr="00884B04" w:rsidR="00F42FFF">
        <w:t>Mr L</w:t>
      </w:r>
      <w:r w:rsidRPr="00884B04" w:rsidR="00662B04">
        <w:t xml:space="preserve">ugovoy and </w:t>
      </w:r>
      <w:r w:rsidRPr="00884B04" w:rsidR="00F42FFF">
        <w:t>Mr K</w:t>
      </w:r>
      <w:r w:rsidRPr="00884B04" w:rsidR="00662B04">
        <w:t xml:space="preserve">ovtun had visited during their stay in London (and also, in </w:t>
      </w:r>
      <w:r w:rsidRPr="00884B04" w:rsidR="00F42FFF">
        <w:t>Mr K</w:t>
      </w:r>
      <w:r w:rsidRPr="00884B04" w:rsidR="00662B04">
        <w:t>ovtun</w:t>
      </w:r>
      <w:r w:rsidRPr="00884B04" w:rsidR="00884B04">
        <w:t>’</w:t>
      </w:r>
      <w:r w:rsidRPr="00884B04" w:rsidR="00662B04">
        <w:t xml:space="preserve">s case, in Hamburg) and on the aircraft on which they had flown. In contrast, the other locations tested for contamination, including </w:t>
      </w:r>
      <w:r w:rsidRPr="00884B04" w:rsidR="00F42FFF">
        <w:t>Mr L</w:t>
      </w:r>
      <w:r w:rsidRPr="00884B04" w:rsidR="00662B04">
        <w:t>itvinenko</w:t>
      </w:r>
      <w:r w:rsidRPr="00884B04" w:rsidR="00884B04">
        <w:t>’</w:t>
      </w:r>
      <w:r w:rsidRPr="00884B04" w:rsidR="00662B04">
        <w:t xml:space="preserve">s home, </w:t>
      </w:r>
      <w:r w:rsidRPr="00884B04" w:rsidR="00F42FFF">
        <w:t>Mr B</w:t>
      </w:r>
      <w:r w:rsidRPr="00884B04" w:rsidR="00662B04">
        <w:t>erezovskiy</w:t>
      </w:r>
      <w:r w:rsidRPr="00884B04" w:rsidR="00884B04">
        <w:t>’</w:t>
      </w:r>
      <w:r w:rsidRPr="00884B04" w:rsidR="00662B04">
        <w:t xml:space="preserve">s offices, </w:t>
      </w:r>
      <w:r w:rsidRPr="00884B04" w:rsidR="00F42FFF">
        <w:t>Mr S</w:t>
      </w:r>
      <w:r w:rsidRPr="00884B04" w:rsidR="00662B04">
        <w:t>caramella</w:t>
      </w:r>
      <w:r w:rsidRPr="00884B04" w:rsidR="00884B04">
        <w:t>’</w:t>
      </w:r>
      <w:r w:rsidRPr="00884B04" w:rsidR="00662B04">
        <w:t xml:space="preserve">s room, were free from traces of direct contact with the radioactive substance (see paragraphs </w:t>
      </w:r>
      <w:r w:rsidRPr="00884B04" w:rsidR="00662B04">
        <w:fldChar w:fldCharType="begin"/>
      </w:r>
      <w:r w:rsidRPr="00884B04" w:rsidR="007E7025">
        <w:instrText xml:space="preserve">REF paragraph00018 \h \* CharFormat </w:instrText>
      </w:r>
      <w:r w:rsidRPr="00884B04" w:rsidR="00662B04">
        <w:fldChar w:fldCharType="separate"/>
      </w:r>
      <w:r w:rsidRPr="00884B04" w:rsidR="00884B04">
        <w:t>18</w:t>
      </w:r>
      <w:r w:rsidRPr="00884B04" w:rsidR="00662B04">
        <w:fldChar w:fldCharType="end"/>
      </w:r>
      <w:r w:rsidRPr="00884B04" w:rsidR="00662B04">
        <w:t xml:space="preserve">, </w:t>
      </w:r>
      <w:r w:rsidRPr="00884B04" w:rsidR="00662B04">
        <w:fldChar w:fldCharType="begin"/>
      </w:r>
      <w:r w:rsidRPr="00884B04" w:rsidR="007E7025">
        <w:instrText xml:space="preserve">REF paragraph00022 \h \* CharFormat </w:instrText>
      </w:r>
      <w:r w:rsidRPr="00884B04" w:rsidR="00662B04">
        <w:fldChar w:fldCharType="separate"/>
      </w:r>
      <w:r w:rsidRPr="00884B04" w:rsidR="00884B04">
        <w:t>22</w:t>
      </w:r>
      <w:r w:rsidRPr="00884B04" w:rsidR="00662B04">
        <w:fldChar w:fldCharType="end"/>
      </w:r>
      <w:r w:rsidRPr="00884B04" w:rsidR="00662B04">
        <w:t xml:space="preserve">, </w:t>
      </w:r>
      <w:r w:rsidRPr="00884B04" w:rsidR="00662B04">
        <w:fldChar w:fldCharType="begin"/>
      </w:r>
      <w:r w:rsidRPr="00884B04" w:rsidR="007E7025">
        <w:instrText xml:space="preserve">REF paragraph00025 \h \* CharFormat </w:instrText>
      </w:r>
      <w:r w:rsidRPr="00884B04" w:rsidR="00662B04">
        <w:fldChar w:fldCharType="separate"/>
      </w:r>
      <w:r w:rsidRPr="00884B04" w:rsidR="00884B04">
        <w:t>25</w:t>
      </w:r>
      <w:r w:rsidRPr="00884B04" w:rsidR="00662B04">
        <w:fldChar w:fldCharType="end"/>
      </w:r>
      <w:r w:rsidRPr="00884B04" w:rsidR="00662B04">
        <w:t xml:space="preserve"> and </w:t>
      </w:r>
      <w:r w:rsidRPr="00884B04" w:rsidR="00662B04">
        <w:fldChar w:fldCharType="begin"/>
      </w:r>
      <w:r w:rsidRPr="00884B04" w:rsidR="007E7025">
        <w:instrText xml:space="preserve">REF paragraph00027 \h \* CharFormat </w:instrText>
      </w:r>
      <w:r w:rsidRPr="00884B04" w:rsidR="00662B04">
        <w:fldChar w:fldCharType="separate"/>
      </w:r>
      <w:r w:rsidRPr="00884B04" w:rsidR="00884B04">
        <w:t>27</w:t>
      </w:r>
      <w:r w:rsidRPr="00884B04" w:rsidR="00662B04">
        <w:fldChar w:fldCharType="end"/>
      </w:r>
      <w:r w:rsidRPr="00884B04" w:rsidR="00662B04">
        <w:t xml:space="preserve"> above).</w:t>
      </w:r>
    </w:p>
    <w:p w:rsidRPr="00884B04" w:rsidR="007E7025" w:rsidP="00884B04" w:rsidRDefault="00EB7A47" w14:paraId="404EC71A" w14:textId="6543D046">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156</w:t>
      </w:r>
      <w:r>
        <w:rPr>
          <w:noProof/>
        </w:rPr>
        <w:fldChar w:fldCharType="end"/>
      </w:r>
      <w:r w:rsidRPr="00884B04" w:rsidR="00662B04">
        <w:t>.</w:t>
      </w:r>
      <w:r w:rsidRPr="00884B04" w:rsidR="00FD072F">
        <w:t>  </w:t>
      </w:r>
      <w:r w:rsidRPr="00884B04" w:rsidR="00662B04">
        <w:t xml:space="preserve">A pattern of contamination in </w:t>
      </w:r>
      <w:r w:rsidRPr="00884B04" w:rsidR="00F42FFF">
        <w:t>Mr L</w:t>
      </w:r>
      <w:r w:rsidRPr="00884B04" w:rsidR="00662B04">
        <w:t>ugovoy</w:t>
      </w:r>
      <w:r w:rsidRPr="00884B04" w:rsidR="00884B04">
        <w:t>’</w:t>
      </w:r>
      <w:r w:rsidRPr="00884B04" w:rsidR="00662B04">
        <w:t xml:space="preserve">s and </w:t>
      </w:r>
      <w:r w:rsidRPr="00884B04" w:rsidR="00F42FFF">
        <w:t>Mr K</w:t>
      </w:r>
      <w:r w:rsidRPr="00884B04" w:rsidR="00662B04">
        <w:t>ovtun</w:t>
      </w:r>
      <w:r w:rsidRPr="00884B04" w:rsidR="00884B04">
        <w:t>’</w:t>
      </w:r>
      <w:r w:rsidRPr="00884B04" w:rsidR="00662B04">
        <w:t xml:space="preserve">s hotel rooms where the highest readings were located in the bathroom bin or sink plughole pointed to attempts having been made to dispose of the poison by throwing it into a bin or pouring it down the sink. It is significant that </w:t>
      </w:r>
      <w:r w:rsidRPr="00884B04" w:rsidR="00F42FFF">
        <w:t>Mr L</w:t>
      </w:r>
      <w:r w:rsidRPr="00884B04" w:rsidR="00662B04">
        <w:t xml:space="preserve">ugovoy and </w:t>
      </w:r>
      <w:r w:rsidRPr="00884B04" w:rsidR="00F42FFF">
        <w:t>Mr K</w:t>
      </w:r>
      <w:r w:rsidRPr="00884B04" w:rsidR="00662B04">
        <w:t xml:space="preserve">ovtun made </w:t>
      </w:r>
      <w:r w:rsidRPr="00884B04" w:rsidR="007E7025">
        <w:t xml:space="preserve">not one but three separate attempts to poison </w:t>
      </w:r>
      <w:r w:rsidRPr="00884B04" w:rsidR="00F42FFF">
        <w:t>Mr L</w:t>
      </w:r>
      <w:r w:rsidRPr="00884B04" w:rsidR="007E7025">
        <w:t>itvinenko.</w:t>
      </w:r>
      <w:r w:rsidRPr="00884B04" w:rsidR="00F42FFF">
        <w:t xml:space="preserve"> </w:t>
      </w:r>
      <w:r w:rsidRPr="00884B04" w:rsidR="007E7025">
        <w:t xml:space="preserve">Each time they came to London from Moscow either directly or, in </w:t>
      </w:r>
      <w:r w:rsidRPr="00884B04" w:rsidR="00F42FFF">
        <w:t>Mr K</w:t>
      </w:r>
      <w:r w:rsidRPr="00884B04" w:rsidR="007E7025">
        <w:t>ovtun</w:t>
      </w:r>
      <w:r w:rsidRPr="00884B04" w:rsidR="00884B04">
        <w:t>’</w:t>
      </w:r>
      <w:r w:rsidRPr="00884B04" w:rsidR="007E7025">
        <w:t xml:space="preserve">s case, via Hamburg (see paragraphs </w:t>
      </w:r>
      <w:r w:rsidRPr="00884B04" w:rsidR="007E7025">
        <w:fldChar w:fldCharType="begin"/>
      </w:r>
      <w:r w:rsidRPr="00884B04" w:rsidR="007E7025">
        <w:instrText xml:space="preserve">REF paragraph00013 \h \* CharFormat </w:instrText>
      </w:r>
      <w:r w:rsidRPr="00884B04" w:rsidR="007E7025">
        <w:fldChar w:fldCharType="separate"/>
      </w:r>
      <w:r w:rsidRPr="00884B04" w:rsidR="00884B04">
        <w:t>13</w:t>
      </w:r>
      <w:r w:rsidRPr="00884B04" w:rsidR="007E7025">
        <w:fldChar w:fldCharType="end"/>
      </w:r>
      <w:r w:rsidRPr="00884B04" w:rsidR="007E7025">
        <w:t xml:space="preserve">, </w:t>
      </w:r>
      <w:r w:rsidRPr="00884B04" w:rsidR="007E7025">
        <w:fldChar w:fldCharType="begin"/>
      </w:r>
      <w:r w:rsidRPr="00884B04" w:rsidR="007E7025">
        <w:instrText xml:space="preserve">REF paragraph00021 \h \* CharFormat </w:instrText>
      </w:r>
      <w:r w:rsidRPr="00884B04" w:rsidR="007E7025">
        <w:fldChar w:fldCharType="separate"/>
      </w:r>
      <w:r w:rsidRPr="00884B04" w:rsidR="00884B04">
        <w:t>21</w:t>
      </w:r>
      <w:r w:rsidRPr="00884B04" w:rsidR="007E7025">
        <w:fldChar w:fldCharType="end"/>
      </w:r>
      <w:r w:rsidRPr="00884B04" w:rsidR="007E7025">
        <w:t xml:space="preserve"> and </w:t>
      </w:r>
      <w:r w:rsidRPr="00884B04" w:rsidR="007E7025">
        <w:fldChar w:fldCharType="begin"/>
      </w:r>
      <w:r w:rsidRPr="00884B04" w:rsidR="007E7025">
        <w:instrText xml:space="preserve">REF paragraph00023 \h \* CharFormat </w:instrText>
      </w:r>
      <w:r w:rsidRPr="00884B04" w:rsidR="007E7025">
        <w:fldChar w:fldCharType="separate"/>
      </w:r>
      <w:r w:rsidRPr="00884B04" w:rsidR="00884B04">
        <w:t>23</w:t>
      </w:r>
      <w:r w:rsidRPr="00884B04" w:rsidR="007E7025">
        <w:fldChar w:fldCharType="end"/>
      </w:r>
      <w:r w:rsidRPr="00884B04" w:rsidR="007E7025">
        <w:t>-</w:t>
      </w:r>
      <w:r w:rsidRPr="00884B04" w:rsidR="007E7025">
        <w:fldChar w:fldCharType="begin"/>
      </w:r>
      <w:r w:rsidRPr="00884B04" w:rsidR="007E7025">
        <w:instrText xml:space="preserve">REF paragraph00024 \h \* CharFormat </w:instrText>
      </w:r>
      <w:r w:rsidRPr="00884B04" w:rsidR="007E7025">
        <w:fldChar w:fldCharType="separate"/>
      </w:r>
      <w:r w:rsidRPr="00884B04" w:rsidR="00884B04">
        <w:t>24</w:t>
      </w:r>
      <w:r w:rsidRPr="00884B04" w:rsidR="007E7025">
        <w:fldChar w:fldCharType="end"/>
      </w:r>
      <w:r w:rsidRPr="00884B04" w:rsidR="007E7025">
        <w:t xml:space="preserve"> above).</w:t>
      </w:r>
    </w:p>
    <w:p w:rsidRPr="00884B04" w:rsidR="007E7025" w:rsidP="00884B04" w:rsidRDefault="00EB7A47" w14:paraId="293904D1" w14:textId="2CEA548C">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157</w:t>
      </w:r>
      <w:r>
        <w:rPr>
          <w:noProof/>
        </w:rPr>
        <w:fldChar w:fldCharType="end"/>
      </w:r>
      <w:r w:rsidRPr="00884B04" w:rsidR="007E7025">
        <w:t>.</w:t>
      </w:r>
      <w:r w:rsidRPr="00884B04" w:rsidR="00FD072F">
        <w:t>  </w:t>
      </w:r>
      <w:r w:rsidRPr="00884B04" w:rsidR="007E7025">
        <w:t>In these circumstances, the Court rejects the Government</w:t>
      </w:r>
      <w:r w:rsidRPr="00884B04" w:rsidR="00884B04">
        <w:t>’</w:t>
      </w:r>
      <w:r w:rsidRPr="00884B04" w:rsidR="007E7025">
        <w:t>s assertion that the perpetrator or perpetrators of the assassination have not been identified.</w:t>
      </w:r>
      <w:r w:rsidRPr="00884B04" w:rsidR="00F42FFF">
        <w:t xml:space="preserve"> </w:t>
      </w:r>
      <w:r w:rsidRPr="00884B04" w:rsidR="007E7025">
        <w:t xml:space="preserve">In the light of the documentary and other evidence which the parties have submitted to it, the Court, having regard to the standard of proof which it habitually employs when ascertaining whether there is a basis in fact for an allegation of unlawful killing, namely proof “beyond reasonable doubt”, finds it established that </w:t>
      </w:r>
      <w:bookmarkStart w:name="_Hlk76634447" w:id="95"/>
      <w:r w:rsidRPr="00884B04" w:rsidR="007E7025">
        <w:t xml:space="preserve">the assassination was carried out by </w:t>
      </w:r>
      <w:r w:rsidRPr="00884B04" w:rsidR="00F42FFF">
        <w:t>Mr L</w:t>
      </w:r>
      <w:r w:rsidRPr="00884B04" w:rsidR="007E7025">
        <w:t xml:space="preserve">ugovoy and </w:t>
      </w:r>
      <w:r w:rsidRPr="00884B04" w:rsidR="00F42FFF">
        <w:t>Mr K</w:t>
      </w:r>
      <w:r w:rsidRPr="00884B04" w:rsidR="007E7025">
        <w:t>ovtun.</w:t>
      </w:r>
      <w:bookmarkEnd w:id="95"/>
    </w:p>
    <w:p w:rsidRPr="00884B04" w:rsidR="007E7025" w:rsidP="00884B04" w:rsidRDefault="007E7025" w14:paraId="0B7A8DA3" w14:textId="77777777">
      <w:pPr>
        <w:pStyle w:val="JuHalpha"/>
      </w:pPr>
      <w:r w:rsidRPr="00884B04">
        <w:t xml:space="preserve">Whether </w:t>
      </w:r>
      <w:r w:rsidRPr="00884B04" w:rsidR="00F42FFF">
        <w:t>Mr L</w:t>
      </w:r>
      <w:r w:rsidRPr="00884B04">
        <w:t xml:space="preserve">ugovoy and </w:t>
      </w:r>
      <w:r w:rsidRPr="00884B04" w:rsidR="00F42FFF">
        <w:t>Mr K</w:t>
      </w:r>
      <w:r w:rsidRPr="00884B04">
        <w:t xml:space="preserve">ovtun exercised physical power and control over the life of </w:t>
      </w:r>
      <w:r w:rsidRPr="00884B04" w:rsidR="00F42FFF">
        <w:t>Mr L</w:t>
      </w:r>
      <w:r w:rsidRPr="00884B04">
        <w:t>itvinenko in a situation of proximate targeting</w:t>
      </w:r>
    </w:p>
    <w:p w:rsidRPr="00884B04" w:rsidR="007E7025" w:rsidP="00884B04" w:rsidRDefault="00EB7A47" w14:paraId="7798532B" w14:textId="6C2E9998">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Pr="00884B04" w:rsidR="00884B04">
        <w:rPr>
          <w:noProof/>
        </w:rPr>
        <w:t>158</w:t>
      </w:r>
      <w:r>
        <w:rPr>
          <w:noProof/>
        </w:rPr>
        <w:fldChar w:fldCharType="end"/>
      </w:r>
      <w:r w:rsidRPr="00884B04" w:rsidR="007E7025">
        <w:t>.</w:t>
      </w:r>
      <w:r w:rsidRPr="00884B04" w:rsidR="00FD072F">
        <w:t>  </w:t>
      </w:r>
      <w:r w:rsidRPr="00884B04" w:rsidR="007E7025">
        <w:t xml:space="preserve">As framed in paragraph </w:t>
      </w:r>
      <w:r w:rsidRPr="00884B04" w:rsidR="007E7025">
        <w:fldChar w:fldCharType="begin"/>
      </w:r>
      <w:r w:rsidRPr="00884B04" w:rsidR="007E7025">
        <w:instrText xml:space="preserve">REF paragraph00151 \h \* CharFormat </w:instrText>
      </w:r>
      <w:r w:rsidRPr="00884B04" w:rsidR="007E7025">
        <w:fldChar w:fldCharType="separate"/>
      </w:r>
      <w:r w:rsidRPr="00884B04" w:rsidR="00884B04">
        <w:t>150</w:t>
      </w:r>
      <w:r w:rsidRPr="00884B04" w:rsidR="007E7025">
        <w:fldChar w:fldCharType="end"/>
      </w:r>
      <w:r w:rsidRPr="00884B04" w:rsidR="007E7025">
        <w:t xml:space="preserve"> above, the Court</w:t>
      </w:r>
      <w:r w:rsidRPr="00884B04" w:rsidR="00884B04">
        <w:t>’</w:t>
      </w:r>
      <w:r w:rsidRPr="00884B04" w:rsidR="007E7025">
        <w:t xml:space="preserve">s inquiry will first address the issue whether the assassination of </w:t>
      </w:r>
      <w:r w:rsidRPr="00884B04" w:rsidR="00F42FFF">
        <w:t>Mr L</w:t>
      </w:r>
      <w:r w:rsidRPr="00884B04" w:rsidR="007E7025">
        <w:t>itvinenko amounted to the exercise of physical power and control over his life in a situation of proximate targeting.</w:t>
      </w:r>
    </w:p>
    <w:p w:rsidRPr="00884B04" w:rsidR="007E7025" w:rsidP="00884B04" w:rsidRDefault="00EB7A47" w14:paraId="29BB983A" w14:textId="63CD9ABE">
      <w:pPr>
        <w:pStyle w:val="JuPara"/>
      </w:pPr>
      <w:r>
        <w:rPr>
          <w:noProof/>
        </w:rPr>
        <w:fldChar w:fldCharType="begin"/>
      </w:r>
      <w:r>
        <w:rPr>
          <w:noProof/>
        </w:rPr>
        <w:instrText xml:space="preserve"> SEQ level0 \*arabic \* MERGEFORMAT </w:instrText>
      </w:r>
      <w:r>
        <w:rPr>
          <w:noProof/>
        </w:rPr>
        <w:fldChar w:fldCharType="separate"/>
      </w:r>
      <w:bookmarkStart w:name="paragraph00159" w:id="96"/>
      <w:r w:rsidRPr="00884B04" w:rsidR="00884B04">
        <w:rPr>
          <w:noProof/>
        </w:rPr>
        <w:t>159</w:t>
      </w:r>
      <w:bookmarkEnd w:id="96"/>
      <w:r>
        <w:rPr>
          <w:noProof/>
        </w:rPr>
        <w:fldChar w:fldCharType="end"/>
      </w:r>
      <w:r w:rsidRPr="00884B04" w:rsidR="007E7025">
        <w:t>.</w:t>
      </w:r>
      <w:r w:rsidRPr="00884B04" w:rsidR="00FD072F">
        <w:t>  </w:t>
      </w:r>
      <w:r w:rsidRPr="00884B04" w:rsidR="007E7025">
        <w:t xml:space="preserve">The evidence of premeditation strongly indicates that the death of </w:t>
      </w:r>
      <w:r w:rsidRPr="00884B04" w:rsidR="00F42FFF">
        <w:t>Mr L</w:t>
      </w:r>
      <w:r w:rsidRPr="00884B04" w:rsidR="007E7025">
        <w:t xml:space="preserve">itvinenko had been </w:t>
      </w:r>
      <w:bookmarkStart w:name="_Hlk76634468" w:id="97"/>
      <w:r w:rsidRPr="00884B04" w:rsidR="007E7025">
        <w:t xml:space="preserve">the result of a planned and complex operation involving the procurement of a rare deadly poison, the travel arrangements for </w:t>
      </w:r>
      <w:r w:rsidRPr="00884B04" w:rsidR="00F42FFF">
        <w:t>Mr L</w:t>
      </w:r>
      <w:r w:rsidRPr="00884B04" w:rsidR="007E7025">
        <w:t xml:space="preserve">ugovoy and </w:t>
      </w:r>
      <w:r w:rsidRPr="00884B04" w:rsidR="00F42FFF">
        <w:t>Mr K</w:t>
      </w:r>
      <w:r w:rsidRPr="00884B04" w:rsidR="007E7025">
        <w:t>ovtun</w:t>
      </w:r>
      <w:bookmarkStart w:name="_Hlk76634496" w:id="98"/>
      <w:bookmarkEnd w:id="97"/>
      <w:r w:rsidRPr="00884B04" w:rsidR="007E7025">
        <w:t>, and multiple attempts to administer the poison.</w:t>
      </w:r>
      <w:bookmarkEnd w:id="98"/>
      <w:r w:rsidRPr="00884B04" w:rsidR="00F42FFF">
        <w:t xml:space="preserve"> Mr L</w:t>
      </w:r>
      <w:r w:rsidRPr="00884B04" w:rsidR="00662B04">
        <w:t xml:space="preserve">itvinenko was </w:t>
      </w:r>
      <w:r w:rsidRPr="00884B04" w:rsidR="007E7025">
        <w:t xml:space="preserve">not an accidental victim of the operation or merely adversely affected by it; the possibility that he may have ingested polonium 210 by accident is not borne out by the evidence (see paragraph </w:t>
      </w:r>
      <w:r w:rsidRPr="00884B04" w:rsidR="007E7025">
        <w:fldChar w:fldCharType="begin"/>
      </w:r>
      <w:r w:rsidRPr="00884B04" w:rsidR="007E7025">
        <w:instrText xml:space="preserve">REF paragraph00061 \h \* CharFormat </w:instrText>
      </w:r>
      <w:r w:rsidRPr="00884B04" w:rsidR="007E7025">
        <w:fldChar w:fldCharType="separate"/>
      </w:r>
      <w:r w:rsidRPr="00884B04" w:rsidR="00884B04">
        <w:t>61</w:t>
      </w:r>
      <w:r w:rsidRPr="00884B04" w:rsidR="007E7025">
        <w:fldChar w:fldCharType="end"/>
      </w:r>
      <w:r w:rsidRPr="00884B04" w:rsidR="007E7025">
        <w:t xml:space="preserve"> above).</w:t>
      </w:r>
      <w:r w:rsidRPr="00884B04" w:rsidR="00F42FFF">
        <w:t xml:space="preserve"> </w:t>
      </w:r>
      <w:r w:rsidRPr="00884B04" w:rsidR="007E7025">
        <w:t xml:space="preserve">On the contrary, </w:t>
      </w:r>
      <w:bookmarkStart w:name="_Hlk76634508" w:id="99"/>
      <w:r w:rsidRPr="00884B04" w:rsidR="007E7025">
        <w:t xml:space="preserve">repeated and sustained </w:t>
      </w:r>
      <w:bookmarkEnd w:id="99"/>
      <w:r w:rsidRPr="00884B04" w:rsidR="007E7025">
        <w:t xml:space="preserve">attempts to put poison in his drink demonstrate that </w:t>
      </w:r>
      <w:r w:rsidRPr="00884B04" w:rsidR="00F42FFF">
        <w:t>Mr L</w:t>
      </w:r>
      <w:r w:rsidRPr="00884B04" w:rsidR="007E7025">
        <w:t>itvinenko was the target of the planned operation for his assassination.</w:t>
      </w:r>
    </w:p>
    <w:p w:rsidRPr="00884B04" w:rsidR="00662B04" w:rsidP="00884B04" w:rsidRDefault="00EB7A47" w14:paraId="1CCBA970" w14:textId="5A5B87C6">
      <w:pPr>
        <w:pStyle w:val="JuPara"/>
      </w:pPr>
      <w:r>
        <w:rPr>
          <w:noProof/>
        </w:rPr>
        <w:fldChar w:fldCharType="begin"/>
      </w:r>
      <w:r>
        <w:rPr>
          <w:noProof/>
        </w:rPr>
        <w:instrText xml:space="preserve"> SEQ level0 \*arabic \* MERGEFORMAT </w:instrText>
      </w:r>
      <w:r>
        <w:rPr>
          <w:noProof/>
        </w:rPr>
        <w:fldChar w:fldCharType="separate"/>
      </w:r>
      <w:bookmarkStart w:name="paragraph00160" w:id="100"/>
      <w:r w:rsidRPr="00884B04" w:rsidR="00884B04">
        <w:rPr>
          <w:noProof/>
        </w:rPr>
        <w:t>160</w:t>
      </w:r>
      <w:bookmarkEnd w:id="100"/>
      <w:r>
        <w:rPr>
          <w:noProof/>
        </w:rPr>
        <w:fldChar w:fldCharType="end"/>
      </w:r>
      <w:r w:rsidRPr="00884B04" w:rsidR="007E7025">
        <w:t>.</w:t>
      </w:r>
      <w:r w:rsidRPr="00884B04" w:rsidR="00FD072F">
        <w:t>  </w:t>
      </w:r>
      <w:r w:rsidRPr="00884B04" w:rsidR="007E7025">
        <w:t xml:space="preserve">The Court further notes that the evidence has established, beyond reasonable doubt, that </w:t>
      </w:r>
      <w:r w:rsidRPr="00884B04" w:rsidR="00F42FFF">
        <w:t>Mr L</w:t>
      </w:r>
      <w:r w:rsidRPr="00884B04" w:rsidR="007E7025">
        <w:t xml:space="preserve">ugovoy and </w:t>
      </w:r>
      <w:r w:rsidRPr="00884B04" w:rsidR="00F42FFF">
        <w:t>Mr K</w:t>
      </w:r>
      <w:r w:rsidRPr="00884B04" w:rsidR="007E7025">
        <w:t xml:space="preserve">ovtun knew that they were using a deadly poison rather than a truth serum or a sleeping pill (see paragraph </w:t>
      </w:r>
      <w:r w:rsidRPr="00884B04" w:rsidR="007E7025">
        <w:fldChar w:fldCharType="begin"/>
      </w:r>
      <w:r w:rsidRPr="00884B04" w:rsidR="007E7025">
        <w:instrText xml:space="preserve">REF paragraph00069 \h \* CharFormat </w:instrText>
      </w:r>
      <w:r w:rsidRPr="00884B04" w:rsidR="007E7025">
        <w:fldChar w:fldCharType="separate"/>
      </w:r>
      <w:r w:rsidRPr="00884B04" w:rsidR="00884B04">
        <w:t>69</w:t>
      </w:r>
      <w:r w:rsidRPr="00884B04" w:rsidR="007E7025">
        <w:fldChar w:fldCharType="end"/>
      </w:r>
      <w:r w:rsidRPr="00884B04" w:rsidR="007E7025">
        <w:t xml:space="preserve"> above).</w:t>
      </w:r>
      <w:r w:rsidRPr="00884B04" w:rsidR="00F42FFF">
        <w:t xml:space="preserve"> </w:t>
      </w:r>
      <w:r w:rsidRPr="00884B04" w:rsidR="007E7025">
        <w:t xml:space="preserve">When putting the poison in the teapot from which </w:t>
      </w:r>
      <w:r w:rsidRPr="00884B04" w:rsidR="00F42FFF">
        <w:t>Mr L</w:t>
      </w:r>
      <w:r w:rsidRPr="00884B04" w:rsidR="007E7025">
        <w:t xml:space="preserve">itvinenko poured a drink, they knew that, once ingested, the poison would kill </w:t>
      </w:r>
      <w:r w:rsidRPr="00884B04" w:rsidR="00F42FFF">
        <w:t>Mr L</w:t>
      </w:r>
      <w:r w:rsidRPr="00884B04" w:rsidR="007E7025">
        <w:t>itvinenko.</w:t>
      </w:r>
      <w:r w:rsidRPr="00884B04" w:rsidR="00F42FFF">
        <w:t xml:space="preserve">  </w:t>
      </w:r>
      <w:bookmarkStart w:name="_Hlk76634570" w:id="101"/>
      <w:r w:rsidRPr="00884B04" w:rsidR="0004464A">
        <w:t>The latter</w:t>
      </w:r>
      <w:r w:rsidRPr="00884B04" w:rsidR="00662B04">
        <w:t xml:space="preserve"> was unable to do anything to escape the situation. In that sense, he was under physical control of </w:t>
      </w:r>
      <w:r w:rsidRPr="00884B04" w:rsidR="00F42FFF">
        <w:t>Mr L</w:t>
      </w:r>
      <w:r w:rsidRPr="00884B04" w:rsidR="00662B04">
        <w:t xml:space="preserve">ugovoy and </w:t>
      </w:r>
      <w:r w:rsidRPr="00884B04" w:rsidR="00F42FFF">
        <w:t>Mr K</w:t>
      </w:r>
      <w:r w:rsidRPr="00884B04" w:rsidR="00662B04">
        <w:t>ovtun who wielded power over his life</w:t>
      </w:r>
      <w:bookmarkEnd w:id="101"/>
      <w:r w:rsidRPr="00884B04" w:rsidR="00662B04">
        <w:t>.</w:t>
      </w:r>
    </w:p>
    <w:p w:rsidRPr="00884B04" w:rsidR="00662B04" w:rsidP="00884B04" w:rsidRDefault="00EB7A47" w14:paraId="4C2FE249" w14:textId="41CD540A">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161</w:t>
      </w:r>
      <w:r>
        <w:rPr>
          <w:noProof/>
        </w:rPr>
        <w:fldChar w:fldCharType="end"/>
      </w:r>
      <w:r w:rsidRPr="00884B04" w:rsidR="00662B04">
        <w:t>.</w:t>
      </w:r>
      <w:r w:rsidRPr="00884B04" w:rsidR="00FD072F">
        <w:t>  </w:t>
      </w:r>
      <w:r w:rsidRPr="00884B04" w:rsidR="00662B04">
        <w:t>In the Court</w:t>
      </w:r>
      <w:r w:rsidRPr="00884B04" w:rsidR="00884B04">
        <w:t>’</w:t>
      </w:r>
      <w:r w:rsidRPr="00884B04" w:rsidR="00662B04">
        <w:t xml:space="preserve">s view, the administration of poison to </w:t>
      </w:r>
      <w:r w:rsidRPr="00884B04" w:rsidR="00F42FFF">
        <w:t>Mr L</w:t>
      </w:r>
      <w:r w:rsidRPr="00884B04" w:rsidR="00662B04">
        <w:t xml:space="preserve">itvinenko by </w:t>
      </w:r>
      <w:r w:rsidRPr="00884B04" w:rsidR="00F42FFF">
        <w:t>Mr L</w:t>
      </w:r>
      <w:r w:rsidRPr="00884B04" w:rsidR="00662B04">
        <w:t xml:space="preserve">ugovoy and </w:t>
      </w:r>
      <w:r w:rsidRPr="00884B04" w:rsidR="00F42FFF">
        <w:t>Mr K</w:t>
      </w:r>
      <w:r w:rsidRPr="00884B04" w:rsidR="00662B04">
        <w:t>ovtun amounted to the exercise of physical power and control over his life in a situation of proximate targeting. That being so, if this act was imputable to the respondent State, the Court considers that it was capable of falling within the jurisdiction of that State in line with its case-law cited above.</w:t>
      </w:r>
    </w:p>
    <w:p w:rsidRPr="00884B04" w:rsidR="00662B04" w:rsidP="00884B04" w:rsidRDefault="00662B04" w14:paraId="6408F7FD" w14:textId="77777777">
      <w:pPr>
        <w:pStyle w:val="JuHalpha"/>
      </w:pPr>
      <w:r w:rsidRPr="00884B04">
        <w:t xml:space="preserve">Whether </w:t>
      </w:r>
      <w:r w:rsidRPr="00884B04" w:rsidR="00F42FFF">
        <w:t>Mr L</w:t>
      </w:r>
      <w:r w:rsidRPr="00884B04">
        <w:t xml:space="preserve">ugovoy and </w:t>
      </w:r>
      <w:r w:rsidRPr="00884B04" w:rsidR="00F42FFF">
        <w:t>Mr K</w:t>
      </w:r>
      <w:r w:rsidRPr="00884B04">
        <w:t>ovtun acted as State agents</w:t>
      </w:r>
    </w:p>
    <w:p w:rsidRPr="00884B04" w:rsidR="00662B04" w:rsidP="00884B04" w:rsidRDefault="00EB7A47" w14:paraId="471E8D36" w14:textId="619E8C60">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162</w:t>
      </w:r>
      <w:r>
        <w:rPr>
          <w:noProof/>
        </w:rPr>
        <w:fldChar w:fldCharType="end"/>
      </w:r>
      <w:r w:rsidRPr="00884B04" w:rsidR="00662B04">
        <w:t>.</w:t>
      </w:r>
      <w:r w:rsidRPr="00884B04" w:rsidR="00FD072F">
        <w:t>  </w:t>
      </w:r>
      <w:r w:rsidRPr="00884B04" w:rsidR="00662B04">
        <w:t xml:space="preserve">The Court will next consider whether </w:t>
      </w:r>
      <w:bookmarkStart w:name="_Hlk76634680" w:id="102"/>
      <w:r w:rsidRPr="00884B04" w:rsidR="00F42FFF">
        <w:t>Mr L</w:t>
      </w:r>
      <w:r w:rsidRPr="00884B04" w:rsidR="00662B04">
        <w:t xml:space="preserve">ugovoy and </w:t>
      </w:r>
      <w:r w:rsidRPr="00884B04" w:rsidR="00F42FFF">
        <w:t>Mr K</w:t>
      </w:r>
      <w:r w:rsidRPr="00884B04" w:rsidR="00662B04">
        <w:t>ovtun acted as agents of the respondent State</w:t>
      </w:r>
      <w:bookmarkEnd w:id="102"/>
      <w:r w:rsidRPr="00884B04" w:rsidR="00662B04">
        <w:t>.</w:t>
      </w:r>
    </w:p>
    <w:p w:rsidRPr="00884B04" w:rsidR="00662B04" w:rsidP="00884B04" w:rsidRDefault="00662B04" w14:paraId="7A1C2475" w14:textId="13A37CEB">
      <w:pPr>
        <w:pStyle w:val="JuPara"/>
      </w:pPr>
      <w:r w:rsidRPr="00884B04">
        <w:fldChar w:fldCharType="begin"/>
      </w:r>
      <w:r w:rsidRPr="00884B04">
        <w:instrText xml:space="preserve"> SEQ level0 \*arabic </w:instrText>
      </w:r>
      <w:r w:rsidRPr="00884B04">
        <w:fldChar w:fldCharType="separate"/>
      </w:r>
      <w:bookmarkStart w:name="paragraph00163" w:id="103"/>
      <w:r w:rsidRPr="00884B04" w:rsidR="00884B04">
        <w:rPr>
          <w:noProof/>
        </w:rPr>
        <w:t>163</w:t>
      </w:r>
      <w:bookmarkEnd w:id="103"/>
      <w:r w:rsidRPr="00884B04">
        <w:fldChar w:fldCharType="end"/>
      </w:r>
      <w:r w:rsidRPr="00884B04">
        <w:t>.</w:t>
      </w:r>
      <w:r w:rsidRPr="00884B04" w:rsidR="00FD072F">
        <w:t>  </w:t>
      </w:r>
      <w:r w:rsidRPr="00884B04">
        <w:t xml:space="preserve">It has been found as a fact that when </w:t>
      </w:r>
      <w:r w:rsidRPr="00884B04" w:rsidR="00F42FFF">
        <w:t>Mr L</w:t>
      </w:r>
      <w:r w:rsidRPr="00884B04">
        <w:t xml:space="preserve">ugovoy and </w:t>
      </w:r>
      <w:r w:rsidRPr="00884B04" w:rsidR="00F42FFF">
        <w:t>Mr K</w:t>
      </w:r>
      <w:r w:rsidRPr="00884B04">
        <w:t xml:space="preserve">ovtun committed the murder of </w:t>
      </w:r>
      <w:r w:rsidRPr="00884B04" w:rsidR="00F42FFF">
        <w:t>Mr L</w:t>
      </w:r>
      <w:r w:rsidRPr="00884B04">
        <w:t xml:space="preserve">itvinenko they were </w:t>
      </w:r>
      <w:r w:rsidRPr="00884B04" w:rsidR="007E7025">
        <w:t xml:space="preserve">not acting on their own initiative, but on the direction of another entity (see </w:t>
      </w:r>
      <w:r w:rsidRPr="00884B04" w:rsidR="00751D5C">
        <w:t>paragraphs</w:t>
      </w:r>
      <w:r w:rsidRPr="00884B04" w:rsidR="007E7025">
        <w:t xml:space="preserve"> </w:t>
      </w:r>
      <w:r w:rsidRPr="00884B04" w:rsidR="00751D5C">
        <w:fldChar w:fldCharType="begin"/>
      </w:r>
      <w:r w:rsidRPr="00884B04" w:rsidR="00751D5C">
        <w:instrText xml:space="preserve"> REF paragraph00063 \h  \* CharFormat </w:instrText>
      </w:r>
      <w:r w:rsidRPr="00884B04" w:rsidR="00751D5C">
        <w:fldChar w:fldCharType="separate"/>
      </w:r>
      <w:r w:rsidRPr="00884B04" w:rsidR="00884B04">
        <w:t>63</w:t>
      </w:r>
      <w:r w:rsidRPr="00884B04" w:rsidR="00751D5C">
        <w:fldChar w:fldCharType="end"/>
      </w:r>
      <w:r w:rsidRPr="00884B04" w:rsidR="00751D5C">
        <w:t xml:space="preserve"> and </w:t>
      </w:r>
      <w:r w:rsidRPr="00884B04" w:rsidR="00751D5C">
        <w:fldChar w:fldCharType="begin"/>
      </w:r>
      <w:r w:rsidRPr="00884B04" w:rsidR="00751D5C">
        <w:instrText xml:space="preserve"> REF paragraph00069 \h  \* CharFormat </w:instrText>
      </w:r>
      <w:r w:rsidRPr="00884B04" w:rsidR="00751D5C">
        <w:fldChar w:fldCharType="separate"/>
      </w:r>
      <w:r w:rsidRPr="00884B04" w:rsidR="00884B04">
        <w:t>69</w:t>
      </w:r>
      <w:r w:rsidRPr="00884B04" w:rsidR="00751D5C">
        <w:fldChar w:fldCharType="end"/>
      </w:r>
      <w:r w:rsidRPr="00884B04" w:rsidR="00751D5C">
        <w:t xml:space="preserve"> above</w:t>
      </w:r>
      <w:r w:rsidRPr="00884B04" w:rsidR="007E7025">
        <w:t>).</w:t>
      </w:r>
      <w:r w:rsidRPr="00884B04" w:rsidR="00F42FFF">
        <w:t xml:space="preserve"> </w:t>
      </w:r>
      <w:r w:rsidRPr="00884B04" w:rsidR="007E7025">
        <w:t xml:space="preserve">There was </w:t>
      </w:r>
      <w:bookmarkStart w:name="_Hlk76634701" w:id="104"/>
      <w:r w:rsidRPr="00884B04" w:rsidR="007E7025">
        <w:t xml:space="preserve">no evidence that either man had any personal reason to kill </w:t>
      </w:r>
      <w:r w:rsidRPr="00884B04" w:rsidR="00F42FFF">
        <w:t>Mr L</w:t>
      </w:r>
      <w:r w:rsidRPr="00884B04" w:rsidR="007E7025">
        <w:t>itvinenko and it was not plausible that, if acting on their own behalf, they would have had access to the rare radioactive isotope used to poison him</w:t>
      </w:r>
      <w:bookmarkEnd w:id="104"/>
      <w:r w:rsidRPr="00884B04" w:rsidR="007E7025">
        <w:t>.</w:t>
      </w:r>
      <w:r w:rsidRPr="00884B04" w:rsidR="00F42FFF">
        <w:t xml:space="preserve"> </w:t>
      </w:r>
      <w:r w:rsidRPr="00884B04" w:rsidR="007E7025">
        <w:t xml:space="preserve">The use of polonium 210 strongly indicates that </w:t>
      </w:r>
      <w:r w:rsidRPr="00884B04" w:rsidR="00F42FFF">
        <w:t>Mr L</w:t>
      </w:r>
      <w:r w:rsidRPr="00884B04" w:rsidR="007E7025">
        <w:t xml:space="preserve">ugovoy and </w:t>
      </w:r>
      <w:r w:rsidRPr="00884B04" w:rsidR="00F42FFF">
        <w:t>Mr K</w:t>
      </w:r>
      <w:r w:rsidRPr="00884B04" w:rsidR="007E7025">
        <w:t>ovtun were acting with the support of a State entity which enabled them to procure the poison.</w:t>
      </w:r>
      <w:r w:rsidRPr="00884B04" w:rsidR="00F42FFF">
        <w:t xml:space="preserve"> </w:t>
      </w:r>
      <w:r w:rsidRPr="00884B04">
        <w:t xml:space="preserve">A radioactive isotope was an unlikely murder weapon for common criminals and must have come from a reactor under State control (see paragraphs </w:t>
      </w:r>
      <w:r w:rsidRPr="00884B04">
        <w:fldChar w:fldCharType="begin"/>
      </w:r>
      <w:r w:rsidRPr="00884B04" w:rsidR="007E7025">
        <w:instrText xml:space="preserve">REF paragraph00064 \h \* CharFormat </w:instrText>
      </w:r>
      <w:r w:rsidRPr="00884B04">
        <w:fldChar w:fldCharType="separate"/>
      </w:r>
      <w:r w:rsidRPr="00884B04" w:rsidR="00884B04">
        <w:t>64</w:t>
      </w:r>
      <w:r w:rsidRPr="00884B04">
        <w:fldChar w:fldCharType="end"/>
      </w:r>
      <w:r w:rsidRPr="00884B04">
        <w:t>-</w:t>
      </w:r>
      <w:r w:rsidRPr="00884B04">
        <w:fldChar w:fldCharType="begin"/>
      </w:r>
      <w:r w:rsidRPr="00884B04" w:rsidR="007E7025">
        <w:instrText xml:space="preserve">REF paragraph00066 \h \* CharFormat </w:instrText>
      </w:r>
      <w:r w:rsidRPr="00884B04">
        <w:fldChar w:fldCharType="separate"/>
      </w:r>
      <w:r w:rsidRPr="00884B04" w:rsidR="00884B04">
        <w:t>66</w:t>
      </w:r>
      <w:r w:rsidRPr="00884B04">
        <w:fldChar w:fldCharType="end"/>
      </w:r>
      <w:r w:rsidRPr="00884B04">
        <w:t xml:space="preserve"> above).</w:t>
      </w:r>
    </w:p>
    <w:p w:rsidRPr="00884B04" w:rsidR="00662B04" w:rsidP="00884B04" w:rsidRDefault="00662B04" w14:paraId="24AFA686" w14:textId="4A3AA31B">
      <w:pPr>
        <w:pStyle w:val="JuPara"/>
      </w:pPr>
      <w:r w:rsidRPr="00884B04">
        <w:fldChar w:fldCharType="begin"/>
      </w:r>
      <w:r w:rsidRPr="00884B04">
        <w:instrText xml:space="preserve"> SEQ level0 \*arabic </w:instrText>
      </w:r>
      <w:r w:rsidRPr="00884B04">
        <w:fldChar w:fldCharType="separate"/>
      </w:r>
      <w:r w:rsidRPr="00884B04" w:rsidR="00884B04">
        <w:rPr>
          <w:noProof/>
        </w:rPr>
        <w:t>164</w:t>
      </w:r>
      <w:r w:rsidRPr="00884B04">
        <w:fldChar w:fldCharType="end"/>
      </w:r>
      <w:r w:rsidRPr="00884B04">
        <w:t>.</w:t>
      </w:r>
      <w:r w:rsidRPr="00884B04" w:rsidR="00FD072F">
        <w:t>  </w:t>
      </w:r>
      <w:r w:rsidRPr="00884B04">
        <w:t xml:space="preserve">Not only the means by which the killing had been perpetrated but also the motives pointed to State involvement. The public inquiry carefully reviewed and discarded several theories as to the entities which might have wished </w:t>
      </w:r>
      <w:r w:rsidRPr="00884B04" w:rsidR="00F42FFF">
        <w:t>Mr L</w:t>
      </w:r>
      <w:r w:rsidRPr="00884B04">
        <w:t xml:space="preserve">itvinenko dead, which left the theory of State involvement as the only tenable one. The inquiry report further identified several reasons why organisations and individuals within the Russian State would have wished to target </w:t>
      </w:r>
      <w:r w:rsidRPr="00884B04" w:rsidR="00F42FFF">
        <w:t>Mr L</w:t>
      </w:r>
      <w:r w:rsidRPr="00884B04">
        <w:t xml:space="preserve">itvinenko. Having reviewed </w:t>
      </w:r>
      <w:r w:rsidRPr="00884B04" w:rsidR="00751D5C">
        <w:t>all</w:t>
      </w:r>
      <w:r w:rsidRPr="00884B04">
        <w:t xml:space="preserve"> evidence</w:t>
      </w:r>
      <w:r w:rsidRPr="00884B04" w:rsidR="00751D5C">
        <w:t xml:space="preserve"> before him</w:t>
      </w:r>
      <w:r w:rsidRPr="00884B04">
        <w:t xml:space="preserve">, the Chairman </w:t>
      </w:r>
      <w:r w:rsidRPr="00884B04" w:rsidR="00751D5C">
        <w:t xml:space="preserve">considered that there existed a strong probability that when poisoning </w:t>
      </w:r>
      <w:r w:rsidRPr="00884B04" w:rsidR="00F42FFF">
        <w:t>Mr L</w:t>
      </w:r>
      <w:r w:rsidRPr="00884B04" w:rsidR="00751D5C">
        <w:t xml:space="preserve">itvinenko, </w:t>
      </w:r>
      <w:r w:rsidRPr="00884B04" w:rsidR="00F42FFF">
        <w:t>Mr L</w:t>
      </w:r>
      <w:r w:rsidRPr="00884B04" w:rsidR="00751D5C">
        <w:t xml:space="preserve">ugovoy and </w:t>
      </w:r>
      <w:r w:rsidRPr="00884B04" w:rsidR="00F42FFF">
        <w:t>Mr K</w:t>
      </w:r>
      <w:r w:rsidRPr="00884B04" w:rsidR="00751D5C">
        <w:t>ovtun were acting under the direction of the Russian security service</w:t>
      </w:r>
      <w:r w:rsidRPr="00884B04" w:rsidR="00F42FFF">
        <w:t> </w:t>
      </w:r>
      <w:r w:rsidRPr="00884B04">
        <w:t xml:space="preserve">(see paragraph </w:t>
      </w:r>
      <w:r w:rsidRPr="00884B04" w:rsidR="00751D5C">
        <w:fldChar w:fldCharType="begin"/>
      </w:r>
      <w:r w:rsidRPr="00884B04" w:rsidR="00751D5C">
        <w:instrText xml:space="preserve"> REF paragraph00068 \h  \* CharFormat </w:instrText>
      </w:r>
      <w:r w:rsidRPr="00884B04" w:rsidR="00751D5C">
        <w:fldChar w:fldCharType="separate"/>
      </w:r>
      <w:r w:rsidRPr="00884B04" w:rsidR="00884B04">
        <w:t>68</w:t>
      </w:r>
      <w:r w:rsidRPr="00884B04" w:rsidR="00751D5C">
        <w:fldChar w:fldCharType="end"/>
      </w:r>
      <w:r w:rsidRPr="00884B04">
        <w:t xml:space="preserve"> above).</w:t>
      </w:r>
    </w:p>
    <w:bookmarkStart w:name="_Hlk73356939" w:id="105"/>
    <w:p w:rsidRPr="00884B04" w:rsidR="00662B04" w:rsidP="00884B04" w:rsidRDefault="00662B04" w14:paraId="01942CA3" w14:textId="3D2BA29B">
      <w:pPr>
        <w:pStyle w:val="JuPara"/>
      </w:pPr>
      <w:r w:rsidRPr="00884B04">
        <w:fldChar w:fldCharType="begin"/>
      </w:r>
      <w:r w:rsidRPr="00884B04">
        <w:instrText xml:space="preserve"> SEQ level0 \*arabic \* MERGEFORMAT </w:instrText>
      </w:r>
      <w:r w:rsidRPr="00884B04">
        <w:fldChar w:fldCharType="separate"/>
      </w:r>
      <w:bookmarkStart w:name="paragraph00165" w:id="106"/>
      <w:r w:rsidRPr="00884B04" w:rsidR="00884B04">
        <w:rPr>
          <w:noProof/>
        </w:rPr>
        <w:t>165</w:t>
      </w:r>
      <w:bookmarkEnd w:id="106"/>
      <w:r w:rsidRPr="00884B04">
        <w:fldChar w:fldCharType="end"/>
      </w:r>
      <w:r w:rsidRPr="00884B04">
        <w:t>.</w:t>
      </w:r>
      <w:r w:rsidRPr="00884B04" w:rsidR="00FD072F">
        <w:t>  </w:t>
      </w:r>
      <w:r w:rsidRPr="00884B04">
        <w:t xml:space="preserve">In a case of an extraterritorial extrajudicial targeted killing, the authorities of the State on whose soil it was carried out can only do so much. They can and should, circumstances permitting, identify the perpetrators of the execution and the elements linking them to the State allegedly responsible for the execution. This was what the United Kingdom authorities did in the instant case. The Court considers that </w:t>
      </w:r>
      <w:bookmarkStart w:name="_Hlk76634837" w:id="107"/>
      <w:r w:rsidRPr="00884B04">
        <w:t xml:space="preserve">the identification of the perpetrators of the killing and the indication of their connection with the authorities of the respondent State established a strong prima facie case that, in killing </w:t>
      </w:r>
      <w:r w:rsidRPr="00884B04" w:rsidR="00F42FFF">
        <w:t>Mr L</w:t>
      </w:r>
      <w:r w:rsidRPr="00884B04">
        <w:t xml:space="preserve">itvinenko, </w:t>
      </w:r>
      <w:r w:rsidRPr="00884B04" w:rsidR="00F42FFF">
        <w:t>Mr L</w:t>
      </w:r>
      <w:r w:rsidRPr="00884B04">
        <w:t xml:space="preserve">ugovoy and </w:t>
      </w:r>
      <w:r w:rsidRPr="00884B04" w:rsidR="00F42FFF">
        <w:t>Mr K</w:t>
      </w:r>
      <w:r w:rsidRPr="00884B04">
        <w:t xml:space="preserve">ovtun were acting on the </w:t>
      </w:r>
      <w:r w:rsidRPr="00884B04" w:rsidR="007811D2">
        <w:t>direction</w:t>
      </w:r>
      <w:r w:rsidRPr="00884B04">
        <w:t xml:space="preserve"> or control of the Russian authorities</w:t>
      </w:r>
      <w:bookmarkEnd w:id="107"/>
      <w:r w:rsidRPr="00884B04">
        <w:t>.</w:t>
      </w:r>
    </w:p>
    <w:p w:rsidRPr="00884B04" w:rsidR="007E7025" w:rsidP="00884B04" w:rsidRDefault="00EB7A47" w14:paraId="2C812768" w14:textId="43349E8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166</w:t>
      </w:r>
      <w:r>
        <w:rPr>
          <w:noProof/>
        </w:rPr>
        <w:fldChar w:fldCharType="end"/>
      </w:r>
      <w:r w:rsidRPr="00884B04" w:rsidR="00662B04">
        <w:t>.</w:t>
      </w:r>
      <w:r w:rsidRPr="00884B04" w:rsidR="00FD072F">
        <w:t>  </w:t>
      </w:r>
      <w:r w:rsidRPr="00884B04" w:rsidR="00662B04">
        <w:t xml:space="preserve">While there existed a theoretical possibility that the assassination of </w:t>
      </w:r>
      <w:r w:rsidRPr="00884B04" w:rsidR="00F42FFF">
        <w:t>Mr L</w:t>
      </w:r>
      <w:r w:rsidRPr="00884B04" w:rsidR="00662B04">
        <w:t xml:space="preserve">itvinenko might have been a “rogue operation” </w:t>
      </w:r>
      <w:bookmarkEnd w:id="105"/>
      <w:r w:rsidRPr="00884B04" w:rsidR="007E7025">
        <w:t xml:space="preserve">not involving State responsibility, the information needed to corroborate this theory lies wholly, or in large part, within the exclusive knowledge of the Russian authorities which moreover asserted exclusive jurisdiction over </w:t>
      </w:r>
      <w:r w:rsidRPr="00884B04" w:rsidR="00F42FFF">
        <w:t>Mr L</w:t>
      </w:r>
      <w:r w:rsidRPr="00884B04" w:rsidR="007E7025">
        <w:t xml:space="preserve">ugovoy and </w:t>
      </w:r>
      <w:r w:rsidRPr="00884B04" w:rsidR="00F42FFF">
        <w:t>Mr K</w:t>
      </w:r>
      <w:r w:rsidRPr="00884B04" w:rsidR="007E7025">
        <w:t>ovtun by invoking the constitutional protection against extradition.</w:t>
      </w:r>
      <w:r w:rsidRPr="00884B04" w:rsidR="00F42FFF">
        <w:t xml:space="preserve"> </w:t>
      </w:r>
      <w:r w:rsidRPr="00884B04" w:rsidR="007E7025">
        <w:t xml:space="preserve">In these circumstances, the burden of proof was shifted onto the authorities of the respondent State which were expected to carry out a meticulous investigation into that possibility, identify those involved in the operation and determine whether or not </w:t>
      </w:r>
      <w:r w:rsidRPr="00884B04" w:rsidR="00F42FFF">
        <w:t>Mr L</w:t>
      </w:r>
      <w:r w:rsidRPr="00884B04" w:rsidR="007E7025">
        <w:t>ugovoy</w:t>
      </w:r>
      <w:r w:rsidRPr="00884B04" w:rsidR="00884B04">
        <w:t>’</w:t>
      </w:r>
      <w:r w:rsidRPr="00884B04" w:rsidR="007E7025">
        <w:t xml:space="preserve">s and </w:t>
      </w:r>
      <w:r w:rsidRPr="00884B04" w:rsidR="00F42FFF">
        <w:t>Mr K</w:t>
      </w:r>
      <w:r w:rsidRPr="00884B04" w:rsidR="007E7025">
        <w:t>ovtun</w:t>
      </w:r>
      <w:r w:rsidRPr="00884B04" w:rsidR="00884B04">
        <w:t>’</w:t>
      </w:r>
      <w:r w:rsidRPr="00884B04" w:rsidR="007E7025">
        <w:t xml:space="preserve">s conduct was directed or controlled by any State entity or official, which is a factor indicative of State responsibility (see </w:t>
      </w:r>
      <w:r w:rsidRPr="00884B04" w:rsidR="00F42FFF">
        <w:t>Article 8</w:t>
      </w:r>
      <w:r w:rsidRPr="00884B04" w:rsidR="007E7025">
        <w:t xml:space="preserve"> of the Draft Articles in paragraph </w:t>
      </w:r>
      <w:r w:rsidRPr="00884B04" w:rsidR="007E7025">
        <w:fldChar w:fldCharType="begin"/>
      </w:r>
      <w:r w:rsidRPr="00884B04" w:rsidR="007E7025">
        <w:instrText xml:space="preserve">REF paragraph00072 \h \* CharFormat </w:instrText>
      </w:r>
      <w:r w:rsidRPr="00884B04" w:rsidR="007E7025">
        <w:fldChar w:fldCharType="separate"/>
      </w:r>
      <w:r w:rsidRPr="00884B04" w:rsidR="00884B04">
        <w:t>72</w:t>
      </w:r>
      <w:r w:rsidRPr="00884B04" w:rsidR="007E7025">
        <w:fldChar w:fldCharType="end"/>
      </w:r>
      <w:r w:rsidRPr="00884B04" w:rsidR="007E7025">
        <w:t xml:space="preserve"> above).</w:t>
      </w:r>
    </w:p>
    <w:p w:rsidRPr="00884B04" w:rsidR="007E7025" w:rsidP="00884B04" w:rsidRDefault="00EB7A47" w14:paraId="71D1917A" w14:textId="0BF9A020">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bookmarkStart w:name="paragraph00168" w:id="108"/>
      <w:r w:rsidRPr="00884B04" w:rsidR="00884B04">
        <w:rPr>
          <w:noProof/>
        </w:rPr>
        <w:t>167</w:t>
      </w:r>
      <w:bookmarkEnd w:id="108"/>
      <w:r>
        <w:rPr>
          <w:noProof/>
        </w:rPr>
        <w:fldChar w:fldCharType="end"/>
      </w:r>
      <w:r w:rsidRPr="00884B04" w:rsidR="007E7025">
        <w:t>.</w:t>
      </w:r>
      <w:r w:rsidRPr="00884B04" w:rsidR="00FD072F">
        <w:t>  </w:t>
      </w:r>
      <w:r w:rsidRPr="00884B04" w:rsidR="007E7025">
        <w:t>The Government, however, have not made any serious attempt either to elucidate the facts or to counter the findings arrived at by the United Kingdom authorities.</w:t>
      </w:r>
      <w:r w:rsidRPr="00884B04" w:rsidR="00F42FFF">
        <w:t xml:space="preserve"> </w:t>
      </w:r>
      <w:r w:rsidRPr="00884B04" w:rsidR="007E7025">
        <w:t>In fact, they have failed to engage with any fact-finding efforts, whether those conducted in the United Kingdom or those undertaken by the Court.</w:t>
      </w:r>
      <w:r w:rsidRPr="00884B04" w:rsidR="00F42FFF">
        <w:t xml:space="preserve"> </w:t>
      </w:r>
      <w:r w:rsidRPr="00884B04" w:rsidR="00662B04">
        <w:rPr>
          <w:lang w:bidi="en-US"/>
        </w:rPr>
        <w:t xml:space="preserve">They declined to participate in the public inquiry into the death of </w:t>
      </w:r>
      <w:r w:rsidRPr="00884B04" w:rsidR="00F42FFF">
        <w:rPr>
          <w:lang w:bidi="en-US"/>
        </w:rPr>
        <w:t>Mr L</w:t>
      </w:r>
      <w:r w:rsidRPr="00884B04" w:rsidR="00662B04">
        <w:rPr>
          <w:lang w:bidi="en-US"/>
        </w:rPr>
        <w:t xml:space="preserve">itvinenko. </w:t>
      </w:r>
      <w:r w:rsidRPr="00884B04" w:rsidR="00662B04">
        <w:t xml:space="preserve">They did </w:t>
      </w:r>
      <w:r w:rsidRPr="00884B04" w:rsidR="007E7025">
        <w:t xml:space="preserve">not comply with their obligations under </w:t>
      </w:r>
      <w:r w:rsidRPr="00884B04" w:rsidR="00F42FFF">
        <w:t>Article 3</w:t>
      </w:r>
      <w:r w:rsidRPr="00884B04" w:rsidR="007E7025">
        <w:t xml:space="preserve">8 of the Convention by virtue of their unjustified refusal to submit a copy of materials relating to the domestic investigation (see paragraph </w:t>
      </w:r>
      <w:r w:rsidRPr="00884B04" w:rsidR="007E7025">
        <w:fldChar w:fldCharType="begin"/>
      </w:r>
      <w:r w:rsidRPr="00884B04" w:rsidR="007E7025">
        <w:instrText xml:space="preserve">REF paragraph00094 \h \* CharFormat </w:instrText>
      </w:r>
      <w:r w:rsidRPr="00884B04" w:rsidR="007E7025">
        <w:fldChar w:fldCharType="separate"/>
      </w:r>
      <w:r w:rsidRPr="00884B04" w:rsidR="00884B04">
        <w:t>94</w:t>
      </w:r>
      <w:r w:rsidRPr="00884B04" w:rsidR="007E7025">
        <w:fldChar w:fldCharType="end"/>
      </w:r>
      <w:r w:rsidRPr="00884B04" w:rsidR="007E7025">
        <w:t xml:space="preserve"> above), the materials which they claimed did not establish any State involvement in </w:t>
      </w:r>
      <w:r w:rsidRPr="00884B04" w:rsidR="00F42FFF">
        <w:t>Mr L</w:t>
      </w:r>
      <w:r w:rsidRPr="00884B04" w:rsidR="007E7025">
        <w:t>itvinenko</w:t>
      </w:r>
      <w:r w:rsidRPr="00884B04" w:rsidR="00884B04">
        <w:t>’</w:t>
      </w:r>
      <w:r w:rsidRPr="00884B04" w:rsidR="007E7025">
        <w:t>s death.</w:t>
      </w:r>
    </w:p>
    <w:p w:rsidRPr="00884B04" w:rsidR="007E7025" w:rsidP="00884B04" w:rsidRDefault="007E7025" w14:paraId="0FC6F2B7" w14:textId="56E3C77C">
      <w:pPr>
        <w:pStyle w:val="JuPara"/>
        <w:rPr>
          <w:lang w:bidi="en-US"/>
        </w:rPr>
      </w:pPr>
      <w:r w:rsidRPr="00884B04">
        <w:rPr>
          <w:lang w:bidi="en-US"/>
        </w:rPr>
        <w:fldChar w:fldCharType="begin"/>
      </w:r>
      <w:r w:rsidRPr="00884B04">
        <w:rPr>
          <w:lang w:bidi="en-US"/>
        </w:rPr>
        <w:instrText xml:space="preserve"> SEQ level0 \*arabic </w:instrText>
      </w:r>
      <w:r w:rsidRPr="00884B04">
        <w:rPr>
          <w:lang w:bidi="en-US"/>
        </w:rPr>
        <w:fldChar w:fldCharType="separate"/>
      </w:r>
      <w:r w:rsidRPr="00884B04" w:rsidR="00884B04">
        <w:rPr>
          <w:noProof/>
          <w:lang w:bidi="en-US"/>
        </w:rPr>
        <w:t>168</w:t>
      </w:r>
      <w:r w:rsidRPr="00884B04">
        <w:rPr>
          <w:lang w:bidi="en-US"/>
        </w:rPr>
        <w:fldChar w:fldCharType="end"/>
      </w:r>
      <w:r w:rsidRPr="00884B04">
        <w:rPr>
          <w:lang w:bidi="en-US"/>
        </w:rPr>
        <w:t>.</w:t>
      </w:r>
      <w:r w:rsidRPr="00884B04" w:rsidR="00FD072F">
        <w:rPr>
          <w:lang w:bidi="en-US"/>
        </w:rPr>
        <w:t>  </w:t>
      </w:r>
      <w:r w:rsidRPr="00884B04">
        <w:rPr>
          <w:lang w:bidi="en-US"/>
        </w:rPr>
        <w:t xml:space="preserve">Most significantly, as the Court has found above, the Russian authorities failed to carry out an effective investigation themselves (see paragraph </w:t>
      </w:r>
      <w:r w:rsidRPr="00884B04">
        <w:rPr>
          <w:lang w:bidi="en-US"/>
        </w:rPr>
        <w:fldChar w:fldCharType="begin"/>
      </w:r>
      <w:r w:rsidRPr="00884B04">
        <w:rPr>
          <w:lang w:bidi="en-US"/>
        </w:rPr>
        <w:instrText xml:space="preserve">REF paragraph00141 \h \* CharFormat </w:instrText>
      </w:r>
      <w:r w:rsidRPr="00884B04">
        <w:rPr>
          <w:lang w:bidi="en-US"/>
        </w:rPr>
      </w:r>
      <w:r w:rsidRPr="00884B04">
        <w:rPr>
          <w:lang w:bidi="en-US"/>
        </w:rPr>
        <w:fldChar w:fldCharType="separate"/>
      </w:r>
      <w:r w:rsidRPr="00884B04" w:rsidR="00884B04">
        <w:rPr>
          <w:lang w:bidi="en-US"/>
        </w:rPr>
        <w:t>148</w:t>
      </w:r>
      <w:r w:rsidRPr="00884B04">
        <w:rPr>
          <w:lang w:bidi="en-US"/>
        </w:rPr>
        <w:fldChar w:fldCharType="end"/>
      </w:r>
      <w:r w:rsidRPr="00884B04">
        <w:rPr>
          <w:lang w:bidi="en-US"/>
        </w:rPr>
        <w:t xml:space="preserve"> above).</w:t>
      </w:r>
      <w:r w:rsidRPr="00884B04" w:rsidR="00F42FFF">
        <w:t xml:space="preserve"> </w:t>
      </w:r>
      <w:r w:rsidRPr="00884B04" w:rsidR="00662B04">
        <w:rPr>
          <w:lang w:bidi="en-US"/>
        </w:rPr>
        <w:t xml:space="preserve">There is </w:t>
      </w:r>
      <w:r w:rsidRPr="00884B04">
        <w:rPr>
          <w:lang w:bidi="en-US"/>
        </w:rPr>
        <w:t xml:space="preserve">no evidence that, having full access to </w:t>
      </w:r>
      <w:r w:rsidRPr="00884B04" w:rsidR="00F42FFF">
        <w:rPr>
          <w:lang w:bidi="en-US"/>
        </w:rPr>
        <w:t>Mr L</w:t>
      </w:r>
      <w:r w:rsidRPr="00884B04">
        <w:rPr>
          <w:lang w:bidi="en-US"/>
        </w:rPr>
        <w:t xml:space="preserve">ugovoy and </w:t>
      </w:r>
      <w:r w:rsidRPr="00884B04" w:rsidR="00F42FFF">
        <w:rPr>
          <w:lang w:bidi="en-US"/>
        </w:rPr>
        <w:t>Mr K</w:t>
      </w:r>
      <w:r w:rsidRPr="00884B04">
        <w:rPr>
          <w:lang w:bidi="en-US"/>
        </w:rPr>
        <w:t>ovtun upon their return to Russia, the Russian authorities have undertaken a verification of the facts already established in the United Kingdom</w:t>
      </w:r>
      <w:r w:rsidRPr="00884B04" w:rsidR="00884B04">
        <w:rPr>
          <w:lang w:bidi="en-US"/>
        </w:rPr>
        <w:t>’</w:t>
      </w:r>
      <w:r w:rsidRPr="00884B04">
        <w:rPr>
          <w:lang w:bidi="en-US"/>
        </w:rPr>
        <w:t xml:space="preserve">s public inquiry; the facts which, as the Court found above, demonstrated </w:t>
      </w:r>
      <w:r w:rsidRPr="00884B04" w:rsidR="00F42FFF">
        <w:rPr>
          <w:lang w:bidi="en-US"/>
        </w:rPr>
        <w:t>Mr L</w:t>
      </w:r>
      <w:r w:rsidRPr="00884B04">
        <w:rPr>
          <w:lang w:bidi="en-US"/>
        </w:rPr>
        <w:t>ugovoy</w:t>
      </w:r>
      <w:r w:rsidRPr="00884B04" w:rsidR="00884B04">
        <w:rPr>
          <w:lang w:bidi="en-US"/>
        </w:rPr>
        <w:t>’</w:t>
      </w:r>
      <w:r w:rsidRPr="00884B04">
        <w:rPr>
          <w:lang w:bidi="en-US"/>
        </w:rPr>
        <w:t xml:space="preserve">s and </w:t>
      </w:r>
      <w:r w:rsidRPr="00884B04" w:rsidR="00F42FFF">
        <w:rPr>
          <w:lang w:bidi="en-US"/>
        </w:rPr>
        <w:t>Mr K</w:t>
      </w:r>
      <w:r w:rsidRPr="00884B04">
        <w:rPr>
          <w:lang w:bidi="en-US"/>
        </w:rPr>
        <w:t>ovtun</w:t>
      </w:r>
      <w:r w:rsidRPr="00884B04" w:rsidR="00884B04">
        <w:rPr>
          <w:lang w:bidi="en-US"/>
        </w:rPr>
        <w:t>’</w:t>
      </w:r>
      <w:r w:rsidRPr="00884B04">
        <w:rPr>
          <w:lang w:bidi="en-US"/>
        </w:rPr>
        <w:t xml:space="preserve">s responsibility for the killing of </w:t>
      </w:r>
      <w:r w:rsidRPr="00884B04" w:rsidR="00F42FFF">
        <w:rPr>
          <w:lang w:bidi="en-US"/>
        </w:rPr>
        <w:t>Mr L</w:t>
      </w:r>
      <w:r w:rsidRPr="00884B04">
        <w:rPr>
          <w:lang w:bidi="en-US"/>
        </w:rPr>
        <w:t>itvinenko.</w:t>
      </w:r>
      <w:r w:rsidRPr="00884B04" w:rsidR="00F42FFF">
        <w:rPr>
          <w:lang w:bidi="en-US"/>
        </w:rPr>
        <w:t xml:space="preserve"> </w:t>
      </w:r>
      <w:r w:rsidRPr="00884B04" w:rsidR="00662B04">
        <w:rPr>
          <w:lang w:bidi="en-US"/>
        </w:rPr>
        <w:t xml:space="preserve">The Court reiterates that </w:t>
      </w:r>
      <w:r w:rsidRPr="00884B04" w:rsidR="00F42FFF">
        <w:rPr>
          <w:lang w:bidi="en-US"/>
        </w:rPr>
        <w:t>Mr L</w:t>
      </w:r>
      <w:r w:rsidRPr="00884B04" w:rsidR="00662B04">
        <w:rPr>
          <w:lang w:bidi="en-US"/>
        </w:rPr>
        <w:t>ugovoy</w:t>
      </w:r>
      <w:r w:rsidRPr="00884B04" w:rsidR="00884B04">
        <w:rPr>
          <w:lang w:bidi="en-US"/>
        </w:rPr>
        <w:t>’</w:t>
      </w:r>
      <w:r w:rsidRPr="00884B04" w:rsidR="00662B04">
        <w:rPr>
          <w:lang w:bidi="en-US"/>
        </w:rPr>
        <w:t xml:space="preserve">s parliamentary immunity was </w:t>
      </w:r>
      <w:r w:rsidRPr="00884B04">
        <w:rPr>
          <w:lang w:bidi="en-US"/>
        </w:rPr>
        <w:t xml:space="preserve">not an absolute bar to his being investigated or prosecuted (see paragraph </w:t>
      </w:r>
      <w:r w:rsidRPr="00884B04">
        <w:rPr>
          <w:lang w:bidi="en-US"/>
        </w:rPr>
        <w:fldChar w:fldCharType="begin"/>
      </w:r>
      <w:r w:rsidRPr="00884B04">
        <w:rPr>
          <w:lang w:bidi="en-US"/>
        </w:rPr>
        <w:instrText xml:space="preserve">REF paragraph00138 \h \* CharFormat </w:instrText>
      </w:r>
      <w:r w:rsidRPr="00884B04">
        <w:rPr>
          <w:lang w:bidi="en-US"/>
        </w:rPr>
      </w:r>
      <w:r w:rsidRPr="00884B04">
        <w:rPr>
          <w:lang w:bidi="en-US"/>
        </w:rPr>
        <w:fldChar w:fldCharType="separate"/>
      </w:r>
      <w:r w:rsidRPr="00884B04" w:rsidR="00884B04">
        <w:rPr>
          <w:lang w:bidi="en-US"/>
        </w:rPr>
        <w:t>145</w:t>
      </w:r>
      <w:r w:rsidRPr="00884B04">
        <w:rPr>
          <w:lang w:bidi="en-US"/>
        </w:rPr>
        <w:fldChar w:fldCharType="end"/>
      </w:r>
      <w:r w:rsidRPr="00884B04">
        <w:rPr>
          <w:lang w:bidi="en-US"/>
        </w:rPr>
        <w:t xml:space="preserve"> above).</w:t>
      </w:r>
    </w:p>
    <w:bookmarkStart w:name="paragraph00170" w:id="109"/>
    <w:p w:rsidRPr="00884B04" w:rsidR="007E7025" w:rsidP="00884B04" w:rsidRDefault="007E7025" w14:paraId="5E5A1C3D" w14:textId="4B9ED357">
      <w:pPr>
        <w:pStyle w:val="JuPara"/>
      </w:pPr>
      <w:r w:rsidRPr="00884B04">
        <w:rPr>
          <w:lang w:bidi="en-US"/>
        </w:rPr>
        <w:fldChar w:fldCharType="begin"/>
      </w:r>
      <w:r w:rsidRPr="00884B04">
        <w:rPr>
          <w:lang w:bidi="en-US"/>
        </w:rPr>
        <w:instrText xml:space="preserve"> SEQ level0 \*arabic \* MERGEFORMAT </w:instrText>
      </w:r>
      <w:r w:rsidRPr="00884B04">
        <w:rPr>
          <w:lang w:bidi="en-US"/>
        </w:rPr>
        <w:fldChar w:fldCharType="separate"/>
      </w:r>
      <w:r w:rsidRPr="00884B04" w:rsidR="00884B04">
        <w:rPr>
          <w:noProof/>
          <w:lang w:bidi="en-US"/>
        </w:rPr>
        <w:t>169</w:t>
      </w:r>
      <w:r w:rsidRPr="00884B04">
        <w:rPr>
          <w:lang w:bidi="en-US"/>
        </w:rPr>
        <w:fldChar w:fldCharType="end"/>
      </w:r>
      <w:bookmarkEnd w:id="109"/>
      <w:r w:rsidRPr="00884B04">
        <w:rPr>
          <w:lang w:bidi="en-US"/>
        </w:rPr>
        <w:t>.</w:t>
      </w:r>
      <w:r w:rsidRPr="00884B04" w:rsidR="00FD072F">
        <w:rPr>
          <w:lang w:bidi="en-US"/>
        </w:rPr>
        <w:t>  </w:t>
      </w:r>
      <w:r w:rsidRPr="00884B04">
        <w:t>Consequently, the Court considers that adverse inferences may be drawn from the respondent State</w:t>
      </w:r>
      <w:r w:rsidRPr="00884B04" w:rsidR="00884B04">
        <w:t>’</w:t>
      </w:r>
      <w:r w:rsidRPr="00884B04">
        <w:t>s refusal to disclose any documents relating to the domestic investigation</w:t>
      </w:r>
      <w:r w:rsidRPr="00884B04">
        <w:rPr>
          <w:lang w:bidi="en-US"/>
        </w:rPr>
        <w:t>.</w:t>
      </w:r>
      <w:r w:rsidRPr="00884B04" w:rsidR="00F42FFF">
        <w:rPr>
          <w:lang w:bidi="en-US"/>
        </w:rPr>
        <w:t xml:space="preserve"> </w:t>
      </w:r>
      <w:r w:rsidRPr="00884B04">
        <w:rPr>
          <w:lang w:bidi="en-US"/>
        </w:rPr>
        <w:t>Noting the Government</w:t>
      </w:r>
      <w:r w:rsidRPr="00884B04" w:rsidR="00884B04">
        <w:rPr>
          <w:lang w:bidi="en-US"/>
        </w:rPr>
        <w:t>’</w:t>
      </w:r>
      <w:r w:rsidRPr="00884B04">
        <w:rPr>
          <w:lang w:bidi="en-US"/>
        </w:rPr>
        <w:t>s failure to displace the prima facie evidence of State involvement, the Court cannot but conclude</w:t>
      </w:r>
      <w:r w:rsidRPr="00884B04">
        <w:t xml:space="preserve"> that </w:t>
      </w:r>
      <w:r w:rsidRPr="00884B04" w:rsidR="00F42FFF">
        <w:t>Mr L</w:t>
      </w:r>
      <w:r w:rsidRPr="00884B04">
        <w:t xml:space="preserve">itvinenko was poisoned by </w:t>
      </w:r>
      <w:r w:rsidRPr="00884B04" w:rsidR="00F42FFF">
        <w:t>Mr L</w:t>
      </w:r>
      <w:r w:rsidRPr="00884B04">
        <w:t xml:space="preserve">ugovoy and </w:t>
      </w:r>
      <w:r w:rsidRPr="00884B04" w:rsidR="00F42FFF">
        <w:t>Mr K</w:t>
      </w:r>
      <w:r w:rsidRPr="00884B04">
        <w:t>ovtun acting as agents of the respondent State</w:t>
      </w:r>
      <w:r w:rsidRPr="00884B04">
        <w:rPr>
          <w:lang w:bidi="en-US"/>
        </w:rPr>
        <w:t>.</w:t>
      </w:r>
      <w:r w:rsidRPr="00884B04" w:rsidR="00F42FFF">
        <w:rPr>
          <w:lang w:bidi="en-US"/>
        </w:rPr>
        <w:t xml:space="preserve"> </w:t>
      </w:r>
      <w:r w:rsidRPr="00884B04">
        <w:t>The act complained of is attributable to that State.</w:t>
      </w:r>
    </w:p>
    <w:p w:rsidRPr="00884B04" w:rsidR="007E7025" w:rsidP="00884B04" w:rsidRDefault="007E7025" w14:paraId="41FA2E1F" w14:textId="77777777">
      <w:pPr>
        <w:pStyle w:val="JuHi"/>
      </w:pPr>
      <w:r w:rsidRPr="00884B04">
        <w:t>Conclusion</w:t>
      </w:r>
      <w:r w:rsidRPr="00884B04" w:rsidR="00AF329A">
        <w:t xml:space="preserve"> on the substantive </w:t>
      </w:r>
      <w:r w:rsidRPr="00884B04" w:rsidR="004A08DE">
        <w:t>limb of the complaint</w:t>
      </w:r>
    </w:p>
    <w:p w:rsidRPr="00884B04" w:rsidR="00662B04" w:rsidP="00884B04" w:rsidRDefault="00EB7A47" w14:paraId="35C82C8F" w14:textId="57EEBD64">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170</w:t>
      </w:r>
      <w:r>
        <w:rPr>
          <w:noProof/>
        </w:rPr>
        <w:fldChar w:fldCharType="end"/>
      </w:r>
      <w:r w:rsidRPr="00884B04" w:rsidR="007E7025">
        <w:t>.</w:t>
      </w:r>
      <w:r w:rsidRPr="00884B04" w:rsidR="00FD072F">
        <w:t>  </w:t>
      </w:r>
      <w:r w:rsidRPr="00884B04" w:rsidR="007E7025">
        <w:t xml:space="preserve">Having considered both prongs of the inquiry established in paragraph </w:t>
      </w:r>
      <w:r w:rsidRPr="00884B04" w:rsidR="007E7025">
        <w:fldChar w:fldCharType="begin"/>
      </w:r>
      <w:r w:rsidRPr="00884B04" w:rsidR="007E7025">
        <w:instrText xml:space="preserve">REF paragraph00151 \h \* CharFormat </w:instrText>
      </w:r>
      <w:r w:rsidRPr="00884B04" w:rsidR="007E7025">
        <w:fldChar w:fldCharType="separate"/>
      </w:r>
      <w:r w:rsidRPr="00884B04" w:rsidR="00884B04">
        <w:t>150</w:t>
      </w:r>
      <w:r w:rsidRPr="00884B04" w:rsidR="007E7025">
        <w:fldChar w:fldCharType="end"/>
      </w:r>
      <w:r w:rsidRPr="00884B04" w:rsidR="007E7025">
        <w:t xml:space="preserve">, the Court has accepted that when they poisoned </w:t>
      </w:r>
      <w:r w:rsidRPr="00884B04" w:rsidR="00F42FFF">
        <w:t>Mr L</w:t>
      </w:r>
      <w:r w:rsidRPr="00884B04" w:rsidR="007E7025">
        <w:t xml:space="preserve">itvinenko </w:t>
      </w:r>
      <w:r w:rsidRPr="00884B04" w:rsidR="00F42FFF">
        <w:t>Mr L</w:t>
      </w:r>
      <w:r w:rsidRPr="00884B04" w:rsidR="007E7025">
        <w:t xml:space="preserve">ugovoy and </w:t>
      </w:r>
      <w:r w:rsidRPr="00884B04" w:rsidR="00F42FFF">
        <w:t>Mr K</w:t>
      </w:r>
      <w:r w:rsidRPr="00884B04" w:rsidR="007E7025">
        <w:t xml:space="preserve">ovtun were acting as agents of the respondent State and that they exercised physical power and control over his life in a manner sufficient to establish a jurisdictional link with the respondent State for the purposes of </w:t>
      </w:r>
      <w:r w:rsidRPr="00884B04" w:rsidR="00F42FFF">
        <w:t>Article 1</w:t>
      </w:r>
      <w:r w:rsidRPr="00884B04" w:rsidR="007E7025">
        <w:t xml:space="preserve"> of the Convention.</w:t>
      </w:r>
      <w:r w:rsidRPr="00884B04" w:rsidR="00F42FFF">
        <w:rPr>
          <w:lang w:bidi="en-US"/>
        </w:rPr>
        <w:t xml:space="preserve"> </w:t>
      </w:r>
      <w:r w:rsidRPr="00884B04" w:rsidR="00662B04">
        <w:t>Accordingly, the Government</w:t>
      </w:r>
      <w:r w:rsidRPr="00884B04" w:rsidR="00884B04">
        <w:t>’</w:t>
      </w:r>
      <w:r w:rsidRPr="00884B04" w:rsidR="00662B04">
        <w:t xml:space="preserve">s objection of inadmissibility </w:t>
      </w:r>
      <w:r w:rsidRPr="00884B04" w:rsidR="00662B04">
        <w:rPr>
          <w:i/>
          <w:iCs/>
        </w:rPr>
        <w:t>ratione loci</w:t>
      </w:r>
      <w:r w:rsidRPr="00884B04" w:rsidR="00662B04">
        <w:t xml:space="preserve"> must be dismissed.</w:t>
      </w:r>
    </w:p>
    <w:p w:rsidRPr="00884B04" w:rsidR="007E7025" w:rsidP="00884B04" w:rsidRDefault="00662B04" w14:paraId="5B6246DC" w14:textId="2BB52031">
      <w:pPr>
        <w:pStyle w:val="JuPara"/>
        <w:rPr>
          <w:lang w:val="en-US"/>
        </w:rPr>
      </w:pPr>
      <w:r w:rsidRPr="00884B04">
        <w:fldChar w:fldCharType="begin"/>
      </w:r>
      <w:r w:rsidRPr="00884B04">
        <w:instrText xml:space="preserve"> SEQ level0 \*arabic </w:instrText>
      </w:r>
      <w:r w:rsidRPr="00884B04">
        <w:fldChar w:fldCharType="separate"/>
      </w:r>
      <w:r w:rsidRPr="00884B04" w:rsidR="00884B04">
        <w:rPr>
          <w:noProof/>
        </w:rPr>
        <w:t>171</w:t>
      </w:r>
      <w:r w:rsidRPr="00884B04">
        <w:fldChar w:fldCharType="end"/>
      </w:r>
      <w:r w:rsidRPr="00884B04">
        <w:t>.</w:t>
      </w:r>
      <w:r w:rsidRPr="00884B04" w:rsidR="00FD072F">
        <w:t>  </w:t>
      </w:r>
      <w:r w:rsidRPr="00884B04">
        <w:rPr>
          <w:lang w:val="en-US"/>
        </w:rPr>
        <w:t xml:space="preserve">The Court reiterates that </w:t>
      </w:r>
      <w:r w:rsidRPr="00884B04" w:rsidR="00F42FFF">
        <w:rPr>
          <w:lang w:val="en-US"/>
        </w:rPr>
        <w:t>Article 2</w:t>
      </w:r>
      <w:r w:rsidRPr="00884B04">
        <w:rPr>
          <w:lang w:val="en-US"/>
        </w:rPr>
        <w:t xml:space="preserve">, which safeguards the right to life and sets out the circumstances when deprivation of life may be justified, ranks as one of the most fundamental provisions in the Convention, from which </w:t>
      </w:r>
      <w:r w:rsidRPr="00884B04" w:rsidR="007E7025">
        <w:rPr>
          <w:lang w:val="en-US"/>
        </w:rPr>
        <w:t xml:space="preserve">no derogation is permitted (see </w:t>
      </w:r>
      <w:bookmarkStart w:name="_Hlk83045146" w:id="110"/>
      <w:r w:rsidRPr="00884B04" w:rsidR="007E7025">
        <w:rPr>
          <w:i/>
        </w:rPr>
        <w:t>Velikova</w:t>
      </w:r>
      <w:r w:rsidRPr="00884B04" w:rsidR="00F42FFF">
        <w:rPr>
          <w:i/>
        </w:rPr>
        <w:t xml:space="preserve"> v. B</w:t>
      </w:r>
      <w:r w:rsidRPr="00884B04" w:rsidR="007E7025">
        <w:rPr>
          <w:i/>
        </w:rPr>
        <w:t>ulgaria</w:t>
      </w:r>
      <w:r w:rsidRPr="00884B04" w:rsidR="007E7025">
        <w:t xml:space="preserve">, </w:t>
      </w:r>
      <w:r w:rsidRPr="00884B04" w:rsidR="00F42FFF">
        <w:t>no. 4</w:t>
      </w:r>
      <w:r w:rsidRPr="00884B04" w:rsidR="007E7025">
        <w:t xml:space="preserve">1488/98, </w:t>
      </w:r>
      <w:r w:rsidRPr="00884B04" w:rsidR="00F42FFF">
        <w:t>§ 6</w:t>
      </w:r>
      <w:r w:rsidRPr="00884B04" w:rsidR="007E7025">
        <w:t>8, ECHR 2000</w:t>
      </w:r>
      <w:r w:rsidRPr="00884B04" w:rsidR="007E7025">
        <w:noBreakHyphen/>
        <w:t>VI</w:t>
      </w:r>
      <w:r w:rsidRPr="00884B04" w:rsidR="007E7025">
        <w:rPr>
          <w:lang w:val="en-US"/>
        </w:rPr>
        <w:t>).</w:t>
      </w:r>
    </w:p>
    <w:bookmarkEnd w:id="110"/>
    <w:p w:rsidRPr="00884B04" w:rsidR="007E7025" w:rsidP="00884B04" w:rsidRDefault="00DE1693" w14:paraId="644548C0" w14:textId="58960CE4">
      <w:pPr>
        <w:pStyle w:val="JuPara"/>
      </w:pPr>
      <w:r w:rsidRPr="00884B04">
        <w:fldChar w:fldCharType="begin"/>
      </w:r>
      <w:r w:rsidRPr="00884B04">
        <w:instrText xml:space="preserve"> SEQ level0 \*arabic \* MERGEFORMAT </w:instrText>
      </w:r>
      <w:r w:rsidRPr="00884B04">
        <w:fldChar w:fldCharType="separate"/>
      </w:r>
      <w:r w:rsidRPr="00884B04" w:rsidR="00884B04">
        <w:rPr>
          <w:noProof/>
        </w:rPr>
        <w:t>172</w:t>
      </w:r>
      <w:r w:rsidRPr="00884B04">
        <w:rPr>
          <w:noProof/>
        </w:rPr>
        <w:fldChar w:fldCharType="end"/>
      </w:r>
      <w:r w:rsidRPr="00884B04" w:rsidR="007E7025">
        <w:t>.</w:t>
      </w:r>
      <w:r w:rsidRPr="00884B04" w:rsidR="00FD072F">
        <w:t>  </w:t>
      </w:r>
      <w:r w:rsidRPr="00884B04" w:rsidR="007E7025">
        <w:t xml:space="preserve">As the Government have not sought to argue that the killing of </w:t>
      </w:r>
      <w:r w:rsidRPr="00884B04" w:rsidR="00F42FFF">
        <w:t>Mr L</w:t>
      </w:r>
      <w:r w:rsidRPr="00884B04" w:rsidR="007E7025">
        <w:t xml:space="preserve">itvinenko could be justified by reference to any of the exceptions in the second paragraph of </w:t>
      </w:r>
      <w:r w:rsidRPr="00884B04" w:rsidR="00F42FFF">
        <w:t>Article 2</w:t>
      </w:r>
      <w:r w:rsidRPr="00884B04" w:rsidR="007E7025">
        <w:t xml:space="preserve">, the Court finds that there has been a violation of the substantive limb of </w:t>
      </w:r>
      <w:r w:rsidRPr="00884B04" w:rsidR="004A08DE">
        <w:t>that provision.</w:t>
      </w:r>
    </w:p>
    <w:p w:rsidRPr="00884B04" w:rsidR="007E7025" w:rsidP="00884B04" w:rsidRDefault="007E7025" w14:paraId="5104DDFE" w14:textId="77777777">
      <w:pPr>
        <w:pStyle w:val="JuHIRoman"/>
      </w:pPr>
      <w:r w:rsidRPr="00884B04">
        <w:t>OTHER ALLEGED VIOLATIONS OF THE CONVENTION</w:t>
      </w:r>
    </w:p>
    <w:p w:rsidRPr="00884B04" w:rsidR="007E7025" w:rsidP="00884B04" w:rsidRDefault="007E7025" w14:paraId="42C536DC" w14:textId="6417CFFE">
      <w:pPr>
        <w:pStyle w:val="JuPara"/>
      </w:pPr>
      <w:r w:rsidRPr="00884B04">
        <w:fldChar w:fldCharType="begin"/>
      </w:r>
      <w:r w:rsidRPr="00884B04">
        <w:instrText xml:space="preserve"> SEQ level0 \*arabic </w:instrText>
      </w:r>
      <w:r w:rsidRPr="00884B04">
        <w:fldChar w:fldCharType="separate"/>
      </w:r>
      <w:r w:rsidRPr="00884B04" w:rsidR="00884B04">
        <w:rPr>
          <w:noProof/>
        </w:rPr>
        <w:t>173</w:t>
      </w:r>
      <w:r w:rsidRPr="00884B04">
        <w:fldChar w:fldCharType="end"/>
      </w:r>
      <w:r w:rsidRPr="00884B04">
        <w:t>.</w:t>
      </w:r>
      <w:r w:rsidRPr="00884B04" w:rsidR="00FD072F">
        <w:t>  </w:t>
      </w:r>
      <w:r w:rsidRPr="00884B04">
        <w:t xml:space="preserve">Lastly, the applicant complained under </w:t>
      </w:r>
      <w:r w:rsidRPr="00884B04" w:rsidR="00F42FFF">
        <w:t>Article 3</w:t>
      </w:r>
      <w:r w:rsidRPr="00884B04">
        <w:t xml:space="preserve"> about the distress and anguish caused to her and her son as a result of her husband</w:t>
      </w:r>
      <w:r w:rsidRPr="00884B04" w:rsidR="00884B04">
        <w:t>’</w:t>
      </w:r>
      <w:r w:rsidRPr="00884B04">
        <w:t>s murder and her own contamination with a radioactive isotope.</w:t>
      </w:r>
    </w:p>
    <w:p w:rsidRPr="00884B04" w:rsidR="007E7025" w:rsidP="00884B04" w:rsidRDefault="007E7025" w14:paraId="22D66ABE" w14:textId="2D68E734">
      <w:pPr>
        <w:pStyle w:val="JuPara"/>
      </w:pPr>
      <w:r w:rsidRPr="00884B04">
        <w:fldChar w:fldCharType="begin"/>
      </w:r>
      <w:r w:rsidRPr="00884B04">
        <w:instrText xml:space="preserve"> SEQ level0 \*arabic </w:instrText>
      </w:r>
      <w:r w:rsidRPr="00884B04">
        <w:fldChar w:fldCharType="separate"/>
      </w:r>
      <w:r w:rsidRPr="00884B04" w:rsidR="00884B04">
        <w:rPr>
          <w:noProof/>
        </w:rPr>
        <w:t>174</w:t>
      </w:r>
      <w:r w:rsidRPr="00884B04">
        <w:fldChar w:fldCharType="end"/>
      </w:r>
      <w:r w:rsidRPr="00884B04">
        <w:t>.</w:t>
      </w:r>
      <w:r w:rsidRPr="00884B04" w:rsidR="00FD072F">
        <w:t>  </w:t>
      </w:r>
      <w:r w:rsidRPr="00884B04">
        <w:t xml:space="preserve">The Court holds that the complaints which the applicant submitted on behalf of her son must be declared inadmissible </w:t>
      </w:r>
      <w:r w:rsidRPr="00884B04">
        <w:rPr>
          <w:i/>
          <w:iCs/>
        </w:rPr>
        <w:t>ratione personae</w:t>
      </w:r>
      <w:r w:rsidRPr="00884B04">
        <w:t xml:space="preserve"> because she was not herself a victim of the alleged violations.</w:t>
      </w:r>
      <w:r w:rsidRPr="00884B04" w:rsidR="00F42FFF">
        <w:t xml:space="preserve"> </w:t>
      </w:r>
      <w:r w:rsidRPr="00884B04">
        <w:t xml:space="preserve">It further notes that she did not produce any material capable of showing that the alleged side effects resulting from radioactive poisoning or the distress and anguish she had experienced had gone beyond the threshold of severity under </w:t>
      </w:r>
      <w:r w:rsidRPr="00884B04" w:rsidR="00F42FFF">
        <w:t>Article 3</w:t>
      </w:r>
      <w:r w:rsidRPr="00884B04">
        <w:t xml:space="preserve"> of the Convention.</w:t>
      </w:r>
      <w:r w:rsidRPr="00884B04" w:rsidR="00F42FFF">
        <w:t xml:space="preserve"> </w:t>
      </w:r>
      <w:r w:rsidRPr="00884B04">
        <w:t xml:space="preserve">This complaint is therefore manifestly ill-founded and must also be rejected in accordance with </w:t>
      </w:r>
      <w:r w:rsidRPr="00884B04" w:rsidR="00F42FFF">
        <w:t>Article 3</w:t>
      </w:r>
      <w:r w:rsidRPr="00884B04">
        <w:t>5 §</w:t>
      </w:r>
      <w:r w:rsidRPr="00884B04" w:rsidR="00F42FFF">
        <w:t xml:space="preserve">§ 3 </w:t>
      </w:r>
      <w:r w:rsidRPr="00884B04">
        <w:t>(a) and</w:t>
      </w:r>
      <w:r w:rsidRPr="00884B04" w:rsidR="00F42FFF">
        <w:t xml:space="preserve"> </w:t>
      </w:r>
      <w:r w:rsidRPr="00884B04">
        <w:t>4 of the Convention.</w:t>
      </w:r>
    </w:p>
    <w:p w:rsidRPr="00884B04" w:rsidR="007E7025" w:rsidP="00884B04" w:rsidRDefault="007E7025" w14:paraId="16C9C62E" w14:textId="77777777">
      <w:pPr>
        <w:pStyle w:val="JuHIRoman"/>
      </w:pPr>
      <w:r w:rsidRPr="00884B04">
        <w:t>APPLICATION OF ARTICLE</w:t>
      </w:r>
      <w:r w:rsidRPr="00884B04" w:rsidR="00F42FFF">
        <w:t xml:space="preserve"> </w:t>
      </w:r>
      <w:r w:rsidRPr="00884B04">
        <w:t>41 OF THE CONVENTION</w:t>
      </w:r>
    </w:p>
    <w:p w:rsidRPr="00884B04" w:rsidR="007E7025" w:rsidP="00884B04" w:rsidRDefault="007E7025" w14:paraId="55C48D4E" w14:textId="17A68105">
      <w:pPr>
        <w:pStyle w:val="JuPara"/>
      </w:pPr>
      <w:r w:rsidRPr="00884B04">
        <w:fldChar w:fldCharType="begin"/>
      </w:r>
      <w:r w:rsidRPr="00884B04">
        <w:instrText xml:space="preserve"> SEQ level0 \*arabic </w:instrText>
      </w:r>
      <w:r w:rsidRPr="00884B04">
        <w:fldChar w:fldCharType="separate"/>
      </w:r>
      <w:r w:rsidRPr="00884B04" w:rsidR="00884B04">
        <w:rPr>
          <w:noProof/>
        </w:rPr>
        <w:t>175</w:t>
      </w:r>
      <w:r w:rsidRPr="00884B04">
        <w:fldChar w:fldCharType="end"/>
      </w:r>
      <w:r w:rsidRPr="00884B04">
        <w:t>.</w:t>
      </w:r>
      <w:r w:rsidRPr="00884B04" w:rsidR="00FD072F">
        <w:t>  </w:t>
      </w:r>
      <w:r w:rsidRPr="00884B04" w:rsidR="00F42FFF">
        <w:t>Article 4</w:t>
      </w:r>
      <w:r w:rsidRPr="00884B04">
        <w:t>1 of the Convention provides:</w:t>
      </w:r>
    </w:p>
    <w:p w:rsidRPr="00884B04" w:rsidR="007E7025" w:rsidP="00884B04" w:rsidRDefault="007E7025" w14:paraId="706DC4D2" w14:textId="77777777">
      <w:pPr>
        <w:pStyle w:val="JuQuot"/>
      </w:pPr>
      <w:r w:rsidRPr="00884B0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84B04" w:rsidR="007E7025" w:rsidP="00884B04" w:rsidRDefault="007E7025" w14:paraId="3E24A42D" w14:textId="77777777">
      <w:pPr>
        <w:pStyle w:val="JuHA"/>
      </w:pPr>
      <w:r w:rsidRPr="00884B04">
        <w:t>Damage</w:t>
      </w:r>
    </w:p>
    <w:p w:rsidRPr="00884B04" w:rsidR="007E7025" w:rsidP="00884B04" w:rsidRDefault="007E7025" w14:paraId="1EBB1DCE" w14:textId="36A44248">
      <w:pPr>
        <w:pStyle w:val="JuPara"/>
      </w:pPr>
      <w:r w:rsidRPr="00884B04">
        <w:fldChar w:fldCharType="begin"/>
      </w:r>
      <w:r w:rsidRPr="00884B04">
        <w:instrText xml:space="preserve"> SEQ level0 \*arabic </w:instrText>
      </w:r>
      <w:r w:rsidRPr="00884B04">
        <w:fldChar w:fldCharType="separate"/>
      </w:r>
      <w:r w:rsidRPr="00884B04" w:rsidR="00884B04">
        <w:rPr>
          <w:noProof/>
        </w:rPr>
        <w:t>176</w:t>
      </w:r>
      <w:r w:rsidRPr="00884B04">
        <w:fldChar w:fldCharType="end"/>
      </w:r>
      <w:r w:rsidRPr="00884B04">
        <w:t>.</w:t>
      </w:r>
      <w:r w:rsidRPr="00884B04" w:rsidR="00FD072F">
        <w:t>  </w:t>
      </w:r>
      <w:r w:rsidRPr="00884B04">
        <w:t>The applicant asked the Court to determine the amount of award in respect of pecuniary and non-pecuniary damage.</w:t>
      </w:r>
    </w:p>
    <w:p w:rsidRPr="00884B04" w:rsidR="007E7025" w:rsidP="00884B04" w:rsidRDefault="007E7025" w14:paraId="0B7317F2" w14:textId="7CA1DA9C">
      <w:pPr>
        <w:pStyle w:val="JuPara"/>
      </w:pPr>
      <w:r w:rsidRPr="00884B04">
        <w:fldChar w:fldCharType="begin"/>
      </w:r>
      <w:r w:rsidRPr="00884B04">
        <w:instrText xml:space="preserve"> SEQ level0 \*arabic </w:instrText>
      </w:r>
      <w:r w:rsidRPr="00884B04">
        <w:fldChar w:fldCharType="separate"/>
      </w:r>
      <w:r w:rsidRPr="00884B04" w:rsidR="00884B04">
        <w:rPr>
          <w:noProof/>
        </w:rPr>
        <w:t>177</w:t>
      </w:r>
      <w:r w:rsidRPr="00884B04">
        <w:fldChar w:fldCharType="end"/>
      </w:r>
      <w:r w:rsidRPr="00884B04">
        <w:t>.</w:t>
      </w:r>
      <w:r w:rsidRPr="00884B04" w:rsidR="00FD072F">
        <w:t>  </w:t>
      </w:r>
      <w:r w:rsidRPr="00884B04">
        <w:t>The Government pointed out that the applicant failed to specify the amount.</w:t>
      </w:r>
    </w:p>
    <w:p w:rsidRPr="00884B04" w:rsidR="007E7025" w:rsidP="00884B04" w:rsidRDefault="007E7025" w14:paraId="596A438E" w14:textId="2B64FBC2">
      <w:pPr>
        <w:pStyle w:val="JuPara"/>
      </w:pPr>
      <w:r w:rsidRPr="00884B04">
        <w:fldChar w:fldCharType="begin"/>
      </w:r>
      <w:r w:rsidRPr="00884B04">
        <w:instrText xml:space="preserve"> SEQ level0 \*arabic </w:instrText>
      </w:r>
      <w:r w:rsidRPr="00884B04">
        <w:fldChar w:fldCharType="separate"/>
      </w:r>
      <w:r w:rsidRPr="00884B04" w:rsidR="00884B04">
        <w:rPr>
          <w:noProof/>
        </w:rPr>
        <w:t>178</w:t>
      </w:r>
      <w:r w:rsidRPr="00884B04">
        <w:fldChar w:fldCharType="end"/>
      </w:r>
      <w:r w:rsidRPr="00884B04">
        <w:t>.</w:t>
      </w:r>
      <w:r w:rsidRPr="00884B04" w:rsidR="00FD072F">
        <w:t>  </w:t>
      </w:r>
      <w:r w:rsidRPr="00884B04">
        <w:t xml:space="preserve">Pursuant to </w:t>
      </w:r>
      <w:r w:rsidRPr="00884B04" w:rsidR="00F42FFF">
        <w:t>Rule 6</w:t>
      </w:r>
      <w:r w:rsidRPr="00884B04">
        <w:t xml:space="preserve">0 </w:t>
      </w:r>
      <w:r w:rsidRPr="00884B04" w:rsidR="00F42FFF">
        <w:t>§ 1</w:t>
      </w:r>
      <w:r w:rsidRPr="00884B04">
        <w:t xml:space="preserve"> of the Rules of Court, an applicant who wishes to obtain an award of just satisfaction in respect of pecuniary damage must make a specific claim to that effect.</w:t>
      </w:r>
      <w:r w:rsidRPr="00884B04" w:rsidR="00F42FFF">
        <w:t xml:space="preserve"> </w:t>
      </w:r>
      <w:r w:rsidRPr="00884B04">
        <w:t>Since in the present case the applicant failed to specify the amount claimed, the Court makes no award under this head (</w:t>
      </w:r>
      <w:r w:rsidRPr="00884B04" w:rsidR="00F42FFF">
        <w:t>Rule 6</w:t>
      </w:r>
      <w:r w:rsidRPr="00884B04">
        <w:t xml:space="preserve">0 </w:t>
      </w:r>
      <w:r w:rsidRPr="00884B04" w:rsidR="00F42FFF">
        <w:t>§ 3</w:t>
      </w:r>
      <w:r w:rsidRPr="00884B04">
        <w:t xml:space="preserve">) (see </w:t>
      </w:r>
      <w:bookmarkStart w:name="_Hlk83045231" w:id="111"/>
      <w:r w:rsidRPr="00884B04">
        <w:rPr>
          <w:i/>
          <w:iCs/>
        </w:rPr>
        <w:t>Narodni List D.D</w:t>
      </w:r>
      <w:r w:rsidRPr="00884B04">
        <w:t>.</w:t>
      </w:r>
      <w:r w:rsidRPr="00884B04" w:rsidR="00F42FFF">
        <w:t xml:space="preserve"> </w:t>
      </w:r>
      <w:r w:rsidRPr="00884B04" w:rsidR="00F42FFF">
        <w:rPr>
          <w:i/>
          <w:iCs/>
        </w:rPr>
        <w:t>v.</w:t>
      </w:r>
      <w:r w:rsidRPr="00884B04" w:rsidR="00F42FFF">
        <w:t> </w:t>
      </w:r>
      <w:r w:rsidRPr="00884B04" w:rsidR="00F42FFF">
        <w:rPr>
          <w:i/>
          <w:iCs/>
        </w:rPr>
        <w:t>C</w:t>
      </w:r>
      <w:r w:rsidRPr="00884B04">
        <w:rPr>
          <w:i/>
          <w:iCs/>
        </w:rPr>
        <w:t>roatia</w:t>
      </w:r>
      <w:r w:rsidRPr="00884B04">
        <w:t xml:space="preserve">, </w:t>
      </w:r>
      <w:r w:rsidRPr="00884B04" w:rsidR="00F42FFF">
        <w:t>no. 2</w:t>
      </w:r>
      <w:r w:rsidRPr="00884B04">
        <w:t xml:space="preserve">782/12, </w:t>
      </w:r>
      <w:r w:rsidRPr="00884B04" w:rsidR="00F42FFF">
        <w:t>§ 7</w:t>
      </w:r>
      <w:r w:rsidRPr="00884B04">
        <w:t xml:space="preserve">7, </w:t>
      </w:r>
      <w:r w:rsidRPr="00884B04" w:rsidR="00F42FFF">
        <w:t>8 November 2018</w:t>
      </w:r>
      <w:r w:rsidRPr="00884B04">
        <w:t>).</w:t>
      </w:r>
    </w:p>
    <w:p w:rsidRPr="00884B04" w:rsidR="007E7025" w:rsidP="00884B04" w:rsidRDefault="007E7025" w14:paraId="5CAE719B" w14:textId="2715B01B">
      <w:pPr>
        <w:pStyle w:val="JuPara"/>
      </w:pPr>
      <w:r w:rsidRPr="00884B04">
        <w:fldChar w:fldCharType="begin"/>
      </w:r>
      <w:r w:rsidRPr="00884B04">
        <w:instrText xml:space="preserve"> SEQ level0 \*arabic </w:instrText>
      </w:r>
      <w:r w:rsidRPr="00884B04">
        <w:fldChar w:fldCharType="separate"/>
      </w:r>
      <w:r w:rsidRPr="00884B04" w:rsidR="00884B04">
        <w:rPr>
          <w:noProof/>
        </w:rPr>
        <w:t>179</w:t>
      </w:r>
      <w:r w:rsidRPr="00884B04">
        <w:fldChar w:fldCharType="end"/>
      </w:r>
      <w:r w:rsidRPr="00884B04">
        <w:t>.</w:t>
      </w:r>
      <w:r w:rsidRPr="00884B04" w:rsidR="00FD072F">
        <w:t>  </w:t>
      </w:r>
      <w:r w:rsidRPr="00884B04">
        <w:t xml:space="preserve">In contrast, since non-pecuniary damage does not, by its nature, lend itself to precise calculation, </w:t>
      </w:r>
      <w:r w:rsidRPr="00884B04" w:rsidR="00F42FFF">
        <w:t>Rule 6</w:t>
      </w:r>
      <w:r w:rsidRPr="00884B04">
        <w:t>0 does not prevent the Court from examining claims for non-pecuniary damage which applicants did not quantify, leaving the amount to the Court</w:t>
      </w:r>
      <w:r w:rsidRPr="00884B04" w:rsidR="00884B04">
        <w:t>’</w:t>
      </w:r>
      <w:r w:rsidRPr="00884B04">
        <w:t xml:space="preserve">s discretion (see </w:t>
      </w:r>
      <w:r w:rsidRPr="00884B04">
        <w:rPr>
          <w:i/>
        </w:rPr>
        <w:t>Nagmetov</w:t>
      </w:r>
      <w:r w:rsidRPr="00884B04" w:rsidR="00F42FFF">
        <w:rPr>
          <w:i/>
        </w:rPr>
        <w:t xml:space="preserve"> v. R</w:t>
      </w:r>
      <w:r w:rsidRPr="00884B04">
        <w:rPr>
          <w:i/>
        </w:rPr>
        <w:t>ussia</w:t>
      </w:r>
      <w:r w:rsidRPr="00884B04">
        <w:t xml:space="preserve"> [GC], </w:t>
      </w:r>
      <w:r w:rsidRPr="00884B04" w:rsidR="00F42FFF">
        <w:t>no. 3</w:t>
      </w:r>
      <w:r w:rsidRPr="00884B04">
        <w:t xml:space="preserve">5589/08, </w:t>
      </w:r>
      <w:r w:rsidRPr="00884B04" w:rsidR="00F42FFF">
        <w:t>§ 7</w:t>
      </w:r>
      <w:r w:rsidRPr="00884B04">
        <w:t xml:space="preserve">2, </w:t>
      </w:r>
      <w:r w:rsidRPr="00884B04" w:rsidR="00F42FFF">
        <w:t>30 March 2017</w:t>
      </w:r>
      <w:r w:rsidRPr="00884B04">
        <w:t>).</w:t>
      </w:r>
      <w:r w:rsidRPr="00884B04" w:rsidR="00F42FFF">
        <w:rPr>
          <w:lang w:val="en-US"/>
        </w:rPr>
        <w:t xml:space="preserve"> </w:t>
      </w:r>
      <w:r w:rsidRPr="00884B04" w:rsidR="00662B04">
        <w:t xml:space="preserve">Making an assessment on an equitable basis, the Court awards the applicant 100,000 euros (EUR) in respect of </w:t>
      </w:r>
      <w:r w:rsidRPr="00884B04">
        <w:t>non-pecuniary damage, plus any tax that may be chargeable.</w:t>
      </w:r>
    </w:p>
    <w:p w:rsidRPr="00884B04" w:rsidR="00662B04" w:rsidP="00884B04" w:rsidRDefault="007E7025" w14:paraId="2B492B0A" w14:textId="71DA0588">
      <w:pPr>
        <w:pStyle w:val="JuPara"/>
      </w:pPr>
      <w:r w:rsidRPr="00884B04">
        <w:fldChar w:fldCharType="begin"/>
      </w:r>
      <w:r w:rsidRPr="00884B04">
        <w:instrText xml:space="preserve"> SEQ level0 \*arabic </w:instrText>
      </w:r>
      <w:r w:rsidRPr="00884B04">
        <w:fldChar w:fldCharType="separate"/>
      </w:r>
      <w:r w:rsidRPr="00884B04" w:rsidR="00884B04">
        <w:rPr>
          <w:noProof/>
        </w:rPr>
        <w:t>180</w:t>
      </w:r>
      <w:r w:rsidRPr="00884B04">
        <w:fldChar w:fldCharType="end"/>
      </w:r>
      <w:r w:rsidRPr="00884B04">
        <w:t>.</w:t>
      </w:r>
      <w:r w:rsidRPr="00884B04" w:rsidR="00FD072F">
        <w:t>  </w:t>
      </w:r>
      <w:r w:rsidRPr="00884B04">
        <w:t xml:space="preserve">As regards the claims for damages which the applicant submitted, on </w:t>
      </w:r>
      <w:r w:rsidRPr="00884B04" w:rsidR="00F42FFF">
        <w:t>28 February 2020</w:t>
      </w:r>
      <w:r w:rsidRPr="00884B04">
        <w:t>, of her own initiative after the time</w:t>
      </w:r>
      <w:r w:rsidRPr="00884B04">
        <w:noBreakHyphen/>
        <w:t>limit fixed for the submission of claims had expired, the Court notes that they did not refer to any new elements of which she had not been aware when submitting her original claims or to any new expenses which she may have incurred after the expiry of the initial time-limit.</w:t>
      </w:r>
      <w:r w:rsidRPr="00884B04" w:rsidR="00F42FFF">
        <w:t xml:space="preserve"> </w:t>
      </w:r>
      <w:r w:rsidRPr="00884B04">
        <w:rPr>
          <w:bCs/>
        </w:rPr>
        <w:t xml:space="preserve">In accordance with </w:t>
      </w:r>
      <w:r w:rsidRPr="00884B04" w:rsidR="00F42FFF">
        <w:rPr>
          <w:bCs/>
        </w:rPr>
        <w:t>Rules 3</w:t>
      </w:r>
      <w:r w:rsidRPr="00884B04">
        <w:rPr>
          <w:bCs/>
        </w:rPr>
        <w:t xml:space="preserve">8 </w:t>
      </w:r>
      <w:r w:rsidRPr="00884B04" w:rsidR="00F42FFF">
        <w:rPr>
          <w:bCs/>
        </w:rPr>
        <w:t>§ 1</w:t>
      </w:r>
      <w:r w:rsidRPr="00884B04">
        <w:rPr>
          <w:bCs/>
        </w:rPr>
        <w:t xml:space="preserve"> and 60 </w:t>
      </w:r>
      <w:r w:rsidRPr="00884B04" w:rsidR="00F42FFF">
        <w:rPr>
          <w:bCs/>
        </w:rPr>
        <w:t>§ 3</w:t>
      </w:r>
      <w:r w:rsidRPr="00884B04">
        <w:rPr>
          <w:bCs/>
        </w:rPr>
        <w:t xml:space="preserve"> of the Rules of Court, the Court rejects this part of the applicant</w:t>
      </w:r>
      <w:r w:rsidRPr="00884B04" w:rsidR="00884B04">
        <w:rPr>
          <w:bCs/>
        </w:rPr>
        <w:t>’</w:t>
      </w:r>
      <w:r w:rsidRPr="00884B04">
        <w:rPr>
          <w:bCs/>
        </w:rPr>
        <w:t>s claims.</w:t>
      </w:r>
      <w:r w:rsidRPr="00884B04" w:rsidR="00F42FFF">
        <w:t xml:space="preserve"> </w:t>
      </w:r>
      <w:r w:rsidRPr="00884B04" w:rsidR="00662B04">
        <w:rPr>
          <w:color w:val="000000"/>
        </w:rPr>
        <w:t xml:space="preserve">Moreover, in so far as she claimed “exemplary or punitive damages” </w:t>
      </w:r>
      <w:r w:rsidRPr="00884B04" w:rsidR="00662B04">
        <w:t xml:space="preserve">to reflect the particular character of the violation she suffered and to serve as a deterrent in respect of violations of a similar nature by the respondent State, the Court </w:t>
      </w:r>
      <w:r w:rsidRPr="00884B04" w:rsidR="00662B04">
        <w:rPr>
          <w:color w:val="000000"/>
        </w:rPr>
        <w:t xml:space="preserve">has </w:t>
      </w:r>
      <w:r w:rsidRPr="00884B04" w:rsidR="00662B04">
        <w:t xml:space="preserve">declined to make any such awards </w:t>
      </w:r>
      <w:r w:rsidRPr="00884B04" w:rsidR="00662B04">
        <w:rPr>
          <w:bCs/>
        </w:rPr>
        <w:t xml:space="preserve">in the past </w:t>
      </w:r>
      <w:r w:rsidRPr="00884B04" w:rsidR="00662B04">
        <w:t xml:space="preserve">(see the cases cited in </w:t>
      </w:r>
      <w:r w:rsidRPr="00884B04" w:rsidR="00662B04">
        <w:rPr>
          <w:i/>
        </w:rPr>
        <w:t>Greens and M.T.</w:t>
      </w:r>
      <w:r w:rsidRPr="00884B04" w:rsidR="00F42FFF">
        <w:rPr>
          <w:i/>
        </w:rPr>
        <w:t xml:space="preserve"> v. t</w:t>
      </w:r>
      <w:r w:rsidRPr="00884B04" w:rsidR="00662B04">
        <w:rPr>
          <w:i/>
        </w:rPr>
        <w:t>he</w:t>
      </w:r>
      <w:r w:rsidRPr="00884B04" w:rsidR="00F42FFF">
        <w:rPr>
          <w:i/>
        </w:rPr>
        <w:t xml:space="preserve"> </w:t>
      </w:r>
      <w:r w:rsidRPr="00884B04" w:rsidR="00662B04">
        <w:rPr>
          <w:i/>
        </w:rPr>
        <w:t>United</w:t>
      </w:r>
      <w:r w:rsidRPr="00884B04" w:rsidR="00F42FFF">
        <w:rPr>
          <w:i/>
        </w:rPr>
        <w:t xml:space="preserve"> </w:t>
      </w:r>
      <w:r w:rsidRPr="00884B04" w:rsidR="00662B04">
        <w:rPr>
          <w:i/>
        </w:rPr>
        <w:t>Kingdom</w:t>
      </w:r>
      <w:r w:rsidRPr="00884B04" w:rsidR="00662B04">
        <w:t xml:space="preserve">, </w:t>
      </w:r>
      <w:r w:rsidRPr="00884B04" w:rsidR="00F42FFF">
        <w:t>nos. 6</w:t>
      </w:r>
      <w:r w:rsidRPr="00884B04" w:rsidR="00662B04">
        <w:t xml:space="preserve">0041/08 and 60054/08, </w:t>
      </w:r>
      <w:r w:rsidRPr="00884B04" w:rsidR="00F42FFF">
        <w:t>§ 9</w:t>
      </w:r>
      <w:r w:rsidRPr="00884B04" w:rsidR="00662B04">
        <w:t>7, ECHR</w:t>
      </w:r>
      <w:r w:rsidRPr="00884B04" w:rsidR="00F42FFF">
        <w:t xml:space="preserve"> </w:t>
      </w:r>
      <w:r w:rsidRPr="00884B04" w:rsidR="00662B04">
        <w:t>2010</w:t>
      </w:r>
      <w:r w:rsidRPr="00884B04" w:rsidR="00F42FFF">
        <w:t xml:space="preserve"> </w:t>
      </w:r>
      <w:r w:rsidRPr="00884B04" w:rsidR="00662B04">
        <w:t>(extracts)</w:t>
      </w:r>
      <w:bookmarkEnd w:id="111"/>
      <w:r w:rsidRPr="00884B04" w:rsidR="00662B04">
        <w:t xml:space="preserve">) </w:t>
      </w:r>
      <w:r w:rsidRPr="00884B04" w:rsidR="00662B04">
        <w:rPr>
          <w:bCs/>
        </w:rPr>
        <w:t>and finds no reason to depart from the established case-law.</w:t>
      </w:r>
    </w:p>
    <w:p w:rsidRPr="00884B04" w:rsidR="00662B04" w:rsidP="00884B04" w:rsidRDefault="00662B04" w14:paraId="3104EF68" w14:textId="77777777">
      <w:pPr>
        <w:pStyle w:val="JuHA"/>
      </w:pPr>
      <w:bookmarkStart w:name="_Ref61600355" w:id="112"/>
      <w:r w:rsidRPr="00884B04">
        <w:t>Costs and expenses</w:t>
      </w:r>
      <w:bookmarkEnd w:id="112"/>
    </w:p>
    <w:p w:rsidRPr="00884B04" w:rsidR="00662B04" w:rsidP="00884B04" w:rsidRDefault="00EB7A47" w14:paraId="25613B47" w14:textId="0240511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181</w:t>
      </w:r>
      <w:r>
        <w:rPr>
          <w:noProof/>
        </w:rPr>
        <w:fldChar w:fldCharType="end"/>
      </w:r>
      <w:r w:rsidRPr="00884B04" w:rsidR="002A03DE">
        <w:t>.  </w:t>
      </w:r>
      <w:r w:rsidRPr="00884B04" w:rsidR="00662B04">
        <w:t xml:space="preserve">The applicant also claimed </w:t>
      </w:r>
      <w:r w:rsidRPr="00884B04" w:rsidR="00F42FFF">
        <w:t>EUR 3</w:t>
      </w:r>
      <w:r w:rsidRPr="00884B04" w:rsidR="00662B04">
        <w:t>1,488.36 for the work of her representatives before the Court.</w:t>
      </w:r>
    </w:p>
    <w:p w:rsidRPr="00884B04" w:rsidR="00662B04" w:rsidP="00884B04" w:rsidRDefault="00EB7A47" w14:paraId="1E2BEC1C" w14:textId="65F5A5D9">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182</w:t>
      </w:r>
      <w:r>
        <w:rPr>
          <w:noProof/>
        </w:rPr>
        <w:fldChar w:fldCharType="end"/>
      </w:r>
      <w:r w:rsidRPr="00884B04" w:rsidR="002A03DE">
        <w:t>.  </w:t>
      </w:r>
      <w:r w:rsidRPr="00884B04" w:rsidR="00662B04">
        <w:t>The Government commented that, as a general principle, governments should not bear responsibility for an applicant</w:t>
      </w:r>
      <w:r w:rsidRPr="00884B04" w:rsidR="00884B04">
        <w:t>’</w:t>
      </w:r>
      <w:r w:rsidRPr="00884B04" w:rsidR="00662B04">
        <w:t>s decision to employ expensive lawyers (they referred to the United Kingdom Government</w:t>
      </w:r>
      <w:r w:rsidRPr="00884B04" w:rsidR="00884B04">
        <w:t>’</w:t>
      </w:r>
      <w:r w:rsidRPr="00884B04" w:rsidR="00662B04">
        <w:t xml:space="preserve">s position in </w:t>
      </w:r>
      <w:r w:rsidRPr="00884B04" w:rsidR="00662B04">
        <w:rPr>
          <w:i/>
        </w:rPr>
        <w:t>I.J.L</w:t>
      </w:r>
      <w:r w:rsidRPr="00884B04" w:rsidR="00662B04">
        <w:t>.</w:t>
      </w:r>
      <w:r w:rsidRPr="00884B04" w:rsidR="00F42FFF">
        <w:t xml:space="preserve"> </w:t>
      </w:r>
      <w:r w:rsidRPr="00884B04" w:rsidR="00662B04">
        <w:rPr>
          <w:i/>
        </w:rPr>
        <w:t>and Others</w:t>
      </w:r>
      <w:r w:rsidRPr="00884B04" w:rsidR="00F42FFF">
        <w:rPr>
          <w:i/>
        </w:rPr>
        <w:t xml:space="preserve"> v. t</w:t>
      </w:r>
      <w:r w:rsidRPr="00884B04" w:rsidR="00662B04">
        <w:rPr>
          <w:i/>
        </w:rPr>
        <w:t>he United Kingdom</w:t>
      </w:r>
      <w:r w:rsidRPr="00884B04" w:rsidR="00662B04">
        <w:t xml:space="preserve"> (just satisfaction), </w:t>
      </w:r>
      <w:r w:rsidRPr="00884B04" w:rsidR="00F42FFF">
        <w:t>nos. 2</w:t>
      </w:r>
      <w:r w:rsidRPr="00884B04" w:rsidR="00662B04">
        <w:t xml:space="preserve">9522/95 and 2 others, </w:t>
      </w:r>
      <w:r w:rsidRPr="00884B04" w:rsidR="00F42FFF">
        <w:t>§ 1</w:t>
      </w:r>
      <w:r w:rsidRPr="00884B04" w:rsidR="00662B04">
        <w:t xml:space="preserve">0, </w:t>
      </w:r>
      <w:r w:rsidRPr="00884B04" w:rsidR="00F42FFF">
        <w:t>25 September 2001</w:t>
      </w:r>
      <w:r w:rsidRPr="00884B04" w:rsidR="00662B04">
        <w:t>).</w:t>
      </w:r>
    </w:p>
    <w:p w:rsidRPr="00884B04" w:rsidR="00662B04" w:rsidP="00884B04" w:rsidRDefault="00EB7A47" w14:paraId="160DB56E" w14:textId="2EF48D2E">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183</w:t>
      </w:r>
      <w:r>
        <w:rPr>
          <w:noProof/>
        </w:rPr>
        <w:fldChar w:fldCharType="end"/>
      </w:r>
      <w:r w:rsidRPr="00884B04" w:rsidR="002A03DE">
        <w:t>.  </w:t>
      </w:r>
      <w:r w:rsidRPr="00884B04" w:rsidR="00662B04">
        <w:t xml:space="preserve">In the present case, regard being had to the documents in its possession, the Court considers it reasonable to award the sum of </w:t>
      </w:r>
      <w:r w:rsidRPr="00884B04" w:rsidR="00F42FFF">
        <w:t>EUR 2</w:t>
      </w:r>
      <w:r w:rsidRPr="00884B04" w:rsidR="00AB3E20">
        <w:t>2</w:t>
      </w:r>
      <w:r w:rsidRPr="00884B04" w:rsidR="00662B04">
        <w:t>,500 for the proceedings before the Court, plus any tax that may be chargeable to the applicant.</w:t>
      </w:r>
    </w:p>
    <w:p w:rsidRPr="00884B04" w:rsidR="00662B04" w:rsidP="00884B04" w:rsidRDefault="00662B04" w14:paraId="26F60CD6" w14:textId="77777777">
      <w:pPr>
        <w:pStyle w:val="JuHA"/>
      </w:pPr>
      <w:r w:rsidRPr="00884B04">
        <w:t>Default interest</w:t>
      </w:r>
    </w:p>
    <w:p w:rsidRPr="00884B04" w:rsidR="00662B04" w:rsidP="00884B04" w:rsidRDefault="00EB7A47" w14:paraId="48573958" w14:textId="0A64DD15">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r w:rsidRPr="00884B04" w:rsidR="00884B04">
        <w:rPr>
          <w:noProof/>
        </w:rPr>
        <w:t>184</w:t>
      </w:r>
      <w:r>
        <w:rPr>
          <w:noProof/>
        </w:rPr>
        <w:fldChar w:fldCharType="end"/>
      </w:r>
      <w:r w:rsidRPr="00884B04" w:rsidR="002A03DE">
        <w:t>.  </w:t>
      </w:r>
      <w:r w:rsidRPr="00884B04" w:rsidR="00662B04">
        <w:t>The Court considers it appropriate that the default interest rate should be based on the marginal lending rate of the European Central Bank, to which should be added three percentage points.</w:t>
      </w:r>
    </w:p>
    <w:p w:rsidRPr="00884B04" w:rsidR="00662B04" w:rsidP="00884B04" w:rsidRDefault="00662B04" w14:paraId="553FC95F" w14:textId="77777777">
      <w:pPr>
        <w:pStyle w:val="JuHHead"/>
        <w:numPr>
          <w:ilvl w:val="0"/>
          <w:numId w:val="1"/>
        </w:numPr>
      </w:pPr>
      <w:r w:rsidRPr="00884B04">
        <w:t>FOR THESE REASONS, THE COURT</w:t>
      </w:r>
    </w:p>
    <w:p w:rsidRPr="00884B04" w:rsidR="00662B04" w:rsidP="00884B04" w:rsidRDefault="00662B04" w14:paraId="0B1D2AA4" w14:textId="77777777">
      <w:pPr>
        <w:pStyle w:val="JuList"/>
      </w:pPr>
      <w:r w:rsidRPr="00884B04">
        <w:rPr>
          <w:i/>
        </w:rPr>
        <w:t>Holds</w:t>
      </w:r>
      <w:r w:rsidRPr="00884B04">
        <w:rPr>
          <w:iCs/>
        </w:rPr>
        <w:t>,</w:t>
      </w:r>
      <w:r w:rsidRPr="00884B04">
        <w:t xml:space="preserve"> unanimously, that the respondent Government failed to comply with their obligations under </w:t>
      </w:r>
      <w:r w:rsidRPr="00884B04" w:rsidR="00F42FFF">
        <w:t>Article 3</w:t>
      </w:r>
      <w:r w:rsidRPr="00884B04">
        <w:t>8 of the Convention;</w:t>
      </w:r>
    </w:p>
    <w:p w:rsidRPr="00884B04" w:rsidR="00662B04" w:rsidP="00884B04" w:rsidRDefault="00662B04" w14:paraId="78F982FB" w14:textId="3C50739F">
      <w:pPr>
        <w:pStyle w:val="JuList"/>
      </w:pPr>
      <w:r w:rsidRPr="00884B04">
        <w:rPr>
          <w:i/>
          <w:iCs/>
        </w:rPr>
        <w:t>Joins</w:t>
      </w:r>
      <w:r w:rsidRPr="00884B04">
        <w:t xml:space="preserve">, by </w:t>
      </w:r>
      <w:r w:rsidRPr="00884B04" w:rsidR="00854EEE">
        <w:t>a majority</w:t>
      </w:r>
      <w:r w:rsidRPr="00884B04">
        <w:t>, the Government</w:t>
      </w:r>
      <w:r w:rsidRPr="00884B04" w:rsidR="00884B04">
        <w:t>’</w:t>
      </w:r>
      <w:r w:rsidRPr="00884B04">
        <w:t xml:space="preserve">s objection of inadmissibility </w:t>
      </w:r>
      <w:r w:rsidRPr="00884B04">
        <w:rPr>
          <w:i/>
          <w:iCs/>
        </w:rPr>
        <w:t>ratione loci</w:t>
      </w:r>
      <w:r w:rsidRPr="00884B04">
        <w:t xml:space="preserve"> to the merits of the substantive limb of </w:t>
      </w:r>
      <w:r w:rsidRPr="00884B04" w:rsidR="00F42FFF">
        <w:t>Article 2</w:t>
      </w:r>
      <w:r w:rsidRPr="00884B04">
        <w:t xml:space="preserve"> and </w:t>
      </w:r>
      <w:r w:rsidRPr="00884B04">
        <w:rPr>
          <w:i/>
          <w:iCs/>
        </w:rPr>
        <w:t>dismisses</w:t>
      </w:r>
      <w:r w:rsidRPr="00884B04">
        <w:t xml:space="preserve"> it in respect of the procedural limb;</w:t>
      </w:r>
    </w:p>
    <w:p w:rsidRPr="00884B04" w:rsidR="00662B04" w:rsidP="00884B04" w:rsidRDefault="00662B04" w14:paraId="1722DA3C" w14:textId="72FA2EDC">
      <w:pPr>
        <w:pStyle w:val="JuList"/>
      </w:pPr>
      <w:r w:rsidRPr="00884B04">
        <w:rPr>
          <w:i/>
        </w:rPr>
        <w:t>Declares</w:t>
      </w:r>
      <w:r w:rsidRPr="00884B04">
        <w:t xml:space="preserve">, by </w:t>
      </w:r>
      <w:r w:rsidRPr="00884B04" w:rsidR="00D61A8F">
        <w:t>a majority</w:t>
      </w:r>
      <w:r w:rsidRPr="00884B04">
        <w:t xml:space="preserve">, the complaints concerning </w:t>
      </w:r>
      <w:r w:rsidRPr="00884B04" w:rsidR="00F42FFF">
        <w:t>Mr L</w:t>
      </w:r>
      <w:r w:rsidRPr="00884B04">
        <w:t>itvinenko</w:t>
      </w:r>
      <w:r w:rsidRPr="00884B04" w:rsidR="00884B04">
        <w:t>’</w:t>
      </w:r>
      <w:r w:rsidRPr="00884B04">
        <w:t>s death admissible and the remainder of the application inadmissible;</w:t>
      </w:r>
    </w:p>
    <w:p w:rsidRPr="00884B04" w:rsidR="00662B04" w:rsidP="00884B04" w:rsidRDefault="00662B04" w14:paraId="2F1AFDCC" w14:textId="19915808">
      <w:pPr>
        <w:pStyle w:val="JuList"/>
      </w:pPr>
      <w:r w:rsidRPr="00884B04">
        <w:rPr>
          <w:i/>
          <w:iCs/>
        </w:rPr>
        <w:t>Holds</w:t>
      </w:r>
      <w:r w:rsidRPr="00884B04">
        <w:t xml:space="preserve">, by six votes to one, that there has been a violation of </w:t>
      </w:r>
      <w:r w:rsidRPr="00884B04" w:rsidR="00F42FFF">
        <w:t>Article 2</w:t>
      </w:r>
      <w:r w:rsidRPr="00884B04">
        <w:t xml:space="preserve"> of the Convention under the substantive and procedural limbs and </w:t>
      </w:r>
      <w:r w:rsidRPr="00884B04">
        <w:rPr>
          <w:i/>
          <w:iCs/>
        </w:rPr>
        <w:t>rejects</w:t>
      </w:r>
      <w:r w:rsidRPr="00884B04">
        <w:t xml:space="preserve"> the Government</w:t>
      </w:r>
      <w:r w:rsidRPr="00884B04" w:rsidR="00884B04">
        <w:t>’</w:t>
      </w:r>
      <w:r w:rsidRPr="00884B04">
        <w:t xml:space="preserve">s objection of inadmissibility </w:t>
      </w:r>
      <w:r w:rsidRPr="00884B04">
        <w:rPr>
          <w:i/>
          <w:iCs/>
        </w:rPr>
        <w:t>ratione loci</w:t>
      </w:r>
      <w:r w:rsidRPr="00884B04">
        <w:t>;</w:t>
      </w:r>
    </w:p>
    <w:p w:rsidRPr="00884B04" w:rsidR="00662B04" w:rsidP="00884B04" w:rsidRDefault="00662B04" w14:paraId="39875852" w14:textId="77777777">
      <w:pPr>
        <w:pStyle w:val="JuList"/>
      </w:pPr>
      <w:r w:rsidRPr="00884B04">
        <w:rPr>
          <w:i/>
        </w:rPr>
        <w:t>Holds</w:t>
      </w:r>
      <w:r w:rsidRPr="00884B04">
        <w:rPr>
          <w:iCs/>
        </w:rPr>
        <w:t>, by six votes to one,</w:t>
      </w:r>
    </w:p>
    <w:p w:rsidRPr="00884B04" w:rsidR="00662B04" w:rsidP="00884B04" w:rsidRDefault="00662B04" w14:paraId="18541A22" w14:textId="77777777">
      <w:pPr>
        <w:pStyle w:val="JuLista"/>
      </w:pPr>
      <w:r w:rsidRPr="00884B04">
        <w:t xml:space="preserve">that the respondent State is to pay the applicant, within three months from the date on which the judgment becomes final in accordance with </w:t>
      </w:r>
      <w:r w:rsidRPr="00884B04" w:rsidR="00F42FFF">
        <w:t>Article 4</w:t>
      </w:r>
      <w:r w:rsidRPr="00884B04">
        <w:t>4</w:t>
      </w:r>
      <w:r w:rsidRPr="00884B04" w:rsidR="00F42FFF">
        <w:t xml:space="preserve"> § 2</w:t>
      </w:r>
      <w:r w:rsidRPr="00884B04">
        <w:t xml:space="preserve"> of the Convention, the following amounts:</w:t>
      </w:r>
    </w:p>
    <w:p w:rsidRPr="00884B04" w:rsidR="00662B04" w:rsidP="00884B04" w:rsidRDefault="00F42FFF" w14:paraId="6D7B43BF" w14:textId="77777777">
      <w:pPr>
        <w:pStyle w:val="JuListi"/>
      </w:pPr>
      <w:r w:rsidRPr="00884B04">
        <w:t>EUR 1</w:t>
      </w:r>
      <w:r w:rsidRPr="00884B04" w:rsidR="00662B04">
        <w:t>00,000 (one hundred thousand euros), plus any tax that may be chargeable, in respect of non-pecuniary damage;</w:t>
      </w:r>
    </w:p>
    <w:p w:rsidRPr="00884B04" w:rsidR="00662B04" w:rsidP="00884B04" w:rsidRDefault="00F42FFF" w14:paraId="2CE2D579" w14:textId="77777777">
      <w:pPr>
        <w:pStyle w:val="JuListi"/>
      </w:pPr>
      <w:r w:rsidRPr="00884B04">
        <w:t>EUR 2</w:t>
      </w:r>
      <w:r w:rsidRPr="00884B04" w:rsidR="00662B04">
        <w:t>2,500 (twenty-two thousand five hundred euros), plus any tax that may be chargeable to the applicant, in respect of costs and expenses;</w:t>
      </w:r>
    </w:p>
    <w:p w:rsidRPr="00884B04" w:rsidR="00662B04" w:rsidP="00884B04" w:rsidRDefault="00662B04" w14:paraId="152449C4" w14:textId="77777777">
      <w:pPr>
        <w:pStyle w:val="JuLista"/>
      </w:pPr>
      <w:r w:rsidRPr="00884B04">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884B04" w:rsidR="004D0EC7" w:rsidP="00884B04" w:rsidRDefault="00662B04" w14:paraId="2C2EB0A2" w14:textId="0898DBD3">
      <w:pPr>
        <w:pStyle w:val="JuList"/>
      </w:pPr>
      <w:r w:rsidRPr="00884B04">
        <w:rPr>
          <w:i/>
          <w:iCs/>
        </w:rPr>
        <w:t>Dismisses</w:t>
      </w:r>
      <w:r w:rsidRPr="00884B04">
        <w:rPr>
          <w:iCs/>
        </w:rPr>
        <w:t>,</w:t>
      </w:r>
      <w:r w:rsidRPr="00884B04">
        <w:t xml:space="preserve"> unanimously, the remainder of the applicant</w:t>
      </w:r>
      <w:r w:rsidRPr="00884B04" w:rsidR="00884B04">
        <w:t>’</w:t>
      </w:r>
      <w:r w:rsidRPr="00884B04">
        <w:t>s claim for just satisfaction.</w:t>
      </w:r>
    </w:p>
    <w:p w:rsidRPr="00884B04" w:rsidR="008E3A08" w:rsidP="00884B04" w:rsidRDefault="007E2C8C" w14:paraId="163AF4D2" w14:textId="14CFC5EC">
      <w:pPr>
        <w:pStyle w:val="JuParaLast"/>
      </w:pPr>
      <w:r w:rsidRPr="00884B04">
        <w:t>Done in English</w:t>
      </w:r>
      <w:r w:rsidRPr="00884B04" w:rsidR="00C5105C">
        <w:t>,</w:t>
      </w:r>
      <w:r w:rsidRPr="00884B04">
        <w:t xml:space="preserve"> and notified in writing on</w:t>
      </w:r>
      <w:r w:rsidRPr="00884B04" w:rsidR="00C83919">
        <w:t xml:space="preserve"> 21 September 2021</w:t>
      </w:r>
      <w:r w:rsidRPr="00884B04">
        <w:t xml:space="preserve">, pursuant to </w:t>
      </w:r>
      <w:r w:rsidRPr="00884B04" w:rsidR="00F42FFF">
        <w:t>Rule 7</w:t>
      </w:r>
      <w:r w:rsidRPr="00884B04">
        <w:t>7</w:t>
      </w:r>
      <w:r w:rsidRPr="00884B04" w:rsidR="00F42FFF">
        <w:t xml:space="preserve"> </w:t>
      </w:r>
      <w:r w:rsidRPr="00884B04">
        <w:t>§</w:t>
      </w:r>
      <w:r w:rsidRPr="00884B04" w:rsidR="00F42FFF">
        <w:t>§ 2</w:t>
      </w:r>
      <w:r w:rsidRPr="00884B04">
        <w:t xml:space="preserve"> and 3 of the Rules of Court.</w:t>
      </w:r>
    </w:p>
    <w:p w:rsidRPr="00884B04" w:rsidR="00662B04" w:rsidP="00884B04" w:rsidRDefault="008B092C" w14:paraId="6ECED814" w14:textId="2737101D">
      <w:pPr>
        <w:pStyle w:val="JuSigned"/>
        <w:keepNext/>
        <w:keepLines/>
        <w:rPr>
          <w:color w:val="F8F8F8" w:themeColor="background2"/>
        </w:rPr>
      </w:pPr>
      <w:r w:rsidRPr="00884B04">
        <w:rPr>
          <w:color w:val="F8F8F8" w:themeColor="background2"/>
        </w:rPr>
        <w:tab/>
        <w:t xml:space="preserve"> {signature_p_2}</w:t>
      </w:r>
    </w:p>
    <w:p w:rsidRPr="00884B04" w:rsidR="001C055B" w:rsidP="00884B04" w:rsidRDefault="00B10EEA" w14:paraId="10447586" w14:textId="77777777">
      <w:pPr>
        <w:pStyle w:val="JuSigned"/>
      </w:pPr>
      <w:r w:rsidRPr="00884B04">
        <w:tab/>
      </w:r>
      <w:r w:rsidRPr="00884B04" w:rsidR="00662B04">
        <w:t>Milan Blaško</w:t>
      </w:r>
      <w:r w:rsidRPr="00884B04" w:rsidR="005879A2">
        <w:t xml:space="preserve"> </w:t>
      </w:r>
      <w:r w:rsidRPr="00884B04" w:rsidR="009F4C8F">
        <w:tab/>
      </w:r>
      <w:r w:rsidRPr="00884B04" w:rsidR="00662B04">
        <w:t>Paul Lemmens</w:t>
      </w:r>
      <w:r w:rsidRPr="00884B04" w:rsidR="009F4C8F">
        <w:br/>
      </w:r>
      <w:r w:rsidRPr="00884B04" w:rsidR="009F4C8F">
        <w:tab/>
      </w:r>
      <w:r w:rsidRPr="00884B04" w:rsidR="00662B04">
        <w:rPr>
          <w:iCs/>
        </w:rPr>
        <w:t>Registrar</w:t>
      </w:r>
      <w:r w:rsidRPr="00884B04" w:rsidR="009F4C8F">
        <w:tab/>
        <w:t>President</w:t>
      </w:r>
    </w:p>
    <w:p w:rsidRPr="00884B04" w:rsidR="00675AF2" w:rsidP="00884B04" w:rsidRDefault="00675AF2" w14:paraId="2D5D4BB4" w14:textId="77777777">
      <w:pPr>
        <w:pStyle w:val="JuPara"/>
      </w:pPr>
    </w:p>
    <w:p w:rsidRPr="00884B04" w:rsidR="00B10EEA" w:rsidP="00884B04" w:rsidRDefault="00B10EEA" w14:paraId="6F2E10CE" w14:textId="77777777">
      <w:pPr>
        <w:pStyle w:val="JuPara"/>
      </w:pPr>
    </w:p>
    <w:p w:rsidRPr="00884B04" w:rsidR="00B10EEA" w:rsidP="00884B04" w:rsidRDefault="00B10EEA" w14:paraId="55479590" w14:textId="77777777">
      <w:pPr>
        <w:pStyle w:val="JuParaLast"/>
        <w:spacing w:before="360"/>
      </w:pPr>
      <w:r w:rsidRPr="00884B04">
        <w:t xml:space="preserve">In accordance with </w:t>
      </w:r>
      <w:r w:rsidRPr="00884B04" w:rsidR="00F42FFF">
        <w:t>Article 4</w:t>
      </w:r>
      <w:r w:rsidRPr="00884B04">
        <w:t xml:space="preserve">5 </w:t>
      </w:r>
      <w:r w:rsidRPr="00884B04" w:rsidR="00F42FFF">
        <w:t>§ 2</w:t>
      </w:r>
      <w:r w:rsidRPr="00884B04">
        <w:t xml:space="preserve"> of the Convention and </w:t>
      </w:r>
      <w:r w:rsidRPr="00884B04" w:rsidR="00F42FFF">
        <w:t>Rule 7</w:t>
      </w:r>
      <w:r w:rsidRPr="00884B04">
        <w:t xml:space="preserve">4 </w:t>
      </w:r>
      <w:r w:rsidRPr="00884B04" w:rsidR="00F42FFF">
        <w:t>§ 2</w:t>
      </w:r>
      <w:r w:rsidRPr="00884B04">
        <w:t xml:space="preserve"> of the Rules of Court, the separate opinion of Judge Dedov is annexed to this judgment.</w:t>
      </w:r>
    </w:p>
    <w:p w:rsidRPr="00884B04" w:rsidR="002E4DF9" w:rsidP="00884B04" w:rsidRDefault="00B10EEA" w14:paraId="7CDD28B9" w14:textId="77777777">
      <w:pPr>
        <w:pStyle w:val="JuInitialled"/>
        <w:sectPr w:rsidRPr="00884B04" w:rsidR="002E4DF9" w:rsidSect="00FD6152">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r w:rsidRPr="00884B04">
        <w:t>P.L.</w:t>
      </w:r>
      <w:r w:rsidRPr="00884B04">
        <w:br/>
        <w:t>M.B.</w:t>
      </w:r>
      <w:r w:rsidRPr="00884B04">
        <w:br/>
      </w:r>
    </w:p>
    <w:p w:rsidRPr="00884B04" w:rsidR="00B10EEA" w:rsidP="00884B04" w:rsidRDefault="005909CF" w14:paraId="4B7D5BBF" w14:textId="28EE2304">
      <w:pPr>
        <w:pStyle w:val="DecHTitle"/>
        <w:rPr>
          <w:rFonts w:eastAsia="Times New Roman"/>
        </w:rPr>
      </w:pPr>
      <w:r w:rsidRPr="00884B04">
        <w:rPr>
          <w:rFonts w:eastAsia="Times New Roman"/>
        </w:rPr>
        <w:t xml:space="preserve">PARTLY </w:t>
      </w:r>
      <w:r w:rsidRPr="00884B04" w:rsidR="00B10EEA">
        <w:rPr>
          <w:rFonts w:eastAsia="Times New Roman"/>
        </w:rPr>
        <w:t>DISSENTING OPINION OF JUDGE DEDOV</w:t>
      </w:r>
    </w:p>
    <w:p w:rsidRPr="00884B04" w:rsidR="007759EA" w:rsidP="00884B04" w:rsidRDefault="00CC7135" w14:paraId="4C854529" w14:textId="77777777">
      <w:pPr>
        <w:pStyle w:val="JuPara"/>
      </w:pPr>
      <w:r w:rsidRPr="00884B04">
        <w:t>I regret that I cannot join the conclusions of the majority in finding a violation of both the procedural and the substantive limb of Article 2 of the Convention. I am not sure that those findings have been made beyond reasonable doubt. I found many deficiencies in the analysis by the British inquiry and by the Court which raise reasonable doubts as to the involvement of the suspects in the poisoning and whether they were acting as agents of the State.</w:t>
      </w:r>
    </w:p>
    <w:p w:rsidRPr="00884B04" w:rsidR="00CC7135" w:rsidP="00884B04" w:rsidRDefault="00CC7135" w14:paraId="7BE55FC3" w14:textId="2EA35F21">
      <w:pPr>
        <w:pStyle w:val="JuHA"/>
        <w:numPr>
          <w:ilvl w:val="2"/>
          <w:numId w:val="3"/>
        </w:numPr>
        <w:rPr>
          <w:szCs w:val="24"/>
        </w:rPr>
      </w:pPr>
      <w:r w:rsidRPr="00884B04">
        <w:rPr>
          <w:szCs w:val="24"/>
        </w:rPr>
        <w:t>Procedural obligation and jurisdictional link</w:t>
      </w:r>
    </w:p>
    <w:p w:rsidRPr="00884B04" w:rsidR="007759EA" w:rsidP="00884B04" w:rsidRDefault="00FE5149" w14:paraId="3862996F" w14:textId="40798ECF">
      <w:pPr>
        <w:pStyle w:val="JuPara"/>
      </w:pPr>
      <w:r w:rsidRPr="00884B04">
        <w:fldChar w:fldCharType="begin"/>
      </w:r>
      <w:r w:rsidRPr="00884B04">
        <w:instrText xml:space="preserve"> SEQ level0 \*arabic \r1 </w:instrText>
      </w:r>
      <w:r w:rsidRPr="00884B04">
        <w:fldChar w:fldCharType="separate"/>
      </w:r>
      <w:r w:rsidRPr="00884B04" w:rsidR="00884B04">
        <w:rPr>
          <w:noProof/>
        </w:rPr>
        <w:t>1</w:t>
      </w:r>
      <w:r w:rsidRPr="00884B04">
        <w:fldChar w:fldCharType="end"/>
      </w:r>
      <w:r w:rsidRPr="00884B04" w:rsidR="00CC7135">
        <w:t xml:space="preserve">.  My starting point relates to the general basis for establishing a procedural obligation and a jurisdictional link. The Court has stated that “in cases where the death occurred under a different jurisdiction from that of the State in respect of which the procedural obligation is said to arise, ... the institution by the investigative or judicial authorities of the respondent State of their own criminal investigation into that death, is sufficient to establish a jurisdictional link for the purposes of Article 1” (see paragraph </w:t>
      </w:r>
      <w:r w:rsidRPr="00884B04" w:rsidR="00CC7135">
        <w:fldChar w:fldCharType="begin"/>
      </w:r>
      <w:r w:rsidRPr="00884B04" w:rsidR="00CC7135">
        <w:instrText xml:space="preserve"> REF paragraph00131 \h  \* CharFormat </w:instrText>
      </w:r>
      <w:r w:rsidRPr="00884B04" w:rsidR="00CC7135">
        <w:fldChar w:fldCharType="separate"/>
      </w:r>
      <w:r w:rsidRPr="00884B04" w:rsidR="00884B04">
        <w:t>131</w:t>
      </w:r>
      <w:r w:rsidRPr="00884B04" w:rsidR="00CC7135">
        <w:fldChar w:fldCharType="end"/>
      </w:r>
      <w:r w:rsidRPr="00884B04" w:rsidR="00CC7135">
        <w:t xml:space="preserve"> of the judgment). In my opinion, there was no jurisdictional link resulting either from the institution of the investigation by the Russian authorities or from any “special feature”. The latter was indicated by the Court in paragraph</w:t>
      </w:r>
      <w:r w:rsidRPr="00884B04" w:rsidR="006C59D5">
        <w:t> </w:t>
      </w:r>
      <w:r w:rsidRPr="00884B04" w:rsidR="00CC7135">
        <w:fldChar w:fldCharType="begin"/>
      </w:r>
      <w:r w:rsidRPr="00884B04" w:rsidR="00CC7135">
        <w:instrText xml:space="preserve"> REF paragraph00134 \h  \* CharFormat </w:instrText>
      </w:r>
      <w:r w:rsidRPr="00884B04" w:rsidR="00CC7135">
        <w:fldChar w:fldCharType="separate"/>
      </w:r>
      <w:r w:rsidRPr="00884B04" w:rsidR="00884B04">
        <w:t>134</w:t>
      </w:r>
      <w:r w:rsidRPr="00884B04" w:rsidR="00CC7135">
        <w:fldChar w:fldCharType="end"/>
      </w:r>
      <w:r w:rsidRPr="00884B04" w:rsidR="00CC7135">
        <w:t xml:space="preserve"> of the judgment, where it stated that “the fact that the Government retained exclusive jurisdiction over an individual who is accused of a serious human rights violation constitutes a </w:t>
      </w:r>
      <w:r w:rsidRPr="00884B04" w:rsidR="00884B04">
        <w:t>‘</w:t>
      </w:r>
      <w:r w:rsidRPr="00884B04" w:rsidR="00CC7135">
        <w:t>special feature</w:t>
      </w:r>
      <w:r w:rsidRPr="00884B04" w:rsidR="00884B04">
        <w:t>’</w:t>
      </w:r>
      <w:r w:rsidRPr="00884B04" w:rsidR="00CC7135">
        <w:t xml:space="preserve"> of the case establishing the respondent State</w:t>
      </w:r>
      <w:r w:rsidRPr="00884B04" w:rsidR="00884B04">
        <w:t>’</w:t>
      </w:r>
      <w:r w:rsidRPr="00884B04" w:rsidR="00CC7135">
        <w:t>s jurisdiction under Article 1 of the Convention”. The constitutional protection from extradition in general cannot serve as a “special feature” because this type of immunity is available to all Russian citizens under the Russian Constitution in line with international standards. Furthermore, the respondent State was prevented from fulfilling the obligation to conduct an effective investigation because the United Kingdom authorities refused to cooperate and to provide access to the investigation files in order to verify even the basic evidence confirming that the victim had been poisoned by polonium and that episodes of primary and secondary contamination had occurred (no public access exists to such materials, which were considered part of the inquiry, and the relevant links do not work).</w:t>
      </w:r>
    </w:p>
    <w:p w:rsidRPr="00884B04" w:rsidR="007759EA" w:rsidP="00884B04" w:rsidRDefault="00EB7A47" w14:paraId="09546F2E" w14:textId="3B61E079">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2</w:t>
      </w:r>
      <w:r>
        <w:rPr>
          <w:noProof/>
        </w:rPr>
        <w:fldChar w:fldCharType="end"/>
      </w:r>
      <w:r w:rsidRPr="00884B04" w:rsidR="00CC7135">
        <w:t xml:space="preserve">.  Indeed, the Russian authorities instituted an investigation “into the death of Mr Litvinenko and the attempted murder of Mr Kovtun”. However, the main purpose of the investigation was to identify the perpetrators who attempted to murder Mr Kovtun in circumstances connected with the death of Mr Litvinenko, as both “suspects” were contaminated when they returned to Russia. This brings me to the conclusion that the present case is different from the circumstances of the investigation in </w:t>
      </w:r>
      <w:r w:rsidRPr="00884B04" w:rsidR="00CC7135">
        <w:rPr>
          <w:i/>
          <w:iCs/>
        </w:rPr>
        <w:t>Güzelyurtlu and Others v. Cyprus and Turkey</w:t>
      </w:r>
      <w:r w:rsidRPr="00884B04" w:rsidR="00CC7135">
        <w:t xml:space="preserve"> ([GC], no. 36925/07, 29 January 2019). As regards Mr Litvinenko himself, the Russian authorities did not have jurisdiction to investigate, since by the time of the event, Mr Litvinenko had changed his citizenship to become a citizen of the United Kingdom, and had even changed his name to Edwin Redwald Carter to establish a link with his new home State and to terminate any civil status connected with Russia.</w:t>
      </w:r>
    </w:p>
    <w:p w:rsidRPr="00884B04" w:rsidR="00CC7135" w:rsidP="00884B04" w:rsidRDefault="00EB7A47" w14:paraId="06E13368" w14:textId="4B11614E">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3</w:t>
      </w:r>
      <w:r>
        <w:rPr>
          <w:noProof/>
        </w:rPr>
        <w:fldChar w:fldCharType="end"/>
      </w:r>
      <w:r w:rsidRPr="00884B04" w:rsidR="00CC7135">
        <w:t>.  When it appeared that Mr Kovtun and Mr Lugovoy – who both had victim status in the Russian investigation – were considered suspects by the United Kingdom authorities, the Russian investigators asked for the material from the British criminal file (mainly because the Russian investigators were unable to find any material evidence supporting the involvement of the suspects in the killing), but their request was rejected by the United Kingdom authorities. It appears that in accordance with the observations of the Government, the British investigators refused to provide their Russian colleagues with any basic material evidence, including the samples of polonium (to compare with Russian polonium), the forensic medical report on the causes of death and any other material which could have constituted a basis for opening a criminal case against the “suspects”. Furthermore, the Russian investigators were denied assistance and cooperation in order to test any theories other than the main one. This raises doubts from the very beginning as to the impartiality of the British investigation (contrary to the Court</w:t>
      </w:r>
      <w:r w:rsidRPr="00884B04" w:rsidR="00884B04">
        <w:t>’</w:t>
      </w:r>
      <w:r w:rsidRPr="00884B04" w:rsidR="00CC7135">
        <w:t xml:space="preserve">s conclusion in paragraph </w:t>
      </w:r>
      <w:r w:rsidRPr="00884B04" w:rsidR="00CC7135">
        <w:fldChar w:fldCharType="begin"/>
      </w:r>
      <w:r w:rsidRPr="00884B04" w:rsidR="00CC7135">
        <w:instrText xml:space="preserve"> REF paragraph00110 \h  \* CharFormat </w:instrText>
      </w:r>
      <w:r w:rsidRPr="00884B04" w:rsidR="00CC7135">
        <w:fldChar w:fldCharType="separate"/>
      </w:r>
      <w:r w:rsidRPr="00884B04" w:rsidR="00884B04">
        <w:t>110</w:t>
      </w:r>
      <w:r w:rsidRPr="00884B04" w:rsidR="00CC7135">
        <w:fldChar w:fldCharType="end"/>
      </w:r>
      <w:r w:rsidRPr="00884B04" w:rsidR="00CC7135">
        <w:t xml:space="preserve"> of the judgment that “there is no reason to doubt the quality of the domestic investigative process, or the independence, fairness and transparency of the inquiry proceedings”).</w:t>
      </w:r>
    </w:p>
    <w:p w:rsidRPr="00884B04" w:rsidR="00CC7135" w:rsidP="00884B04" w:rsidRDefault="00CC7135" w14:paraId="087DDD00" w14:textId="77777777">
      <w:pPr>
        <w:pStyle w:val="JuHA"/>
        <w:rPr>
          <w:szCs w:val="24"/>
        </w:rPr>
      </w:pPr>
      <w:r w:rsidRPr="00884B04">
        <w:rPr>
          <w:szCs w:val="24"/>
        </w:rPr>
        <w:t>Jurisdiction under the substantive limb of Article 2</w:t>
      </w:r>
    </w:p>
    <w:p w:rsidRPr="00884B04" w:rsidR="00CC7135" w:rsidP="00884B04" w:rsidRDefault="00CC7135" w14:paraId="5F93EFA9" w14:textId="77777777">
      <w:pPr>
        <w:pStyle w:val="JuPara"/>
        <w:rPr>
          <w:i/>
          <w:iCs/>
        </w:rPr>
      </w:pPr>
      <w:r w:rsidRPr="00884B04">
        <w:rPr>
          <w:i/>
          <w:iCs/>
        </w:rPr>
        <w:t>Source of polonium 210</w:t>
      </w:r>
    </w:p>
    <w:p w:rsidRPr="00884B04" w:rsidR="00CC7135" w:rsidP="00884B04" w:rsidRDefault="00CC7135" w14:paraId="495E1C1B" w14:textId="77777777">
      <w:pPr>
        <w:pStyle w:val="JuPara"/>
      </w:pPr>
    </w:p>
    <w:p w:rsidRPr="00884B04" w:rsidR="00CC7135" w:rsidP="00884B04" w:rsidRDefault="00EB7A47" w14:paraId="3A691F5C" w14:textId="6A25DA4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4</w:t>
      </w:r>
      <w:r>
        <w:rPr>
          <w:noProof/>
        </w:rPr>
        <w:fldChar w:fldCharType="end"/>
      </w:r>
      <w:r w:rsidRPr="00884B04" w:rsidR="00CC7135">
        <w:t xml:space="preserve">.  The Court found that “the use of polonium 210 strongly indicates that Mr Lugovoy and Mr Kovtun were acting with the support of a State entity which enabled them to procure the poison” (see paragraph </w:t>
      </w:r>
      <w:r w:rsidRPr="00884B04" w:rsidR="00CC7135">
        <w:fldChar w:fldCharType="begin"/>
      </w:r>
      <w:r w:rsidRPr="00884B04" w:rsidR="00CC7135">
        <w:instrText xml:space="preserve"> REF paragraph00163 \h  \* CharFormat </w:instrText>
      </w:r>
      <w:r w:rsidRPr="00884B04" w:rsidR="00CC7135">
        <w:fldChar w:fldCharType="separate"/>
      </w:r>
      <w:r w:rsidRPr="00884B04" w:rsidR="00884B04">
        <w:t>163</w:t>
      </w:r>
      <w:r w:rsidRPr="00884B04" w:rsidR="00CC7135">
        <w:fldChar w:fldCharType="end"/>
      </w:r>
      <w:r w:rsidRPr="00884B04" w:rsidR="00CC7135">
        <w:t xml:space="preserve"> of the judgment). However, the results of the inquiry were not so evident. It was not established by the British experts that the polonium discovered by the investigators in the United Kingdom was identical to the polonium produced in Russia. Obviously, the experts had the opportunity to obtain samples from the United States purchaser of the Russian polonium, but they could not confirm that the polonium that was used as a poison had been produced in Russia. Moreover, the inquiry established that there were many reactors and laboratories in Europe, including in the territory of the United Kingdom, where polonium could be produced. The conclusion was reached only because in Russia there was a “programme” for the production of polonium. The Court should not have relied on such general and vague reasoning.</w:t>
      </w:r>
    </w:p>
    <w:p w:rsidRPr="00884B04" w:rsidR="00CC7135" w:rsidP="00884B04" w:rsidRDefault="00CC7135" w14:paraId="6DE4E74F" w14:textId="77777777">
      <w:pPr>
        <w:pStyle w:val="JuPara"/>
      </w:pPr>
    </w:p>
    <w:p w:rsidRPr="00884B04" w:rsidR="007759EA" w:rsidP="00884B04" w:rsidRDefault="00CC7135" w14:paraId="53932706" w14:textId="77777777">
      <w:pPr>
        <w:pStyle w:val="JuPara"/>
        <w:rPr>
          <w:i/>
          <w:iCs/>
        </w:rPr>
      </w:pPr>
      <w:r w:rsidRPr="00884B04">
        <w:rPr>
          <w:i/>
          <w:iCs/>
        </w:rPr>
        <w:t>Control of the victim by the suspects</w:t>
      </w:r>
    </w:p>
    <w:p w:rsidRPr="00884B04" w:rsidR="00CC7135" w:rsidP="00884B04" w:rsidRDefault="00CC7135" w14:paraId="3F6398F3" w14:textId="0739E858">
      <w:pPr>
        <w:pStyle w:val="JuPara"/>
      </w:pPr>
    </w:p>
    <w:p w:rsidRPr="00884B04" w:rsidR="00CC7135" w:rsidP="00884B04" w:rsidRDefault="00EB7A47" w14:paraId="6AEF75BF" w14:textId="28F61588">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5</w:t>
      </w:r>
      <w:r>
        <w:rPr>
          <w:noProof/>
        </w:rPr>
        <w:fldChar w:fldCharType="end"/>
      </w:r>
      <w:r w:rsidRPr="00884B04" w:rsidR="00CC7135">
        <w:t>.  The first point of doubt relates to the contamination of means of transport. No contamination was found in the airport bus which carried the suspects when they arrived in London. Since this fact was established by the British investigators, the chairman of the inquiry paid no attention to it. When the Russian investigators found no contamination in the Russian aeroplane which carried the suspects to London, the chairman became very suspicious about the independence and impartiality of the Russian investigation. Such double standards could hardly be acceptable in a judicial examination. No polonium was detected at the airports in either Moscow or London. All these facts may prompt the reasonable theory that the suspects did not carry any poison with them, and that they were targeted on British territory by third parties.</w:t>
      </w:r>
    </w:p>
    <w:p w:rsidRPr="00884B04" w:rsidR="007759EA" w:rsidP="00884B04" w:rsidRDefault="00EB7A47" w14:paraId="55486BD5" w14:textId="0CCE7070">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6</w:t>
      </w:r>
      <w:r>
        <w:rPr>
          <w:noProof/>
        </w:rPr>
        <w:fldChar w:fldCharType="end"/>
      </w:r>
      <w:r w:rsidRPr="00884B04" w:rsidR="00CC7135">
        <w:t xml:space="preserve">.  The second point of doubt relates to the use of polonium by the suspects. Contamination was detected in rooms in different hotels. The Court paid special attention to this fact and concluded that the suspects had made several attempts to poison the victim (see paragraph </w:t>
      </w:r>
      <w:r w:rsidRPr="00884B04" w:rsidR="00CC7135">
        <w:fldChar w:fldCharType="begin"/>
      </w:r>
      <w:r w:rsidRPr="00884B04" w:rsidR="00CC7135">
        <w:instrText xml:space="preserve"> REF paragraph00159 \h  \* CharFormat </w:instrText>
      </w:r>
      <w:r w:rsidRPr="00884B04" w:rsidR="00CC7135">
        <w:fldChar w:fldCharType="separate"/>
      </w:r>
      <w:r w:rsidRPr="00884B04" w:rsidR="00884B04">
        <w:t>159</w:t>
      </w:r>
      <w:r w:rsidRPr="00884B04" w:rsidR="00CC7135">
        <w:fldChar w:fldCharType="end"/>
      </w:r>
      <w:r w:rsidRPr="00884B04" w:rsidR="00CC7135">
        <w:t xml:space="preserve"> of the judgment). According to the inquiry and the Court, a high level of contamination in bathroom bins and sink plugholes pointed to attempts having been made to dispose of the poison by throwing it into a bin or pouring it down the sink. The Court noted (or even concluded) that “the evidence has established, beyond reasonable doubt”, that the suspects “knew that they were using a deadly poison” (see paragraph </w:t>
      </w:r>
      <w:r w:rsidRPr="00884B04" w:rsidR="00CC7135">
        <w:fldChar w:fldCharType="begin"/>
      </w:r>
      <w:r w:rsidRPr="00884B04" w:rsidR="00CC7135">
        <w:instrText xml:space="preserve"> REF paragraph00160 \h  \* CharFormat </w:instrText>
      </w:r>
      <w:r w:rsidRPr="00884B04" w:rsidR="00CC7135">
        <w:fldChar w:fldCharType="separate"/>
      </w:r>
      <w:r w:rsidRPr="00884B04" w:rsidR="00884B04">
        <w:t>160</w:t>
      </w:r>
      <w:r w:rsidRPr="00884B04" w:rsidR="00CC7135">
        <w:fldChar w:fldCharType="end"/>
      </w:r>
      <w:r w:rsidRPr="00884B04" w:rsidR="00CC7135">
        <w:t xml:space="preserve"> of the judgment). I am not sure that an international court that had no control over the investigation and inquiry can reach such firm conclusions in a situation where there was a lack of direct evidence to support the subjective intentions of the individuals concerned and thus to establish the subjective element of the crime.</w:t>
      </w:r>
    </w:p>
    <w:p w:rsidRPr="00884B04" w:rsidR="00CC7135" w:rsidP="00884B04" w:rsidRDefault="00EB7A47" w14:paraId="2F37CA16" w14:textId="4FE2A7D1">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7</w:t>
      </w:r>
      <w:r>
        <w:rPr>
          <w:noProof/>
        </w:rPr>
        <w:fldChar w:fldCharType="end"/>
      </w:r>
      <w:r w:rsidRPr="00884B04" w:rsidR="00CC7135">
        <w:t>.  I wonder myself whether the suspects could really have been so careless and reckless, since they allegedly knew that they were in possession of polonium, that it was a radioactive chemical element, and that if it was poured down the sink, the traces of the poison would remain detectable for a period of six months. It would have been more prudent to keep the polonium in a container preserving it from detection at airports (this could have been a small glass jar) and to throw it into a rubbish bin on a street far away from the hotel. Rather, those facts could reasonably give rise to a theory that it could have been any third parties who were tracking the movements of the “suspects” and left the contamination in every hotel rooms where they stayed, disposing of the poison in the same places and in the same manner, as a</w:t>
      </w:r>
      <w:r w:rsidRPr="00884B04" w:rsidR="007759EA">
        <w:t xml:space="preserve"> </w:t>
      </w:r>
      <w:r w:rsidRPr="00884B04" w:rsidR="00CC7135">
        <w:t>way of planting evidence against the “suspects”.</w:t>
      </w:r>
    </w:p>
    <w:p w:rsidRPr="00884B04" w:rsidR="00CC7135" w:rsidP="00884B04" w:rsidRDefault="00EB7A47" w14:paraId="0A50800B" w14:textId="418479F3">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8</w:t>
      </w:r>
      <w:r>
        <w:rPr>
          <w:noProof/>
        </w:rPr>
        <w:fldChar w:fldCharType="end"/>
      </w:r>
      <w:r w:rsidRPr="00884B04" w:rsidR="00CC7135">
        <w:t xml:space="preserve">.  The third point of doubt (deriving from the previous paragraph) relates to the possibility that third parties might have been the real perpetrators. The Court noted that “the public inquiry carefully reviewed and discarded several theories as to the entities which might have wished Mr Litvinenko dead, which left the theory of State involvement as the only tenable one. The inquiry report further identified several reasons why organisations and individuals within the Russian State would have wished to target” the victim (see paragraph </w:t>
      </w:r>
      <w:r w:rsidRPr="00884B04" w:rsidR="00CC7135">
        <w:fldChar w:fldCharType="begin"/>
      </w:r>
      <w:r w:rsidRPr="00884B04" w:rsidR="00CC7135">
        <w:instrText xml:space="preserve"> REF paragraph00067 \h  \* CharFormat </w:instrText>
      </w:r>
      <w:r w:rsidRPr="00884B04" w:rsidR="00CC7135">
        <w:fldChar w:fldCharType="separate"/>
      </w:r>
      <w:r w:rsidRPr="00884B04" w:rsidR="00884B04">
        <w:t>67</w:t>
      </w:r>
      <w:r w:rsidRPr="00884B04" w:rsidR="00CC7135">
        <w:fldChar w:fldCharType="end"/>
      </w:r>
      <w:r w:rsidRPr="00884B04" w:rsidR="00CC7135">
        <w:t xml:space="preserve"> of the judgment). However, the British investigation followed by the inquiry paid little attention to theories other than the involvement of agents of the Russian State. They concentrated heavily and disproportionately on that theory. However, the theory of involvement of the British intelligence service, owing to the circumstances in which the material evidence was found in the hotels, could be considered much more tenable than the involvement of Russian agents in the poisoning. The main theory supported and developed by the inquiry becomes even more doubtful since it is not based on any direct evidence, but on the contrary is based on the statements of witnesses who specialise in conspiracy theories undermining the reputation of the Russian authorities (especially the Russian intelligence service) and portraying them as the devil. In contrast, the assessment of the British intelligence service in the inquiry report appears to be completely positive. I am not surprised that a British judge would find the Russian, not British, intelligence service responsible for the poisoning. But again, this raises the questions of double standards, independence and impartiality of the inquiry.</w:t>
      </w:r>
    </w:p>
    <w:p w:rsidRPr="00884B04" w:rsidR="00CC7135" w:rsidP="00884B04" w:rsidRDefault="00CC7135" w14:paraId="4D4CD580" w14:textId="77777777">
      <w:pPr>
        <w:pStyle w:val="JuPara"/>
      </w:pPr>
    </w:p>
    <w:p w:rsidRPr="00884B04" w:rsidR="00CC7135" w:rsidP="00884B04" w:rsidRDefault="00CC7135" w14:paraId="17A76F7C" w14:textId="77777777">
      <w:pPr>
        <w:pStyle w:val="JuPara"/>
        <w:rPr>
          <w:i/>
          <w:iCs/>
        </w:rPr>
      </w:pPr>
      <w:r w:rsidRPr="00884B04">
        <w:rPr>
          <w:i/>
          <w:iCs/>
        </w:rPr>
        <w:t>Whether the suspects were agents of the State</w:t>
      </w:r>
    </w:p>
    <w:p w:rsidRPr="00884B04" w:rsidR="00CC7135" w:rsidP="00884B04" w:rsidRDefault="00CC7135" w14:paraId="0D6CB5AD" w14:textId="77777777">
      <w:pPr>
        <w:pStyle w:val="JuPara"/>
      </w:pPr>
    </w:p>
    <w:p w:rsidRPr="00884B04" w:rsidR="00CC7135" w:rsidP="00884B04" w:rsidRDefault="00EB7A47" w14:paraId="1E826838" w14:textId="3638CC67">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9</w:t>
      </w:r>
      <w:r>
        <w:rPr>
          <w:noProof/>
        </w:rPr>
        <w:fldChar w:fldCharType="end"/>
      </w:r>
      <w:r w:rsidRPr="00884B04" w:rsidR="00CC7135">
        <w:t xml:space="preserve">.  The Court has reached its conclusion using very general wording (“the indication of their connection with the authorities of the respondent State established a strong prima facie case that, in killing Mr Litvinenko, Mr Lugovoy and Mr Kovtun were acting on the direction or control of the Russian authorities” – see paragraph </w:t>
      </w:r>
      <w:r w:rsidRPr="00884B04" w:rsidR="00CC7135">
        <w:fldChar w:fldCharType="begin"/>
      </w:r>
      <w:r w:rsidRPr="00884B04" w:rsidR="00CC7135">
        <w:instrText xml:space="preserve"> REF paragraph00165 \h  \* CharFormat </w:instrText>
      </w:r>
      <w:r w:rsidRPr="00884B04" w:rsidR="00CC7135">
        <w:fldChar w:fldCharType="separate"/>
      </w:r>
      <w:r w:rsidRPr="00884B04" w:rsidR="00884B04">
        <w:t>165</w:t>
      </w:r>
      <w:r w:rsidRPr="00884B04" w:rsidR="00CC7135">
        <w:fldChar w:fldCharType="end"/>
      </w:r>
      <w:r w:rsidRPr="00884B04" w:rsidR="00CC7135">
        <w:t xml:space="preserve"> of the judgment). It appears that only the circumstances of the poisoning were supported by material evidence. However, the involvement of the State in the poisoning was confirmed with the same conviction but without any evidence at all. The inquiry thus transformed from a quasi-criminal investigation to mere conspiracy theories. The Court based its assessment on the reactions of the authorities, which did not carry out an effective investigation and then refused to extradite the suspects and did not seek to deprive one of them of parliamentary immunity. I explained above that extradition is prohibited under the Russian Constitution, and that an effective investigation was not possible without the material evidence held by the United Kingdom authorities and was difficult, or even unrealistic, to achieve on account of the fact that the crime was committed outside the territory of the Russian Federation, and therefore the key investigative steps were outside the control of the Russian authorities.</w:t>
      </w:r>
    </w:p>
    <w:p w:rsidRPr="00884B04" w:rsidR="00CC7135" w:rsidP="00884B04" w:rsidRDefault="00EB7A47" w14:paraId="0BE4F2EE" w14:textId="3E50FD46">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10</w:t>
      </w:r>
      <w:r>
        <w:rPr>
          <w:noProof/>
        </w:rPr>
        <w:fldChar w:fldCharType="end"/>
      </w:r>
      <w:r w:rsidRPr="00884B04" w:rsidR="00CC7135">
        <w:t>.  Neither the inquiry nor the Court had any evidence that the suspects were State agents. Instead, the Court shifted that burden of proof to the Russian Government in a situation when there was no prima facie claim. The Court fully relied on the conclusions of the inquiry and paid little attention to the fact that Mr Lugovoy had ended his State service in 1995 and Mr Kovtun in 1992, eleven and fourteen years respectively before the poisoning. Since then, they had been fully engaged in the private sector of the economy. Their motivation to kill cannot be justified by any of the reasons imagined in the report, including revenge. On the contrary, they provided security services to Mr Berezovsky, the victim</w:t>
      </w:r>
      <w:r w:rsidRPr="00884B04" w:rsidR="00884B04">
        <w:t>’</w:t>
      </w:r>
      <w:r w:rsidRPr="00884B04" w:rsidR="00CC7135">
        <w:t>s associate and even “friend”, so the suspects had proved their friendship, loyalty, and trust on many occasions. I must say that the 1990s were very difficult years for the Russian people, who had to live in a failed State at that time. Organised crime rapidly developed and flourished. The law-enforcement officers were not motivated to continue their service and moved in large numbers to the private sector. This was quite natural, so there were no motives for either of the suspects to return to State service, and especially to agree to kill Mr</w:t>
      </w:r>
      <w:r w:rsidRPr="00884B04" w:rsidR="002E4DF9">
        <w:t> </w:t>
      </w:r>
      <w:r w:rsidRPr="00884B04" w:rsidR="00CC7135">
        <w:t>Litvinenko. The response in the inquiry report (as well as the analysis) was inspired by a conspiracy theory: “there is no such thing as a former KGB man” (see Chapter 9 of the inquiry report).</w:t>
      </w:r>
    </w:p>
    <w:p w:rsidRPr="00884B04" w:rsidR="00CC7135" w:rsidP="00884B04" w:rsidRDefault="00EB7A47" w14:paraId="69484BFB" w14:textId="6679561D">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11</w:t>
      </w:r>
      <w:r>
        <w:rPr>
          <w:noProof/>
        </w:rPr>
        <w:fldChar w:fldCharType="end"/>
      </w:r>
      <w:r w:rsidRPr="00884B04" w:rsidR="00CC7135">
        <w:t>.  It was not taken into consideration that the suspects had terminated their relations with the State institutions. Instead, all the previous and consequent activities of Mr Lugovoy were aimed at developing private security services in Russia and limiting the State</w:t>
      </w:r>
      <w:r w:rsidRPr="00884B04" w:rsidR="00884B04">
        <w:t>’</w:t>
      </w:r>
      <w:r w:rsidRPr="00884B04" w:rsidR="00CC7135">
        <w:t>s influence in this field. Furthermore, he was invited to engage in law-making activities by an opposition political party, and not by the ruling party. He was re-elected as an active member of the party – not simply for the purpose of immunity. Later, he was awarded an honour for his parliamentary activity.</w:t>
      </w:r>
    </w:p>
    <w:p w:rsidRPr="00884B04" w:rsidR="00CC7135" w:rsidP="00884B04" w:rsidRDefault="00CC7135" w14:paraId="1597CCE1" w14:textId="77777777">
      <w:pPr>
        <w:pStyle w:val="JuHA"/>
      </w:pPr>
      <w:r w:rsidRPr="00884B04">
        <w:rPr>
          <w:szCs w:val="24"/>
        </w:rPr>
        <w:t>Motivation</w:t>
      </w:r>
    </w:p>
    <w:p w:rsidRPr="00884B04" w:rsidR="00CC7135" w:rsidP="00884B04" w:rsidRDefault="00EB7A47" w14:paraId="7B9B8E67" w14:textId="486105E5">
      <w:pPr>
        <w:pStyle w:val="JuPara"/>
      </w:pPr>
      <w:r>
        <w:rPr>
          <w:noProof/>
        </w:rPr>
        <w:fldChar w:fldCharType="begin"/>
      </w:r>
      <w:r>
        <w:rPr>
          <w:noProof/>
        </w:rPr>
        <w:instrText xml:space="preserve"> SEQ</w:instrText>
      </w:r>
      <w:r>
        <w:rPr>
          <w:noProof/>
        </w:rPr>
        <w:instrText xml:space="preserve"> level0 \*arabic \* MERGEFORMAT </w:instrText>
      </w:r>
      <w:r>
        <w:rPr>
          <w:noProof/>
        </w:rPr>
        <w:fldChar w:fldCharType="separate"/>
      </w:r>
      <w:r w:rsidRPr="00884B04" w:rsidR="00884B04">
        <w:rPr>
          <w:noProof/>
        </w:rPr>
        <w:t>12</w:t>
      </w:r>
      <w:r>
        <w:rPr>
          <w:noProof/>
        </w:rPr>
        <w:fldChar w:fldCharType="end"/>
      </w:r>
      <w:r w:rsidRPr="00884B04" w:rsidR="00CC7135">
        <w:t>.  The inquiry report and the Court in the present judgment preferred not to develop other theories, including the involvement of British intelligence in the death of the victim. Both Mr Berezovsky and Mr Litvinenko left Russia together at the same time. Obviously, Mr Berezovsky could be considered much more dangerous for the Russian authorities as he intended to play a key role in Russian politics as a shadow director to gain power, money and influence without taking any responsibility. His manner of government distorted democracy in Russia, but instead he obtained refugee status in the United Kingdom as a political opponent of the Russian government. However, Mr Berezovsky was never a target, even if there was allegedly (according to Mr Litvinenko) an attempt to kill him in Russia just before his departure. I think that Mr Berezovsky was not so active against his Russian opponents after settling in London. In contrast, Mr Litvinenko started a new life earning money by selling negative compromising information about Russian intelligence and high-ranking officials. He published a book about explosions at buildings in Moscow, blaming the Russian intelligence service, but this allegation has never been confirmed by any evidence. The inquiry report also presents a large amount of such implausible information provided by various witnesses.</w:t>
      </w:r>
    </w:p>
    <w:p w:rsidRPr="00884B04" w:rsidR="007759EA" w:rsidP="00884B04" w:rsidRDefault="00EB7A47" w14:paraId="622401FF" w14:textId="2226757E">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13</w:t>
      </w:r>
      <w:r>
        <w:rPr>
          <w:noProof/>
        </w:rPr>
        <w:fldChar w:fldCharType="end"/>
      </w:r>
      <w:r w:rsidRPr="00884B04" w:rsidR="00CC7135">
        <w:t>.  It seems that the United Kingdom intelligence service was interested in such information even though it was very far removed from the interests of national security. Indeed, this information would be considered valuable if a different purpose had been pursued, namely to present the Russian authorities as the devil. No doubt the Russian intelligence services were and are considered an adversary by British intelligence. Also, I have no doubt that the relationship between the United Kingdom and American intelligence services is very different in nature from the relationship between the United Kingdom and Russian intelligence services. I presume that the Cold War has never ended for the intelligence services. Mr</w:t>
      </w:r>
      <w:r w:rsidRPr="00884B04" w:rsidR="002E4DF9">
        <w:t> </w:t>
      </w:r>
      <w:r w:rsidRPr="00884B04" w:rsidR="00CC7135">
        <w:t>Churchill declared that cold war many years ago, and no other subsequent Prime Minister has declared officially that the war is over. Therefore, I am not surprised that the British judge found the Russian State responsible, and therefore confirmed the version of events put forward by the victim himself before his death and also provided in the application many years before the inquiry report was issued.</w:t>
      </w:r>
    </w:p>
    <w:p w:rsidRPr="00884B04" w:rsidR="00CC7135" w:rsidP="00884B04" w:rsidRDefault="00EB7A47" w14:paraId="053607B7" w14:textId="34858226">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14</w:t>
      </w:r>
      <w:r>
        <w:rPr>
          <w:noProof/>
        </w:rPr>
        <w:fldChar w:fldCharType="end"/>
      </w:r>
      <w:r w:rsidRPr="00884B04" w:rsidR="00CC7135">
        <w:t>.  It could reasonably be understood that the election of Mr Lugovoy as a member of the national parliament was motivated by the fact that he had become a victim of the Cold War. The fact is that Mr Litvinenko worked for the United Kingdom intelligence service and those of some other countries, and expressed his dissatisfaction that Mr Lugovoy was not proactive in favour of British intelligence. Mr Litvinenko made no secret of the fact that he was an intelligence agent (probably because this would raise the credibility of the information provided by him) and the United Kingdom intelligence service could not tolerate this anymore. These circumstances should lead to the conclusion that many other people who had been targeted by Mr Litvinenko</w:t>
      </w:r>
      <w:r w:rsidRPr="00884B04" w:rsidR="00884B04">
        <w:t>’</w:t>
      </w:r>
      <w:r w:rsidRPr="00884B04" w:rsidR="00CC7135">
        <w:t>s attempts to find negative information about them, as well as the United Kingdom intelligence service, could have been interested in getting rid of him, so all those theories should have been a priority for the purposes of the investigation and inquiry. But nothing was done to that end: “I have heard no evidence to support this allegation” (see Chapter 3 of the inquiry report).</w:t>
      </w:r>
    </w:p>
    <w:p w:rsidRPr="00884B04" w:rsidR="00CC7135" w:rsidP="00884B04" w:rsidRDefault="00CC7135" w14:paraId="04D2AAE3" w14:textId="77777777">
      <w:pPr>
        <w:pStyle w:val="JuHA"/>
        <w:rPr>
          <w:szCs w:val="24"/>
        </w:rPr>
      </w:pPr>
      <w:r w:rsidRPr="00884B04">
        <w:rPr>
          <w:szCs w:val="24"/>
        </w:rPr>
        <w:t>Approach of the Court to the assessment of the evidence</w:t>
      </w:r>
    </w:p>
    <w:p w:rsidRPr="00884B04" w:rsidR="007759EA" w:rsidP="00884B04" w:rsidRDefault="00EB7A47" w14:paraId="74F09D43" w14:textId="2A810E9C">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15</w:t>
      </w:r>
      <w:r>
        <w:rPr>
          <w:noProof/>
        </w:rPr>
        <w:fldChar w:fldCharType="end"/>
      </w:r>
      <w:r w:rsidRPr="00884B04" w:rsidR="00CC7135">
        <w:t>.  In such a controversial situation which casts doubt on the impartiality and independence of the British inquiry, the Court should have avoided such direct and unconditional endorsements of the findings of the inquiry report. While the Court may draw inferences from the material available to it, as well as from the authorities</w:t>
      </w:r>
      <w:r w:rsidRPr="00884B04" w:rsidR="00884B04">
        <w:t>’</w:t>
      </w:r>
      <w:r w:rsidRPr="00884B04" w:rsidR="00CC7135">
        <w:t xml:space="preserve"> conduct, when establishing the relevant facts of a case, it is ultimately for the Court to make its own findings and reach its own conclusions on the applicant</w:t>
      </w:r>
      <w:r w:rsidRPr="00884B04" w:rsidR="00884B04">
        <w:t>’</w:t>
      </w:r>
      <w:r w:rsidRPr="00884B04" w:rsidR="00CC7135">
        <w:t xml:space="preserve">s allegations (see </w:t>
      </w:r>
      <w:r w:rsidRPr="00884B04" w:rsidR="00CC7135">
        <w:rPr>
          <w:i/>
        </w:rPr>
        <w:t>El-Masri v. the former Yugoslav Republic of Macedonia</w:t>
      </w:r>
      <w:r w:rsidRPr="00884B04" w:rsidR="00CC7135">
        <w:t xml:space="preserve"> [GC], no. 39630/09, § 16, ECHR 2012).</w:t>
      </w:r>
    </w:p>
    <w:p w:rsidRPr="00884B04" w:rsidR="00CC7135" w:rsidP="00884B04" w:rsidRDefault="00EB7A47" w14:paraId="0EF83E5A" w14:textId="4FF5A3EB">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16</w:t>
      </w:r>
      <w:r>
        <w:rPr>
          <w:noProof/>
        </w:rPr>
        <w:fldChar w:fldCharType="end"/>
      </w:r>
      <w:r w:rsidRPr="00884B04" w:rsidR="00CC7135">
        <w:t>.  The main problem in the present case is how the Court assessed the evidence in front of it. It relied entirely on the conclusions of the inquiry report without taking into consideration the level of probability with regard to the responsibility of the State. The Court therefore confirmed that the suspects acted on behalf of and on the instructions of the authorities without any reference to such probability, as though this were an established fact. At the same time the Court concluded that there was a prima facie claim which was not refuted by the Russian Government. Indeed, the Government did not institute a criminal investigation in respect of the “suspects”, they refused to participate in the public inquiry, and they even refused to provide the Russian criminal case file to the Court. That could make the Court suspicious and more confident that there was really a prima facie claim. However, there was nothing to be refuted by the Government as the complaint under the substantive limb of Article 2 was not based on any material evidence. The persons who expressed their opinion about alleged State involvement cannot be considered witnesses from the criminal-law point of view as their “knowledge” was not based on facts, documents or any other material evidence. It was just a theoretical possibility. Therefore, the quality of the claim in the present case is doubtful, in my view, and so I have doubts that there was a prima facie claim in the present case.</w:t>
      </w:r>
    </w:p>
    <w:p w:rsidRPr="00884B04" w:rsidR="00CC7135" w:rsidP="00884B04" w:rsidRDefault="00EB7A47" w14:paraId="647CAA2E" w14:textId="5EEFFFA9">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17</w:t>
      </w:r>
      <w:r>
        <w:rPr>
          <w:noProof/>
        </w:rPr>
        <w:fldChar w:fldCharType="end"/>
      </w:r>
      <w:r w:rsidRPr="00884B04" w:rsidR="00CC7135">
        <w:t>.  The inquiry proceedings lacked the guarantees of a fair trial for many reasons. Since the defendants (individuals and officials of the respondent State) were not present in the proceedings, there should have been more scrutiny to ensure the effectiveness of the defence. However, the legal assistance was not effective: counsel for the defence did not raise any doubts such as those expressed above in the present opinion; nor did he examine the prosecution witnesses, who were left free to provide absolutely unbelievable statements and frivolous allegations. The inquiry chairman expressed a positive attitude in relation to the British investigation and a negative one in relation to the Russian investigation and its efforts to promote alternative scenarios. The assessment of evidence by the inquiry chairman was one-sided and was deficient in ensuring a fair balance and equality of arms. Obviously, the principles of a fair trial were not respected in the inquiry proceedings, but the Court did not take that into account while assessing the evidence in the present case.</w:t>
      </w:r>
    </w:p>
    <w:p w:rsidRPr="00884B04" w:rsidR="00B10EEA" w:rsidP="00884B04" w:rsidRDefault="00EB7A47" w14:paraId="2335829C" w14:textId="6CB2AFBF">
      <w:pPr>
        <w:pStyle w:val="JuPara"/>
      </w:pPr>
      <w:r>
        <w:rPr>
          <w:noProof/>
        </w:rPr>
        <w:fldChar w:fldCharType="begin"/>
      </w:r>
      <w:r>
        <w:rPr>
          <w:noProof/>
        </w:rPr>
        <w:instrText xml:space="preserve"> SEQ level0 \*arabic \* MERGEFORMAT </w:instrText>
      </w:r>
      <w:r>
        <w:rPr>
          <w:noProof/>
        </w:rPr>
        <w:fldChar w:fldCharType="separate"/>
      </w:r>
      <w:r w:rsidRPr="00884B04" w:rsidR="00884B04">
        <w:rPr>
          <w:noProof/>
        </w:rPr>
        <w:t>18</w:t>
      </w:r>
      <w:r>
        <w:rPr>
          <w:noProof/>
        </w:rPr>
        <w:fldChar w:fldCharType="end"/>
      </w:r>
      <w:r w:rsidRPr="00884B04" w:rsidR="00CC7135">
        <w:t xml:space="preserve">.  Contrary to the essential elements of a fair trial (see </w:t>
      </w:r>
      <w:r w:rsidRPr="00884B04" w:rsidR="00CC7135">
        <w:rPr>
          <w:i/>
          <w:iCs/>
        </w:rPr>
        <w:t>Čepek v.</w:t>
      </w:r>
      <w:r w:rsidRPr="00884B04" w:rsidR="002E4DF9">
        <w:rPr>
          <w:i/>
          <w:iCs/>
        </w:rPr>
        <w:t> </w:t>
      </w:r>
      <w:r w:rsidRPr="00884B04" w:rsidR="00CC7135">
        <w:rPr>
          <w:i/>
          <w:iCs/>
        </w:rPr>
        <w:t>the</w:t>
      </w:r>
      <w:r w:rsidRPr="00884B04" w:rsidR="002E4DF9">
        <w:rPr>
          <w:i/>
          <w:iCs/>
        </w:rPr>
        <w:t> </w:t>
      </w:r>
      <w:r w:rsidRPr="00884B04" w:rsidR="00CC7135">
        <w:rPr>
          <w:i/>
          <w:iCs/>
        </w:rPr>
        <w:t>Czech Republic</w:t>
      </w:r>
      <w:r w:rsidRPr="00884B04" w:rsidR="00CC7135">
        <w:t xml:space="preserve">, no. 9815/10, § 48, 5 September 2013, and </w:t>
      </w:r>
      <w:r w:rsidRPr="00884B04" w:rsidR="00CC7135">
        <w:rPr>
          <w:i/>
          <w:iCs/>
        </w:rPr>
        <w:t>Alexe v. Romania</w:t>
      </w:r>
      <w:r w:rsidRPr="00884B04" w:rsidR="00CC7135">
        <w:t>, no. 66522/09, § 37, 3 May 2016), the Court considered most of the allegations and probabilities to be established facts. The inquiry started with the question of criminal charges against the individuals concerned but ended with the responsibility of the Russian authorities, an outcome which the respondent State would not have been able to anticipate. I consider that the investigating authorities of both States did not engage in full-scale cooperation with each other (especially with regard to the investigation of alternative scenarios); the British authorities did not question any defence witnesses; counsel for the defence performed his functions purely formally during the inquiry; the link between the suspects and the authorities was not established; and no other actions of the Russian authorities can be interpreted as the State praising the suspects for the killing. Although the system of presumptions developed in the Court</w:t>
      </w:r>
      <w:r w:rsidRPr="00884B04" w:rsidR="00884B04">
        <w:t>’</w:t>
      </w:r>
      <w:r w:rsidRPr="00884B04" w:rsidR="00CC7135">
        <w:t>s case-law suggests that the Court relies upon formal truth and the activity of the parties alone, all the factors mentioned above should not have allowed the Court directly, without any reservations, to accept as established those factual allegations that were made in the inquiry report and were not rebutted by the Russian Government.</w:t>
      </w:r>
    </w:p>
    <w:p w:rsidRPr="00884B04" w:rsidR="00B10EEA" w:rsidP="00884B04" w:rsidRDefault="00B10EEA" w14:paraId="56E05471" w14:textId="77777777">
      <w:pPr>
        <w:pStyle w:val="JuPara"/>
      </w:pPr>
    </w:p>
    <w:sectPr w:rsidRPr="00884B04" w:rsidR="00B10EEA" w:rsidSect="002E4DF9">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9437" w14:textId="77777777" w:rsidR="00BC665D" w:rsidRPr="00E67565" w:rsidRDefault="00BC665D" w:rsidP="0098410D">
      <w:r w:rsidRPr="00E67565">
        <w:separator/>
      </w:r>
    </w:p>
  </w:endnote>
  <w:endnote w:type="continuationSeparator" w:id="0">
    <w:p w14:paraId="0339E596" w14:textId="77777777" w:rsidR="00BC665D" w:rsidRPr="00E67565" w:rsidRDefault="00BC665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5244" w14:textId="77777777" w:rsidR="00BC665D" w:rsidRPr="00150BFA" w:rsidRDefault="00BC665D" w:rsidP="00FD6152">
    <w:pPr>
      <w:jc w:val="center"/>
    </w:pPr>
    <w:r>
      <w:rPr>
        <w:noProof/>
        <w:lang w:val="en-US" w:eastAsia="ja-JP"/>
      </w:rPr>
      <w:drawing>
        <wp:inline distT="0" distB="0" distL="0" distR="0" wp14:anchorId="73600A92" wp14:editId="46828796">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2AFD704" w14:textId="77777777" w:rsidR="00BC665D" w:rsidRPr="00E67565" w:rsidRDefault="00BC665D" w:rsidP="00FD6152">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6D9A" w14:textId="77777777" w:rsidR="00BC665D" w:rsidRPr="00150BFA" w:rsidRDefault="00BC665D" w:rsidP="00FD6152">
    <w:pPr>
      <w:jc w:val="center"/>
    </w:pPr>
    <w:r>
      <w:rPr>
        <w:noProof/>
        <w:lang w:val="en-US" w:eastAsia="ja-JP"/>
      </w:rPr>
      <w:drawing>
        <wp:inline distT="0" distB="0" distL="0" distR="0" wp14:anchorId="6EECD176" wp14:editId="0E2C81EC">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9938A61" w14:textId="77777777" w:rsidR="00BC665D" w:rsidRPr="00E67565" w:rsidRDefault="00BC665D"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3807" w14:textId="77777777" w:rsidR="00BC665D" w:rsidRDefault="00BC665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C2E8" w14:textId="77777777" w:rsidR="00BC665D" w:rsidRPr="000B7195" w:rsidRDefault="00BC665D" w:rsidP="007D3701">
    <w:pPr>
      <w:pStyle w:val="JuHeader"/>
    </w:pPr>
    <w:r>
      <w:fldChar w:fldCharType="begin"/>
    </w:r>
    <w:r>
      <w:instrText xml:space="preserve"> PAGE </w:instrText>
    </w:r>
    <w:r>
      <w:fldChar w:fldCharType="separate"/>
    </w:r>
    <w:r>
      <w:rPr>
        <w:noProof/>
      </w:rPr>
      <w:t>25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5B95" w14:textId="77777777" w:rsidR="00BC665D" w:rsidRDefault="00BC665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518A" w14:textId="77777777" w:rsidR="00BC665D" w:rsidRPr="000B7195" w:rsidRDefault="00BC665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44E9C" w14:textId="77777777" w:rsidR="00BC665D" w:rsidRPr="00E67565" w:rsidRDefault="00BC665D" w:rsidP="0098410D">
      <w:r w:rsidRPr="00E67565">
        <w:separator/>
      </w:r>
    </w:p>
  </w:footnote>
  <w:footnote w:type="continuationSeparator" w:id="0">
    <w:p w14:paraId="0BF8C374" w14:textId="77777777" w:rsidR="00BC665D" w:rsidRPr="00E67565" w:rsidRDefault="00BC665D" w:rsidP="0098410D">
      <w:r w:rsidRPr="00E67565">
        <w:continuationSeparator/>
      </w:r>
    </w:p>
  </w:footnote>
  <w:footnote w:id="1">
    <w:p w14:paraId="5C80FD7E" w14:textId="77777777" w:rsidR="00BC665D" w:rsidRPr="006A2FAE" w:rsidRDefault="00BC665D" w:rsidP="00662B04">
      <w:pPr>
        <w:pStyle w:val="FootnoteText"/>
        <w:rPr>
          <w:lang w:val="en-US"/>
        </w:rPr>
      </w:pPr>
      <w:r w:rsidRPr="007759EA">
        <w:rPr>
          <w:rStyle w:val="FootnoteReference"/>
        </w:rPr>
        <w:footnoteRef/>
      </w:r>
      <w:r w:rsidRPr="007759EA">
        <w:rPr>
          <w:rStyle w:val="FootnoteReference"/>
        </w:rPr>
        <w:t xml:space="preserve"> </w:t>
      </w:r>
      <w:hyperlink r:id="rId1" w:history="1">
        <w:r w:rsidRPr="00E54575">
          <w:rPr>
            <w:rStyle w:val="Hyperlink"/>
          </w:rPr>
          <w:t>http://www.rusemb.org.uk/fnapr/5400</w:t>
        </w:r>
      </w:hyperlink>
      <w:r>
        <w:t>. Last accessed on the date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4C53" w14:textId="77777777" w:rsidR="00BC665D" w:rsidRPr="00A45145" w:rsidRDefault="00BC665D" w:rsidP="00FD6152">
    <w:pPr>
      <w:jc w:val="center"/>
    </w:pPr>
    <w:r>
      <w:rPr>
        <w:noProof/>
        <w:lang w:val="en-US" w:eastAsia="ja-JP"/>
      </w:rPr>
      <w:drawing>
        <wp:inline distT="0" distB="0" distL="0" distR="0" wp14:anchorId="42D220FB" wp14:editId="12481BD2">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D9F954" w14:textId="77777777" w:rsidR="00BC665D" w:rsidRPr="00E67565" w:rsidRDefault="00BC665D" w:rsidP="00FD6152">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B367" w14:textId="77777777" w:rsidR="00BC665D" w:rsidRPr="00A45145" w:rsidRDefault="00BC665D" w:rsidP="00FD6152">
    <w:pPr>
      <w:jc w:val="center"/>
    </w:pPr>
    <w:r>
      <w:rPr>
        <w:noProof/>
        <w:lang w:val="en-US" w:eastAsia="ja-JP"/>
      </w:rPr>
      <w:drawing>
        <wp:inline distT="0" distB="0" distL="0" distR="0" wp14:anchorId="18986BC6" wp14:editId="2A6B3C16">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1105103" w14:textId="77777777" w:rsidR="00BC665D" w:rsidRPr="00E67565" w:rsidRDefault="00BC66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A097" w14:textId="77777777" w:rsidR="00BC665D" w:rsidRPr="004D0EC7" w:rsidRDefault="00BC665D" w:rsidP="004D0EC7">
    <w:pPr>
      <w:pStyle w:val="JuHeader"/>
    </w:pPr>
    <w:r>
      <w:t>CARTER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6D49" w14:textId="77777777" w:rsidR="00BC665D" w:rsidRPr="00882CD5" w:rsidRDefault="00BC665D" w:rsidP="007D3701">
    <w:pPr>
      <w:pStyle w:val="JuHeader"/>
    </w:pPr>
    <w:r>
      <w:t>CARTER v. RUSSIA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2370" w14:textId="706FC6EC" w:rsidR="00BC665D" w:rsidRPr="002E4DF9" w:rsidRDefault="00BC665D" w:rsidP="004D0EC7">
    <w:pPr>
      <w:pStyle w:val="JuHeader"/>
      <w:rPr>
        <w:lang w:val="pt-PT"/>
      </w:rPr>
    </w:pPr>
    <w:r w:rsidRPr="002E4DF9">
      <w:rPr>
        <w:lang w:val="pt-PT"/>
      </w:rPr>
      <w:t>CARTER v. RUSSIA JUDGMENT – SEPAR</w:t>
    </w:r>
    <w:r>
      <w:rPr>
        <w:lang w:val="pt-PT"/>
      </w:rPr>
      <w:t>A</w:t>
    </w:r>
    <w:r w:rsidRPr="002E4DF9">
      <w:rPr>
        <w:lang w:val="pt-PT"/>
      </w:rPr>
      <w:t>TE O</w:t>
    </w:r>
    <w:r>
      <w:rPr>
        <w:lang w:val="pt-PT"/>
      </w:rPr>
      <w:t>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B9F5" w14:textId="77777777" w:rsidR="00BC665D" w:rsidRPr="00B10EEA" w:rsidRDefault="00BC665D" w:rsidP="007D3701">
    <w:pPr>
      <w:pStyle w:val="JuHeader"/>
      <w:rPr>
        <w:lang w:val="pt-PT"/>
      </w:rPr>
    </w:pPr>
    <w:r w:rsidRPr="00B10EEA">
      <w:rPr>
        <w:lang w:val="pt-PT"/>
      </w:rPr>
      <w:t>CARTER v. RUSSIA JUDGMENT – SEPARATE O</w:t>
    </w:r>
    <w:r>
      <w:rPr>
        <w:lang w:val="pt-PT"/>
      </w:rPr>
      <w:t>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552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62B04"/>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37BC4"/>
    <w:rsid w:val="00041560"/>
    <w:rsid w:val="00044288"/>
    <w:rsid w:val="0004464A"/>
    <w:rsid w:val="000602DF"/>
    <w:rsid w:val="00061B05"/>
    <w:rsid w:val="000632D5"/>
    <w:rsid w:val="000644EE"/>
    <w:rsid w:val="0007780A"/>
    <w:rsid w:val="00085457"/>
    <w:rsid w:val="000925AD"/>
    <w:rsid w:val="0009376E"/>
    <w:rsid w:val="00096FE1"/>
    <w:rsid w:val="00097A62"/>
    <w:rsid w:val="000A24EB"/>
    <w:rsid w:val="000B686A"/>
    <w:rsid w:val="000B6923"/>
    <w:rsid w:val="000B7195"/>
    <w:rsid w:val="000C41C3"/>
    <w:rsid w:val="000C5F3C"/>
    <w:rsid w:val="000C6DCC"/>
    <w:rsid w:val="000D47AA"/>
    <w:rsid w:val="000D48AD"/>
    <w:rsid w:val="000D721F"/>
    <w:rsid w:val="000E069B"/>
    <w:rsid w:val="000E0E82"/>
    <w:rsid w:val="000E1DC5"/>
    <w:rsid w:val="000E223F"/>
    <w:rsid w:val="000E46B8"/>
    <w:rsid w:val="000E7407"/>
    <w:rsid w:val="000E7D45"/>
    <w:rsid w:val="000F7851"/>
    <w:rsid w:val="00101505"/>
    <w:rsid w:val="00104E23"/>
    <w:rsid w:val="00110DA8"/>
    <w:rsid w:val="00111B0C"/>
    <w:rsid w:val="00120D6C"/>
    <w:rsid w:val="001257EC"/>
    <w:rsid w:val="001266A6"/>
    <w:rsid w:val="00133A48"/>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0AB0"/>
    <w:rsid w:val="00230D00"/>
    <w:rsid w:val="00231DF7"/>
    <w:rsid w:val="00231FD1"/>
    <w:rsid w:val="002339E0"/>
    <w:rsid w:val="00233CF8"/>
    <w:rsid w:val="0023575D"/>
    <w:rsid w:val="00237148"/>
    <w:rsid w:val="0024222D"/>
    <w:rsid w:val="002422B6"/>
    <w:rsid w:val="00242FE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03DE"/>
    <w:rsid w:val="002A1474"/>
    <w:rsid w:val="002A613A"/>
    <w:rsid w:val="002A61B1"/>
    <w:rsid w:val="002A663C"/>
    <w:rsid w:val="002B444B"/>
    <w:rsid w:val="002B5887"/>
    <w:rsid w:val="002C0E27"/>
    <w:rsid w:val="002C3040"/>
    <w:rsid w:val="002C4433"/>
    <w:rsid w:val="002C7484"/>
    <w:rsid w:val="002C7826"/>
    <w:rsid w:val="002D022D"/>
    <w:rsid w:val="002D24BB"/>
    <w:rsid w:val="002D2FA7"/>
    <w:rsid w:val="002D47BA"/>
    <w:rsid w:val="002D77B9"/>
    <w:rsid w:val="002E46DA"/>
    <w:rsid w:val="002E4DF9"/>
    <w:rsid w:val="002F2AF7"/>
    <w:rsid w:val="002F69C4"/>
    <w:rsid w:val="002F7D9E"/>
    <w:rsid w:val="002F7E1C"/>
    <w:rsid w:val="00301A75"/>
    <w:rsid w:val="00302F70"/>
    <w:rsid w:val="0030336F"/>
    <w:rsid w:val="0030375E"/>
    <w:rsid w:val="00312A30"/>
    <w:rsid w:val="003201D8"/>
    <w:rsid w:val="003204EE"/>
    <w:rsid w:val="00320F72"/>
    <w:rsid w:val="0032463E"/>
    <w:rsid w:val="00326224"/>
    <w:rsid w:val="00337EE4"/>
    <w:rsid w:val="00340FFD"/>
    <w:rsid w:val="00342912"/>
    <w:rsid w:val="00345C41"/>
    <w:rsid w:val="003506B1"/>
    <w:rsid w:val="00353C80"/>
    <w:rsid w:val="00355877"/>
    <w:rsid w:val="00356AC7"/>
    <w:rsid w:val="003609FA"/>
    <w:rsid w:val="003710C8"/>
    <w:rsid w:val="003750BE"/>
    <w:rsid w:val="00377279"/>
    <w:rsid w:val="00383860"/>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6995"/>
    <w:rsid w:val="003F7D64"/>
    <w:rsid w:val="00403FD1"/>
    <w:rsid w:val="0040433A"/>
    <w:rsid w:val="00414300"/>
    <w:rsid w:val="00414F27"/>
    <w:rsid w:val="00420703"/>
    <w:rsid w:val="00425C67"/>
    <w:rsid w:val="00427E7A"/>
    <w:rsid w:val="00431B21"/>
    <w:rsid w:val="004355AC"/>
    <w:rsid w:val="00436C49"/>
    <w:rsid w:val="00443D98"/>
    <w:rsid w:val="00445366"/>
    <w:rsid w:val="00447F5B"/>
    <w:rsid w:val="00461DB0"/>
    <w:rsid w:val="00463926"/>
    <w:rsid w:val="00464AB7"/>
    <w:rsid w:val="00464C9A"/>
    <w:rsid w:val="00472670"/>
    <w:rsid w:val="00474F3D"/>
    <w:rsid w:val="00477E3A"/>
    <w:rsid w:val="00483E5F"/>
    <w:rsid w:val="00485FF9"/>
    <w:rsid w:val="0049049B"/>
    <w:rsid w:val="004907F0"/>
    <w:rsid w:val="0049140B"/>
    <w:rsid w:val="004923A5"/>
    <w:rsid w:val="0049310E"/>
    <w:rsid w:val="004950E2"/>
    <w:rsid w:val="00496BFB"/>
    <w:rsid w:val="004A08DE"/>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C0B"/>
    <w:rsid w:val="00511C07"/>
    <w:rsid w:val="005125CB"/>
    <w:rsid w:val="00512EC4"/>
    <w:rsid w:val="00513A8D"/>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09CF"/>
    <w:rsid w:val="00592772"/>
    <w:rsid w:val="0059574A"/>
    <w:rsid w:val="005A1B9B"/>
    <w:rsid w:val="005A2E79"/>
    <w:rsid w:val="005A6751"/>
    <w:rsid w:val="005B092E"/>
    <w:rsid w:val="005B152C"/>
    <w:rsid w:val="005B1EE0"/>
    <w:rsid w:val="005B2B24"/>
    <w:rsid w:val="005B4425"/>
    <w:rsid w:val="005B4B94"/>
    <w:rsid w:val="005C3B4B"/>
    <w:rsid w:val="005C3EE8"/>
    <w:rsid w:val="005C4CC9"/>
    <w:rsid w:val="005D2F2A"/>
    <w:rsid w:val="005D34F9"/>
    <w:rsid w:val="005D4190"/>
    <w:rsid w:val="005D67A3"/>
    <w:rsid w:val="005E2988"/>
    <w:rsid w:val="005E3085"/>
    <w:rsid w:val="005F0EB3"/>
    <w:rsid w:val="005F271D"/>
    <w:rsid w:val="005F51E1"/>
    <w:rsid w:val="00611C80"/>
    <w:rsid w:val="00620692"/>
    <w:rsid w:val="006242CA"/>
    <w:rsid w:val="00627507"/>
    <w:rsid w:val="00633717"/>
    <w:rsid w:val="006344E1"/>
    <w:rsid w:val="00643524"/>
    <w:rsid w:val="0064393B"/>
    <w:rsid w:val="00645CF2"/>
    <w:rsid w:val="00651B52"/>
    <w:rsid w:val="006545C4"/>
    <w:rsid w:val="00661971"/>
    <w:rsid w:val="00661CE8"/>
    <w:rsid w:val="006623D9"/>
    <w:rsid w:val="00662B04"/>
    <w:rsid w:val="006642A5"/>
    <w:rsid w:val="0066550C"/>
    <w:rsid w:val="00665BD2"/>
    <w:rsid w:val="006716F2"/>
    <w:rsid w:val="00675AF2"/>
    <w:rsid w:val="00682BF2"/>
    <w:rsid w:val="0068415D"/>
    <w:rsid w:val="0068573E"/>
    <w:rsid w:val="006859CE"/>
    <w:rsid w:val="00691270"/>
    <w:rsid w:val="00694BA8"/>
    <w:rsid w:val="006A037C"/>
    <w:rsid w:val="006A36F4"/>
    <w:rsid w:val="006A406F"/>
    <w:rsid w:val="006A5D3A"/>
    <w:rsid w:val="006B1942"/>
    <w:rsid w:val="006C23D4"/>
    <w:rsid w:val="006C2E18"/>
    <w:rsid w:val="006C59D5"/>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D5C"/>
    <w:rsid w:val="0075566E"/>
    <w:rsid w:val="00763602"/>
    <w:rsid w:val="00764D4E"/>
    <w:rsid w:val="00765A1F"/>
    <w:rsid w:val="00771C0B"/>
    <w:rsid w:val="007759EA"/>
    <w:rsid w:val="00775B6D"/>
    <w:rsid w:val="00776D68"/>
    <w:rsid w:val="007811D2"/>
    <w:rsid w:val="0078323E"/>
    <w:rsid w:val="007850EE"/>
    <w:rsid w:val="00785B95"/>
    <w:rsid w:val="007873C4"/>
    <w:rsid w:val="00790E96"/>
    <w:rsid w:val="007926FD"/>
    <w:rsid w:val="00793366"/>
    <w:rsid w:val="0079666C"/>
    <w:rsid w:val="007A716F"/>
    <w:rsid w:val="007B270A"/>
    <w:rsid w:val="007B4182"/>
    <w:rsid w:val="007C0695"/>
    <w:rsid w:val="007C419A"/>
    <w:rsid w:val="007C4CC8"/>
    <w:rsid w:val="007C5426"/>
    <w:rsid w:val="007C5798"/>
    <w:rsid w:val="007D135F"/>
    <w:rsid w:val="007D1ECD"/>
    <w:rsid w:val="007D3701"/>
    <w:rsid w:val="007D4832"/>
    <w:rsid w:val="007E21B2"/>
    <w:rsid w:val="007E2C4E"/>
    <w:rsid w:val="007E2C8C"/>
    <w:rsid w:val="007E51BA"/>
    <w:rsid w:val="007E7025"/>
    <w:rsid w:val="007E73D7"/>
    <w:rsid w:val="007F1905"/>
    <w:rsid w:val="007F27E4"/>
    <w:rsid w:val="007F3437"/>
    <w:rsid w:val="00802C64"/>
    <w:rsid w:val="00805E52"/>
    <w:rsid w:val="008061D0"/>
    <w:rsid w:val="00807025"/>
    <w:rsid w:val="008078E3"/>
    <w:rsid w:val="00810B38"/>
    <w:rsid w:val="008204C7"/>
    <w:rsid w:val="00820992"/>
    <w:rsid w:val="00823602"/>
    <w:rsid w:val="008255F5"/>
    <w:rsid w:val="008263C7"/>
    <w:rsid w:val="00827F7B"/>
    <w:rsid w:val="0083014E"/>
    <w:rsid w:val="0083214A"/>
    <w:rsid w:val="00834220"/>
    <w:rsid w:val="00845723"/>
    <w:rsid w:val="00847796"/>
    <w:rsid w:val="008519E7"/>
    <w:rsid w:val="00851EF9"/>
    <w:rsid w:val="00854EEE"/>
    <w:rsid w:val="008577FD"/>
    <w:rsid w:val="00860B03"/>
    <w:rsid w:val="0086120A"/>
    <w:rsid w:val="00862919"/>
    <w:rsid w:val="0086497A"/>
    <w:rsid w:val="00867066"/>
    <w:rsid w:val="008713A1"/>
    <w:rsid w:val="00872584"/>
    <w:rsid w:val="008754AB"/>
    <w:rsid w:val="0088060C"/>
    <w:rsid w:val="00882CD5"/>
    <w:rsid w:val="00883151"/>
    <w:rsid w:val="00884B04"/>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4DA7"/>
    <w:rsid w:val="009B6673"/>
    <w:rsid w:val="009C191B"/>
    <w:rsid w:val="009C2BD6"/>
    <w:rsid w:val="009C6A41"/>
    <w:rsid w:val="009E0C03"/>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169C"/>
    <w:rsid w:val="00A724AE"/>
    <w:rsid w:val="00A73329"/>
    <w:rsid w:val="00A7773F"/>
    <w:rsid w:val="00A82359"/>
    <w:rsid w:val="00A865D2"/>
    <w:rsid w:val="00A87CB3"/>
    <w:rsid w:val="00A90BCD"/>
    <w:rsid w:val="00A94C20"/>
    <w:rsid w:val="00AA1B09"/>
    <w:rsid w:val="00AA227F"/>
    <w:rsid w:val="00AA3BC7"/>
    <w:rsid w:val="00AA754A"/>
    <w:rsid w:val="00AB099E"/>
    <w:rsid w:val="00AB3E20"/>
    <w:rsid w:val="00AB4328"/>
    <w:rsid w:val="00AC4CD4"/>
    <w:rsid w:val="00AE0A2E"/>
    <w:rsid w:val="00AE354C"/>
    <w:rsid w:val="00AF31F1"/>
    <w:rsid w:val="00AF329A"/>
    <w:rsid w:val="00AF4B07"/>
    <w:rsid w:val="00AF6186"/>
    <w:rsid w:val="00AF7A3A"/>
    <w:rsid w:val="00B02587"/>
    <w:rsid w:val="00B10EEA"/>
    <w:rsid w:val="00B160DB"/>
    <w:rsid w:val="00B17F1D"/>
    <w:rsid w:val="00B20836"/>
    <w:rsid w:val="00B235BB"/>
    <w:rsid w:val="00B27A44"/>
    <w:rsid w:val="00B30BBF"/>
    <w:rsid w:val="00B33C03"/>
    <w:rsid w:val="00B4421F"/>
    <w:rsid w:val="00B44E56"/>
    <w:rsid w:val="00B45917"/>
    <w:rsid w:val="00B46543"/>
    <w:rsid w:val="00B47D33"/>
    <w:rsid w:val="00B52BE0"/>
    <w:rsid w:val="00B54133"/>
    <w:rsid w:val="00B6340B"/>
    <w:rsid w:val="00B701ED"/>
    <w:rsid w:val="00B70B31"/>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1F2F"/>
    <w:rsid w:val="00BC665D"/>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27540"/>
    <w:rsid w:val="00C32E4D"/>
    <w:rsid w:val="00C333A0"/>
    <w:rsid w:val="00C35E57"/>
    <w:rsid w:val="00C36A81"/>
    <w:rsid w:val="00C41974"/>
    <w:rsid w:val="00C427BB"/>
    <w:rsid w:val="00C44A2C"/>
    <w:rsid w:val="00C44F09"/>
    <w:rsid w:val="00C477F7"/>
    <w:rsid w:val="00C509A6"/>
    <w:rsid w:val="00C5105C"/>
    <w:rsid w:val="00C51126"/>
    <w:rsid w:val="00C53F4A"/>
    <w:rsid w:val="00C54125"/>
    <w:rsid w:val="00C55B54"/>
    <w:rsid w:val="00C6098E"/>
    <w:rsid w:val="00C6152C"/>
    <w:rsid w:val="00C72C0E"/>
    <w:rsid w:val="00C74810"/>
    <w:rsid w:val="00C80CA0"/>
    <w:rsid w:val="00C83919"/>
    <w:rsid w:val="00C90D68"/>
    <w:rsid w:val="00C939FE"/>
    <w:rsid w:val="00CA4BDA"/>
    <w:rsid w:val="00CB13E3"/>
    <w:rsid w:val="00CB1F66"/>
    <w:rsid w:val="00CB232C"/>
    <w:rsid w:val="00CB2951"/>
    <w:rsid w:val="00CB4277"/>
    <w:rsid w:val="00CB7A8A"/>
    <w:rsid w:val="00CC5067"/>
    <w:rsid w:val="00CC7135"/>
    <w:rsid w:val="00CD11D3"/>
    <w:rsid w:val="00CD282B"/>
    <w:rsid w:val="00CD447B"/>
    <w:rsid w:val="00CD49B2"/>
    <w:rsid w:val="00CD4C35"/>
    <w:rsid w:val="00CD7369"/>
    <w:rsid w:val="00CE0B0E"/>
    <w:rsid w:val="00CE32CA"/>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1A8F"/>
    <w:rsid w:val="00D6435F"/>
    <w:rsid w:val="00D66471"/>
    <w:rsid w:val="00D70641"/>
    <w:rsid w:val="00D74888"/>
    <w:rsid w:val="00D75E28"/>
    <w:rsid w:val="00D76FAC"/>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1693"/>
    <w:rsid w:val="00DE386C"/>
    <w:rsid w:val="00DE4D35"/>
    <w:rsid w:val="00DF098B"/>
    <w:rsid w:val="00DF11C4"/>
    <w:rsid w:val="00DF210C"/>
    <w:rsid w:val="00DF4B6A"/>
    <w:rsid w:val="00E004C0"/>
    <w:rsid w:val="00E00B24"/>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78A"/>
    <w:rsid w:val="00E95C1E"/>
    <w:rsid w:val="00E97396"/>
    <w:rsid w:val="00EA0AD1"/>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2FFF"/>
    <w:rsid w:val="00F56A6F"/>
    <w:rsid w:val="00F5709C"/>
    <w:rsid w:val="00F60B85"/>
    <w:rsid w:val="00F64EF1"/>
    <w:rsid w:val="00F72B14"/>
    <w:rsid w:val="00F7349B"/>
    <w:rsid w:val="00F8765F"/>
    <w:rsid w:val="00F90767"/>
    <w:rsid w:val="00F9263C"/>
    <w:rsid w:val="00FA11B4"/>
    <w:rsid w:val="00FA1637"/>
    <w:rsid w:val="00FA685B"/>
    <w:rsid w:val="00FB0C01"/>
    <w:rsid w:val="00FB2780"/>
    <w:rsid w:val="00FB5934"/>
    <w:rsid w:val="00FC18F2"/>
    <w:rsid w:val="00FC2A17"/>
    <w:rsid w:val="00FC38CF"/>
    <w:rsid w:val="00FC39E5"/>
    <w:rsid w:val="00FC3A78"/>
    <w:rsid w:val="00FD072F"/>
    <w:rsid w:val="00FD1005"/>
    <w:rsid w:val="00FD1F7F"/>
    <w:rsid w:val="00FD3A4F"/>
    <w:rsid w:val="00FD6152"/>
    <w:rsid w:val="00FD6C75"/>
    <w:rsid w:val="00FD7972"/>
    <w:rsid w:val="00FE0401"/>
    <w:rsid w:val="00FE39FC"/>
    <w:rsid w:val="00FE5149"/>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E1D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759EA"/>
    <w:rPr>
      <w:sz w:val="24"/>
      <w:szCs w:val="24"/>
      <w:lang w:val="en-GB"/>
    </w:rPr>
  </w:style>
  <w:style w:type="paragraph" w:styleId="Heading1">
    <w:name w:val="heading 1"/>
    <w:basedOn w:val="Normal"/>
    <w:next w:val="Normal"/>
    <w:link w:val="Heading1Char"/>
    <w:uiPriority w:val="98"/>
    <w:semiHidden/>
    <w:rsid w:val="007759E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759E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759E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759E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759E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759E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759E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759E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759E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759EA"/>
    <w:rPr>
      <w:rFonts w:ascii="Tahoma" w:hAnsi="Tahoma" w:cs="Tahoma"/>
      <w:sz w:val="16"/>
      <w:szCs w:val="16"/>
    </w:rPr>
  </w:style>
  <w:style w:type="character" w:customStyle="1" w:styleId="BalloonTextChar">
    <w:name w:val="Balloon Text Char"/>
    <w:basedOn w:val="DefaultParagraphFont"/>
    <w:link w:val="BalloonText"/>
    <w:uiPriority w:val="98"/>
    <w:semiHidden/>
    <w:rsid w:val="007759EA"/>
    <w:rPr>
      <w:rFonts w:ascii="Tahoma" w:hAnsi="Tahoma" w:cs="Tahoma"/>
      <w:sz w:val="16"/>
      <w:szCs w:val="16"/>
      <w:lang w:val="en-GB"/>
    </w:rPr>
  </w:style>
  <w:style w:type="character" w:styleId="BookTitle">
    <w:name w:val="Book Title"/>
    <w:uiPriority w:val="98"/>
    <w:semiHidden/>
    <w:qFormat/>
    <w:rsid w:val="007759EA"/>
    <w:rPr>
      <w:i/>
      <w:iCs/>
      <w:smallCaps/>
      <w:spacing w:val="5"/>
    </w:rPr>
  </w:style>
  <w:style w:type="paragraph" w:customStyle="1" w:styleId="JuHeader">
    <w:name w:val="Ju_Header"/>
    <w:aliases w:val="_Header"/>
    <w:basedOn w:val="Header"/>
    <w:uiPriority w:val="29"/>
    <w:qFormat/>
    <w:rsid w:val="007759EA"/>
    <w:pPr>
      <w:tabs>
        <w:tab w:val="clear" w:pos="4536"/>
        <w:tab w:val="clear" w:pos="9072"/>
      </w:tabs>
      <w:jc w:val="center"/>
    </w:pPr>
    <w:rPr>
      <w:sz w:val="18"/>
    </w:rPr>
  </w:style>
  <w:style w:type="paragraph" w:customStyle="1" w:styleId="NormalJustified">
    <w:name w:val="Normal_Justified"/>
    <w:basedOn w:val="Normal"/>
    <w:semiHidden/>
    <w:rsid w:val="007759EA"/>
    <w:pPr>
      <w:jc w:val="both"/>
    </w:pPr>
  </w:style>
  <w:style w:type="character" w:styleId="Strong">
    <w:name w:val="Strong"/>
    <w:uiPriority w:val="98"/>
    <w:semiHidden/>
    <w:qFormat/>
    <w:rsid w:val="007759EA"/>
    <w:rPr>
      <w:b/>
      <w:bCs/>
    </w:rPr>
  </w:style>
  <w:style w:type="paragraph" w:styleId="NoSpacing">
    <w:name w:val="No Spacing"/>
    <w:basedOn w:val="Normal"/>
    <w:link w:val="NoSpacingChar"/>
    <w:uiPriority w:val="98"/>
    <w:semiHidden/>
    <w:qFormat/>
    <w:rsid w:val="007759EA"/>
  </w:style>
  <w:style w:type="character" w:customStyle="1" w:styleId="NoSpacingChar">
    <w:name w:val="No Spacing Char"/>
    <w:basedOn w:val="DefaultParagraphFont"/>
    <w:link w:val="NoSpacing"/>
    <w:uiPriority w:val="98"/>
    <w:semiHidden/>
    <w:rsid w:val="007759EA"/>
    <w:rPr>
      <w:sz w:val="24"/>
      <w:szCs w:val="24"/>
      <w:lang w:val="en-GB"/>
    </w:rPr>
  </w:style>
  <w:style w:type="paragraph" w:customStyle="1" w:styleId="JuQuot">
    <w:name w:val="Ju_Quot"/>
    <w:aliases w:val="_Quote"/>
    <w:basedOn w:val="NormalJustified"/>
    <w:link w:val="JuQuotChar"/>
    <w:uiPriority w:val="20"/>
    <w:qFormat/>
    <w:rsid w:val="007759EA"/>
    <w:pPr>
      <w:spacing w:before="120" w:after="120"/>
      <w:ind w:left="425" w:firstLine="142"/>
    </w:pPr>
    <w:rPr>
      <w:sz w:val="20"/>
    </w:rPr>
  </w:style>
  <w:style w:type="paragraph" w:customStyle="1" w:styleId="DummyStyle">
    <w:name w:val="Dummy_Style"/>
    <w:aliases w:val="_Dummy"/>
    <w:basedOn w:val="Normal"/>
    <w:semiHidden/>
    <w:qFormat/>
    <w:rsid w:val="007759EA"/>
    <w:rPr>
      <w:color w:val="00B050"/>
      <w:sz w:val="22"/>
    </w:rPr>
  </w:style>
  <w:style w:type="paragraph" w:customStyle="1" w:styleId="JuList">
    <w:name w:val="Ju_List"/>
    <w:aliases w:val="_List_1"/>
    <w:basedOn w:val="NormalJustified"/>
    <w:link w:val="JuListChar"/>
    <w:uiPriority w:val="23"/>
    <w:qFormat/>
    <w:rsid w:val="007759EA"/>
    <w:pPr>
      <w:numPr>
        <w:numId w:val="9"/>
      </w:numPr>
      <w:spacing w:before="280" w:after="60"/>
    </w:pPr>
  </w:style>
  <w:style w:type="paragraph" w:customStyle="1" w:styleId="JuLista">
    <w:name w:val="Ju_List_a"/>
    <w:aliases w:val="_List_2"/>
    <w:basedOn w:val="NormalJustified"/>
    <w:uiPriority w:val="23"/>
    <w:rsid w:val="007759EA"/>
    <w:pPr>
      <w:numPr>
        <w:ilvl w:val="1"/>
        <w:numId w:val="9"/>
      </w:numPr>
    </w:pPr>
  </w:style>
  <w:style w:type="paragraph" w:customStyle="1" w:styleId="JuListi">
    <w:name w:val="Ju_List_i"/>
    <w:aliases w:val="_List_3"/>
    <w:basedOn w:val="NormalJustified"/>
    <w:uiPriority w:val="23"/>
    <w:rsid w:val="007759EA"/>
    <w:pPr>
      <w:numPr>
        <w:ilvl w:val="2"/>
        <w:numId w:val="9"/>
      </w:numPr>
    </w:pPr>
  </w:style>
  <w:style w:type="paragraph" w:customStyle="1" w:styleId="JuHArticle">
    <w:name w:val="Ju_H_Article"/>
    <w:aliases w:val="_Title_Quote"/>
    <w:basedOn w:val="Normal"/>
    <w:next w:val="JuQuot"/>
    <w:uiPriority w:val="19"/>
    <w:qFormat/>
    <w:rsid w:val="007759E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759E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759E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759EA"/>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759EA"/>
    <w:pPr>
      <w:numPr>
        <w:numId w:val="8"/>
      </w:numPr>
    </w:pPr>
  </w:style>
  <w:style w:type="paragraph" w:customStyle="1" w:styleId="JuSigned">
    <w:name w:val="Ju_Signed"/>
    <w:aliases w:val="_Signature"/>
    <w:basedOn w:val="Normal"/>
    <w:next w:val="JuPara"/>
    <w:uiPriority w:val="31"/>
    <w:qFormat/>
    <w:rsid w:val="007759EA"/>
    <w:pPr>
      <w:tabs>
        <w:tab w:val="center" w:pos="851"/>
        <w:tab w:val="center" w:pos="6407"/>
      </w:tabs>
      <w:spacing w:before="720"/>
    </w:pPr>
  </w:style>
  <w:style w:type="paragraph" w:styleId="Title">
    <w:name w:val="Title"/>
    <w:basedOn w:val="Normal"/>
    <w:next w:val="Normal"/>
    <w:link w:val="TitleChar"/>
    <w:uiPriority w:val="98"/>
    <w:semiHidden/>
    <w:qFormat/>
    <w:rsid w:val="007759E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759E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759EA"/>
    <w:pPr>
      <w:numPr>
        <w:numId w:val="9"/>
      </w:numPr>
    </w:pPr>
  </w:style>
  <w:style w:type="numbering" w:customStyle="1" w:styleId="ECHRA1StyleNumberedList">
    <w:name w:val="ECHR_A1_Style_Numbered_List"/>
    <w:basedOn w:val="NoList"/>
    <w:rsid w:val="007759EA"/>
    <w:pPr>
      <w:numPr>
        <w:numId w:val="10"/>
      </w:numPr>
    </w:pPr>
  </w:style>
  <w:style w:type="table" w:customStyle="1" w:styleId="ECHRTable2019">
    <w:name w:val="ECHR_Table_2019"/>
    <w:basedOn w:val="TableNormal"/>
    <w:uiPriority w:val="99"/>
    <w:rsid w:val="007759E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759E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759EA"/>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759EA"/>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759EA"/>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7759EA"/>
    <w:pPr>
      <w:tabs>
        <w:tab w:val="center" w:pos="4536"/>
        <w:tab w:val="right" w:pos="9072"/>
      </w:tabs>
    </w:pPr>
  </w:style>
  <w:style w:type="character" w:customStyle="1" w:styleId="HeaderChar">
    <w:name w:val="Header Char"/>
    <w:basedOn w:val="DefaultParagraphFont"/>
    <w:link w:val="Header"/>
    <w:uiPriority w:val="98"/>
    <w:semiHidden/>
    <w:rsid w:val="007759EA"/>
    <w:rPr>
      <w:sz w:val="24"/>
      <w:szCs w:val="24"/>
      <w:lang w:val="en-GB"/>
    </w:rPr>
  </w:style>
  <w:style w:type="character" w:customStyle="1" w:styleId="Heading1Char">
    <w:name w:val="Heading 1 Char"/>
    <w:basedOn w:val="DefaultParagraphFont"/>
    <w:link w:val="Heading1"/>
    <w:uiPriority w:val="98"/>
    <w:semiHidden/>
    <w:rsid w:val="007759E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7759EA"/>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7759EA"/>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759E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7759EA"/>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759EA"/>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7759E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759EA"/>
    <w:pPr>
      <w:keepNext/>
      <w:keepLines/>
      <w:spacing w:before="240" w:after="240"/>
      <w:ind w:firstLine="284"/>
    </w:pPr>
  </w:style>
  <w:style w:type="paragraph" w:customStyle="1" w:styleId="JuJudges">
    <w:name w:val="Ju_Judges"/>
    <w:aliases w:val="_Judges"/>
    <w:basedOn w:val="Normal"/>
    <w:uiPriority w:val="32"/>
    <w:qFormat/>
    <w:rsid w:val="007759EA"/>
    <w:pPr>
      <w:tabs>
        <w:tab w:val="left" w:pos="567"/>
        <w:tab w:val="left" w:pos="1134"/>
      </w:tabs>
    </w:pPr>
  </w:style>
  <w:style w:type="character" w:customStyle="1" w:styleId="Heading4Char">
    <w:name w:val="Heading 4 Char"/>
    <w:basedOn w:val="DefaultParagraphFont"/>
    <w:link w:val="Heading4"/>
    <w:uiPriority w:val="98"/>
    <w:semiHidden/>
    <w:rsid w:val="007759E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7759EA"/>
    <w:pPr>
      <w:tabs>
        <w:tab w:val="center" w:pos="6407"/>
      </w:tabs>
      <w:spacing w:before="720"/>
      <w:jc w:val="right"/>
    </w:pPr>
  </w:style>
  <w:style w:type="character" w:customStyle="1" w:styleId="Heading5Char">
    <w:name w:val="Heading 5 Char"/>
    <w:basedOn w:val="DefaultParagraphFont"/>
    <w:link w:val="Heading5"/>
    <w:uiPriority w:val="98"/>
    <w:semiHidden/>
    <w:rsid w:val="007759E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7759E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759EA"/>
    <w:rPr>
      <w:caps w:val="0"/>
      <w:smallCaps/>
    </w:rPr>
  </w:style>
  <w:style w:type="character" w:styleId="SubtleEmphasis">
    <w:name w:val="Subtle Emphasis"/>
    <w:uiPriority w:val="98"/>
    <w:semiHidden/>
    <w:qFormat/>
    <w:rsid w:val="007759EA"/>
    <w:rPr>
      <w:i/>
      <w:iCs/>
    </w:rPr>
  </w:style>
  <w:style w:type="table" w:customStyle="1" w:styleId="ECHRTable">
    <w:name w:val="ECHR_Table"/>
    <w:basedOn w:val="TableNormal"/>
    <w:rsid w:val="007759E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759E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759EA"/>
    <w:rPr>
      <w:b/>
      <w:bCs/>
      <w:i/>
      <w:iCs/>
      <w:spacing w:val="10"/>
      <w:bdr w:val="none" w:sz="0" w:space="0" w:color="auto"/>
      <w:shd w:val="clear" w:color="auto" w:fill="auto"/>
    </w:rPr>
  </w:style>
  <w:style w:type="paragraph" w:styleId="Footer0">
    <w:name w:val="footer"/>
    <w:basedOn w:val="Normal"/>
    <w:link w:val="FooterChar"/>
    <w:uiPriority w:val="98"/>
    <w:semiHidden/>
    <w:rsid w:val="007759EA"/>
    <w:pPr>
      <w:tabs>
        <w:tab w:val="center" w:pos="3686"/>
        <w:tab w:val="right" w:pos="7371"/>
      </w:tabs>
    </w:pPr>
  </w:style>
  <w:style w:type="character" w:customStyle="1" w:styleId="FooterChar">
    <w:name w:val="Footer Char"/>
    <w:basedOn w:val="DefaultParagraphFont"/>
    <w:link w:val="Footer0"/>
    <w:uiPriority w:val="98"/>
    <w:semiHidden/>
    <w:rsid w:val="007759EA"/>
    <w:rPr>
      <w:sz w:val="24"/>
      <w:szCs w:val="24"/>
      <w:lang w:val="en-GB"/>
    </w:rPr>
  </w:style>
  <w:style w:type="character" w:styleId="FootnoteReference">
    <w:name w:val="footnote reference"/>
    <w:basedOn w:val="DefaultParagraphFont"/>
    <w:uiPriority w:val="98"/>
    <w:semiHidden/>
    <w:rsid w:val="007759EA"/>
    <w:rPr>
      <w:vertAlign w:val="superscript"/>
    </w:rPr>
  </w:style>
  <w:style w:type="paragraph" w:styleId="FootnoteText">
    <w:name w:val="footnote text"/>
    <w:basedOn w:val="Normal"/>
    <w:link w:val="FootnoteTextChar"/>
    <w:uiPriority w:val="98"/>
    <w:semiHidden/>
    <w:rsid w:val="007759EA"/>
    <w:rPr>
      <w:sz w:val="20"/>
      <w:szCs w:val="20"/>
    </w:rPr>
  </w:style>
  <w:style w:type="character" w:customStyle="1" w:styleId="FootnoteTextChar">
    <w:name w:val="Footnote Text Char"/>
    <w:basedOn w:val="DefaultParagraphFont"/>
    <w:link w:val="FootnoteText"/>
    <w:uiPriority w:val="98"/>
    <w:semiHidden/>
    <w:rsid w:val="007759EA"/>
    <w:rPr>
      <w:sz w:val="20"/>
      <w:szCs w:val="20"/>
      <w:lang w:val="en-GB"/>
    </w:rPr>
  </w:style>
  <w:style w:type="character" w:customStyle="1" w:styleId="Heading6Char">
    <w:name w:val="Heading 6 Char"/>
    <w:basedOn w:val="DefaultParagraphFont"/>
    <w:link w:val="Heading6"/>
    <w:uiPriority w:val="98"/>
    <w:semiHidden/>
    <w:rsid w:val="007759E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759E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759E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759E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759EA"/>
    <w:rPr>
      <w:color w:val="0072BC" w:themeColor="hyperlink"/>
      <w:u w:val="single"/>
    </w:rPr>
  </w:style>
  <w:style w:type="character" w:styleId="IntenseEmphasis">
    <w:name w:val="Intense Emphasis"/>
    <w:uiPriority w:val="98"/>
    <w:semiHidden/>
    <w:qFormat/>
    <w:rsid w:val="007759EA"/>
    <w:rPr>
      <w:b/>
      <w:bCs/>
    </w:rPr>
  </w:style>
  <w:style w:type="paragraph" w:styleId="IntenseQuote">
    <w:name w:val="Intense Quote"/>
    <w:basedOn w:val="Normal"/>
    <w:next w:val="Normal"/>
    <w:link w:val="IntenseQuoteChar"/>
    <w:uiPriority w:val="98"/>
    <w:semiHidden/>
    <w:qFormat/>
    <w:rsid w:val="007759E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759EA"/>
    <w:rPr>
      <w:b/>
      <w:bCs/>
      <w:i/>
      <w:iCs/>
      <w:sz w:val="24"/>
      <w:szCs w:val="24"/>
      <w:lang w:val="en-GB" w:bidi="en-US"/>
    </w:rPr>
  </w:style>
  <w:style w:type="character" w:styleId="IntenseReference">
    <w:name w:val="Intense Reference"/>
    <w:uiPriority w:val="98"/>
    <w:semiHidden/>
    <w:qFormat/>
    <w:rsid w:val="007759EA"/>
    <w:rPr>
      <w:smallCaps/>
      <w:spacing w:val="5"/>
      <w:u w:val="single"/>
    </w:rPr>
  </w:style>
  <w:style w:type="paragraph" w:styleId="ListParagraph">
    <w:name w:val="List Paragraph"/>
    <w:basedOn w:val="Normal"/>
    <w:uiPriority w:val="98"/>
    <w:semiHidden/>
    <w:qFormat/>
    <w:rsid w:val="007759EA"/>
    <w:pPr>
      <w:ind w:left="720"/>
      <w:contextualSpacing/>
    </w:pPr>
  </w:style>
  <w:style w:type="table" w:customStyle="1" w:styleId="LtrTableAddress">
    <w:name w:val="Ltr_Table_Address"/>
    <w:aliases w:val="ECHR_Ltr_Table_Address"/>
    <w:basedOn w:val="TableNormal"/>
    <w:uiPriority w:val="99"/>
    <w:rsid w:val="007759EA"/>
    <w:rPr>
      <w:sz w:val="24"/>
      <w:szCs w:val="24"/>
    </w:rPr>
    <w:tblPr>
      <w:tblInd w:w="5103" w:type="dxa"/>
    </w:tblPr>
  </w:style>
  <w:style w:type="paragraph" w:styleId="Quote">
    <w:name w:val="Quote"/>
    <w:basedOn w:val="Normal"/>
    <w:next w:val="Normal"/>
    <w:link w:val="QuoteChar"/>
    <w:uiPriority w:val="98"/>
    <w:semiHidden/>
    <w:qFormat/>
    <w:rsid w:val="007759EA"/>
    <w:pPr>
      <w:spacing w:before="200"/>
      <w:ind w:left="360" w:right="360"/>
    </w:pPr>
    <w:rPr>
      <w:i/>
      <w:iCs/>
      <w:lang w:bidi="en-US"/>
    </w:rPr>
  </w:style>
  <w:style w:type="character" w:customStyle="1" w:styleId="QuoteChar">
    <w:name w:val="Quote Char"/>
    <w:basedOn w:val="DefaultParagraphFont"/>
    <w:link w:val="Quote"/>
    <w:uiPriority w:val="98"/>
    <w:semiHidden/>
    <w:rsid w:val="007759EA"/>
    <w:rPr>
      <w:i/>
      <w:iCs/>
      <w:sz w:val="24"/>
      <w:szCs w:val="24"/>
      <w:lang w:val="en-GB" w:bidi="en-US"/>
    </w:rPr>
  </w:style>
  <w:style w:type="character" w:styleId="SubtleReference">
    <w:name w:val="Subtle Reference"/>
    <w:uiPriority w:val="98"/>
    <w:semiHidden/>
    <w:qFormat/>
    <w:rsid w:val="007759EA"/>
    <w:rPr>
      <w:smallCaps/>
    </w:rPr>
  </w:style>
  <w:style w:type="table" w:styleId="TableGrid">
    <w:name w:val="Table Grid"/>
    <w:basedOn w:val="TableNormal"/>
    <w:uiPriority w:val="59"/>
    <w:semiHidden/>
    <w:rsid w:val="007759E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759E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759E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759E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759E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759E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759E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759E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759E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759E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759E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759E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759E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759E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759E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759E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759EA"/>
    <w:pPr>
      <w:numPr>
        <w:numId w:val="5"/>
      </w:numPr>
    </w:pPr>
  </w:style>
  <w:style w:type="paragraph" w:customStyle="1" w:styleId="JuPara">
    <w:name w:val="Ju_Para"/>
    <w:aliases w:val="_Para"/>
    <w:basedOn w:val="NormalJustified"/>
    <w:link w:val="JuParaChar"/>
    <w:uiPriority w:val="4"/>
    <w:qFormat/>
    <w:rsid w:val="007759EA"/>
    <w:pPr>
      <w:ind w:firstLine="284"/>
    </w:pPr>
  </w:style>
  <w:style w:type="numbering" w:styleId="1ai">
    <w:name w:val="Outline List 1"/>
    <w:basedOn w:val="NoList"/>
    <w:uiPriority w:val="99"/>
    <w:semiHidden/>
    <w:unhideWhenUsed/>
    <w:rsid w:val="007759EA"/>
    <w:pPr>
      <w:numPr>
        <w:numId w:val="6"/>
      </w:numPr>
    </w:pPr>
  </w:style>
  <w:style w:type="table" w:customStyle="1" w:styleId="ECHRTableSimpleBox">
    <w:name w:val="ECHR_Table_Simple_Box"/>
    <w:basedOn w:val="TableNormal"/>
    <w:uiPriority w:val="99"/>
    <w:rsid w:val="007759E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759E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759EA"/>
    <w:pPr>
      <w:numPr>
        <w:numId w:val="7"/>
      </w:numPr>
    </w:pPr>
  </w:style>
  <w:style w:type="table" w:customStyle="1" w:styleId="ECHRTableForInternalUse">
    <w:name w:val="ECHR_Table_For_Internal_Use"/>
    <w:basedOn w:val="TableNormal"/>
    <w:uiPriority w:val="99"/>
    <w:rsid w:val="007759E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759E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759EA"/>
  </w:style>
  <w:style w:type="paragraph" w:styleId="BlockText">
    <w:name w:val="Block Text"/>
    <w:basedOn w:val="Normal"/>
    <w:uiPriority w:val="98"/>
    <w:semiHidden/>
    <w:rsid w:val="007759E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759E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759EA"/>
    <w:pPr>
      <w:spacing w:after="120"/>
    </w:pPr>
  </w:style>
  <w:style w:type="character" w:customStyle="1" w:styleId="BodyTextChar">
    <w:name w:val="Body Text Char"/>
    <w:basedOn w:val="DefaultParagraphFont"/>
    <w:link w:val="BodyText"/>
    <w:uiPriority w:val="98"/>
    <w:semiHidden/>
    <w:rsid w:val="007759EA"/>
    <w:rPr>
      <w:sz w:val="24"/>
      <w:szCs w:val="24"/>
      <w:lang w:val="en-GB"/>
    </w:rPr>
  </w:style>
  <w:style w:type="table" w:customStyle="1" w:styleId="ECHRTableOddBanded">
    <w:name w:val="ECHR_Table_Odd_Banded"/>
    <w:basedOn w:val="TableNormal"/>
    <w:uiPriority w:val="99"/>
    <w:rsid w:val="007759E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759EA"/>
    <w:pPr>
      <w:spacing w:after="120" w:line="480" w:lineRule="auto"/>
    </w:pPr>
  </w:style>
  <w:style w:type="table" w:customStyle="1" w:styleId="ECHRHeaderTableReduced">
    <w:name w:val="ECHR_Header_Table_Reduced"/>
    <w:basedOn w:val="TableNormal"/>
    <w:uiPriority w:val="99"/>
    <w:rsid w:val="007759E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759EA"/>
    <w:pPr>
      <w:ind w:firstLine="284"/>
    </w:pPr>
    <w:rPr>
      <w:b/>
    </w:rPr>
  </w:style>
  <w:style w:type="character" w:styleId="PageNumber">
    <w:name w:val="page number"/>
    <w:uiPriority w:val="98"/>
    <w:semiHidden/>
    <w:rsid w:val="007759EA"/>
    <w:rPr>
      <w:sz w:val="18"/>
    </w:rPr>
  </w:style>
  <w:style w:type="paragraph" w:styleId="ListBullet">
    <w:name w:val="List Bullet"/>
    <w:basedOn w:val="Normal"/>
    <w:uiPriority w:val="98"/>
    <w:semiHidden/>
    <w:rsid w:val="007759EA"/>
    <w:pPr>
      <w:numPr>
        <w:numId w:val="11"/>
      </w:numPr>
    </w:pPr>
  </w:style>
  <w:style w:type="paragraph" w:styleId="ListBullet3">
    <w:name w:val="List Bullet 3"/>
    <w:basedOn w:val="Normal"/>
    <w:uiPriority w:val="98"/>
    <w:semiHidden/>
    <w:rsid w:val="007759EA"/>
    <w:pPr>
      <w:numPr>
        <w:numId w:val="13"/>
      </w:numPr>
      <w:contextualSpacing/>
    </w:pPr>
  </w:style>
  <w:style w:type="character" w:customStyle="1" w:styleId="BodyText2Char">
    <w:name w:val="Body Text 2 Char"/>
    <w:basedOn w:val="DefaultParagraphFont"/>
    <w:link w:val="BodyText2"/>
    <w:uiPriority w:val="98"/>
    <w:semiHidden/>
    <w:rsid w:val="007759EA"/>
    <w:rPr>
      <w:sz w:val="24"/>
      <w:szCs w:val="24"/>
      <w:lang w:val="en-GB"/>
    </w:rPr>
  </w:style>
  <w:style w:type="paragraph" w:styleId="BodyText3">
    <w:name w:val="Body Text 3"/>
    <w:basedOn w:val="Normal"/>
    <w:link w:val="BodyText3Char"/>
    <w:uiPriority w:val="98"/>
    <w:semiHidden/>
    <w:rsid w:val="007759EA"/>
    <w:pPr>
      <w:spacing w:after="120"/>
    </w:pPr>
    <w:rPr>
      <w:sz w:val="16"/>
      <w:szCs w:val="16"/>
    </w:rPr>
  </w:style>
  <w:style w:type="character" w:customStyle="1" w:styleId="BodyText3Char">
    <w:name w:val="Body Text 3 Char"/>
    <w:basedOn w:val="DefaultParagraphFont"/>
    <w:link w:val="BodyText3"/>
    <w:uiPriority w:val="98"/>
    <w:semiHidden/>
    <w:rsid w:val="007759EA"/>
    <w:rPr>
      <w:sz w:val="16"/>
      <w:szCs w:val="16"/>
      <w:lang w:val="en-GB"/>
    </w:rPr>
  </w:style>
  <w:style w:type="paragraph" w:styleId="BodyTextFirstIndent">
    <w:name w:val="Body Text First Indent"/>
    <w:basedOn w:val="BodyText"/>
    <w:link w:val="BodyTextFirstIndentChar"/>
    <w:uiPriority w:val="98"/>
    <w:semiHidden/>
    <w:rsid w:val="007759EA"/>
    <w:pPr>
      <w:spacing w:after="0"/>
      <w:ind w:firstLine="360"/>
    </w:pPr>
  </w:style>
  <w:style w:type="character" w:customStyle="1" w:styleId="BodyTextFirstIndentChar">
    <w:name w:val="Body Text First Indent Char"/>
    <w:basedOn w:val="BodyTextChar"/>
    <w:link w:val="BodyTextFirstIndent"/>
    <w:uiPriority w:val="98"/>
    <w:semiHidden/>
    <w:rsid w:val="007759EA"/>
    <w:rPr>
      <w:sz w:val="24"/>
      <w:szCs w:val="24"/>
      <w:lang w:val="en-GB"/>
    </w:rPr>
  </w:style>
  <w:style w:type="paragraph" w:styleId="BodyTextIndent">
    <w:name w:val="Body Text Indent"/>
    <w:basedOn w:val="Normal"/>
    <w:link w:val="BodyTextIndentChar"/>
    <w:uiPriority w:val="98"/>
    <w:semiHidden/>
    <w:rsid w:val="007759EA"/>
    <w:pPr>
      <w:spacing w:after="120"/>
      <w:ind w:left="283"/>
    </w:pPr>
  </w:style>
  <w:style w:type="character" w:customStyle="1" w:styleId="BodyTextIndentChar">
    <w:name w:val="Body Text Indent Char"/>
    <w:basedOn w:val="DefaultParagraphFont"/>
    <w:link w:val="BodyTextIndent"/>
    <w:uiPriority w:val="98"/>
    <w:semiHidden/>
    <w:rsid w:val="007759EA"/>
    <w:rPr>
      <w:sz w:val="24"/>
      <w:szCs w:val="24"/>
      <w:lang w:val="en-GB"/>
    </w:rPr>
  </w:style>
  <w:style w:type="paragraph" w:styleId="BodyTextFirstIndent2">
    <w:name w:val="Body Text First Indent 2"/>
    <w:basedOn w:val="BodyTextIndent"/>
    <w:link w:val="BodyTextFirstIndent2Char"/>
    <w:uiPriority w:val="98"/>
    <w:semiHidden/>
    <w:rsid w:val="007759EA"/>
    <w:pPr>
      <w:spacing w:after="0"/>
      <w:ind w:left="360" w:firstLine="360"/>
    </w:pPr>
  </w:style>
  <w:style w:type="character" w:customStyle="1" w:styleId="BodyTextFirstIndent2Char">
    <w:name w:val="Body Text First Indent 2 Char"/>
    <w:basedOn w:val="BodyTextIndentChar"/>
    <w:link w:val="BodyTextFirstIndent2"/>
    <w:uiPriority w:val="98"/>
    <w:semiHidden/>
    <w:rsid w:val="007759EA"/>
    <w:rPr>
      <w:sz w:val="24"/>
      <w:szCs w:val="24"/>
      <w:lang w:val="en-GB"/>
    </w:rPr>
  </w:style>
  <w:style w:type="paragraph" w:styleId="BodyTextIndent2">
    <w:name w:val="Body Text Indent 2"/>
    <w:basedOn w:val="Normal"/>
    <w:link w:val="BodyTextIndent2Char"/>
    <w:uiPriority w:val="98"/>
    <w:semiHidden/>
    <w:rsid w:val="007759EA"/>
    <w:pPr>
      <w:spacing w:after="120" w:line="480" w:lineRule="auto"/>
      <w:ind w:left="283"/>
    </w:pPr>
  </w:style>
  <w:style w:type="character" w:customStyle="1" w:styleId="BodyTextIndent2Char">
    <w:name w:val="Body Text Indent 2 Char"/>
    <w:basedOn w:val="DefaultParagraphFont"/>
    <w:link w:val="BodyTextIndent2"/>
    <w:uiPriority w:val="98"/>
    <w:semiHidden/>
    <w:rsid w:val="007759EA"/>
    <w:rPr>
      <w:sz w:val="24"/>
      <w:szCs w:val="24"/>
      <w:lang w:val="en-GB"/>
    </w:rPr>
  </w:style>
  <w:style w:type="paragraph" w:styleId="BodyTextIndent3">
    <w:name w:val="Body Text Indent 3"/>
    <w:basedOn w:val="Normal"/>
    <w:link w:val="BodyTextIndent3Char"/>
    <w:uiPriority w:val="98"/>
    <w:semiHidden/>
    <w:rsid w:val="007759E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759EA"/>
    <w:rPr>
      <w:sz w:val="16"/>
      <w:szCs w:val="16"/>
      <w:lang w:val="en-GB"/>
    </w:rPr>
  </w:style>
  <w:style w:type="paragraph" w:styleId="Caption">
    <w:name w:val="caption"/>
    <w:basedOn w:val="Normal"/>
    <w:next w:val="Normal"/>
    <w:uiPriority w:val="98"/>
    <w:semiHidden/>
    <w:qFormat/>
    <w:rsid w:val="007759EA"/>
    <w:pPr>
      <w:spacing w:after="200"/>
    </w:pPr>
    <w:rPr>
      <w:b/>
      <w:bCs/>
      <w:color w:val="0072BC" w:themeColor="accent1"/>
      <w:sz w:val="18"/>
      <w:szCs w:val="18"/>
    </w:rPr>
  </w:style>
  <w:style w:type="paragraph" w:styleId="Closing">
    <w:name w:val="Closing"/>
    <w:basedOn w:val="Normal"/>
    <w:link w:val="ClosingChar"/>
    <w:uiPriority w:val="98"/>
    <w:semiHidden/>
    <w:rsid w:val="007759EA"/>
    <w:pPr>
      <w:ind w:left="4252"/>
    </w:pPr>
  </w:style>
  <w:style w:type="character" w:customStyle="1" w:styleId="ClosingChar">
    <w:name w:val="Closing Char"/>
    <w:basedOn w:val="DefaultParagraphFont"/>
    <w:link w:val="Closing"/>
    <w:uiPriority w:val="98"/>
    <w:semiHidden/>
    <w:rsid w:val="007759EA"/>
    <w:rPr>
      <w:sz w:val="24"/>
      <w:szCs w:val="24"/>
      <w:lang w:val="en-GB"/>
    </w:rPr>
  </w:style>
  <w:style w:type="table" w:styleId="ColorfulGrid">
    <w:name w:val="Colorful Grid"/>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759E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759E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759E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759E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759E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759E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759E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759E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759E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759E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759E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759E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759E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759E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759E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759EA"/>
    <w:rPr>
      <w:sz w:val="16"/>
      <w:szCs w:val="16"/>
    </w:rPr>
  </w:style>
  <w:style w:type="paragraph" w:styleId="CommentText">
    <w:name w:val="annotation text"/>
    <w:basedOn w:val="Normal"/>
    <w:link w:val="CommentTextChar"/>
    <w:uiPriority w:val="98"/>
    <w:semiHidden/>
    <w:rsid w:val="007759EA"/>
    <w:rPr>
      <w:sz w:val="20"/>
      <w:szCs w:val="20"/>
    </w:rPr>
  </w:style>
  <w:style w:type="character" w:customStyle="1" w:styleId="CommentTextChar">
    <w:name w:val="Comment Text Char"/>
    <w:basedOn w:val="DefaultParagraphFont"/>
    <w:link w:val="CommentText"/>
    <w:uiPriority w:val="98"/>
    <w:semiHidden/>
    <w:rsid w:val="007759EA"/>
    <w:rPr>
      <w:sz w:val="20"/>
      <w:szCs w:val="20"/>
      <w:lang w:val="en-GB"/>
    </w:rPr>
  </w:style>
  <w:style w:type="paragraph" w:styleId="CommentSubject">
    <w:name w:val="annotation subject"/>
    <w:basedOn w:val="CommentText"/>
    <w:next w:val="CommentText"/>
    <w:link w:val="CommentSubjectChar"/>
    <w:uiPriority w:val="98"/>
    <w:semiHidden/>
    <w:rsid w:val="007759EA"/>
    <w:rPr>
      <w:b/>
      <w:bCs/>
    </w:rPr>
  </w:style>
  <w:style w:type="character" w:customStyle="1" w:styleId="CommentSubjectChar">
    <w:name w:val="Comment Subject Char"/>
    <w:basedOn w:val="CommentTextChar"/>
    <w:link w:val="CommentSubject"/>
    <w:uiPriority w:val="98"/>
    <w:semiHidden/>
    <w:rsid w:val="007759EA"/>
    <w:rPr>
      <w:b/>
      <w:bCs/>
      <w:sz w:val="20"/>
      <w:szCs w:val="20"/>
      <w:lang w:val="en-GB"/>
    </w:rPr>
  </w:style>
  <w:style w:type="table" w:styleId="DarkList">
    <w:name w:val="Dark List"/>
    <w:basedOn w:val="TableNormal"/>
    <w:uiPriority w:val="70"/>
    <w:semiHidden/>
    <w:rsid w:val="007759E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759E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759E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759E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759E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759E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759E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759EA"/>
  </w:style>
  <w:style w:type="character" w:customStyle="1" w:styleId="DateChar">
    <w:name w:val="Date Char"/>
    <w:basedOn w:val="DefaultParagraphFont"/>
    <w:link w:val="Date"/>
    <w:uiPriority w:val="98"/>
    <w:semiHidden/>
    <w:rsid w:val="007759EA"/>
    <w:rPr>
      <w:sz w:val="24"/>
      <w:szCs w:val="24"/>
      <w:lang w:val="en-GB"/>
    </w:rPr>
  </w:style>
  <w:style w:type="paragraph" w:styleId="DocumentMap">
    <w:name w:val="Document Map"/>
    <w:basedOn w:val="Normal"/>
    <w:link w:val="DocumentMapChar"/>
    <w:uiPriority w:val="98"/>
    <w:semiHidden/>
    <w:rsid w:val="007759EA"/>
    <w:rPr>
      <w:rFonts w:ascii="Tahoma" w:hAnsi="Tahoma" w:cs="Tahoma"/>
      <w:sz w:val="16"/>
      <w:szCs w:val="16"/>
    </w:rPr>
  </w:style>
  <w:style w:type="character" w:customStyle="1" w:styleId="DocumentMapChar">
    <w:name w:val="Document Map Char"/>
    <w:basedOn w:val="DefaultParagraphFont"/>
    <w:link w:val="DocumentMap"/>
    <w:uiPriority w:val="98"/>
    <w:semiHidden/>
    <w:rsid w:val="007759EA"/>
    <w:rPr>
      <w:rFonts w:ascii="Tahoma" w:hAnsi="Tahoma" w:cs="Tahoma"/>
      <w:sz w:val="16"/>
      <w:szCs w:val="16"/>
      <w:lang w:val="en-GB"/>
    </w:rPr>
  </w:style>
  <w:style w:type="paragraph" w:styleId="E-mailSignature">
    <w:name w:val="E-mail Signature"/>
    <w:basedOn w:val="Normal"/>
    <w:link w:val="E-mailSignatureChar"/>
    <w:uiPriority w:val="98"/>
    <w:semiHidden/>
    <w:rsid w:val="007759EA"/>
  </w:style>
  <w:style w:type="character" w:customStyle="1" w:styleId="E-mailSignatureChar">
    <w:name w:val="E-mail Signature Char"/>
    <w:basedOn w:val="DefaultParagraphFont"/>
    <w:link w:val="E-mailSignature"/>
    <w:uiPriority w:val="98"/>
    <w:semiHidden/>
    <w:rsid w:val="007759EA"/>
    <w:rPr>
      <w:sz w:val="24"/>
      <w:szCs w:val="24"/>
      <w:lang w:val="en-GB"/>
    </w:rPr>
  </w:style>
  <w:style w:type="character" w:styleId="EndnoteReference">
    <w:name w:val="endnote reference"/>
    <w:basedOn w:val="DefaultParagraphFont"/>
    <w:uiPriority w:val="98"/>
    <w:semiHidden/>
    <w:rsid w:val="007759EA"/>
    <w:rPr>
      <w:vertAlign w:val="superscript"/>
    </w:rPr>
  </w:style>
  <w:style w:type="paragraph" w:styleId="EndnoteText">
    <w:name w:val="endnote text"/>
    <w:basedOn w:val="Normal"/>
    <w:link w:val="EndnoteTextChar"/>
    <w:uiPriority w:val="98"/>
    <w:semiHidden/>
    <w:rsid w:val="007759EA"/>
    <w:rPr>
      <w:sz w:val="20"/>
      <w:szCs w:val="20"/>
    </w:rPr>
  </w:style>
  <w:style w:type="character" w:customStyle="1" w:styleId="EndnoteTextChar">
    <w:name w:val="Endnote Text Char"/>
    <w:basedOn w:val="DefaultParagraphFont"/>
    <w:link w:val="EndnoteText"/>
    <w:uiPriority w:val="98"/>
    <w:semiHidden/>
    <w:rsid w:val="007759EA"/>
    <w:rPr>
      <w:sz w:val="20"/>
      <w:szCs w:val="20"/>
      <w:lang w:val="en-GB"/>
    </w:rPr>
  </w:style>
  <w:style w:type="paragraph" w:styleId="EnvelopeAddress">
    <w:name w:val="envelope address"/>
    <w:basedOn w:val="Normal"/>
    <w:uiPriority w:val="98"/>
    <w:semiHidden/>
    <w:rsid w:val="007759E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759E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759EA"/>
    <w:rPr>
      <w:color w:val="7030A0" w:themeColor="followedHyperlink"/>
      <w:u w:val="single"/>
    </w:rPr>
  </w:style>
  <w:style w:type="character" w:styleId="HTMLAcronym">
    <w:name w:val="HTML Acronym"/>
    <w:basedOn w:val="DefaultParagraphFont"/>
    <w:uiPriority w:val="98"/>
    <w:semiHidden/>
    <w:rsid w:val="007759EA"/>
  </w:style>
  <w:style w:type="paragraph" w:styleId="HTMLAddress">
    <w:name w:val="HTML Address"/>
    <w:basedOn w:val="Normal"/>
    <w:link w:val="HTMLAddressChar"/>
    <w:uiPriority w:val="98"/>
    <w:semiHidden/>
    <w:rsid w:val="007759EA"/>
    <w:rPr>
      <w:i/>
      <w:iCs/>
    </w:rPr>
  </w:style>
  <w:style w:type="character" w:customStyle="1" w:styleId="HTMLAddressChar">
    <w:name w:val="HTML Address Char"/>
    <w:basedOn w:val="DefaultParagraphFont"/>
    <w:link w:val="HTMLAddress"/>
    <w:uiPriority w:val="98"/>
    <w:semiHidden/>
    <w:rsid w:val="007759EA"/>
    <w:rPr>
      <w:i/>
      <w:iCs/>
      <w:sz w:val="24"/>
      <w:szCs w:val="24"/>
      <w:lang w:val="en-GB"/>
    </w:rPr>
  </w:style>
  <w:style w:type="character" w:styleId="HTMLCite">
    <w:name w:val="HTML Cite"/>
    <w:basedOn w:val="DefaultParagraphFont"/>
    <w:uiPriority w:val="98"/>
    <w:semiHidden/>
    <w:rsid w:val="007759EA"/>
    <w:rPr>
      <w:i/>
      <w:iCs/>
    </w:rPr>
  </w:style>
  <w:style w:type="character" w:styleId="HTMLCode">
    <w:name w:val="HTML Code"/>
    <w:basedOn w:val="DefaultParagraphFont"/>
    <w:uiPriority w:val="98"/>
    <w:semiHidden/>
    <w:rsid w:val="007759EA"/>
    <w:rPr>
      <w:rFonts w:ascii="Consolas" w:hAnsi="Consolas" w:cs="Consolas"/>
      <w:sz w:val="20"/>
      <w:szCs w:val="20"/>
    </w:rPr>
  </w:style>
  <w:style w:type="character" w:styleId="HTMLDefinition">
    <w:name w:val="HTML Definition"/>
    <w:basedOn w:val="DefaultParagraphFont"/>
    <w:uiPriority w:val="98"/>
    <w:semiHidden/>
    <w:rsid w:val="007759EA"/>
    <w:rPr>
      <w:i/>
      <w:iCs/>
    </w:rPr>
  </w:style>
  <w:style w:type="character" w:styleId="HTMLKeyboard">
    <w:name w:val="HTML Keyboard"/>
    <w:basedOn w:val="DefaultParagraphFont"/>
    <w:uiPriority w:val="98"/>
    <w:semiHidden/>
    <w:rsid w:val="007759EA"/>
    <w:rPr>
      <w:rFonts w:ascii="Consolas" w:hAnsi="Consolas" w:cs="Consolas"/>
      <w:sz w:val="20"/>
      <w:szCs w:val="20"/>
    </w:rPr>
  </w:style>
  <w:style w:type="paragraph" w:styleId="HTMLPreformatted">
    <w:name w:val="HTML Preformatted"/>
    <w:basedOn w:val="Normal"/>
    <w:link w:val="HTMLPreformattedChar"/>
    <w:uiPriority w:val="98"/>
    <w:semiHidden/>
    <w:rsid w:val="007759E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759EA"/>
    <w:rPr>
      <w:rFonts w:ascii="Consolas" w:hAnsi="Consolas" w:cs="Consolas"/>
      <w:sz w:val="20"/>
      <w:szCs w:val="20"/>
      <w:lang w:val="en-GB"/>
    </w:rPr>
  </w:style>
  <w:style w:type="character" w:styleId="HTMLSample">
    <w:name w:val="HTML Sample"/>
    <w:basedOn w:val="DefaultParagraphFont"/>
    <w:uiPriority w:val="98"/>
    <w:semiHidden/>
    <w:rsid w:val="007759EA"/>
    <w:rPr>
      <w:rFonts w:ascii="Consolas" w:hAnsi="Consolas" w:cs="Consolas"/>
      <w:sz w:val="24"/>
      <w:szCs w:val="24"/>
    </w:rPr>
  </w:style>
  <w:style w:type="character" w:styleId="HTMLTypewriter">
    <w:name w:val="HTML Typewriter"/>
    <w:basedOn w:val="DefaultParagraphFont"/>
    <w:uiPriority w:val="98"/>
    <w:semiHidden/>
    <w:rsid w:val="007759EA"/>
    <w:rPr>
      <w:rFonts w:ascii="Consolas" w:hAnsi="Consolas" w:cs="Consolas"/>
      <w:sz w:val="20"/>
      <w:szCs w:val="20"/>
    </w:rPr>
  </w:style>
  <w:style w:type="character" w:styleId="HTMLVariable">
    <w:name w:val="HTML Variable"/>
    <w:basedOn w:val="DefaultParagraphFont"/>
    <w:uiPriority w:val="98"/>
    <w:semiHidden/>
    <w:rsid w:val="007759EA"/>
    <w:rPr>
      <w:i/>
      <w:iCs/>
    </w:rPr>
  </w:style>
  <w:style w:type="paragraph" w:styleId="Index1">
    <w:name w:val="index 1"/>
    <w:basedOn w:val="Normal"/>
    <w:next w:val="Normal"/>
    <w:autoRedefine/>
    <w:uiPriority w:val="98"/>
    <w:semiHidden/>
    <w:rsid w:val="007759EA"/>
    <w:pPr>
      <w:ind w:left="240" w:hanging="240"/>
    </w:pPr>
  </w:style>
  <w:style w:type="paragraph" w:styleId="Index2">
    <w:name w:val="index 2"/>
    <w:basedOn w:val="Normal"/>
    <w:next w:val="Normal"/>
    <w:autoRedefine/>
    <w:uiPriority w:val="98"/>
    <w:semiHidden/>
    <w:rsid w:val="007759EA"/>
    <w:pPr>
      <w:ind w:left="480" w:hanging="240"/>
    </w:pPr>
  </w:style>
  <w:style w:type="paragraph" w:styleId="Index3">
    <w:name w:val="index 3"/>
    <w:basedOn w:val="Normal"/>
    <w:next w:val="Normal"/>
    <w:autoRedefine/>
    <w:uiPriority w:val="98"/>
    <w:semiHidden/>
    <w:rsid w:val="007759EA"/>
    <w:pPr>
      <w:ind w:left="720" w:hanging="240"/>
    </w:pPr>
  </w:style>
  <w:style w:type="paragraph" w:styleId="Index4">
    <w:name w:val="index 4"/>
    <w:basedOn w:val="Normal"/>
    <w:next w:val="Normal"/>
    <w:autoRedefine/>
    <w:uiPriority w:val="98"/>
    <w:semiHidden/>
    <w:rsid w:val="007759EA"/>
    <w:pPr>
      <w:ind w:left="960" w:hanging="240"/>
    </w:pPr>
  </w:style>
  <w:style w:type="paragraph" w:styleId="Index5">
    <w:name w:val="index 5"/>
    <w:basedOn w:val="Normal"/>
    <w:next w:val="Normal"/>
    <w:autoRedefine/>
    <w:uiPriority w:val="98"/>
    <w:semiHidden/>
    <w:rsid w:val="007759EA"/>
    <w:pPr>
      <w:ind w:left="1200" w:hanging="240"/>
    </w:pPr>
  </w:style>
  <w:style w:type="paragraph" w:styleId="Index6">
    <w:name w:val="index 6"/>
    <w:basedOn w:val="Normal"/>
    <w:next w:val="Normal"/>
    <w:autoRedefine/>
    <w:uiPriority w:val="98"/>
    <w:semiHidden/>
    <w:rsid w:val="007759EA"/>
    <w:pPr>
      <w:ind w:left="1440" w:hanging="240"/>
    </w:pPr>
  </w:style>
  <w:style w:type="paragraph" w:styleId="Index7">
    <w:name w:val="index 7"/>
    <w:basedOn w:val="Normal"/>
    <w:next w:val="Normal"/>
    <w:autoRedefine/>
    <w:uiPriority w:val="98"/>
    <w:semiHidden/>
    <w:rsid w:val="007759EA"/>
    <w:pPr>
      <w:ind w:left="1680" w:hanging="240"/>
    </w:pPr>
  </w:style>
  <w:style w:type="paragraph" w:styleId="Index8">
    <w:name w:val="index 8"/>
    <w:basedOn w:val="Normal"/>
    <w:next w:val="Normal"/>
    <w:autoRedefine/>
    <w:uiPriority w:val="98"/>
    <w:semiHidden/>
    <w:rsid w:val="007759EA"/>
    <w:pPr>
      <w:ind w:left="1920" w:hanging="240"/>
    </w:pPr>
  </w:style>
  <w:style w:type="paragraph" w:styleId="Index9">
    <w:name w:val="index 9"/>
    <w:basedOn w:val="Normal"/>
    <w:next w:val="Normal"/>
    <w:autoRedefine/>
    <w:uiPriority w:val="98"/>
    <w:semiHidden/>
    <w:rsid w:val="007759EA"/>
    <w:pPr>
      <w:ind w:left="2160" w:hanging="240"/>
    </w:pPr>
  </w:style>
  <w:style w:type="paragraph" w:styleId="IndexHeading">
    <w:name w:val="index heading"/>
    <w:basedOn w:val="Normal"/>
    <w:next w:val="Index1"/>
    <w:uiPriority w:val="98"/>
    <w:semiHidden/>
    <w:rsid w:val="007759EA"/>
    <w:rPr>
      <w:rFonts w:asciiTheme="majorHAnsi" w:eastAsiaTheme="majorEastAsia" w:hAnsiTheme="majorHAnsi" w:cstheme="majorBidi"/>
      <w:b/>
      <w:bCs/>
    </w:rPr>
  </w:style>
  <w:style w:type="table" w:styleId="LightGrid">
    <w:name w:val="Light Grid"/>
    <w:basedOn w:val="TableNormal"/>
    <w:uiPriority w:val="62"/>
    <w:semiHidden/>
    <w:rsid w:val="007759E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759E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759E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759E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759E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759E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759E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759E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759E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759E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759E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759E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759E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759E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759E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759E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759E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759E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759E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759E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759E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759EA"/>
  </w:style>
  <w:style w:type="paragraph" w:styleId="List">
    <w:name w:val="List"/>
    <w:basedOn w:val="Normal"/>
    <w:uiPriority w:val="98"/>
    <w:semiHidden/>
    <w:rsid w:val="007759EA"/>
    <w:pPr>
      <w:ind w:left="283" w:hanging="283"/>
      <w:contextualSpacing/>
    </w:pPr>
  </w:style>
  <w:style w:type="paragraph" w:styleId="List2">
    <w:name w:val="List 2"/>
    <w:basedOn w:val="Normal"/>
    <w:uiPriority w:val="98"/>
    <w:semiHidden/>
    <w:rsid w:val="007759EA"/>
    <w:pPr>
      <w:ind w:left="566" w:hanging="283"/>
      <w:contextualSpacing/>
    </w:pPr>
  </w:style>
  <w:style w:type="paragraph" w:styleId="List3">
    <w:name w:val="List 3"/>
    <w:basedOn w:val="Normal"/>
    <w:uiPriority w:val="98"/>
    <w:semiHidden/>
    <w:rsid w:val="007759EA"/>
    <w:pPr>
      <w:ind w:left="849" w:hanging="283"/>
      <w:contextualSpacing/>
    </w:pPr>
  </w:style>
  <w:style w:type="paragraph" w:styleId="List4">
    <w:name w:val="List 4"/>
    <w:basedOn w:val="Normal"/>
    <w:uiPriority w:val="98"/>
    <w:semiHidden/>
    <w:rsid w:val="007759EA"/>
    <w:pPr>
      <w:ind w:left="1132" w:hanging="283"/>
      <w:contextualSpacing/>
    </w:pPr>
  </w:style>
  <w:style w:type="paragraph" w:styleId="List5">
    <w:name w:val="List 5"/>
    <w:basedOn w:val="Normal"/>
    <w:uiPriority w:val="98"/>
    <w:semiHidden/>
    <w:rsid w:val="007759EA"/>
    <w:pPr>
      <w:ind w:left="1415" w:hanging="283"/>
      <w:contextualSpacing/>
    </w:pPr>
  </w:style>
  <w:style w:type="paragraph" w:styleId="ListBullet2">
    <w:name w:val="List Bullet 2"/>
    <w:basedOn w:val="Normal"/>
    <w:uiPriority w:val="98"/>
    <w:semiHidden/>
    <w:rsid w:val="007759EA"/>
    <w:pPr>
      <w:numPr>
        <w:numId w:val="12"/>
      </w:numPr>
      <w:contextualSpacing/>
    </w:pPr>
  </w:style>
  <w:style w:type="paragraph" w:styleId="ListBullet4">
    <w:name w:val="List Bullet 4"/>
    <w:basedOn w:val="Normal"/>
    <w:uiPriority w:val="98"/>
    <w:semiHidden/>
    <w:rsid w:val="007759EA"/>
    <w:pPr>
      <w:numPr>
        <w:numId w:val="14"/>
      </w:numPr>
      <w:contextualSpacing/>
    </w:pPr>
  </w:style>
  <w:style w:type="paragraph" w:styleId="ListBullet5">
    <w:name w:val="List Bullet 5"/>
    <w:basedOn w:val="Normal"/>
    <w:uiPriority w:val="98"/>
    <w:semiHidden/>
    <w:rsid w:val="007759EA"/>
    <w:pPr>
      <w:numPr>
        <w:numId w:val="15"/>
      </w:numPr>
      <w:contextualSpacing/>
    </w:pPr>
  </w:style>
  <w:style w:type="paragraph" w:styleId="ListContinue">
    <w:name w:val="List Continue"/>
    <w:basedOn w:val="Normal"/>
    <w:uiPriority w:val="98"/>
    <w:semiHidden/>
    <w:rsid w:val="007759EA"/>
    <w:pPr>
      <w:spacing w:after="120"/>
      <w:ind w:left="283"/>
      <w:contextualSpacing/>
    </w:pPr>
  </w:style>
  <w:style w:type="paragraph" w:styleId="ListContinue2">
    <w:name w:val="List Continue 2"/>
    <w:basedOn w:val="Normal"/>
    <w:uiPriority w:val="98"/>
    <w:semiHidden/>
    <w:rsid w:val="007759EA"/>
    <w:pPr>
      <w:spacing w:after="120"/>
      <w:ind w:left="566"/>
      <w:contextualSpacing/>
    </w:pPr>
  </w:style>
  <w:style w:type="paragraph" w:styleId="ListContinue3">
    <w:name w:val="List Continue 3"/>
    <w:basedOn w:val="Normal"/>
    <w:uiPriority w:val="98"/>
    <w:semiHidden/>
    <w:rsid w:val="007759EA"/>
    <w:pPr>
      <w:spacing w:after="120"/>
      <w:ind w:left="849"/>
      <w:contextualSpacing/>
    </w:pPr>
  </w:style>
  <w:style w:type="paragraph" w:styleId="ListContinue4">
    <w:name w:val="List Continue 4"/>
    <w:basedOn w:val="Normal"/>
    <w:uiPriority w:val="98"/>
    <w:semiHidden/>
    <w:rsid w:val="007759EA"/>
    <w:pPr>
      <w:spacing w:after="120"/>
      <w:ind w:left="1132"/>
      <w:contextualSpacing/>
    </w:pPr>
  </w:style>
  <w:style w:type="paragraph" w:styleId="ListContinue5">
    <w:name w:val="List Continue 5"/>
    <w:basedOn w:val="Normal"/>
    <w:uiPriority w:val="98"/>
    <w:semiHidden/>
    <w:rsid w:val="007759EA"/>
    <w:pPr>
      <w:spacing w:after="120"/>
      <w:ind w:left="1415"/>
      <w:contextualSpacing/>
    </w:pPr>
  </w:style>
  <w:style w:type="paragraph" w:styleId="ListNumber">
    <w:name w:val="List Number"/>
    <w:basedOn w:val="Normal"/>
    <w:uiPriority w:val="98"/>
    <w:semiHidden/>
    <w:rsid w:val="007759EA"/>
    <w:pPr>
      <w:numPr>
        <w:numId w:val="16"/>
      </w:numPr>
      <w:contextualSpacing/>
    </w:pPr>
  </w:style>
  <w:style w:type="paragraph" w:styleId="ListNumber2">
    <w:name w:val="List Number 2"/>
    <w:basedOn w:val="Normal"/>
    <w:uiPriority w:val="98"/>
    <w:semiHidden/>
    <w:rsid w:val="007759EA"/>
    <w:pPr>
      <w:numPr>
        <w:numId w:val="17"/>
      </w:numPr>
      <w:contextualSpacing/>
    </w:pPr>
  </w:style>
  <w:style w:type="paragraph" w:styleId="ListNumber3">
    <w:name w:val="List Number 3"/>
    <w:basedOn w:val="Normal"/>
    <w:uiPriority w:val="98"/>
    <w:semiHidden/>
    <w:rsid w:val="007759EA"/>
    <w:pPr>
      <w:numPr>
        <w:numId w:val="18"/>
      </w:numPr>
      <w:contextualSpacing/>
    </w:pPr>
  </w:style>
  <w:style w:type="paragraph" w:styleId="ListNumber4">
    <w:name w:val="List Number 4"/>
    <w:basedOn w:val="Normal"/>
    <w:uiPriority w:val="98"/>
    <w:semiHidden/>
    <w:rsid w:val="007759EA"/>
    <w:pPr>
      <w:numPr>
        <w:numId w:val="19"/>
      </w:numPr>
      <w:contextualSpacing/>
    </w:pPr>
  </w:style>
  <w:style w:type="paragraph" w:styleId="ListNumber5">
    <w:name w:val="List Number 5"/>
    <w:basedOn w:val="Normal"/>
    <w:uiPriority w:val="98"/>
    <w:semiHidden/>
    <w:rsid w:val="007759EA"/>
    <w:pPr>
      <w:numPr>
        <w:numId w:val="20"/>
      </w:numPr>
      <w:contextualSpacing/>
    </w:pPr>
  </w:style>
  <w:style w:type="paragraph" w:styleId="MacroText">
    <w:name w:val="macro"/>
    <w:link w:val="MacroTextChar"/>
    <w:uiPriority w:val="98"/>
    <w:semiHidden/>
    <w:rsid w:val="007759E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759EA"/>
    <w:rPr>
      <w:rFonts w:ascii="Consolas" w:eastAsiaTheme="minorEastAsia" w:hAnsi="Consolas" w:cs="Consolas"/>
      <w:sz w:val="20"/>
      <w:szCs w:val="20"/>
    </w:rPr>
  </w:style>
  <w:style w:type="table" w:styleId="MediumGrid1">
    <w:name w:val="Medium Grid 1"/>
    <w:basedOn w:val="TableNormal"/>
    <w:uiPriority w:val="67"/>
    <w:semiHidden/>
    <w:rsid w:val="007759E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759E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759E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759E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759E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759E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759E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759E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759E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759E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759E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759E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759E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759E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759E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759E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759E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759E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759E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759E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759E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759E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759E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759E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759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759E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759EA"/>
    <w:rPr>
      <w:rFonts w:ascii="Times New Roman" w:hAnsi="Times New Roman" w:cs="Times New Roman"/>
    </w:rPr>
  </w:style>
  <w:style w:type="paragraph" w:styleId="NormalIndent">
    <w:name w:val="Normal Indent"/>
    <w:basedOn w:val="Normal"/>
    <w:uiPriority w:val="98"/>
    <w:semiHidden/>
    <w:rsid w:val="007759EA"/>
    <w:pPr>
      <w:ind w:left="720"/>
    </w:pPr>
  </w:style>
  <w:style w:type="paragraph" w:styleId="NoteHeading">
    <w:name w:val="Note Heading"/>
    <w:basedOn w:val="Normal"/>
    <w:next w:val="Normal"/>
    <w:link w:val="NoteHeadingChar"/>
    <w:uiPriority w:val="98"/>
    <w:semiHidden/>
    <w:rsid w:val="007759EA"/>
  </w:style>
  <w:style w:type="character" w:customStyle="1" w:styleId="NoteHeadingChar">
    <w:name w:val="Note Heading Char"/>
    <w:basedOn w:val="DefaultParagraphFont"/>
    <w:link w:val="NoteHeading"/>
    <w:uiPriority w:val="98"/>
    <w:semiHidden/>
    <w:rsid w:val="007759EA"/>
    <w:rPr>
      <w:sz w:val="24"/>
      <w:szCs w:val="24"/>
      <w:lang w:val="en-GB"/>
    </w:rPr>
  </w:style>
  <w:style w:type="character" w:styleId="PlaceholderText">
    <w:name w:val="Placeholder Text"/>
    <w:basedOn w:val="DefaultParagraphFont"/>
    <w:uiPriority w:val="98"/>
    <w:semiHidden/>
    <w:rsid w:val="007759E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759EA"/>
    <w:rPr>
      <w:rFonts w:ascii="Consolas" w:hAnsi="Consolas" w:cs="Consolas"/>
      <w:sz w:val="21"/>
      <w:szCs w:val="21"/>
    </w:rPr>
  </w:style>
  <w:style w:type="character" w:customStyle="1" w:styleId="PlainTextChar">
    <w:name w:val="Plain Text Char"/>
    <w:basedOn w:val="DefaultParagraphFont"/>
    <w:link w:val="PlainText"/>
    <w:uiPriority w:val="98"/>
    <w:semiHidden/>
    <w:rsid w:val="007759EA"/>
    <w:rPr>
      <w:rFonts w:ascii="Consolas" w:hAnsi="Consolas" w:cs="Consolas"/>
      <w:sz w:val="21"/>
      <w:szCs w:val="21"/>
      <w:lang w:val="en-GB"/>
    </w:rPr>
  </w:style>
  <w:style w:type="paragraph" w:styleId="Salutation">
    <w:name w:val="Salutation"/>
    <w:basedOn w:val="Normal"/>
    <w:next w:val="Normal"/>
    <w:link w:val="SalutationChar"/>
    <w:uiPriority w:val="98"/>
    <w:semiHidden/>
    <w:rsid w:val="007759EA"/>
  </w:style>
  <w:style w:type="character" w:customStyle="1" w:styleId="SalutationChar">
    <w:name w:val="Salutation Char"/>
    <w:basedOn w:val="DefaultParagraphFont"/>
    <w:link w:val="Salutation"/>
    <w:uiPriority w:val="98"/>
    <w:semiHidden/>
    <w:rsid w:val="007759EA"/>
    <w:rPr>
      <w:sz w:val="24"/>
      <w:szCs w:val="24"/>
      <w:lang w:val="en-GB"/>
    </w:rPr>
  </w:style>
  <w:style w:type="paragraph" w:styleId="Signature">
    <w:name w:val="Signature"/>
    <w:basedOn w:val="Normal"/>
    <w:link w:val="SignatureChar"/>
    <w:uiPriority w:val="98"/>
    <w:semiHidden/>
    <w:rsid w:val="007759EA"/>
    <w:pPr>
      <w:ind w:left="4252"/>
    </w:pPr>
  </w:style>
  <w:style w:type="character" w:customStyle="1" w:styleId="SignatureChar">
    <w:name w:val="Signature Char"/>
    <w:basedOn w:val="DefaultParagraphFont"/>
    <w:link w:val="Signature"/>
    <w:uiPriority w:val="98"/>
    <w:semiHidden/>
    <w:rsid w:val="007759EA"/>
    <w:rPr>
      <w:sz w:val="24"/>
      <w:szCs w:val="24"/>
      <w:lang w:val="en-GB"/>
    </w:rPr>
  </w:style>
  <w:style w:type="table" w:styleId="Table3Deffects1">
    <w:name w:val="Table 3D effects 1"/>
    <w:basedOn w:val="TableNormal"/>
    <w:uiPriority w:val="99"/>
    <w:semiHidden/>
    <w:unhideWhenUsed/>
    <w:rsid w:val="007759E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59E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59E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59E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59E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59E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59E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59E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59E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59E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759E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759E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59E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59E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59E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59E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59E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59E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59E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59E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59E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59E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59E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59E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59E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759E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759E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59E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59E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59E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59E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59E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59E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759EA"/>
    <w:pPr>
      <w:ind w:left="240" w:hanging="240"/>
    </w:pPr>
  </w:style>
  <w:style w:type="paragraph" w:styleId="TableofFigures">
    <w:name w:val="table of figures"/>
    <w:basedOn w:val="Normal"/>
    <w:next w:val="Normal"/>
    <w:uiPriority w:val="98"/>
    <w:semiHidden/>
    <w:rsid w:val="007759EA"/>
  </w:style>
  <w:style w:type="table" w:styleId="TableProfessional">
    <w:name w:val="Table Professional"/>
    <w:basedOn w:val="TableNormal"/>
    <w:uiPriority w:val="99"/>
    <w:semiHidden/>
    <w:unhideWhenUsed/>
    <w:rsid w:val="007759E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759E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759E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59E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59E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59E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59E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759E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59E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59E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759E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759E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759EA"/>
    <w:pPr>
      <w:spacing w:after="100"/>
      <w:ind w:left="1680"/>
    </w:pPr>
  </w:style>
  <w:style w:type="paragraph" w:styleId="TOC9">
    <w:name w:val="toc 9"/>
    <w:basedOn w:val="Normal"/>
    <w:next w:val="Normal"/>
    <w:autoRedefine/>
    <w:uiPriority w:val="98"/>
    <w:semiHidden/>
    <w:rsid w:val="007759E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7759E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759E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759E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759E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759EA"/>
    <w:pPr>
      <w:numPr>
        <w:numId w:val="8"/>
      </w:numPr>
      <w:spacing w:before="60" w:after="60"/>
    </w:pPr>
  </w:style>
  <w:style w:type="paragraph" w:customStyle="1" w:styleId="ECHRBullet2">
    <w:name w:val="ECHR_Bullet_2"/>
    <w:aliases w:val="_Bul_2"/>
    <w:basedOn w:val="ECHRBullet1"/>
    <w:uiPriority w:val="23"/>
    <w:semiHidden/>
    <w:rsid w:val="007759EA"/>
    <w:pPr>
      <w:numPr>
        <w:ilvl w:val="1"/>
      </w:numPr>
    </w:pPr>
  </w:style>
  <w:style w:type="paragraph" w:customStyle="1" w:styleId="ECHRBullet3">
    <w:name w:val="ECHR_Bullet_3"/>
    <w:aliases w:val="_Bul_3"/>
    <w:basedOn w:val="ECHRBullet2"/>
    <w:uiPriority w:val="23"/>
    <w:semiHidden/>
    <w:rsid w:val="007759EA"/>
    <w:pPr>
      <w:numPr>
        <w:ilvl w:val="2"/>
      </w:numPr>
    </w:pPr>
  </w:style>
  <w:style w:type="paragraph" w:customStyle="1" w:styleId="ECHRBullet4">
    <w:name w:val="ECHR_Bullet_4"/>
    <w:aliases w:val="_Bul_4"/>
    <w:basedOn w:val="ECHRBullet3"/>
    <w:uiPriority w:val="23"/>
    <w:semiHidden/>
    <w:rsid w:val="007759EA"/>
    <w:pPr>
      <w:numPr>
        <w:ilvl w:val="3"/>
      </w:numPr>
    </w:pPr>
  </w:style>
  <w:style w:type="paragraph" w:customStyle="1" w:styleId="ECHRConfidential">
    <w:name w:val="ECHR_Confidential"/>
    <w:aliases w:val="_Confidential"/>
    <w:basedOn w:val="Normal"/>
    <w:next w:val="Normal"/>
    <w:uiPriority w:val="42"/>
    <w:semiHidden/>
    <w:qFormat/>
    <w:rsid w:val="007759EA"/>
    <w:pPr>
      <w:jc w:val="right"/>
    </w:pPr>
    <w:rPr>
      <w:color w:val="C00000"/>
      <w:sz w:val="20"/>
    </w:rPr>
  </w:style>
  <w:style w:type="paragraph" w:customStyle="1" w:styleId="ECHRDecisionBody">
    <w:name w:val="ECHR_Decision_Body"/>
    <w:aliases w:val="_Decision_Body"/>
    <w:basedOn w:val="NormalJustified"/>
    <w:uiPriority w:val="54"/>
    <w:semiHidden/>
    <w:rsid w:val="007759E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759E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759E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759E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759EA"/>
    <w:pPr>
      <w:jc w:val="right"/>
    </w:pPr>
    <w:rPr>
      <w:sz w:val="20"/>
    </w:rPr>
  </w:style>
  <w:style w:type="paragraph" w:customStyle="1" w:styleId="ECHRHeaderRefIt">
    <w:name w:val="ECHR_Header_Ref_It"/>
    <w:aliases w:val="_Ref_Ital"/>
    <w:basedOn w:val="Normal"/>
    <w:next w:val="ECHRHeaderDate"/>
    <w:uiPriority w:val="43"/>
    <w:qFormat/>
    <w:rsid w:val="007759EA"/>
    <w:pPr>
      <w:jc w:val="right"/>
    </w:pPr>
    <w:rPr>
      <w:i/>
      <w:sz w:val="20"/>
    </w:rPr>
  </w:style>
  <w:style w:type="paragraph" w:customStyle="1" w:styleId="ECHRHeading9">
    <w:name w:val="ECHR_Heading_9"/>
    <w:aliases w:val="_Head_9"/>
    <w:basedOn w:val="Heading9"/>
    <w:uiPriority w:val="17"/>
    <w:semiHidden/>
    <w:rsid w:val="007759EA"/>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759E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759EA"/>
    <w:pPr>
      <w:numPr>
        <w:numId w:val="10"/>
      </w:numPr>
      <w:spacing w:before="60" w:after="60"/>
    </w:pPr>
  </w:style>
  <w:style w:type="paragraph" w:customStyle="1" w:styleId="ECHRNumberedList2">
    <w:name w:val="ECHR_Numbered_List_2"/>
    <w:aliases w:val="_Num_2"/>
    <w:basedOn w:val="ECHRNumberedList1"/>
    <w:uiPriority w:val="23"/>
    <w:semiHidden/>
    <w:rsid w:val="007759EA"/>
    <w:pPr>
      <w:numPr>
        <w:ilvl w:val="1"/>
      </w:numPr>
    </w:pPr>
  </w:style>
  <w:style w:type="paragraph" w:customStyle="1" w:styleId="ECHRNumberedList3">
    <w:name w:val="ECHR_Numbered_List_3"/>
    <w:aliases w:val="_Num_3"/>
    <w:basedOn w:val="ECHRNumberedList2"/>
    <w:uiPriority w:val="23"/>
    <w:semiHidden/>
    <w:rsid w:val="007759EA"/>
    <w:pPr>
      <w:numPr>
        <w:ilvl w:val="2"/>
      </w:numPr>
    </w:pPr>
  </w:style>
  <w:style w:type="paragraph" w:customStyle="1" w:styleId="ECHRParaHanging">
    <w:name w:val="ECHR_Para_Hanging"/>
    <w:aliases w:val="_Hanging"/>
    <w:basedOn w:val="Normal"/>
    <w:uiPriority w:val="8"/>
    <w:semiHidden/>
    <w:qFormat/>
    <w:rsid w:val="007759EA"/>
    <w:pPr>
      <w:ind w:left="567" w:hanging="567"/>
      <w:jc w:val="both"/>
    </w:pPr>
  </w:style>
  <w:style w:type="paragraph" w:customStyle="1" w:styleId="ECHRParaIndent">
    <w:name w:val="ECHR_Para_Indent"/>
    <w:aliases w:val="_Indent"/>
    <w:basedOn w:val="Normal"/>
    <w:uiPriority w:val="7"/>
    <w:semiHidden/>
    <w:qFormat/>
    <w:rsid w:val="007759EA"/>
    <w:pPr>
      <w:spacing w:before="120" w:after="120"/>
      <w:ind w:left="284"/>
      <w:jc w:val="both"/>
    </w:pPr>
  </w:style>
  <w:style w:type="character" w:customStyle="1" w:styleId="ECHRRed">
    <w:name w:val="ECHR_Red"/>
    <w:aliases w:val="_Red"/>
    <w:basedOn w:val="DefaultParagraphFont"/>
    <w:uiPriority w:val="15"/>
    <w:semiHidden/>
    <w:qFormat/>
    <w:rsid w:val="007759EA"/>
    <w:rPr>
      <w:color w:val="C00000" w:themeColor="accent2"/>
    </w:rPr>
  </w:style>
  <w:style w:type="paragraph" w:customStyle="1" w:styleId="DecList">
    <w:name w:val="Dec_List"/>
    <w:aliases w:val="_List"/>
    <w:basedOn w:val="JuList"/>
    <w:uiPriority w:val="22"/>
    <w:rsid w:val="007759EA"/>
    <w:pPr>
      <w:numPr>
        <w:numId w:val="0"/>
      </w:numPr>
      <w:ind w:left="284"/>
    </w:pPr>
  </w:style>
  <w:style w:type="table" w:customStyle="1" w:styleId="ECHRTable2">
    <w:name w:val="ECHR_Table_2"/>
    <w:basedOn w:val="TableNormal"/>
    <w:uiPriority w:val="99"/>
    <w:rsid w:val="007759E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759E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759E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759E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759E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759E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759E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759E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759EA"/>
    <w:pPr>
      <w:outlineLvl w:val="0"/>
    </w:pPr>
  </w:style>
  <w:style w:type="paragraph" w:customStyle="1" w:styleId="ECHRTitleTOC1">
    <w:name w:val="ECHR_Title_TOC_1"/>
    <w:aliases w:val="_Title_L_TOC"/>
    <w:basedOn w:val="ECHRTitle1"/>
    <w:next w:val="Normal"/>
    <w:uiPriority w:val="27"/>
    <w:semiHidden/>
    <w:qFormat/>
    <w:rsid w:val="007759EA"/>
    <w:pPr>
      <w:outlineLvl w:val="0"/>
    </w:pPr>
  </w:style>
  <w:style w:type="paragraph" w:customStyle="1" w:styleId="ECHRPlaceholder">
    <w:name w:val="ECHR_Placeholder"/>
    <w:aliases w:val="_Placeholder"/>
    <w:basedOn w:val="JuSigned"/>
    <w:uiPriority w:val="31"/>
    <w:rsid w:val="007759EA"/>
    <w:rPr>
      <w:color w:val="FFFFFF"/>
    </w:rPr>
  </w:style>
  <w:style w:type="paragraph" w:customStyle="1" w:styleId="ECHRSpacer">
    <w:name w:val="ECHR_Spacer"/>
    <w:aliases w:val="_Spacer"/>
    <w:basedOn w:val="Normal"/>
    <w:uiPriority w:val="45"/>
    <w:semiHidden/>
    <w:rsid w:val="007759EA"/>
    <w:rPr>
      <w:sz w:val="4"/>
    </w:rPr>
  </w:style>
  <w:style w:type="table" w:customStyle="1" w:styleId="ECHRTableGrey">
    <w:name w:val="ECHR_Table_Grey"/>
    <w:basedOn w:val="TableNormal"/>
    <w:uiPriority w:val="99"/>
    <w:rsid w:val="007759E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662B04"/>
    <w:rPr>
      <w:sz w:val="24"/>
      <w:szCs w:val="24"/>
      <w:lang w:val="en-GB"/>
    </w:rPr>
  </w:style>
  <w:style w:type="character" w:customStyle="1" w:styleId="JuNames0">
    <w:name w:val="Ju_Names"/>
    <w:rsid w:val="00662B04"/>
    <w:rPr>
      <w:smallCaps/>
    </w:rPr>
  </w:style>
  <w:style w:type="paragraph" w:customStyle="1" w:styleId="JuList4">
    <w:name w:val="Ju_List_4"/>
    <w:aliases w:val="N_Bul_4"/>
    <w:basedOn w:val="JuListi"/>
    <w:uiPriority w:val="19"/>
    <w:rsid w:val="00662B04"/>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ListChar">
    <w:name w:val="Ju_List Char"/>
    <w:basedOn w:val="DefaultParagraphFont"/>
    <w:link w:val="JuList"/>
    <w:uiPriority w:val="23"/>
    <w:rsid w:val="00662B04"/>
    <w:rPr>
      <w:sz w:val="24"/>
      <w:szCs w:val="24"/>
      <w:lang w:val="en-GB"/>
    </w:rPr>
  </w:style>
  <w:style w:type="character" w:customStyle="1" w:styleId="JuQuotChar">
    <w:name w:val="Ju_Quot Char"/>
    <w:basedOn w:val="JuParaChar"/>
    <w:link w:val="JuQuot"/>
    <w:uiPriority w:val="20"/>
    <w:rsid w:val="00662B04"/>
    <w:rPr>
      <w:sz w:val="20"/>
      <w:szCs w:val="24"/>
      <w:lang w:val="en-GB"/>
    </w:rPr>
  </w:style>
  <w:style w:type="character" w:customStyle="1" w:styleId="UnresolvedMention">
    <w:name w:val="Unresolved Mention"/>
    <w:basedOn w:val="DefaultParagraphFont"/>
    <w:uiPriority w:val="99"/>
    <w:semiHidden/>
    <w:unhideWhenUsed/>
    <w:rsid w:val="00662B04"/>
    <w:rPr>
      <w:color w:val="605E5C"/>
      <w:shd w:val="clear" w:color="auto" w:fill="E1DFDD"/>
    </w:rPr>
  </w:style>
  <w:style w:type="character" w:customStyle="1" w:styleId="JuParaCar">
    <w:name w:val="Ju_Para Car"/>
    <w:uiPriority w:val="8"/>
    <w:rsid w:val="00662B04"/>
    <w:rPr>
      <w:rFonts w:eastAsiaTheme="minorEastAsia"/>
    </w:rPr>
  </w:style>
  <w:style w:type="table" w:styleId="GridTable1Light">
    <w:name w:val="Grid Table 1 Light"/>
    <w:basedOn w:val="TableNormal"/>
    <w:uiPriority w:val="46"/>
    <w:semiHidden/>
    <w:rsid w:val="00662B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662B0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62B0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62B0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62B0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62B0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62B0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62B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62B0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62B0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62B0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62B0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62B0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62B0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62B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62B0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62B0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62B0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62B0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62B0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62B0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62B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62B0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62B0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62B0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62B0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62B0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62B0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62B0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62B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62B0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62B0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62B0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62B0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62B0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62B0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62B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62B0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62B0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62B0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62B0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62B0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62B0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62B04"/>
    <w:rPr>
      <w:color w:val="2B579A"/>
      <w:shd w:val="clear" w:color="auto" w:fill="E1DFDD"/>
    </w:rPr>
  </w:style>
  <w:style w:type="table" w:styleId="ListTable1Light">
    <w:name w:val="List Table 1 Light"/>
    <w:basedOn w:val="TableNormal"/>
    <w:uiPriority w:val="46"/>
    <w:semiHidden/>
    <w:rsid w:val="00662B0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62B0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62B0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62B0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62B0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62B0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62B0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62B0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62B0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62B0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62B0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62B0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62B0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62B0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62B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62B0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62B0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62B0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62B0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62B0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62B0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62B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62B0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62B0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62B0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62B0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62B0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62B0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62B0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62B0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62B0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62B0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62B0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62B0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62B0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62B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62B0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62B0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62B0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62B0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62B0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62B0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62B0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62B0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62B0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62B0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62B0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62B0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62B0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62B04"/>
    <w:rPr>
      <w:color w:val="2B579A"/>
      <w:shd w:val="clear" w:color="auto" w:fill="E1DFDD"/>
    </w:rPr>
  </w:style>
  <w:style w:type="table" w:styleId="PlainTable1">
    <w:name w:val="Plain Table 1"/>
    <w:basedOn w:val="TableNormal"/>
    <w:uiPriority w:val="41"/>
    <w:semiHidden/>
    <w:rsid w:val="00662B0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62B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62B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62B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62B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62B04"/>
    <w:rPr>
      <w:u w:val="dotted"/>
    </w:rPr>
  </w:style>
  <w:style w:type="character" w:customStyle="1" w:styleId="SmartLink">
    <w:name w:val="Smart Link"/>
    <w:basedOn w:val="DefaultParagraphFont"/>
    <w:uiPriority w:val="99"/>
    <w:semiHidden/>
    <w:unhideWhenUsed/>
    <w:rsid w:val="00662B04"/>
    <w:rPr>
      <w:color w:val="0000FF"/>
      <w:u w:val="single"/>
      <w:shd w:val="clear" w:color="auto" w:fill="F3F2F1"/>
    </w:rPr>
  </w:style>
  <w:style w:type="table" w:styleId="TableGridLight">
    <w:name w:val="Grid Table Light"/>
    <w:basedOn w:val="TableNormal"/>
    <w:uiPriority w:val="40"/>
    <w:semiHidden/>
    <w:rsid w:val="00662B0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662B0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287050658">
      <w:bodyDiv w:val="1"/>
      <w:marLeft w:val="0"/>
      <w:marRight w:val="0"/>
      <w:marTop w:val="0"/>
      <w:marBottom w:val="0"/>
      <w:divBdr>
        <w:top w:val="none" w:sz="0" w:space="0" w:color="auto"/>
        <w:left w:val="none" w:sz="0" w:space="0" w:color="auto"/>
        <w:bottom w:val="none" w:sz="0" w:space="0" w:color="auto"/>
        <w:right w:val="none" w:sz="0" w:space="0" w:color="auto"/>
      </w:divBdr>
    </w:div>
    <w:div w:id="348720157">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usemb.org.uk/fnapr/54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11995-CAF9-4575-A220-05E33DAE2172}">
  <ds:schemaRefs>
    <ds:schemaRef ds:uri="http://schemas.openxmlformats.org/officeDocument/2006/bibliography"/>
  </ds:schemaRefs>
</ds:datastoreItem>
</file>

<file path=customXml/itemProps2.xml><?xml version="1.0" encoding="utf-8"?>
<ds:datastoreItem xmlns:ds="http://schemas.openxmlformats.org/officeDocument/2006/customXml" ds:itemID="{DFBD981B-EA1A-4570-AE8D-3023B961B0F0}"/>
</file>

<file path=customXml/itemProps3.xml><?xml version="1.0" encoding="utf-8"?>
<ds:datastoreItem xmlns:ds="http://schemas.openxmlformats.org/officeDocument/2006/customXml" ds:itemID="{DC7F68D7-2B53-47C6-9384-9DC22ADDB67D}"/>
</file>

<file path=customXml/itemProps4.xml><?xml version="1.0" encoding="utf-8"?>
<ds:datastoreItem xmlns:ds="http://schemas.openxmlformats.org/officeDocument/2006/customXml" ds:itemID="{1131DC7E-8752-4CD8-83AC-FCC0E27E3796}"/>
</file>

<file path=docProps/app.xml><?xml version="1.0" encoding="utf-8"?>
<Properties xmlns="http://schemas.openxmlformats.org/officeDocument/2006/extended-properties" xmlns:vt="http://schemas.openxmlformats.org/officeDocument/2006/docPropsVTypes">
  <Template>Normal.dotm</Template>
  <TotalTime>0</TotalTime>
  <Pages>1</Pages>
  <Words>22354</Words>
  <Characters>127421</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2021-09-21T14:29:00Z</dcterms:created>
  <dcterms:modified xsi:type="dcterms:W3CDTF">2021-09-21T14:29:00Z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20914/07</vt:lpwstr>
  </property>
  <property fmtid="{D5CDD505-2E9C-101B-9397-08002B2CF9AE}" pid="4" name="CASEID">
    <vt:lpwstr>448400</vt:lpwstr>
  </property>
  <property fmtid="{D5CDD505-2E9C-101B-9397-08002B2CF9AE}" pid="5" name="ContentTypeId">
    <vt:lpwstr>0x010100558EB02BDB9E204AB350EDD385B68E10</vt:lpwstr>
  </property>
</Properties>
</file>