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0FEA" w:rsidR="00BA3852" w:rsidP="00B90FEA" w:rsidRDefault="00BA3852" w14:paraId="01C8E028" w14:textId="77777777">
      <w:pPr>
        <w:jc w:val="center"/>
        <w:rPr>
          <w:rFonts w:ascii="Times New Roman" w:hAnsi="Times New Roman" w:cs="Times New Roman"/>
        </w:rPr>
      </w:pPr>
    </w:p>
    <w:p w:rsidRPr="00B90FEA" w:rsidR="0098410D" w:rsidP="00B90FEA" w:rsidRDefault="0098410D" w14:paraId="66DB4AFE" w14:textId="77777777">
      <w:pPr>
        <w:jc w:val="center"/>
      </w:pPr>
    </w:p>
    <w:p w:rsidRPr="00B90FEA" w:rsidR="0098410D" w:rsidP="00B90FEA" w:rsidRDefault="00BA3852" w14:paraId="05D8D8C7" w14:textId="49F0400E">
      <w:pPr>
        <w:pStyle w:val="DecHCase"/>
      </w:pPr>
      <w:r w:rsidRPr="00B90FEA">
        <w:t>SECOND SECTION</w:t>
      </w:r>
    </w:p>
    <w:p w:rsidRPr="00B90FEA" w:rsidR="008E6217" w:rsidP="00B90FEA" w:rsidRDefault="008E6217" w14:paraId="6B011059" w14:textId="562CEB98">
      <w:pPr>
        <w:pStyle w:val="JuTitle"/>
        <w:spacing w:before="1440"/>
      </w:pPr>
      <w:bookmarkStart w:name="To" w:id="0"/>
      <w:r w:rsidRPr="00B90FEA">
        <w:rPr>
          <w:color w:val="000000" w:themeColor="text1"/>
        </w:rPr>
        <w:t xml:space="preserve">CASE OF </w:t>
      </w:r>
      <w:bookmarkEnd w:id="0"/>
      <w:r w:rsidRPr="00B90FEA" w:rsidR="00BA3852">
        <w:t>CRAVCIȘIN v. THE REPUBLIC OF MOLDOVA AND RUSSIA</w:t>
      </w:r>
    </w:p>
    <w:p w:rsidRPr="00B90FEA" w:rsidR="00D74888" w:rsidP="00B90FEA" w:rsidRDefault="008E6217" w14:paraId="22DD202B" w14:textId="4B7942C4">
      <w:pPr>
        <w:pStyle w:val="ECHRCoverTitle4"/>
      </w:pPr>
      <w:r w:rsidRPr="00B90FEA">
        <w:t>(</w:t>
      </w:r>
      <w:r w:rsidRPr="00B90FEA" w:rsidR="00BA3852">
        <w:t>Application no.</w:t>
      </w:r>
      <w:r w:rsidRPr="00B90FEA">
        <w:t xml:space="preserve"> </w:t>
      </w:r>
      <w:r w:rsidRPr="00B90FEA" w:rsidR="00BA3852">
        <w:t>43176/13</w:t>
      </w:r>
      <w:r w:rsidRPr="00B90FEA">
        <w:t>)</w:t>
      </w:r>
    </w:p>
    <w:p w:rsidRPr="00B90FEA" w:rsidR="0098410D" w:rsidP="00B90FEA" w:rsidRDefault="0098410D" w14:paraId="1827D296" w14:textId="77777777">
      <w:pPr>
        <w:pStyle w:val="DecHCase"/>
      </w:pPr>
    </w:p>
    <w:p w:rsidRPr="00B90FEA" w:rsidR="0098410D" w:rsidP="00B90FEA" w:rsidRDefault="0098410D" w14:paraId="4AC68A7A" w14:textId="77777777">
      <w:pPr>
        <w:pStyle w:val="DecHCase"/>
      </w:pPr>
    </w:p>
    <w:p w:rsidRPr="00B90FEA" w:rsidR="00AC4CD4" w:rsidP="00B90FEA" w:rsidRDefault="00AC4CD4" w14:paraId="3DBB36D3" w14:textId="77777777">
      <w:pPr>
        <w:pStyle w:val="DecHCase"/>
      </w:pPr>
    </w:p>
    <w:p w:rsidRPr="00B90FEA" w:rsidR="0098410D" w:rsidP="00B90FEA" w:rsidRDefault="0098410D" w14:paraId="52330196" w14:textId="77777777">
      <w:pPr>
        <w:pStyle w:val="DecHCase"/>
      </w:pPr>
    </w:p>
    <w:p w:rsidRPr="00B90FEA" w:rsidR="0098410D" w:rsidP="00B90FEA" w:rsidRDefault="0098410D" w14:paraId="09D0B588" w14:textId="176ED237">
      <w:pPr>
        <w:pStyle w:val="DecHCase"/>
      </w:pPr>
      <w:r w:rsidRPr="00B90FEA">
        <w:t>JUDGMENT</w:t>
      </w:r>
      <w:r w:rsidRPr="00B90FEA" w:rsidR="00AC4CD4">
        <w:br/>
      </w:r>
    </w:p>
    <w:p w:rsidRPr="00B90FEA" w:rsidR="0098410D" w:rsidP="00B90FEA" w:rsidRDefault="0098410D" w14:paraId="26D0D44F" w14:textId="77777777">
      <w:pPr>
        <w:pStyle w:val="DecHCase"/>
      </w:pPr>
      <w:r w:rsidRPr="00B90FEA">
        <w:t>STRASBOURG</w:t>
      </w:r>
    </w:p>
    <w:p w:rsidRPr="00B90FEA" w:rsidR="0098410D" w:rsidP="00B90FEA" w:rsidRDefault="00BA3852" w14:paraId="346DB37E" w14:textId="76C2B8AD">
      <w:pPr>
        <w:pStyle w:val="DecHCase"/>
      </w:pPr>
      <w:r w:rsidRPr="00B90FEA">
        <w:rPr>
          <w:rFonts w:ascii="Times New Roman" w:hAnsi="Times New Roman" w:cs="Times New Roman"/>
        </w:rPr>
        <w:t>28 September 2021</w:t>
      </w:r>
    </w:p>
    <w:p w:rsidRPr="00B90FEA" w:rsidR="00AC4CD4" w:rsidP="00B90FEA" w:rsidRDefault="00AC4CD4" w14:paraId="6F8BA59D" w14:textId="08396E38">
      <w:pPr>
        <w:pStyle w:val="JuPara"/>
      </w:pPr>
    </w:p>
    <w:p w:rsidRPr="00B90FEA" w:rsidR="00B90FEA" w:rsidP="00B90FEA" w:rsidRDefault="00B90FEA" w14:paraId="1E461B4F" w14:textId="02926BB0">
      <w:pPr>
        <w:pStyle w:val="JuPara"/>
      </w:pPr>
    </w:p>
    <w:p w:rsidRPr="00B90FEA" w:rsidR="00B90FEA" w:rsidP="00B90FEA" w:rsidRDefault="00B90FEA" w14:paraId="4639E513" w14:textId="3615F534">
      <w:pPr>
        <w:pStyle w:val="JuPara"/>
      </w:pPr>
    </w:p>
    <w:p w:rsidRPr="00B90FEA" w:rsidR="00B90FEA" w:rsidP="00B90FEA" w:rsidRDefault="00B90FEA" w14:paraId="036C9A92" w14:textId="77777777">
      <w:pPr>
        <w:pStyle w:val="JuPara"/>
      </w:pPr>
    </w:p>
    <w:p w:rsidRPr="00B90FEA" w:rsidR="002422B6" w:rsidP="00B90FEA" w:rsidRDefault="0098410D" w14:paraId="5B5D64C1" w14:textId="5403C68B">
      <w:pPr>
        <w:jc w:val="center"/>
        <w:rPr>
          <w:i/>
          <w:sz w:val="22"/>
        </w:rPr>
      </w:pPr>
      <w:r w:rsidRPr="00B90FEA">
        <w:rPr>
          <w:i/>
          <w:sz w:val="22"/>
        </w:rPr>
        <w:t xml:space="preserve">This judgment </w:t>
      </w:r>
      <w:r w:rsidRPr="00B90FEA" w:rsidR="00BA3852">
        <w:rPr>
          <w:i/>
          <w:sz w:val="22"/>
        </w:rPr>
        <w:t xml:space="preserve">is </w:t>
      </w:r>
      <w:proofErr w:type="gramStart"/>
      <w:r w:rsidRPr="00B90FEA" w:rsidR="00BA3852">
        <w:rPr>
          <w:i/>
          <w:sz w:val="22"/>
        </w:rPr>
        <w:t>final</w:t>
      </w:r>
      <w:proofErr w:type="gramEnd"/>
      <w:r w:rsidRPr="00B90FEA" w:rsidR="00BA3852">
        <w:rPr>
          <w:i/>
          <w:sz w:val="22"/>
        </w:rPr>
        <w:t xml:space="preserve"> but it</w:t>
      </w:r>
      <w:r w:rsidRPr="00B90FEA">
        <w:rPr>
          <w:i/>
          <w:sz w:val="22"/>
        </w:rPr>
        <w:t xml:space="preserve"> may be subject to editorial revision.</w:t>
      </w:r>
    </w:p>
    <w:p w:rsidRPr="00B90FEA" w:rsidR="0098410D" w:rsidP="00B90FEA" w:rsidRDefault="0098410D" w14:paraId="28EF2F89" w14:textId="77777777">
      <w:pPr>
        <w:sectPr w:rsidRPr="00B90FEA"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90FEA" w:rsidR="0098410D" w:rsidP="00B90FEA" w:rsidRDefault="0098410D" w14:paraId="7AFF5210" w14:textId="6FA7A86A">
      <w:pPr>
        <w:pStyle w:val="JuCase"/>
      </w:pPr>
      <w:r w:rsidRPr="00B90FEA">
        <w:t xml:space="preserve">In the case of </w:t>
      </w:r>
      <w:proofErr w:type="spellStart"/>
      <w:r w:rsidRPr="00B90FEA" w:rsidR="00BA3852">
        <w:t>Cravcișin</w:t>
      </w:r>
      <w:proofErr w:type="spellEnd"/>
      <w:r w:rsidRPr="00B90FEA" w:rsidR="00BA3852">
        <w:t xml:space="preserve"> v. the Republic of Moldova and Russia</w:t>
      </w:r>
      <w:r w:rsidRPr="00B90FEA">
        <w:t>,</w:t>
      </w:r>
    </w:p>
    <w:p w:rsidRPr="00B90FEA" w:rsidR="009F4C8F" w:rsidP="00B90FEA" w:rsidRDefault="009F4C8F" w14:paraId="2FFC31F7" w14:textId="4A587773">
      <w:pPr>
        <w:pStyle w:val="JuPara"/>
      </w:pPr>
      <w:r w:rsidRPr="00B90FEA">
        <w:t>The European Court of Human Rights (</w:t>
      </w:r>
      <w:r w:rsidRPr="00B90FEA" w:rsidR="00BA3852">
        <w:t>Second Section</w:t>
      </w:r>
      <w:r w:rsidRPr="00B90FEA">
        <w:t xml:space="preserve">), sitting as a </w:t>
      </w:r>
      <w:r w:rsidRPr="00B90FEA" w:rsidR="00BA3852">
        <w:t>Committee</w:t>
      </w:r>
      <w:r w:rsidRPr="00B90FEA">
        <w:t xml:space="preserve"> composed of:</w:t>
      </w:r>
    </w:p>
    <w:p w:rsidRPr="00B90FEA" w:rsidR="009F4C8F" w:rsidP="00B90FEA" w:rsidRDefault="00605F4D" w14:paraId="791597D6" w14:textId="3BFBC466">
      <w:pPr>
        <w:pStyle w:val="JuJudges"/>
      </w:pPr>
      <w:r w:rsidRPr="00B90FEA">
        <w:tab/>
        <w:t>Carlo Ranzoni,</w:t>
      </w:r>
      <w:r w:rsidRPr="00B90FEA">
        <w:rPr>
          <w:i/>
        </w:rPr>
        <w:t xml:space="preserve"> President,</w:t>
      </w:r>
      <w:r w:rsidRPr="00B90FEA">
        <w:rPr>
          <w:i/>
        </w:rPr>
        <w:br/>
      </w:r>
      <w:r w:rsidRPr="00B90FEA">
        <w:tab/>
      </w:r>
      <w:proofErr w:type="spellStart"/>
      <w:r w:rsidRPr="00B90FEA">
        <w:t>Egidijus</w:t>
      </w:r>
      <w:proofErr w:type="spellEnd"/>
      <w:r w:rsidRPr="00B90FEA">
        <w:t xml:space="preserve"> </w:t>
      </w:r>
      <w:proofErr w:type="spellStart"/>
      <w:r w:rsidRPr="00B90FEA">
        <w:t>Kūris</w:t>
      </w:r>
      <w:proofErr w:type="spellEnd"/>
      <w:r w:rsidRPr="00B90FEA">
        <w:t>,</w:t>
      </w:r>
      <w:r w:rsidRPr="00B90FEA">
        <w:rPr>
          <w:i/>
        </w:rPr>
        <w:br/>
      </w:r>
      <w:r w:rsidRPr="00B90FEA">
        <w:tab/>
      </w:r>
      <w:proofErr w:type="spellStart"/>
      <w:r w:rsidRPr="00B90FEA">
        <w:t>Pauliine</w:t>
      </w:r>
      <w:proofErr w:type="spellEnd"/>
      <w:r w:rsidRPr="00B90FEA">
        <w:t xml:space="preserve"> </w:t>
      </w:r>
      <w:proofErr w:type="spellStart"/>
      <w:r w:rsidRPr="00B90FEA">
        <w:t>Koskelo</w:t>
      </w:r>
      <w:proofErr w:type="spellEnd"/>
      <w:r w:rsidRPr="00B90FEA">
        <w:t>,</w:t>
      </w:r>
      <w:r w:rsidRPr="00B90FEA">
        <w:rPr>
          <w:i/>
        </w:rPr>
        <w:t xml:space="preserve"> judges,</w:t>
      </w:r>
      <w:r w:rsidRPr="00B90FEA" w:rsidR="009F4C8F">
        <w:br/>
        <w:t xml:space="preserve">and </w:t>
      </w:r>
      <w:r w:rsidRPr="00B90FEA" w:rsidR="00BA3852">
        <w:t xml:space="preserve">Hasan </w:t>
      </w:r>
      <w:proofErr w:type="spellStart"/>
      <w:r w:rsidRPr="00B90FEA" w:rsidR="00BA3852">
        <w:t>Bakırcı</w:t>
      </w:r>
      <w:proofErr w:type="spellEnd"/>
      <w:r w:rsidRPr="00B90FEA" w:rsidR="009F4C8F">
        <w:t xml:space="preserve">, </w:t>
      </w:r>
      <w:r w:rsidRPr="00B90FEA" w:rsidR="00BA3852">
        <w:rPr>
          <w:i/>
        </w:rPr>
        <w:t xml:space="preserve">Deputy Section </w:t>
      </w:r>
      <w:r w:rsidRPr="00B90FEA" w:rsidR="00BA3852">
        <w:rPr>
          <w:i/>
          <w:iCs/>
        </w:rPr>
        <w:t>Registrar</w:t>
      </w:r>
      <w:r w:rsidRPr="00B90FEA" w:rsidR="009F4C8F">
        <w:rPr>
          <w:i/>
        </w:rPr>
        <w:t>,</w:t>
      </w:r>
    </w:p>
    <w:p w:rsidRPr="00B90FEA" w:rsidR="00BA3852" w:rsidP="00B90FEA" w:rsidRDefault="00BA3852" w14:paraId="4C6ED50B" w14:textId="77777777">
      <w:pPr>
        <w:pStyle w:val="JuPara"/>
      </w:pPr>
      <w:r w:rsidRPr="00B90FEA">
        <w:t>Having regard to:</w:t>
      </w:r>
    </w:p>
    <w:p w:rsidRPr="00B90FEA" w:rsidR="00BA3852" w:rsidP="00B90FEA" w:rsidRDefault="00BA3852" w14:paraId="52EFDAD7" w14:textId="77777777">
      <w:pPr>
        <w:pStyle w:val="JuPara"/>
      </w:pPr>
      <w:r w:rsidRPr="00B90FEA">
        <w:t>the application (no. 43176/13) against the Republic of Moldova</w:t>
      </w:r>
      <w:bookmarkStart w:name="_Hlk35963627" w:id="1"/>
      <w:r w:rsidRPr="00B90FEA">
        <w:t xml:space="preserve"> and Russia</w:t>
      </w:r>
      <w:bookmarkEnd w:id="1"/>
      <w:r w:rsidRPr="00B90FEA">
        <w:t xml:space="preserve"> lodged with the Court under Article 34 of the Convention for the Protection of Human Rights and Fundamental Freedoms (“the Convention”) by two Russian nationals, Ms </w:t>
      </w:r>
      <w:proofErr w:type="spellStart"/>
      <w:r w:rsidRPr="00B90FEA">
        <w:t>Liubovi</w:t>
      </w:r>
      <w:proofErr w:type="spellEnd"/>
      <w:r w:rsidRPr="00B90FEA">
        <w:t xml:space="preserve"> </w:t>
      </w:r>
      <w:proofErr w:type="spellStart"/>
      <w:r w:rsidRPr="00B90FEA">
        <w:t>Cravcișin</w:t>
      </w:r>
      <w:proofErr w:type="spellEnd"/>
      <w:r w:rsidRPr="00B90FEA">
        <w:t xml:space="preserve"> and </w:t>
      </w:r>
      <w:proofErr w:type="spellStart"/>
      <w:r w:rsidRPr="00B90FEA">
        <w:t>Snejana</w:t>
      </w:r>
      <w:proofErr w:type="spellEnd"/>
      <w:r w:rsidRPr="00B90FEA">
        <w:t xml:space="preserve"> </w:t>
      </w:r>
      <w:proofErr w:type="spellStart"/>
      <w:r w:rsidRPr="00B90FEA">
        <w:t>Cravcişin</w:t>
      </w:r>
      <w:proofErr w:type="spellEnd"/>
      <w:r w:rsidRPr="00B90FEA">
        <w:t xml:space="preserve"> (“the applicants”), on 28 May 2013;</w:t>
      </w:r>
    </w:p>
    <w:p w:rsidRPr="00B90FEA" w:rsidR="00BA3852" w:rsidP="00B90FEA" w:rsidRDefault="00BA3852" w14:paraId="56AB4DC2" w14:textId="77777777">
      <w:pPr>
        <w:pStyle w:val="JuPara"/>
      </w:pPr>
      <w:r w:rsidRPr="00B90FEA">
        <w:t>the decision to give notice of the application to the Moldovan and the Russian Governments (“the Governments”</w:t>
      </w:r>
      <w:proofErr w:type="gramStart"/>
      <w:r w:rsidRPr="00B90FEA">
        <w:t>);</w:t>
      </w:r>
      <w:proofErr w:type="gramEnd"/>
    </w:p>
    <w:p w:rsidRPr="00B90FEA" w:rsidR="00BA3852" w:rsidP="00B90FEA" w:rsidRDefault="00BA3852" w14:paraId="04D2FBA6" w14:textId="0CFFD9C4">
      <w:pPr>
        <w:pStyle w:val="JuPara"/>
      </w:pPr>
      <w:r w:rsidRPr="00B90FEA">
        <w:t>the Russian Government</w:t>
      </w:r>
      <w:r w:rsidRPr="00B90FEA" w:rsidR="00B90FEA">
        <w:t>’</w:t>
      </w:r>
      <w:r w:rsidRPr="00B90FEA">
        <w:t>s objection to the examination of the application by a Committee and to the Court</w:t>
      </w:r>
      <w:r w:rsidRPr="00B90FEA" w:rsidR="00B90FEA">
        <w:t>’</w:t>
      </w:r>
      <w:r w:rsidRPr="00B90FEA">
        <w:t xml:space="preserve">s decision to reject </w:t>
      </w:r>
      <w:proofErr w:type="gramStart"/>
      <w:r w:rsidRPr="00B90FEA">
        <w:t>it;</w:t>
      </w:r>
      <w:proofErr w:type="gramEnd"/>
    </w:p>
    <w:p w:rsidRPr="00B90FEA" w:rsidR="00BA3852" w:rsidP="00B90FEA" w:rsidRDefault="00BA3852" w14:paraId="2D0CBF8F" w14:textId="38DB3CBE">
      <w:pPr>
        <w:pStyle w:val="JuPara"/>
      </w:pPr>
      <w:r w:rsidRPr="00B90FEA">
        <w:t>the parties</w:t>
      </w:r>
      <w:r w:rsidRPr="00B90FEA" w:rsidR="00B90FEA">
        <w:t>’</w:t>
      </w:r>
      <w:r w:rsidRPr="00B90FEA">
        <w:t xml:space="preserve"> </w:t>
      </w:r>
      <w:proofErr w:type="gramStart"/>
      <w:r w:rsidRPr="00B90FEA">
        <w:t>observations;</w:t>
      </w:r>
      <w:proofErr w:type="gramEnd"/>
    </w:p>
    <w:p w:rsidRPr="00B90FEA" w:rsidR="009F4C8F" w:rsidP="00B90FEA" w:rsidRDefault="009F4C8F" w14:paraId="5D1DA9E3" w14:textId="166FA9F3">
      <w:pPr>
        <w:pStyle w:val="JuPara"/>
      </w:pPr>
      <w:r w:rsidRPr="00B90FEA">
        <w:t xml:space="preserve">Having deliberated in private on </w:t>
      </w:r>
      <w:r w:rsidRPr="00B90FEA" w:rsidR="00BA3852">
        <w:t>7 September 2021</w:t>
      </w:r>
      <w:r w:rsidRPr="00B90FEA">
        <w:t>,</w:t>
      </w:r>
    </w:p>
    <w:p w:rsidRPr="00B90FEA" w:rsidR="009F4C8F" w:rsidP="00B90FEA" w:rsidRDefault="009F4C8F" w14:paraId="560B5A9B" w14:textId="77777777">
      <w:pPr>
        <w:pStyle w:val="JuPara"/>
      </w:pPr>
      <w:r w:rsidRPr="00B90FEA">
        <w:t>Delivers the following judgment, which was adopted on that date:</w:t>
      </w:r>
    </w:p>
    <w:p w:rsidRPr="00B90FEA" w:rsidR="00BA3852" w:rsidP="00B90FEA" w:rsidRDefault="00BA3852" w14:paraId="0C9FD0CA" w14:textId="77777777">
      <w:pPr>
        <w:pStyle w:val="JuHHead"/>
        <w:numPr>
          <w:ilvl w:val="0"/>
          <w:numId w:val="0"/>
        </w:numPr>
      </w:pPr>
      <w:r w:rsidRPr="00B90FEA">
        <w:t>INTRODUCTION</w:t>
      </w:r>
    </w:p>
    <w:p w:rsidRPr="00B90FEA" w:rsidR="00BA3852" w:rsidP="00B90FEA" w:rsidRDefault="00BA3852" w14:paraId="6A199F1C" w14:textId="06B5E73F">
      <w:pPr>
        <w:pStyle w:val="JuPara"/>
      </w:pPr>
      <w:r w:rsidRPr="00B90FEA">
        <w:fldChar w:fldCharType="begin"/>
      </w:r>
      <w:r w:rsidRPr="00B90FEA">
        <w:instrText xml:space="preserve"> SEQ level0 \*arabic </w:instrText>
      </w:r>
      <w:r w:rsidRPr="00B90FEA">
        <w:fldChar w:fldCharType="separate"/>
      </w:r>
      <w:r w:rsidRPr="00B90FEA" w:rsidR="00B90FEA">
        <w:rPr>
          <w:noProof/>
        </w:rPr>
        <w:t>1</w:t>
      </w:r>
      <w:r w:rsidRPr="00B90FEA">
        <w:fldChar w:fldCharType="end"/>
      </w:r>
      <w:r w:rsidRPr="00B90FEA">
        <w:t>.  The case is about alleged unfair civil proceedings concerning the applicants</w:t>
      </w:r>
      <w:r w:rsidRPr="00B90FEA" w:rsidR="00B90FEA">
        <w:t>’</w:t>
      </w:r>
      <w:r w:rsidRPr="00B90FEA">
        <w:t xml:space="preserve"> eviction from socially owned housing in the </w:t>
      </w:r>
      <w:proofErr w:type="spellStart"/>
      <w:r w:rsidRPr="00B90FEA">
        <w:t>Transdniestrian</w:t>
      </w:r>
      <w:proofErr w:type="spellEnd"/>
      <w:r w:rsidRPr="00B90FEA">
        <w:t xml:space="preserve"> region of Moldova and the consequences thereof on the applicants</w:t>
      </w:r>
      <w:r w:rsidRPr="00B90FEA" w:rsidR="00B90FEA">
        <w:t>’</w:t>
      </w:r>
      <w:r w:rsidRPr="00B90FEA">
        <w:t xml:space="preserve"> rights guaranteed by Articles 6 and 8 of the Convention and Article 1 of Protocol No. 1 to the Convention.</w:t>
      </w:r>
    </w:p>
    <w:p w:rsidRPr="00B90FEA" w:rsidR="00BA3852" w:rsidP="00B90FEA" w:rsidRDefault="00BA3852" w14:paraId="73F9EB2E" w14:textId="77777777">
      <w:pPr>
        <w:pStyle w:val="JuHHead"/>
      </w:pPr>
      <w:r w:rsidRPr="00B90FEA">
        <w:t>THE FACTS</w:t>
      </w:r>
    </w:p>
    <w:p w:rsidRPr="00B90FEA" w:rsidR="00BA3852" w:rsidP="00B90FEA" w:rsidRDefault="00BA3852" w14:paraId="55C04722" w14:textId="137C53DE">
      <w:pPr>
        <w:pStyle w:val="JuPara"/>
      </w:pPr>
      <w:r w:rsidRPr="00B90FEA">
        <w:fldChar w:fldCharType="begin"/>
      </w:r>
      <w:r w:rsidRPr="00B90FEA">
        <w:instrText xml:space="preserve"> SEQ level0 \*arabic </w:instrText>
      </w:r>
      <w:r w:rsidRPr="00B90FEA">
        <w:fldChar w:fldCharType="separate"/>
      </w:r>
      <w:r w:rsidRPr="00B90FEA" w:rsidR="00B90FEA">
        <w:rPr>
          <w:noProof/>
        </w:rPr>
        <w:t>2</w:t>
      </w:r>
      <w:r w:rsidRPr="00B90FEA">
        <w:fldChar w:fldCharType="end"/>
      </w:r>
      <w:r w:rsidRPr="00B90FEA">
        <w:t xml:space="preserve">.  The applicants are mother and daughter, who were born in 1958 and 1978, respectively, and live in Tiraspol. The applicants were represented by Mr S.G. </w:t>
      </w:r>
      <w:proofErr w:type="spellStart"/>
      <w:r w:rsidRPr="00B90FEA">
        <w:t>Popovschi</w:t>
      </w:r>
      <w:proofErr w:type="spellEnd"/>
      <w:r w:rsidRPr="00B90FEA">
        <w:t>, a lawyer practising in Tiraspol.</w:t>
      </w:r>
    </w:p>
    <w:p w:rsidRPr="00B90FEA" w:rsidR="00BA3852" w:rsidP="00B90FEA" w:rsidRDefault="00BA3852" w14:paraId="4C75D445" w14:textId="2FBC07E4">
      <w:pPr>
        <w:pStyle w:val="JuPara"/>
      </w:pPr>
      <w:r w:rsidRPr="00B90FEA">
        <w:fldChar w:fldCharType="begin"/>
      </w:r>
      <w:r w:rsidRPr="00B90FEA">
        <w:instrText xml:space="preserve"> SEQ level0 \*arabic </w:instrText>
      </w:r>
      <w:r w:rsidRPr="00B90FEA">
        <w:fldChar w:fldCharType="separate"/>
      </w:r>
      <w:r w:rsidRPr="00B90FEA" w:rsidR="00B90FEA">
        <w:rPr>
          <w:noProof/>
        </w:rPr>
        <w:t>3</w:t>
      </w:r>
      <w:r w:rsidRPr="00B90FEA">
        <w:fldChar w:fldCharType="end"/>
      </w:r>
      <w:r w:rsidRPr="00B90FEA">
        <w:t xml:space="preserve">.  The Moldovan Government (“the Government”) were represented by their Agent, Mr O. </w:t>
      </w:r>
      <w:proofErr w:type="spellStart"/>
      <w:r w:rsidRPr="00B90FEA">
        <w:t>Rotari</w:t>
      </w:r>
      <w:proofErr w:type="spellEnd"/>
      <w:r w:rsidRPr="00B90FEA">
        <w:t>, and the Russian Government were represented by Mr M. Galperin, the Representative of the Russian Federation at the European Court of Human Rights.</w:t>
      </w:r>
    </w:p>
    <w:p w:rsidRPr="00B90FEA" w:rsidR="00BA3852" w:rsidP="00B90FEA" w:rsidRDefault="00BA3852" w14:paraId="5F5D2AA3" w14:textId="5531B8A6">
      <w:pPr>
        <w:pStyle w:val="JuPara"/>
      </w:pPr>
      <w:r w:rsidRPr="00B90FEA">
        <w:fldChar w:fldCharType="begin"/>
      </w:r>
      <w:r w:rsidRPr="00B90FEA">
        <w:instrText xml:space="preserve"> SEQ level0 \*arabic </w:instrText>
      </w:r>
      <w:r w:rsidRPr="00B90FEA">
        <w:fldChar w:fldCharType="separate"/>
      </w:r>
      <w:r w:rsidRPr="00B90FEA" w:rsidR="00B90FEA">
        <w:rPr>
          <w:noProof/>
        </w:rPr>
        <w:t>4</w:t>
      </w:r>
      <w:r w:rsidRPr="00B90FEA">
        <w:fldChar w:fldCharType="end"/>
      </w:r>
      <w:r w:rsidRPr="00B90FEA">
        <w:t>.  The facts of the case, as submitted by the parties, may be summarised as follows.</w:t>
      </w:r>
    </w:p>
    <w:p w:rsidRPr="00B90FEA" w:rsidR="00BA3852" w:rsidP="00B90FEA" w:rsidRDefault="00BA3852" w14:paraId="1439ABAC" w14:textId="235416C5">
      <w:pPr>
        <w:pStyle w:val="JuPara"/>
      </w:pPr>
      <w:r w:rsidRPr="00B90FEA">
        <w:rPr>
          <w:rFonts w:eastAsia="Times New Roman"/>
        </w:rPr>
        <w:fldChar w:fldCharType="begin"/>
      </w:r>
      <w:r w:rsidRPr="00B90FEA">
        <w:rPr>
          <w:rFonts w:eastAsia="Times New Roman"/>
        </w:rPr>
        <w:instrText xml:space="preserve"> SEQ level0 \*arabic </w:instrText>
      </w:r>
      <w:r w:rsidRPr="00B90FEA">
        <w:rPr>
          <w:rFonts w:eastAsia="Times New Roman"/>
        </w:rPr>
        <w:fldChar w:fldCharType="separate"/>
      </w:r>
      <w:r w:rsidRPr="00B90FEA" w:rsidR="00B90FEA">
        <w:rPr>
          <w:rFonts w:eastAsia="Times New Roman"/>
          <w:noProof/>
        </w:rPr>
        <w:t>5</w:t>
      </w:r>
      <w:r w:rsidRPr="00B90FEA">
        <w:rPr>
          <w:rFonts w:eastAsia="Times New Roman"/>
        </w:rPr>
        <w:fldChar w:fldCharType="end"/>
      </w:r>
      <w:r w:rsidRPr="00B90FEA">
        <w:rPr>
          <w:rFonts w:eastAsia="Times New Roman"/>
        </w:rPr>
        <w:t xml:space="preserve">.  The background to the case, including the </w:t>
      </w:r>
      <w:proofErr w:type="spellStart"/>
      <w:r w:rsidRPr="00B90FEA">
        <w:rPr>
          <w:rFonts w:eastAsia="Times New Roman"/>
        </w:rPr>
        <w:t>Transdniestrian</w:t>
      </w:r>
      <w:proofErr w:type="spellEnd"/>
      <w:r w:rsidRPr="00B90FEA">
        <w:rPr>
          <w:rFonts w:eastAsia="Times New Roman"/>
        </w:rPr>
        <w:t xml:space="preserve"> armed conflict of 1991-1992 and the subsequent events, is set out in </w:t>
      </w:r>
      <w:proofErr w:type="spellStart"/>
      <w:r w:rsidRPr="00B90FEA">
        <w:rPr>
          <w:i/>
        </w:rPr>
        <w:t>Ilaşcu</w:t>
      </w:r>
      <w:proofErr w:type="spellEnd"/>
      <w:r w:rsidRPr="00B90FEA">
        <w:rPr>
          <w:i/>
        </w:rPr>
        <w:t xml:space="preserve"> and Others v. Moldova and Russia </w:t>
      </w:r>
      <w:r w:rsidRPr="00B90FEA">
        <w:t>([GC], no. 48787/99, §§ 28-185, ECHR 2004</w:t>
      </w:r>
      <w:r w:rsidRPr="00B90FEA">
        <w:noBreakHyphen/>
        <w:t>VII</w:t>
      </w:r>
      <w:r w:rsidRPr="00B90FEA">
        <w:rPr>
          <w:rFonts w:eastAsia="Times New Roman"/>
        </w:rPr>
        <w:t xml:space="preserve">) and </w:t>
      </w:r>
      <w:r w:rsidRPr="00B90FEA">
        <w:rPr>
          <w:rFonts w:eastAsia="Times New Roman"/>
          <w:i/>
        </w:rPr>
        <w:t>Catan and Others v. the Republic of Moldova and Russia</w:t>
      </w:r>
      <w:r w:rsidRPr="00B90FEA">
        <w:rPr>
          <w:rFonts w:eastAsia="Times New Roman"/>
        </w:rPr>
        <w:t xml:space="preserve"> ([GC], nos. 43370/04, 8252/05 and 18454/06, §§ 8-42,</w:t>
      </w:r>
      <w:r w:rsidRPr="00B90FEA">
        <w:rPr>
          <w:rFonts w:eastAsia="Times New Roman"/>
          <w:snapToGrid w:val="0"/>
        </w:rPr>
        <w:t xml:space="preserve"> ECHR 2012)</w:t>
      </w:r>
      <w:r w:rsidRPr="00B90FEA">
        <w:rPr>
          <w:rFonts w:eastAsia="Times New Roman"/>
        </w:rPr>
        <w:t>.</w:t>
      </w:r>
    </w:p>
    <w:p w:rsidRPr="00B90FEA" w:rsidR="00BA3852" w:rsidP="00B90FEA" w:rsidRDefault="00BA3852" w14:paraId="037BB403" w14:textId="273C990B">
      <w:pPr>
        <w:pStyle w:val="JuPara"/>
      </w:pPr>
      <w:r w:rsidRPr="00B90FEA">
        <w:fldChar w:fldCharType="begin"/>
      </w:r>
      <w:r w:rsidRPr="00B90FEA">
        <w:instrText xml:space="preserve"> SEQ level0 \*arabic </w:instrText>
      </w:r>
      <w:r w:rsidRPr="00B90FEA">
        <w:fldChar w:fldCharType="separate"/>
      </w:r>
      <w:r w:rsidRPr="00B90FEA" w:rsidR="00B90FEA">
        <w:rPr>
          <w:noProof/>
        </w:rPr>
        <w:t>6</w:t>
      </w:r>
      <w:r w:rsidRPr="00B90FEA">
        <w:fldChar w:fldCharType="end"/>
      </w:r>
      <w:r w:rsidRPr="00B90FEA">
        <w:t>.  In 1986 the applicants</w:t>
      </w:r>
      <w:r w:rsidRPr="00B90FEA" w:rsidR="00B90FEA">
        <w:t>’</w:t>
      </w:r>
      <w:r w:rsidRPr="00B90FEA">
        <w:t xml:space="preserve"> family received social housing on account of the husband/father being a member of the Soviet military. Later he was moved to Briansk, in Russia, where he was provided with new social housing. In 2009 the first applicant divorced from her husband.</w:t>
      </w:r>
    </w:p>
    <w:p w:rsidRPr="00B90FEA" w:rsidR="00BA3852" w:rsidP="00B90FEA" w:rsidRDefault="00BA3852" w14:paraId="3BB5985A" w14:textId="72E8E244">
      <w:pPr>
        <w:pStyle w:val="JuPara"/>
      </w:pPr>
      <w:r w:rsidRPr="00B90FEA">
        <w:fldChar w:fldCharType="begin"/>
      </w:r>
      <w:r w:rsidRPr="00B90FEA">
        <w:instrText xml:space="preserve"> SEQ level0 \*arabic </w:instrText>
      </w:r>
      <w:r w:rsidRPr="00B90FEA">
        <w:fldChar w:fldCharType="separate"/>
      </w:r>
      <w:r w:rsidRPr="00B90FEA" w:rsidR="00B90FEA">
        <w:rPr>
          <w:noProof/>
        </w:rPr>
        <w:t>7</w:t>
      </w:r>
      <w:r w:rsidRPr="00B90FEA">
        <w:fldChar w:fldCharType="end"/>
      </w:r>
      <w:r w:rsidRPr="00B90FEA">
        <w:t xml:space="preserve">.  In 2010 the applicants applied to have the contract concerning their social apartment in Tiraspol re-registered on their own name. However, the authorities refused to do so </w:t>
      </w:r>
      <w:proofErr w:type="gramStart"/>
      <w:r w:rsidRPr="00B90FEA">
        <w:t>on account of the fact that</w:t>
      </w:r>
      <w:proofErr w:type="gramEnd"/>
      <w:r w:rsidRPr="00B90FEA">
        <w:t xml:space="preserve"> the apartment in question had been rented to the first applicant</w:t>
      </w:r>
      <w:r w:rsidRPr="00B90FEA" w:rsidR="00B90FEA">
        <w:t>’</w:t>
      </w:r>
      <w:r w:rsidRPr="00B90FEA">
        <w:t>s former husband and that he had already been provided with another social accommodation in Briansk, Russia. The applicants were invited to leave their apartment in Tiraspol. The applicants challenged the refusal in the courts of the self-proclaimed Moldovan Republic of Transnistria (“the MRT”) but their action was finally dismissed by the MRT Supreme Court on 29 November 2012. By the same judgment the court ordered the applicants</w:t>
      </w:r>
      <w:r w:rsidRPr="00B90FEA" w:rsidR="00B90FEA">
        <w:t>’</w:t>
      </w:r>
      <w:r w:rsidRPr="00B90FEA">
        <w:t xml:space="preserve"> eviction from the disputed apartment.</w:t>
      </w:r>
    </w:p>
    <w:p w:rsidRPr="00B90FEA" w:rsidR="00BA3852" w:rsidP="00B90FEA" w:rsidRDefault="00BA3852" w14:paraId="40A2968D" w14:textId="411B00DC">
      <w:pPr>
        <w:pStyle w:val="JuPara"/>
      </w:pPr>
      <w:r w:rsidRPr="00B90FEA">
        <w:fldChar w:fldCharType="begin"/>
      </w:r>
      <w:r w:rsidRPr="00B90FEA">
        <w:instrText xml:space="preserve"> SEQ level0 \*arabic </w:instrText>
      </w:r>
      <w:r w:rsidRPr="00B90FEA">
        <w:fldChar w:fldCharType="separate"/>
      </w:r>
      <w:r w:rsidRPr="00B90FEA" w:rsidR="00B90FEA">
        <w:rPr>
          <w:noProof/>
        </w:rPr>
        <w:t>8</w:t>
      </w:r>
      <w:r w:rsidRPr="00B90FEA">
        <w:fldChar w:fldCharType="end"/>
      </w:r>
      <w:r w:rsidRPr="00B90FEA">
        <w:t>.  On 10 February 2013 the applicants wrote to the embassy of the Russian Federation in Moldova seeking assistance. In a letter dated 22 May 2013 they received a reply according to which the embassy had contacted the MRT authorities and had learned that the applicants had to give up their apartment in Tiraspol because their family had been provided with social housing in Briansk, Russia.</w:t>
      </w:r>
    </w:p>
    <w:p w:rsidRPr="00B90FEA" w:rsidR="00BA3852" w:rsidP="00B90FEA" w:rsidRDefault="00BA3852" w14:paraId="3876819B" w14:textId="0AD699C7">
      <w:pPr>
        <w:pStyle w:val="JuPara"/>
      </w:pPr>
      <w:r w:rsidRPr="00B90FEA">
        <w:fldChar w:fldCharType="begin"/>
      </w:r>
      <w:r w:rsidRPr="00B90FEA">
        <w:instrText xml:space="preserve"> SEQ level0 \*arabic </w:instrText>
      </w:r>
      <w:r w:rsidRPr="00B90FEA">
        <w:fldChar w:fldCharType="separate"/>
      </w:r>
      <w:r w:rsidRPr="00B90FEA" w:rsidR="00B90FEA">
        <w:rPr>
          <w:noProof/>
        </w:rPr>
        <w:t>9</w:t>
      </w:r>
      <w:r w:rsidRPr="00B90FEA">
        <w:fldChar w:fldCharType="end"/>
      </w:r>
      <w:r w:rsidRPr="00B90FEA">
        <w:t>.  It does not appear from the materials of the case that the applicants contacted the constitutional authorities of the Republic of Moldova in respect of the facts giving rise to the present case.</w:t>
      </w:r>
    </w:p>
    <w:p w:rsidRPr="00B90FEA" w:rsidR="00BA3852" w:rsidP="00B90FEA" w:rsidRDefault="00BA3852" w14:paraId="3556DDBE" w14:textId="77777777">
      <w:pPr>
        <w:pStyle w:val="JuHHead"/>
      </w:pPr>
      <w:r w:rsidRPr="00B90FEA">
        <w:t>RELEVANT LEGAL FRAMEWORK</w:t>
      </w:r>
    </w:p>
    <w:p w:rsidRPr="00B90FEA" w:rsidR="00BA3852" w:rsidP="00B90FEA" w:rsidRDefault="00BA3852" w14:paraId="608591F8" w14:textId="3F1CC767">
      <w:pPr>
        <w:pStyle w:val="JuPara"/>
      </w:pPr>
      <w:r w:rsidRPr="00B90FEA">
        <w:fldChar w:fldCharType="begin"/>
      </w:r>
      <w:r w:rsidRPr="00B90FEA">
        <w:instrText xml:space="preserve"> SEQ level0 \*arabic </w:instrText>
      </w:r>
      <w:r w:rsidRPr="00B90FEA">
        <w:fldChar w:fldCharType="separate"/>
      </w:r>
      <w:r w:rsidRPr="00B90FEA" w:rsidR="00B90FEA">
        <w:rPr>
          <w:noProof/>
        </w:rPr>
        <w:t>10</w:t>
      </w:r>
      <w:r w:rsidRPr="00B90FEA">
        <w:fldChar w:fldCharType="end"/>
      </w:r>
      <w:r w:rsidRPr="00B90FEA">
        <w:t>.  </w:t>
      </w:r>
      <w:r w:rsidRPr="00B90FEA">
        <w:rPr>
          <w:rFonts w:eastAsia="Times New Roman"/>
        </w:rPr>
        <w:t xml:space="preserve">Reports by inter-governmental and non-governmental organisations, the relevant domestic law and practice of the Republic of Moldova, and other pertinent documents were summarised in </w:t>
      </w:r>
      <w:proofErr w:type="spellStart"/>
      <w:r w:rsidRPr="00B90FEA">
        <w:rPr>
          <w:i/>
        </w:rPr>
        <w:t>Mozer</w:t>
      </w:r>
      <w:proofErr w:type="spellEnd"/>
      <w:r w:rsidRPr="00B90FEA">
        <w:rPr>
          <w:i/>
        </w:rPr>
        <w:t xml:space="preserve"> v. the Republic of Moldova and Russia </w:t>
      </w:r>
      <w:r w:rsidRPr="00B90FEA">
        <w:t>([GC], no. 11138/10</w:t>
      </w:r>
      <w:r w:rsidRPr="00B90FEA">
        <w:rPr>
          <w:snapToGrid w:val="0"/>
        </w:rPr>
        <w:t xml:space="preserve">, </w:t>
      </w:r>
      <w:r w:rsidRPr="00B90FEA">
        <w:rPr>
          <w:rFonts w:cstheme="minorHAnsi"/>
          <w:snapToGrid w:val="0"/>
        </w:rPr>
        <w:t>§§</w:t>
      </w:r>
      <w:r w:rsidRPr="00B90FEA">
        <w:rPr>
          <w:snapToGrid w:val="0"/>
        </w:rPr>
        <w:t xml:space="preserve"> 61-77,</w:t>
      </w:r>
      <w:r w:rsidRPr="00B90FEA">
        <w:t xml:space="preserve"> 23 February 2016</w:t>
      </w:r>
      <w:r w:rsidRPr="00B90FEA">
        <w:rPr>
          <w:snapToGrid w:val="0"/>
        </w:rPr>
        <w:t>).</w:t>
      </w:r>
    </w:p>
    <w:p w:rsidRPr="00B90FEA" w:rsidR="00BA3852" w:rsidP="00B90FEA" w:rsidRDefault="00BA3852" w14:paraId="7F3DD006" w14:textId="77777777">
      <w:pPr>
        <w:pStyle w:val="JuHHead"/>
        <w:numPr>
          <w:ilvl w:val="0"/>
          <w:numId w:val="21"/>
        </w:numPr>
        <w:ind w:left="360" w:hanging="360"/>
      </w:pPr>
      <w:r w:rsidRPr="00B90FEA">
        <w:t>THE LAW</w:t>
      </w:r>
    </w:p>
    <w:p w:rsidRPr="00B90FEA" w:rsidR="00BA3852" w:rsidP="00B90FEA" w:rsidRDefault="00BA3852" w14:paraId="01627CD4" w14:textId="77777777">
      <w:pPr>
        <w:pStyle w:val="JuHIRoman"/>
      </w:pPr>
      <w:r w:rsidRPr="00B90FEA">
        <w:t>JURISDICTION</w:t>
      </w:r>
    </w:p>
    <w:p w:rsidRPr="00B90FEA" w:rsidR="00BA3852" w:rsidP="00B90FEA" w:rsidRDefault="00BA3852" w14:paraId="3A5B943A" w14:textId="1DD00C6A">
      <w:pPr>
        <w:pStyle w:val="JuPara"/>
      </w:pPr>
      <w:r w:rsidRPr="00B90FEA">
        <w:fldChar w:fldCharType="begin"/>
      </w:r>
      <w:r w:rsidRPr="00B90FEA">
        <w:instrText xml:space="preserve"> SEQ level0 \*arabic </w:instrText>
      </w:r>
      <w:r w:rsidRPr="00B90FEA">
        <w:fldChar w:fldCharType="separate"/>
      </w:r>
      <w:r w:rsidRPr="00B90FEA" w:rsidR="00B90FEA">
        <w:rPr>
          <w:noProof/>
        </w:rPr>
        <w:t>11</w:t>
      </w:r>
      <w:r w:rsidRPr="00B90FEA">
        <w:fldChar w:fldCharType="end"/>
      </w:r>
      <w:r w:rsidRPr="00B90FEA">
        <w:t>.  The Court must first determine whether the applicants fall within the jurisdiction of the respondent States for the purposes of the matters complained of, within the meaning of Article 1 of the Convention.</w:t>
      </w:r>
    </w:p>
    <w:p w:rsidRPr="00B90FEA" w:rsidR="00BA3852" w:rsidP="00B90FEA" w:rsidRDefault="00BA3852" w14:paraId="66524C49" w14:textId="26C356CF">
      <w:pPr>
        <w:pStyle w:val="JuHA"/>
        <w:numPr>
          <w:ilvl w:val="2"/>
          <w:numId w:val="21"/>
        </w:numPr>
        <w:ind w:left="1224" w:hanging="504"/>
      </w:pPr>
      <w:r w:rsidRPr="00B90FEA">
        <w:t>The parties</w:t>
      </w:r>
      <w:r w:rsidRPr="00B90FEA" w:rsidR="00B90FEA">
        <w:t>’</w:t>
      </w:r>
      <w:r w:rsidRPr="00B90FEA">
        <w:t xml:space="preserve"> submissions</w:t>
      </w:r>
    </w:p>
    <w:p w:rsidRPr="00B90FEA" w:rsidR="00BA3852" w:rsidP="00B90FEA" w:rsidRDefault="00BA3852" w14:paraId="7E45824E" w14:textId="0BAF7B97">
      <w:pPr>
        <w:pStyle w:val="JuPara"/>
        <w:rPr>
          <w:snapToGrid w:val="0"/>
        </w:rPr>
      </w:pPr>
      <w:r w:rsidRPr="00B90FEA">
        <w:rPr>
          <w:rFonts w:eastAsia="MS Mincho"/>
        </w:rPr>
        <w:fldChar w:fldCharType="begin"/>
      </w:r>
      <w:r w:rsidRPr="00B90FEA">
        <w:rPr>
          <w:rFonts w:eastAsia="MS Mincho"/>
        </w:rPr>
        <w:instrText xml:space="preserve"> SEQ level0 \*arabic </w:instrText>
      </w:r>
      <w:r w:rsidRPr="00B90FEA">
        <w:rPr>
          <w:rFonts w:eastAsia="MS Mincho"/>
        </w:rPr>
        <w:fldChar w:fldCharType="separate"/>
      </w:r>
      <w:r w:rsidRPr="00B90FEA" w:rsidR="00B90FEA">
        <w:rPr>
          <w:rFonts w:eastAsia="MS Mincho"/>
          <w:noProof/>
        </w:rPr>
        <w:t>12</w:t>
      </w:r>
      <w:r w:rsidRPr="00B90FEA">
        <w:rPr>
          <w:rFonts w:eastAsia="MS Mincho"/>
        </w:rPr>
        <w:fldChar w:fldCharType="end"/>
      </w:r>
      <w:r w:rsidRPr="00B90FEA">
        <w:rPr>
          <w:rFonts w:eastAsia="MS Mincho"/>
        </w:rPr>
        <w:t xml:space="preserve">.  The applicants submitted that </w:t>
      </w:r>
      <w:r w:rsidRPr="00B90FEA">
        <w:rPr>
          <w:snapToGrid w:val="0"/>
        </w:rPr>
        <w:t>both respondent Governments had jurisdiction.</w:t>
      </w:r>
    </w:p>
    <w:p w:rsidRPr="00B90FEA" w:rsidR="00BA3852" w:rsidP="00B90FEA" w:rsidRDefault="00BA3852" w14:paraId="4BA4D8DB" w14:textId="4B73ABA2">
      <w:pPr>
        <w:pStyle w:val="JuPara"/>
        <w:rPr>
          <w:rFonts w:ascii="Times New Roman" w:hAnsi="Times New Roman" w:eastAsia="MS Mincho" w:cs="Times New Roman"/>
        </w:rPr>
      </w:pPr>
      <w:r w:rsidRPr="00B90FEA">
        <w:rPr>
          <w:snapToGrid w:val="0"/>
        </w:rPr>
        <w:fldChar w:fldCharType="begin"/>
      </w:r>
      <w:r w:rsidRPr="00B90FEA">
        <w:rPr>
          <w:snapToGrid w:val="0"/>
        </w:rPr>
        <w:instrText xml:space="preserve"> SEQ level0 \*arabic </w:instrText>
      </w:r>
      <w:r w:rsidRPr="00B90FEA">
        <w:rPr>
          <w:snapToGrid w:val="0"/>
        </w:rPr>
        <w:fldChar w:fldCharType="separate"/>
      </w:r>
      <w:r w:rsidRPr="00B90FEA" w:rsidR="00B90FEA">
        <w:rPr>
          <w:noProof/>
          <w:snapToGrid w:val="0"/>
        </w:rPr>
        <w:t>13</w:t>
      </w:r>
      <w:r w:rsidRPr="00B90FEA">
        <w:rPr>
          <w:snapToGrid w:val="0"/>
        </w:rPr>
        <w:fldChar w:fldCharType="end"/>
      </w:r>
      <w:r w:rsidRPr="00B90FEA">
        <w:rPr>
          <w:snapToGrid w:val="0"/>
        </w:rPr>
        <w:t>.  The Moldovan Government submitted that they had positive obligations to secure the applicants</w:t>
      </w:r>
      <w:r w:rsidRPr="00B90FEA" w:rsidR="00B90FEA">
        <w:rPr>
          <w:snapToGrid w:val="0"/>
        </w:rPr>
        <w:t>’</w:t>
      </w:r>
      <w:r w:rsidRPr="00B90FEA">
        <w:rPr>
          <w:snapToGrid w:val="0"/>
        </w:rPr>
        <w:t xml:space="preserve"> rights.</w:t>
      </w:r>
    </w:p>
    <w:p w:rsidRPr="00B90FEA" w:rsidR="00BA3852" w:rsidP="00B90FEA" w:rsidRDefault="00BA3852" w14:paraId="0E202067" w14:textId="5EAA9D26">
      <w:pPr>
        <w:pStyle w:val="JuPara"/>
      </w:pPr>
      <w:r w:rsidRPr="00B90FEA">
        <w:rPr>
          <w:rFonts w:ascii="Times New Roman" w:hAnsi="Times New Roman" w:eastAsia="MS Mincho" w:cs="Times New Roman"/>
        </w:rPr>
        <w:fldChar w:fldCharType="begin"/>
      </w:r>
      <w:r w:rsidRPr="00B90FEA">
        <w:rPr>
          <w:rFonts w:ascii="Times New Roman" w:hAnsi="Times New Roman" w:eastAsia="MS Mincho" w:cs="Times New Roman"/>
        </w:rPr>
        <w:instrText xml:space="preserve"> SEQ level0 \*arabic </w:instrText>
      </w:r>
      <w:r w:rsidRPr="00B90FEA">
        <w:rPr>
          <w:rFonts w:ascii="Times New Roman" w:hAnsi="Times New Roman" w:eastAsia="MS Mincho" w:cs="Times New Roman"/>
        </w:rPr>
        <w:fldChar w:fldCharType="separate"/>
      </w:r>
      <w:r w:rsidRPr="00B90FEA" w:rsidR="00B90FEA">
        <w:rPr>
          <w:rFonts w:ascii="Times New Roman" w:hAnsi="Times New Roman" w:eastAsia="MS Mincho" w:cs="Times New Roman"/>
          <w:noProof/>
        </w:rPr>
        <w:t>14</w:t>
      </w:r>
      <w:r w:rsidRPr="00B90FEA">
        <w:rPr>
          <w:rFonts w:ascii="Times New Roman" w:hAnsi="Times New Roman" w:eastAsia="MS Mincho" w:cs="Times New Roman"/>
        </w:rPr>
        <w:fldChar w:fldCharType="end"/>
      </w:r>
      <w:r w:rsidRPr="00B90FEA">
        <w:rPr>
          <w:rFonts w:ascii="Times New Roman" w:hAnsi="Times New Roman" w:eastAsia="MS Mincho" w:cs="Times New Roman"/>
        </w:rPr>
        <w:t xml:space="preserve">.  For their part, the Russian Government argued that the applicants did not fall within their jurisdiction and that, consequently, the application should be declared inadmissible </w:t>
      </w:r>
      <w:proofErr w:type="spellStart"/>
      <w:r w:rsidRPr="00B90FEA">
        <w:rPr>
          <w:rFonts w:ascii="Times New Roman" w:hAnsi="Times New Roman" w:eastAsia="MS Mincho" w:cs="Times New Roman"/>
          <w:i/>
        </w:rPr>
        <w:t>ratione</w:t>
      </w:r>
      <w:proofErr w:type="spellEnd"/>
      <w:r w:rsidRPr="00B90FEA">
        <w:rPr>
          <w:rFonts w:ascii="Times New Roman" w:hAnsi="Times New Roman" w:eastAsia="MS Mincho" w:cs="Times New Roman"/>
          <w:i/>
        </w:rPr>
        <w:t xml:space="preserve"> personae</w:t>
      </w:r>
      <w:r w:rsidRPr="00B90FEA">
        <w:rPr>
          <w:rFonts w:ascii="Times New Roman" w:hAnsi="Times New Roman" w:eastAsia="MS Mincho" w:cs="Times New Roman"/>
        </w:rPr>
        <w:t xml:space="preserve"> and </w:t>
      </w:r>
      <w:proofErr w:type="spellStart"/>
      <w:r w:rsidRPr="00B90FEA">
        <w:rPr>
          <w:rFonts w:ascii="Times New Roman" w:hAnsi="Times New Roman" w:eastAsia="MS Mincho" w:cs="Times New Roman"/>
          <w:i/>
        </w:rPr>
        <w:t>ratione</w:t>
      </w:r>
      <w:proofErr w:type="spellEnd"/>
      <w:r w:rsidRPr="00B90FEA">
        <w:rPr>
          <w:rFonts w:ascii="Times New Roman" w:hAnsi="Times New Roman" w:eastAsia="MS Mincho" w:cs="Times New Roman"/>
          <w:i/>
        </w:rPr>
        <w:t xml:space="preserve"> loci</w:t>
      </w:r>
      <w:r w:rsidRPr="00B90FEA">
        <w:rPr>
          <w:rFonts w:ascii="Times New Roman" w:hAnsi="Times New Roman" w:eastAsia="MS Mincho" w:cs="Times New Roman"/>
        </w:rPr>
        <w:t xml:space="preserve"> in respect of the Russian Federation.</w:t>
      </w:r>
    </w:p>
    <w:p w:rsidRPr="00B90FEA" w:rsidR="00BA3852" w:rsidP="00B90FEA" w:rsidRDefault="00BA3852" w14:paraId="0187D6E7" w14:textId="34A7A1A0">
      <w:pPr>
        <w:pStyle w:val="JuHA"/>
        <w:numPr>
          <w:ilvl w:val="2"/>
          <w:numId w:val="21"/>
        </w:numPr>
        <w:ind w:left="1224" w:hanging="504"/>
      </w:pPr>
      <w:r w:rsidRPr="00B90FEA">
        <w:t>The Court</w:t>
      </w:r>
      <w:r w:rsidRPr="00B90FEA" w:rsidR="00B90FEA">
        <w:t>’</w:t>
      </w:r>
      <w:r w:rsidRPr="00B90FEA">
        <w:t>s assessment</w:t>
      </w:r>
    </w:p>
    <w:p w:rsidRPr="00B90FEA" w:rsidR="00BA3852" w:rsidP="00B90FEA" w:rsidRDefault="00BA3852" w14:paraId="534C1A55" w14:textId="0BD2E737">
      <w:pPr>
        <w:pStyle w:val="JuPara"/>
        <w:rPr>
          <w:snapToGrid w:val="0"/>
        </w:rPr>
      </w:pPr>
      <w:r w:rsidRPr="00B90FEA">
        <w:fldChar w:fldCharType="begin"/>
      </w:r>
      <w:r w:rsidRPr="00B90FEA">
        <w:instrText xml:space="preserve"> SEQ level0 \*arabic </w:instrText>
      </w:r>
      <w:r w:rsidRPr="00B90FEA">
        <w:fldChar w:fldCharType="separate"/>
      </w:r>
      <w:r w:rsidRPr="00B90FEA" w:rsidR="00B90FEA">
        <w:rPr>
          <w:noProof/>
        </w:rPr>
        <w:t>15</w:t>
      </w:r>
      <w:r w:rsidRPr="00B90FEA">
        <w:fldChar w:fldCharType="end"/>
      </w:r>
      <w:r w:rsidRPr="00B90FEA">
        <w:t xml:space="preserve">.  The Court notes that the parties in the present case maintain views on the issue of jurisdiction which are similar to those expressed by the parties in </w:t>
      </w:r>
      <w:r w:rsidRPr="00B90FEA">
        <w:rPr>
          <w:i/>
        </w:rPr>
        <w:t>Catan and Others</w:t>
      </w:r>
      <w:r w:rsidRPr="00B90FEA">
        <w:t xml:space="preserve"> (cited above, §§ 83-101)</w:t>
      </w:r>
      <w:r w:rsidRPr="00B90FEA">
        <w:rPr>
          <w:snapToGrid w:val="0"/>
        </w:rPr>
        <w:t xml:space="preserve"> and in</w:t>
      </w:r>
      <w:r w:rsidRPr="00B90FEA">
        <w:t xml:space="preserve"> </w:t>
      </w:r>
      <w:proofErr w:type="spellStart"/>
      <w:r w:rsidRPr="00B90FEA">
        <w:rPr>
          <w:i/>
        </w:rPr>
        <w:t>Mozer</w:t>
      </w:r>
      <w:proofErr w:type="spellEnd"/>
      <w:r w:rsidRPr="00B90FEA">
        <w:rPr>
          <w:i/>
        </w:rPr>
        <w:t xml:space="preserve"> </w:t>
      </w:r>
      <w:r w:rsidRPr="00B90FEA">
        <w:rPr>
          <w:snapToGrid w:val="0"/>
        </w:rPr>
        <w:t xml:space="preserve">(cited above, </w:t>
      </w:r>
      <w:r w:rsidRPr="00B90FEA">
        <w:rPr>
          <w:rFonts w:cstheme="minorHAnsi"/>
          <w:snapToGrid w:val="0"/>
        </w:rPr>
        <w:t>§§ </w:t>
      </w:r>
      <w:r w:rsidRPr="00B90FEA">
        <w:rPr>
          <w:snapToGrid w:val="0"/>
        </w:rPr>
        <w:t>81</w:t>
      </w:r>
      <w:r w:rsidRPr="00B90FEA">
        <w:rPr>
          <w:snapToGrid w:val="0"/>
        </w:rPr>
        <w:noBreakHyphen/>
        <w:t>95). In particular, the applicants and the Moldovan Government submitted that both respondent Governments had jurisdiction, while the Russian Government submitted that they had no jurisdiction.</w:t>
      </w:r>
    </w:p>
    <w:p w:rsidRPr="00B90FEA" w:rsidR="00BA3852" w:rsidP="00B90FEA" w:rsidRDefault="00BA3852" w14:paraId="299B147C" w14:textId="2A64DB2D">
      <w:pPr>
        <w:pStyle w:val="JuPara"/>
        <w:rPr>
          <w:rFonts w:eastAsia="MS Mincho"/>
          <w:snapToGrid w:val="0"/>
        </w:rPr>
      </w:pPr>
      <w:r w:rsidRPr="00B90FEA">
        <w:rPr>
          <w:rFonts w:eastAsia="MS Mincho"/>
          <w:snapToGrid w:val="0"/>
        </w:rPr>
        <w:fldChar w:fldCharType="begin"/>
      </w:r>
      <w:r w:rsidRPr="00B90FEA">
        <w:rPr>
          <w:rFonts w:eastAsia="MS Mincho"/>
          <w:snapToGrid w:val="0"/>
        </w:rPr>
        <w:instrText xml:space="preserve"> SEQ level0 \*arabic </w:instrText>
      </w:r>
      <w:r w:rsidRPr="00B90FEA">
        <w:rPr>
          <w:rFonts w:eastAsia="MS Mincho"/>
          <w:snapToGrid w:val="0"/>
        </w:rPr>
        <w:fldChar w:fldCharType="separate"/>
      </w:r>
      <w:r w:rsidRPr="00B90FEA" w:rsidR="00B90FEA">
        <w:rPr>
          <w:rFonts w:eastAsia="MS Mincho"/>
          <w:noProof/>
          <w:snapToGrid w:val="0"/>
        </w:rPr>
        <w:t>16</w:t>
      </w:r>
      <w:r w:rsidRPr="00B90FEA">
        <w:rPr>
          <w:rFonts w:eastAsia="MS Mincho"/>
          <w:snapToGrid w:val="0"/>
        </w:rPr>
        <w:fldChar w:fldCharType="end"/>
      </w:r>
      <w:r w:rsidRPr="00B90FEA">
        <w:rPr>
          <w:rFonts w:eastAsia="MS Mincho"/>
          <w:snapToGrid w:val="0"/>
        </w:rPr>
        <w:t xml:space="preserve">.  The Court recalls that the general principles concerning the issue of jurisdiction under Article 1 of the Convention in respect of actions and facts pertaining to the </w:t>
      </w:r>
      <w:proofErr w:type="spellStart"/>
      <w:r w:rsidRPr="00B90FEA">
        <w:rPr>
          <w:rFonts w:eastAsia="MS Mincho"/>
          <w:snapToGrid w:val="0"/>
        </w:rPr>
        <w:t>Transdniestrian</w:t>
      </w:r>
      <w:proofErr w:type="spellEnd"/>
      <w:r w:rsidRPr="00B90FEA">
        <w:rPr>
          <w:rFonts w:eastAsia="MS Mincho"/>
          <w:snapToGrid w:val="0"/>
        </w:rPr>
        <w:t xml:space="preserve"> region of Moldova were set out in </w:t>
      </w:r>
      <w:proofErr w:type="spellStart"/>
      <w:r w:rsidRPr="00B90FEA">
        <w:rPr>
          <w:rFonts w:eastAsia="MS Mincho"/>
          <w:i/>
        </w:rPr>
        <w:t>Ilaşcu</w:t>
      </w:r>
      <w:proofErr w:type="spellEnd"/>
      <w:r w:rsidRPr="00B90FEA">
        <w:rPr>
          <w:rFonts w:eastAsia="MS Mincho"/>
          <w:i/>
        </w:rPr>
        <w:t xml:space="preserve"> and Others </w:t>
      </w:r>
      <w:r w:rsidRPr="00B90FEA">
        <w:rPr>
          <w:rFonts w:eastAsia="MS Mincho"/>
        </w:rPr>
        <w:t xml:space="preserve">(cited above, §§ 311-319), </w:t>
      </w:r>
      <w:r w:rsidRPr="00B90FEA">
        <w:rPr>
          <w:rFonts w:eastAsia="MS Mincho"/>
          <w:i/>
          <w:snapToGrid w:val="0"/>
        </w:rPr>
        <w:t xml:space="preserve">Catan and Others </w:t>
      </w:r>
      <w:r w:rsidRPr="00B90FEA">
        <w:rPr>
          <w:rFonts w:eastAsia="MS Mincho"/>
        </w:rPr>
        <w:t>(cited above, §§ 103</w:t>
      </w:r>
      <w:r w:rsidRPr="00B90FEA">
        <w:rPr>
          <w:rFonts w:eastAsia="MS Mincho"/>
        </w:rPr>
        <w:noBreakHyphen/>
        <w:t xml:space="preserve">107) and </w:t>
      </w:r>
      <w:proofErr w:type="spellStart"/>
      <w:r w:rsidRPr="00B90FEA">
        <w:rPr>
          <w:rFonts w:eastAsia="MS Mincho"/>
          <w:i/>
          <w:snapToGrid w:val="0"/>
        </w:rPr>
        <w:t>Mozer</w:t>
      </w:r>
      <w:proofErr w:type="spellEnd"/>
      <w:r w:rsidRPr="00B90FEA">
        <w:rPr>
          <w:rFonts w:eastAsia="MS Mincho"/>
          <w:i/>
          <w:snapToGrid w:val="0"/>
        </w:rPr>
        <w:t xml:space="preserve"> </w:t>
      </w:r>
      <w:r w:rsidRPr="00B90FEA">
        <w:rPr>
          <w:rFonts w:eastAsia="MS Mincho"/>
          <w:snapToGrid w:val="0"/>
        </w:rPr>
        <w:t>(cited above, §§ 97-98).</w:t>
      </w:r>
    </w:p>
    <w:p w:rsidRPr="00B90FEA" w:rsidR="00BA3852" w:rsidP="00B90FEA" w:rsidRDefault="00BA3852" w14:paraId="3D6DA3AD" w14:textId="26FD29CD">
      <w:pPr>
        <w:pStyle w:val="JuPara"/>
        <w:rPr>
          <w:rFonts w:eastAsia="MS Mincho"/>
        </w:rPr>
      </w:pPr>
      <w:r w:rsidRPr="00B90FEA">
        <w:rPr>
          <w:rFonts w:eastAsia="MS Mincho"/>
          <w:snapToGrid w:val="0"/>
        </w:rPr>
        <w:fldChar w:fldCharType="begin"/>
      </w:r>
      <w:r w:rsidRPr="00B90FEA">
        <w:rPr>
          <w:rFonts w:eastAsia="MS Mincho"/>
          <w:snapToGrid w:val="0"/>
        </w:rPr>
        <w:instrText xml:space="preserve"> SEQ level0 \*arabic </w:instrText>
      </w:r>
      <w:r w:rsidRPr="00B90FEA">
        <w:rPr>
          <w:rFonts w:eastAsia="MS Mincho"/>
          <w:snapToGrid w:val="0"/>
        </w:rPr>
        <w:fldChar w:fldCharType="separate"/>
      </w:r>
      <w:r w:rsidRPr="00B90FEA" w:rsidR="00B90FEA">
        <w:rPr>
          <w:rFonts w:eastAsia="MS Mincho"/>
          <w:noProof/>
          <w:snapToGrid w:val="0"/>
        </w:rPr>
        <w:t>17</w:t>
      </w:r>
      <w:r w:rsidRPr="00B90FEA">
        <w:rPr>
          <w:rFonts w:eastAsia="MS Mincho"/>
          <w:snapToGrid w:val="0"/>
        </w:rPr>
        <w:fldChar w:fldCharType="end"/>
      </w:r>
      <w:r w:rsidRPr="00B90FEA">
        <w:rPr>
          <w:rFonts w:eastAsia="MS Mincho"/>
          <w:snapToGrid w:val="0"/>
        </w:rPr>
        <w:t xml:space="preserve">.  In so far as the Republic of Moldova is concerned, the Court notes that in </w:t>
      </w:r>
      <w:proofErr w:type="spellStart"/>
      <w:r w:rsidRPr="00B90FEA">
        <w:rPr>
          <w:rFonts w:eastAsia="MS Mincho"/>
          <w:i/>
        </w:rPr>
        <w:t>Ilaşcu</w:t>
      </w:r>
      <w:proofErr w:type="spellEnd"/>
      <w:r w:rsidRPr="00B90FEA">
        <w:rPr>
          <w:rFonts w:eastAsia="MS Mincho"/>
          <w:i/>
        </w:rPr>
        <w:t>, Catan</w:t>
      </w:r>
      <w:r w:rsidRPr="00B90FEA">
        <w:rPr>
          <w:rFonts w:eastAsia="MS Mincho"/>
        </w:rPr>
        <w:t xml:space="preserve"> and</w:t>
      </w:r>
      <w:r w:rsidRPr="00B90FEA">
        <w:rPr>
          <w:rFonts w:eastAsia="MS Mincho"/>
          <w:i/>
        </w:rPr>
        <w:t xml:space="preserve"> </w:t>
      </w:r>
      <w:proofErr w:type="spellStart"/>
      <w:r w:rsidRPr="00B90FEA">
        <w:rPr>
          <w:rFonts w:eastAsia="MS Mincho"/>
          <w:i/>
          <w:snapToGrid w:val="0"/>
        </w:rPr>
        <w:t>Mozer</w:t>
      </w:r>
      <w:proofErr w:type="spellEnd"/>
      <w:r w:rsidRPr="00B90FEA">
        <w:rPr>
          <w:rFonts w:eastAsia="MS Mincho"/>
          <w:snapToGrid w:val="0"/>
        </w:rPr>
        <w:t xml:space="preserve"> it found that although Moldova had no effective control </w:t>
      </w:r>
      <w:r w:rsidRPr="00B90FEA">
        <w:t xml:space="preserve">over the </w:t>
      </w:r>
      <w:proofErr w:type="spellStart"/>
      <w:r w:rsidRPr="00B90FEA">
        <w:t>Transdniestrian</w:t>
      </w:r>
      <w:proofErr w:type="spellEnd"/>
      <w:r w:rsidRPr="00B90FEA">
        <w:t xml:space="preserve"> region, </w:t>
      </w:r>
      <w:r w:rsidRPr="00B90FEA">
        <w:rPr>
          <w:rFonts w:eastAsia="MS Mincho"/>
          <w:snapToGrid w:val="0"/>
        </w:rPr>
        <w:t xml:space="preserve">it followed from </w:t>
      </w:r>
      <w:r w:rsidRPr="00B90FEA">
        <w:rPr>
          <w:rFonts w:eastAsia="MS Mincho"/>
        </w:rPr>
        <w:t xml:space="preserve">the fact that Moldova was the territorial State that persons within that territory fell within its jurisdiction. However, its obligation, under Article 1 of the Convention, to secure to everyone within its jurisdiction the rights and freedoms defined in the Convention was limited to that of taking the diplomatic, economic, judicial and other measures that were both in its power and in accordance with international law (see </w:t>
      </w:r>
      <w:proofErr w:type="spellStart"/>
      <w:r w:rsidRPr="00B90FEA">
        <w:rPr>
          <w:rFonts w:eastAsia="MS Mincho"/>
          <w:i/>
        </w:rPr>
        <w:t>Ilaşcu</w:t>
      </w:r>
      <w:proofErr w:type="spellEnd"/>
      <w:r w:rsidRPr="00B90FEA">
        <w:rPr>
          <w:rFonts w:eastAsia="MS Mincho"/>
          <w:i/>
        </w:rPr>
        <w:t xml:space="preserve"> and Others</w:t>
      </w:r>
      <w:r w:rsidRPr="00B90FEA">
        <w:rPr>
          <w:rFonts w:eastAsia="MS Mincho"/>
        </w:rPr>
        <w:t xml:space="preserve">, cited above, § 333; </w:t>
      </w:r>
      <w:r w:rsidRPr="00B90FEA">
        <w:rPr>
          <w:rFonts w:eastAsia="MS Mincho"/>
          <w:i/>
        </w:rPr>
        <w:t>Catan and Others</w:t>
      </w:r>
      <w:r w:rsidRPr="00B90FEA">
        <w:rPr>
          <w:rFonts w:eastAsia="MS Mincho"/>
        </w:rPr>
        <w:t xml:space="preserve">, cited above, § 109; and </w:t>
      </w:r>
      <w:proofErr w:type="spellStart"/>
      <w:r w:rsidRPr="00B90FEA">
        <w:rPr>
          <w:rFonts w:eastAsia="MS Mincho"/>
          <w:i/>
        </w:rPr>
        <w:t>Mozer</w:t>
      </w:r>
      <w:proofErr w:type="spellEnd"/>
      <w:r w:rsidRPr="00B90FEA">
        <w:rPr>
          <w:rFonts w:eastAsia="MS Mincho"/>
        </w:rPr>
        <w:t>, cited above, § 100). Moldova</w:t>
      </w:r>
      <w:r w:rsidRPr="00B90FEA" w:rsidR="00B90FEA">
        <w:rPr>
          <w:rFonts w:eastAsia="MS Mincho"/>
        </w:rPr>
        <w:t>’</w:t>
      </w:r>
      <w:r w:rsidRPr="00B90FEA">
        <w:rPr>
          <w:rFonts w:eastAsia="MS Mincho"/>
        </w:rPr>
        <w:t xml:space="preserve">s obligations under Article 1 of the Convention were found to be positive obligations (see </w:t>
      </w:r>
      <w:proofErr w:type="spellStart"/>
      <w:r w:rsidRPr="00B90FEA">
        <w:rPr>
          <w:rFonts w:eastAsia="MS Mincho"/>
          <w:i/>
        </w:rPr>
        <w:t>Ilaşcu</w:t>
      </w:r>
      <w:proofErr w:type="spellEnd"/>
      <w:r w:rsidRPr="00B90FEA">
        <w:rPr>
          <w:rFonts w:eastAsia="MS Mincho"/>
          <w:i/>
        </w:rPr>
        <w:t xml:space="preserve"> and Others</w:t>
      </w:r>
      <w:r w:rsidRPr="00B90FEA">
        <w:rPr>
          <w:rFonts w:eastAsia="MS Mincho"/>
        </w:rPr>
        <w:t xml:space="preserve">, cited above, §§ 322 and 330-331; </w:t>
      </w:r>
      <w:r w:rsidRPr="00B90FEA">
        <w:rPr>
          <w:rFonts w:eastAsia="MS Mincho"/>
          <w:i/>
        </w:rPr>
        <w:t>Catan and Others</w:t>
      </w:r>
      <w:r w:rsidRPr="00B90FEA">
        <w:rPr>
          <w:rFonts w:eastAsia="MS Mincho"/>
        </w:rPr>
        <w:t xml:space="preserve">, cited above, §§ 109-110; and </w:t>
      </w:r>
      <w:proofErr w:type="spellStart"/>
      <w:r w:rsidRPr="00B90FEA">
        <w:rPr>
          <w:rFonts w:eastAsia="MS Mincho"/>
          <w:i/>
        </w:rPr>
        <w:t>Mozer</w:t>
      </w:r>
      <w:proofErr w:type="spellEnd"/>
      <w:r w:rsidRPr="00B90FEA">
        <w:rPr>
          <w:rFonts w:eastAsia="MS Mincho"/>
        </w:rPr>
        <w:t>, cited above, § 99).</w:t>
      </w:r>
    </w:p>
    <w:p w:rsidRPr="00B90FEA" w:rsidR="00BA3852" w:rsidP="00B90FEA" w:rsidRDefault="00BA3852" w14:paraId="322CFA64" w14:textId="7C73D8E8">
      <w:pPr>
        <w:pStyle w:val="JuPara"/>
        <w:rPr>
          <w:rFonts w:eastAsia="MS Mincho"/>
        </w:rPr>
      </w:pPr>
      <w:r w:rsidRPr="00B90FEA">
        <w:rPr>
          <w:rFonts w:eastAsia="MS Mincho"/>
        </w:rPr>
        <w:fldChar w:fldCharType="begin"/>
      </w:r>
      <w:r w:rsidRPr="00B90FEA">
        <w:rPr>
          <w:rFonts w:eastAsia="MS Mincho"/>
        </w:rPr>
        <w:instrText xml:space="preserve"> SEQ level0 \*arabic </w:instrText>
      </w:r>
      <w:r w:rsidRPr="00B90FEA">
        <w:rPr>
          <w:rFonts w:eastAsia="MS Mincho"/>
        </w:rPr>
        <w:fldChar w:fldCharType="separate"/>
      </w:r>
      <w:r w:rsidRPr="00B90FEA" w:rsidR="00B90FEA">
        <w:rPr>
          <w:rFonts w:eastAsia="MS Mincho"/>
          <w:noProof/>
        </w:rPr>
        <w:t>18</w:t>
      </w:r>
      <w:r w:rsidRPr="00B90FEA">
        <w:rPr>
          <w:rFonts w:eastAsia="MS Mincho"/>
        </w:rPr>
        <w:fldChar w:fldCharType="end"/>
      </w:r>
      <w:r w:rsidRPr="00B90FEA">
        <w:rPr>
          <w:rFonts w:eastAsia="MS Mincho"/>
        </w:rPr>
        <w:t>.  The Court sees no reason to distinguish the present case from the above-mentioned cases</w:t>
      </w:r>
      <w:r w:rsidRPr="00B90FEA">
        <w:rPr>
          <w:rFonts w:eastAsia="MS Mincho"/>
          <w:snapToGrid w:val="0"/>
        </w:rPr>
        <w:t xml:space="preserve">. Besides, it notes that the Moldovan Government do not object to applying a similar approach in the present case. </w:t>
      </w:r>
      <w:r w:rsidRPr="00B90FEA">
        <w:rPr>
          <w:rFonts w:eastAsia="MS Mincho"/>
        </w:rPr>
        <w:t xml:space="preserve">Therefore, it finds that Moldova has jurisdiction for the purposes of Article 1 of the Convention, but that its responsibility for the acts complained of is to be assessed in the light of the above-mentioned positive obligations (see </w:t>
      </w:r>
      <w:proofErr w:type="spellStart"/>
      <w:r w:rsidRPr="00B90FEA">
        <w:rPr>
          <w:rFonts w:eastAsia="MS Mincho"/>
          <w:i/>
        </w:rPr>
        <w:t>Ilaşcu</w:t>
      </w:r>
      <w:proofErr w:type="spellEnd"/>
      <w:r w:rsidRPr="00B90FEA">
        <w:rPr>
          <w:rFonts w:eastAsia="MS Mincho"/>
          <w:i/>
        </w:rPr>
        <w:t xml:space="preserve"> and Others</w:t>
      </w:r>
      <w:r w:rsidRPr="00B90FEA">
        <w:rPr>
          <w:rFonts w:eastAsia="MS Mincho"/>
        </w:rPr>
        <w:t>, cited above, § 335).</w:t>
      </w:r>
    </w:p>
    <w:p w:rsidRPr="00B90FEA" w:rsidR="00BA3852" w:rsidP="00B90FEA" w:rsidRDefault="00BA3852" w14:paraId="028EA04E" w14:textId="31996ADB">
      <w:pPr>
        <w:pStyle w:val="JuPara"/>
        <w:rPr>
          <w:rFonts w:ascii="Times New Roman" w:hAnsi="Times New Roman" w:eastAsia="MS Mincho" w:cs="Times New Roman"/>
        </w:rPr>
      </w:pPr>
      <w:r w:rsidRPr="00B90FEA">
        <w:rPr>
          <w:rFonts w:ascii="Times New Roman" w:hAnsi="Times New Roman" w:eastAsia="MS Mincho" w:cs="Times New Roman"/>
        </w:rPr>
        <w:fldChar w:fldCharType="begin"/>
      </w:r>
      <w:r w:rsidRPr="00B90FEA">
        <w:rPr>
          <w:rFonts w:ascii="Times New Roman" w:hAnsi="Times New Roman" w:eastAsia="MS Mincho" w:cs="Times New Roman"/>
        </w:rPr>
        <w:instrText xml:space="preserve"> SEQ level0 \*arabic </w:instrText>
      </w:r>
      <w:r w:rsidRPr="00B90FEA">
        <w:rPr>
          <w:rFonts w:ascii="Times New Roman" w:hAnsi="Times New Roman" w:eastAsia="MS Mincho" w:cs="Times New Roman"/>
        </w:rPr>
        <w:fldChar w:fldCharType="separate"/>
      </w:r>
      <w:r w:rsidRPr="00B90FEA" w:rsidR="00B90FEA">
        <w:rPr>
          <w:rFonts w:ascii="Times New Roman" w:hAnsi="Times New Roman" w:eastAsia="MS Mincho" w:cs="Times New Roman"/>
          <w:noProof/>
        </w:rPr>
        <w:t>19</w:t>
      </w:r>
      <w:r w:rsidRPr="00B90FEA">
        <w:rPr>
          <w:rFonts w:ascii="Times New Roman" w:hAnsi="Times New Roman" w:eastAsia="MS Mincho" w:cs="Times New Roman"/>
        </w:rPr>
        <w:fldChar w:fldCharType="end"/>
      </w:r>
      <w:r w:rsidRPr="00B90FEA">
        <w:rPr>
          <w:rFonts w:ascii="Times New Roman" w:hAnsi="Times New Roman" w:eastAsia="MS Mincho" w:cs="Times New Roman"/>
        </w:rPr>
        <w:t xml:space="preserve">.  In so far as the Russian Federation is concerned, the Court notes that in </w:t>
      </w:r>
      <w:r w:rsidRPr="00B90FEA">
        <w:rPr>
          <w:rFonts w:ascii="Times New Roman" w:hAnsi="Times New Roman" w:eastAsia="MS Mincho" w:cs="Times New Roman"/>
          <w:i/>
        </w:rPr>
        <w:t>Ila</w:t>
      </w:r>
      <w:r w:rsidRPr="00B90FEA">
        <w:rPr>
          <w:rFonts w:ascii="Times New Roman" w:hAnsi="Times New Roman" w:eastAsia="MS Mincho" w:cs="Times New Roman"/>
          <w:i/>
          <w:lang w:val="ro-RO"/>
        </w:rPr>
        <w:t>ș</w:t>
      </w:r>
      <w:r w:rsidRPr="00B90FEA">
        <w:rPr>
          <w:rFonts w:ascii="Times New Roman" w:hAnsi="Times New Roman" w:eastAsia="MS Mincho" w:cs="Times New Roman"/>
          <w:i/>
        </w:rPr>
        <w:t>cu and Others</w:t>
      </w:r>
      <w:r w:rsidRPr="00B90FEA">
        <w:rPr>
          <w:rFonts w:ascii="Times New Roman" w:hAnsi="Times New Roman" w:eastAsia="MS Mincho" w:cs="Times New Roman"/>
        </w:rPr>
        <w:t xml:space="preserve"> it found that the Russian Federation contributed both militarily and politically to the creation of a separatist regime in the region of Transdniestria in 1991 and 1992 (see </w:t>
      </w:r>
      <w:r w:rsidRPr="00B90FEA">
        <w:rPr>
          <w:rFonts w:ascii="Times New Roman" w:hAnsi="Times New Roman" w:eastAsia="MS Mincho" w:cs="Times New Roman"/>
          <w:i/>
        </w:rPr>
        <w:t>Ila</w:t>
      </w:r>
      <w:r w:rsidRPr="00B90FEA">
        <w:rPr>
          <w:rFonts w:ascii="Times New Roman" w:hAnsi="Times New Roman" w:eastAsia="MS Mincho" w:cs="Times New Roman"/>
          <w:i/>
          <w:lang w:val="ro-RO"/>
        </w:rPr>
        <w:t>ș</w:t>
      </w:r>
      <w:r w:rsidRPr="00B90FEA">
        <w:rPr>
          <w:rFonts w:ascii="Times New Roman" w:hAnsi="Times New Roman" w:eastAsia="MS Mincho" w:cs="Times New Roman"/>
          <w:i/>
        </w:rPr>
        <w:t>cu and Others</w:t>
      </w:r>
      <w:r w:rsidRPr="00B90FEA">
        <w:rPr>
          <w:rFonts w:ascii="Times New Roman" w:hAnsi="Times New Roman" w:eastAsia="MS Mincho" w:cs="Times New Roman"/>
        </w:rPr>
        <w:t xml:space="preserve">, cited above, § 382). The Court also found in subsequent cases concerning the </w:t>
      </w:r>
      <w:proofErr w:type="spellStart"/>
      <w:r w:rsidRPr="00B90FEA">
        <w:rPr>
          <w:rFonts w:ascii="Times New Roman" w:hAnsi="Times New Roman" w:eastAsia="MS Mincho" w:cs="Times New Roman"/>
        </w:rPr>
        <w:t>Transdniestrian</w:t>
      </w:r>
      <w:proofErr w:type="spellEnd"/>
      <w:r w:rsidRPr="00B90FEA">
        <w:rPr>
          <w:rFonts w:ascii="Times New Roman" w:hAnsi="Times New Roman" w:eastAsia="MS Mincho" w:cs="Times New Roman"/>
        </w:rPr>
        <w:t xml:space="preserve"> region that up until September 2016 (</w:t>
      </w:r>
      <w:proofErr w:type="spellStart"/>
      <w:r w:rsidRPr="00B90FEA">
        <w:rPr>
          <w:i/>
        </w:rPr>
        <w:t>Eriomenco</w:t>
      </w:r>
      <w:proofErr w:type="spellEnd"/>
      <w:r w:rsidRPr="00B90FEA">
        <w:rPr>
          <w:i/>
        </w:rPr>
        <w:t xml:space="preserve"> v. the Republic of Moldova and Russia</w:t>
      </w:r>
      <w:r w:rsidRPr="00B90FEA">
        <w:rPr>
          <w:iCs/>
        </w:rPr>
        <w:t>,</w:t>
      </w:r>
      <w:r w:rsidRPr="00B90FEA">
        <w:t xml:space="preserve"> no. 42224/11, § 72, 9 May 2017)</w:t>
      </w:r>
      <w:r w:rsidRPr="00B90FEA">
        <w:rPr>
          <w:rFonts w:ascii="Times New Roman" w:hAnsi="Times New Roman" w:eastAsia="MS Mincho" w:cs="Times New Roman"/>
        </w:rPr>
        <w:t xml:space="preserve">, the “MRT” was only able to continue to exist, and to resist Moldovan and international efforts to resolve the conflict and bring democracy and the rule of law to the region, because of Russian military, economic and political support (see </w:t>
      </w:r>
      <w:proofErr w:type="spellStart"/>
      <w:r w:rsidRPr="00B90FEA">
        <w:rPr>
          <w:i/>
          <w:iCs/>
        </w:rPr>
        <w:t>Ivanţoc</w:t>
      </w:r>
      <w:proofErr w:type="spellEnd"/>
      <w:r w:rsidRPr="00B90FEA">
        <w:rPr>
          <w:i/>
          <w:iCs/>
        </w:rPr>
        <w:t xml:space="preserve"> and Others v. Moldova and Russia</w:t>
      </w:r>
      <w:r w:rsidRPr="00B90FEA">
        <w:t xml:space="preserve"> no.</w:t>
      </w:r>
      <w:r w:rsidRPr="00B90FEA" w:rsidR="00B97F28">
        <w:t> </w:t>
      </w:r>
      <w:r w:rsidRPr="00B90FEA">
        <w:t xml:space="preserve">23687/05, </w:t>
      </w:r>
      <w:r w:rsidRPr="00B90FEA">
        <w:rPr>
          <w:rFonts w:ascii="Times New Roman" w:hAnsi="Times New Roman" w:eastAsia="MS Mincho" w:cs="Times New Roman"/>
        </w:rPr>
        <w:t>§§</w:t>
      </w:r>
      <w:r w:rsidRPr="00B90FEA" w:rsidR="00BF6B35">
        <w:rPr>
          <w:rFonts w:ascii="Times New Roman" w:hAnsi="Times New Roman" w:eastAsia="MS Mincho" w:cs="Times New Roman"/>
        </w:rPr>
        <w:t> </w:t>
      </w:r>
      <w:r w:rsidRPr="00B90FEA">
        <w:rPr>
          <w:rFonts w:ascii="Times New Roman" w:hAnsi="Times New Roman" w:eastAsia="MS Mincho" w:cs="Times New Roman"/>
        </w:rPr>
        <w:t>116-120,</w:t>
      </w:r>
      <w:r w:rsidRPr="00B90FEA">
        <w:t xml:space="preserve"> 15 November 2011</w:t>
      </w:r>
      <w:r w:rsidRPr="00B90FEA">
        <w:rPr>
          <w:rFonts w:ascii="Times New Roman" w:hAnsi="Times New Roman" w:eastAsia="MS Mincho" w:cs="Times New Roman"/>
        </w:rPr>
        <w:t xml:space="preserve">; </w:t>
      </w:r>
      <w:r w:rsidRPr="00B90FEA">
        <w:rPr>
          <w:rFonts w:ascii="Times New Roman" w:hAnsi="Times New Roman" w:eastAsia="MS Mincho" w:cs="Times New Roman"/>
          <w:i/>
        </w:rPr>
        <w:t>Catan and Others</w:t>
      </w:r>
      <w:r w:rsidRPr="00B90FEA">
        <w:rPr>
          <w:rFonts w:ascii="Times New Roman" w:hAnsi="Times New Roman" w:eastAsia="MS Mincho" w:cs="Times New Roman"/>
        </w:rPr>
        <w:t>, cited above, §§</w:t>
      </w:r>
      <w:r w:rsidRPr="00B90FEA" w:rsidR="00BF6B35">
        <w:rPr>
          <w:rFonts w:ascii="Times New Roman" w:hAnsi="Times New Roman" w:eastAsia="MS Mincho" w:cs="Times New Roman"/>
        </w:rPr>
        <w:t> </w:t>
      </w:r>
      <w:r w:rsidRPr="00B90FEA">
        <w:rPr>
          <w:rFonts w:ascii="Times New Roman" w:hAnsi="Times New Roman" w:eastAsia="MS Mincho" w:cs="Times New Roman"/>
        </w:rPr>
        <w:t>121</w:t>
      </w:r>
      <w:r w:rsidRPr="00B90FEA" w:rsidR="00BF6B35">
        <w:rPr>
          <w:rFonts w:ascii="Times New Roman" w:hAnsi="Times New Roman" w:eastAsia="MS Mincho" w:cs="Times New Roman"/>
        </w:rPr>
        <w:noBreakHyphen/>
      </w:r>
      <w:r w:rsidRPr="00B90FEA">
        <w:rPr>
          <w:rFonts w:ascii="Times New Roman" w:hAnsi="Times New Roman" w:eastAsia="MS Mincho" w:cs="Times New Roman"/>
        </w:rPr>
        <w:t xml:space="preserve">122; and </w:t>
      </w:r>
      <w:proofErr w:type="spellStart"/>
      <w:r w:rsidRPr="00B90FEA">
        <w:rPr>
          <w:rFonts w:ascii="Times New Roman" w:hAnsi="Times New Roman" w:eastAsia="MS Mincho" w:cs="Times New Roman"/>
          <w:i/>
        </w:rPr>
        <w:t>Mozer</w:t>
      </w:r>
      <w:proofErr w:type="spellEnd"/>
      <w:r w:rsidRPr="00B90FEA">
        <w:rPr>
          <w:rFonts w:ascii="Times New Roman" w:hAnsi="Times New Roman" w:eastAsia="MS Mincho" w:cs="Times New Roman"/>
        </w:rPr>
        <w:t xml:space="preserve">, cited above, §§ 108 and 110). The Court concluded in </w:t>
      </w:r>
      <w:proofErr w:type="spellStart"/>
      <w:r w:rsidRPr="00B90FEA">
        <w:rPr>
          <w:rFonts w:ascii="Times New Roman" w:hAnsi="Times New Roman" w:eastAsia="MS Mincho" w:cs="Times New Roman"/>
          <w:i/>
        </w:rPr>
        <w:t>Mozer</w:t>
      </w:r>
      <w:proofErr w:type="spellEnd"/>
      <w:r w:rsidRPr="00B90FEA">
        <w:rPr>
          <w:rFonts w:ascii="Times New Roman" w:hAnsi="Times New Roman" w:eastAsia="MS Mincho" w:cs="Times New Roman"/>
        </w:rPr>
        <w:t xml:space="preserve"> that the “MRT”</w:t>
      </w:r>
      <w:r w:rsidRPr="00B90FEA" w:rsidR="00B90FEA">
        <w:rPr>
          <w:rFonts w:ascii="Times New Roman" w:hAnsi="Times New Roman" w:eastAsia="MS Mincho" w:cs="Times New Roman"/>
        </w:rPr>
        <w:t>‘</w:t>
      </w:r>
      <w:r w:rsidRPr="00B90FEA">
        <w:rPr>
          <w:rFonts w:ascii="Times New Roman" w:hAnsi="Times New Roman" w:eastAsia="MS Mincho" w:cs="Times New Roman"/>
        </w:rPr>
        <w:t xml:space="preserve">s high level of dependency on Russian support provided a strong indication that the Russian Federation continued to exercise effective control and a decisive influence over the </w:t>
      </w:r>
      <w:proofErr w:type="spellStart"/>
      <w:r w:rsidRPr="00B90FEA">
        <w:rPr>
          <w:rFonts w:ascii="Times New Roman" w:hAnsi="Times New Roman" w:eastAsia="MS Mincho" w:cs="Times New Roman"/>
        </w:rPr>
        <w:t>Transdniestrian</w:t>
      </w:r>
      <w:proofErr w:type="spellEnd"/>
      <w:r w:rsidRPr="00B90FEA">
        <w:rPr>
          <w:rFonts w:ascii="Times New Roman" w:hAnsi="Times New Roman" w:eastAsia="MS Mincho" w:cs="Times New Roman"/>
        </w:rPr>
        <w:t xml:space="preserve"> authorities and that, therefore, the applicant fell within that State</w:t>
      </w:r>
      <w:r w:rsidRPr="00B90FEA" w:rsidR="00B90FEA">
        <w:rPr>
          <w:rFonts w:ascii="Times New Roman" w:hAnsi="Times New Roman" w:eastAsia="MS Mincho" w:cs="Times New Roman"/>
        </w:rPr>
        <w:t>’</w:t>
      </w:r>
      <w:r w:rsidRPr="00B90FEA">
        <w:rPr>
          <w:rFonts w:ascii="Times New Roman" w:hAnsi="Times New Roman" w:eastAsia="MS Mincho" w:cs="Times New Roman"/>
        </w:rPr>
        <w:t xml:space="preserve">s jurisdiction under Article 1 of the Convention (see </w:t>
      </w:r>
      <w:proofErr w:type="spellStart"/>
      <w:r w:rsidRPr="00B90FEA">
        <w:rPr>
          <w:rFonts w:ascii="Times New Roman" w:hAnsi="Times New Roman" w:eastAsia="MS Mincho" w:cs="Times New Roman"/>
          <w:i/>
        </w:rPr>
        <w:t>Mozer</w:t>
      </w:r>
      <w:proofErr w:type="spellEnd"/>
      <w:r w:rsidRPr="00B90FEA">
        <w:rPr>
          <w:rFonts w:ascii="Times New Roman" w:hAnsi="Times New Roman" w:eastAsia="MS Mincho" w:cs="Times New Roman"/>
        </w:rPr>
        <w:t>, cited above, §§</w:t>
      </w:r>
      <w:r w:rsidRPr="00B90FEA" w:rsidR="00605F4D">
        <w:rPr>
          <w:rFonts w:ascii="Times New Roman" w:hAnsi="Times New Roman" w:eastAsia="MS Mincho" w:cs="Times New Roman"/>
        </w:rPr>
        <w:t> </w:t>
      </w:r>
      <w:r w:rsidRPr="00B90FEA">
        <w:rPr>
          <w:rFonts w:ascii="Times New Roman" w:hAnsi="Times New Roman" w:eastAsia="MS Mincho" w:cs="Times New Roman"/>
        </w:rPr>
        <w:t>110-111).</w:t>
      </w:r>
    </w:p>
    <w:p w:rsidRPr="00B90FEA" w:rsidR="00BA3852" w:rsidP="00B90FEA" w:rsidRDefault="00BA3852" w14:paraId="34A878E0" w14:textId="34350AB1">
      <w:pPr>
        <w:pStyle w:val="JuPara"/>
        <w:rPr>
          <w:rFonts w:ascii="Times New Roman" w:hAnsi="Times New Roman" w:cs="Times New Roman"/>
          <w:i/>
        </w:rPr>
      </w:pPr>
      <w:r w:rsidRPr="00B90FEA">
        <w:rPr>
          <w:rFonts w:ascii="Times New Roman" w:hAnsi="Times New Roman" w:eastAsia="MS Mincho" w:cs="Times New Roman"/>
        </w:rPr>
        <w:fldChar w:fldCharType="begin"/>
      </w:r>
      <w:r w:rsidRPr="00B90FEA">
        <w:rPr>
          <w:rFonts w:ascii="Times New Roman" w:hAnsi="Times New Roman" w:eastAsia="MS Mincho" w:cs="Times New Roman"/>
        </w:rPr>
        <w:instrText xml:space="preserve"> SEQ level0 \*arabic </w:instrText>
      </w:r>
      <w:r w:rsidRPr="00B90FEA">
        <w:rPr>
          <w:rFonts w:ascii="Times New Roman" w:hAnsi="Times New Roman" w:eastAsia="MS Mincho" w:cs="Times New Roman"/>
        </w:rPr>
        <w:fldChar w:fldCharType="separate"/>
      </w:r>
      <w:r w:rsidRPr="00B90FEA" w:rsidR="00B90FEA">
        <w:rPr>
          <w:rFonts w:ascii="Times New Roman" w:hAnsi="Times New Roman" w:eastAsia="MS Mincho" w:cs="Times New Roman"/>
          <w:noProof/>
        </w:rPr>
        <w:t>20</w:t>
      </w:r>
      <w:r w:rsidRPr="00B90FEA">
        <w:rPr>
          <w:rFonts w:ascii="Times New Roman" w:hAnsi="Times New Roman" w:eastAsia="MS Mincho" w:cs="Times New Roman"/>
        </w:rPr>
        <w:fldChar w:fldCharType="end"/>
      </w:r>
      <w:r w:rsidRPr="00B90FEA">
        <w:rPr>
          <w:rFonts w:ascii="Times New Roman" w:hAnsi="Times New Roman" w:eastAsia="MS Mincho" w:cs="Times New Roman"/>
        </w:rPr>
        <w:t xml:space="preserve">.  The Court sees no grounds on which to distinguish the present case from </w:t>
      </w:r>
      <w:r w:rsidRPr="00B90FEA">
        <w:rPr>
          <w:rFonts w:ascii="Times New Roman" w:hAnsi="Times New Roman" w:eastAsia="MS Mincho" w:cs="Times New Roman"/>
          <w:i/>
        </w:rPr>
        <w:t>Ila</w:t>
      </w:r>
      <w:proofErr w:type="spellStart"/>
      <w:r w:rsidRPr="00B90FEA">
        <w:rPr>
          <w:rFonts w:ascii="Times New Roman" w:hAnsi="Times New Roman" w:eastAsia="MS Mincho" w:cs="Times New Roman"/>
          <w:i/>
          <w:lang w:val="ro-RO"/>
        </w:rPr>
        <w:t>șcu</w:t>
      </w:r>
      <w:proofErr w:type="spellEnd"/>
      <w:r w:rsidRPr="00B90FEA">
        <w:rPr>
          <w:rFonts w:ascii="Times New Roman" w:hAnsi="Times New Roman" w:eastAsia="MS Mincho" w:cs="Times New Roman"/>
          <w:i/>
          <w:lang w:val="ro-RO"/>
        </w:rPr>
        <w:t xml:space="preserve"> </w:t>
      </w:r>
      <w:proofErr w:type="spellStart"/>
      <w:r w:rsidRPr="00B90FEA">
        <w:rPr>
          <w:rFonts w:ascii="Times New Roman" w:hAnsi="Times New Roman" w:eastAsia="MS Mincho" w:cs="Times New Roman"/>
          <w:i/>
          <w:lang w:val="ro-RO"/>
        </w:rPr>
        <w:t>and</w:t>
      </w:r>
      <w:proofErr w:type="spellEnd"/>
      <w:r w:rsidRPr="00B90FEA">
        <w:rPr>
          <w:rFonts w:ascii="Times New Roman" w:hAnsi="Times New Roman" w:eastAsia="MS Mincho" w:cs="Times New Roman"/>
          <w:i/>
          <w:lang w:val="ro-RO"/>
        </w:rPr>
        <w:t xml:space="preserve"> </w:t>
      </w:r>
      <w:proofErr w:type="spellStart"/>
      <w:r w:rsidRPr="00B90FEA">
        <w:rPr>
          <w:rFonts w:ascii="Times New Roman" w:hAnsi="Times New Roman" w:eastAsia="MS Mincho" w:cs="Times New Roman"/>
          <w:i/>
          <w:lang w:val="ro-RO"/>
        </w:rPr>
        <w:t>Others</w:t>
      </w:r>
      <w:proofErr w:type="spellEnd"/>
      <w:r w:rsidRPr="00B90FEA">
        <w:rPr>
          <w:rFonts w:ascii="Times New Roman" w:hAnsi="Times New Roman" w:eastAsia="MS Mincho" w:cs="Times New Roman"/>
        </w:rPr>
        <w:t xml:space="preserve">, </w:t>
      </w:r>
      <w:proofErr w:type="spellStart"/>
      <w:r w:rsidRPr="00B90FEA">
        <w:rPr>
          <w:rFonts w:ascii="Times New Roman" w:hAnsi="Times New Roman" w:eastAsia="MS Mincho" w:cs="Times New Roman"/>
          <w:i/>
        </w:rPr>
        <w:t>Ivanţoc</w:t>
      </w:r>
      <w:proofErr w:type="spellEnd"/>
      <w:r w:rsidRPr="00B90FEA">
        <w:rPr>
          <w:rFonts w:ascii="Times New Roman" w:hAnsi="Times New Roman" w:eastAsia="MS Mincho" w:cs="Times New Roman"/>
          <w:i/>
        </w:rPr>
        <w:t xml:space="preserve"> and Others</w:t>
      </w:r>
      <w:r w:rsidRPr="00B90FEA">
        <w:rPr>
          <w:rFonts w:ascii="Times New Roman" w:hAnsi="Times New Roman" w:eastAsia="MS Mincho" w:cs="Times New Roman"/>
        </w:rPr>
        <w:t xml:space="preserve">, </w:t>
      </w:r>
      <w:r w:rsidRPr="00B90FEA">
        <w:rPr>
          <w:rFonts w:ascii="Times New Roman" w:hAnsi="Times New Roman" w:eastAsia="MS Mincho" w:cs="Times New Roman"/>
          <w:i/>
        </w:rPr>
        <w:t>Catan and Others</w:t>
      </w:r>
      <w:r w:rsidRPr="00B90FEA">
        <w:rPr>
          <w:rFonts w:ascii="Times New Roman" w:hAnsi="Times New Roman" w:eastAsia="MS Mincho" w:cs="Times New Roman"/>
        </w:rPr>
        <w:t xml:space="preserve">, </w:t>
      </w:r>
      <w:proofErr w:type="spellStart"/>
      <w:r w:rsidRPr="00B90FEA">
        <w:rPr>
          <w:rFonts w:ascii="Times New Roman" w:hAnsi="Times New Roman" w:eastAsia="MS Mincho" w:cs="Times New Roman"/>
          <w:i/>
        </w:rPr>
        <w:t>Mozer</w:t>
      </w:r>
      <w:proofErr w:type="spellEnd"/>
      <w:r w:rsidRPr="00B90FEA">
        <w:rPr>
          <w:rFonts w:ascii="Times New Roman" w:hAnsi="Times New Roman" w:eastAsia="MS Mincho" w:cs="Times New Roman"/>
          <w:i/>
        </w:rPr>
        <w:t xml:space="preserve"> </w:t>
      </w:r>
      <w:r w:rsidRPr="00B90FEA">
        <w:rPr>
          <w:rFonts w:ascii="Times New Roman" w:hAnsi="Times New Roman" w:eastAsia="MS Mincho" w:cs="Times New Roman"/>
          <w:iCs/>
        </w:rPr>
        <w:t xml:space="preserve">and </w:t>
      </w:r>
      <w:proofErr w:type="spellStart"/>
      <w:r w:rsidRPr="00B90FEA">
        <w:rPr>
          <w:rFonts w:ascii="Times New Roman" w:hAnsi="Times New Roman" w:eastAsia="MS Mincho" w:cs="Times New Roman"/>
          <w:i/>
        </w:rPr>
        <w:t>Eriomenco</w:t>
      </w:r>
      <w:proofErr w:type="spellEnd"/>
      <w:r w:rsidRPr="00B90FEA">
        <w:rPr>
          <w:rFonts w:ascii="Times New Roman" w:hAnsi="Times New Roman" w:eastAsia="MS Mincho" w:cs="Times New Roman"/>
        </w:rPr>
        <w:t xml:space="preserve"> (all cited above).</w:t>
      </w:r>
    </w:p>
    <w:p w:rsidRPr="00B90FEA" w:rsidR="00BA3852" w:rsidP="00B90FEA" w:rsidRDefault="00BA3852" w14:paraId="3E31E71E" w14:textId="0A0E1349">
      <w:pPr>
        <w:pStyle w:val="JuPara"/>
        <w:rPr>
          <w:rFonts w:eastAsia="MS Mincho"/>
        </w:rPr>
      </w:pPr>
      <w:r w:rsidRPr="00B90FEA">
        <w:rPr>
          <w:rFonts w:eastAsia="MS Mincho"/>
        </w:rPr>
        <w:fldChar w:fldCharType="begin"/>
      </w:r>
      <w:r w:rsidRPr="00B90FEA">
        <w:rPr>
          <w:rFonts w:eastAsia="MS Mincho"/>
        </w:rPr>
        <w:instrText xml:space="preserve"> SEQ level0 \*arabic </w:instrText>
      </w:r>
      <w:r w:rsidRPr="00B90FEA">
        <w:rPr>
          <w:rFonts w:eastAsia="MS Mincho"/>
        </w:rPr>
        <w:fldChar w:fldCharType="separate"/>
      </w:r>
      <w:r w:rsidRPr="00B90FEA" w:rsidR="00B90FEA">
        <w:rPr>
          <w:rFonts w:eastAsia="MS Mincho"/>
          <w:noProof/>
        </w:rPr>
        <w:t>21</w:t>
      </w:r>
      <w:r w:rsidRPr="00B90FEA">
        <w:rPr>
          <w:rFonts w:eastAsia="MS Mincho"/>
        </w:rPr>
        <w:fldChar w:fldCharType="end"/>
      </w:r>
      <w:r w:rsidRPr="00B90FEA">
        <w:rPr>
          <w:rFonts w:eastAsia="MS Mincho"/>
        </w:rPr>
        <w:t>.  Consequently, it dismisses the Russian Government</w:t>
      </w:r>
      <w:r w:rsidRPr="00B90FEA" w:rsidR="00B90FEA">
        <w:rPr>
          <w:rFonts w:eastAsia="MS Mincho"/>
        </w:rPr>
        <w:t>’</w:t>
      </w:r>
      <w:r w:rsidRPr="00B90FEA">
        <w:rPr>
          <w:rFonts w:eastAsia="MS Mincho"/>
        </w:rPr>
        <w:t xml:space="preserve">s objections </w:t>
      </w:r>
      <w:proofErr w:type="spellStart"/>
      <w:r w:rsidRPr="00B90FEA">
        <w:rPr>
          <w:rFonts w:eastAsia="MS Mincho"/>
          <w:i/>
        </w:rPr>
        <w:t>ratione</w:t>
      </w:r>
      <w:proofErr w:type="spellEnd"/>
      <w:r w:rsidRPr="00B90FEA">
        <w:rPr>
          <w:rFonts w:eastAsia="MS Mincho"/>
          <w:i/>
        </w:rPr>
        <w:t xml:space="preserve"> personae</w:t>
      </w:r>
      <w:r w:rsidRPr="00B90FEA">
        <w:rPr>
          <w:rFonts w:eastAsia="MS Mincho"/>
        </w:rPr>
        <w:t xml:space="preserve"> and </w:t>
      </w:r>
      <w:proofErr w:type="spellStart"/>
      <w:r w:rsidRPr="00B90FEA">
        <w:rPr>
          <w:rFonts w:eastAsia="MS Mincho"/>
          <w:i/>
        </w:rPr>
        <w:t>ratione</w:t>
      </w:r>
      <w:proofErr w:type="spellEnd"/>
      <w:r w:rsidRPr="00B90FEA">
        <w:rPr>
          <w:rFonts w:eastAsia="MS Mincho"/>
          <w:i/>
        </w:rPr>
        <w:t xml:space="preserve"> loci</w:t>
      </w:r>
      <w:r w:rsidRPr="00B90FEA">
        <w:rPr>
          <w:rFonts w:eastAsia="MS Mincho"/>
        </w:rPr>
        <w:t xml:space="preserve"> and holds that the applicants in the present case fall within the jurisdiction of the Russian Federation under Article 1 of the Convention.</w:t>
      </w:r>
    </w:p>
    <w:p w:rsidRPr="00B90FEA" w:rsidR="00BA3852" w:rsidP="00B90FEA" w:rsidRDefault="00BA3852" w14:paraId="1B7C4E28" w14:textId="6C345D1D">
      <w:pPr>
        <w:pStyle w:val="JuPara"/>
      </w:pPr>
      <w:r w:rsidRPr="00B90FEA">
        <w:rPr>
          <w:rFonts w:ascii="Times New Roman" w:hAnsi="Times New Roman" w:cs="Times New Roman"/>
        </w:rPr>
        <w:fldChar w:fldCharType="begin"/>
      </w:r>
      <w:r w:rsidRPr="00B90FEA">
        <w:rPr>
          <w:rFonts w:ascii="Times New Roman" w:hAnsi="Times New Roman" w:cs="Times New Roman"/>
        </w:rPr>
        <w:instrText xml:space="preserve"> SEQ level0 \*arabic </w:instrText>
      </w:r>
      <w:r w:rsidRPr="00B90FEA">
        <w:rPr>
          <w:rFonts w:ascii="Times New Roman" w:hAnsi="Times New Roman" w:cs="Times New Roman"/>
        </w:rPr>
        <w:fldChar w:fldCharType="separate"/>
      </w:r>
      <w:r w:rsidRPr="00B90FEA" w:rsidR="00B90FEA">
        <w:rPr>
          <w:rFonts w:ascii="Times New Roman" w:hAnsi="Times New Roman" w:cs="Times New Roman"/>
          <w:noProof/>
        </w:rPr>
        <w:t>22</w:t>
      </w:r>
      <w:r w:rsidRPr="00B90FEA">
        <w:rPr>
          <w:rFonts w:ascii="Times New Roman" w:hAnsi="Times New Roman" w:cs="Times New Roman"/>
        </w:rPr>
        <w:fldChar w:fldCharType="end"/>
      </w:r>
      <w:r w:rsidRPr="00B90FEA">
        <w:rPr>
          <w:rFonts w:ascii="Times New Roman" w:hAnsi="Times New Roman" w:cs="Times New Roman"/>
        </w:rPr>
        <w:t>.  The Court will hereafter determine whether there has been any violation of the applicants</w:t>
      </w:r>
      <w:r w:rsidRPr="00B90FEA" w:rsidR="00B90FEA">
        <w:rPr>
          <w:rFonts w:ascii="Times New Roman" w:hAnsi="Times New Roman" w:cs="Times New Roman"/>
        </w:rPr>
        <w:t>’</w:t>
      </w:r>
      <w:r w:rsidRPr="00B90FEA">
        <w:rPr>
          <w:rFonts w:ascii="Times New Roman" w:hAnsi="Times New Roman" w:cs="Times New Roman"/>
        </w:rPr>
        <w:t xml:space="preserve"> rights under the Convention such as to engage the responsibility of either respondent State (</w:t>
      </w:r>
      <w:r w:rsidRPr="00B90FEA">
        <w:rPr>
          <w:rFonts w:ascii="Times New Roman" w:hAnsi="Times New Roman" w:eastAsia="MS Mincho" w:cs="Times New Roman"/>
        </w:rPr>
        <w:t xml:space="preserve">see </w:t>
      </w:r>
      <w:proofErr w:type="spellStart"/>
      <w:r w:rsidRPr="00B90FEA">
        <w:rPr>
          <w:rFonts w:ascii="Times New Roman" w:hAnsi="Times New Roman" w:eastAsia="MS Mincho" w:cs="Times New Roman"/>
          <w:i/>
        </w:rPr>
        <w:t>Mozer</w:t>
      </w:r>
      <w:proofErr w:type="spellEnd"/>
      <w:r w:rsidRPr="00B90FEA">
        <w:rPr>
          <w:rFonts w:ascii="Times New Roman" w:hAnsi="Times New Roman" w:eastAsia="MS Mincho" w:cs="Times New Roman"/>
        </w:rPr>
        <w:t>, cited above, § 112).</w:t>
      </w:r>
    </w:p>
    <w:p w:rsidRPr="00B90FEA" w:rsidR="00BA3852" w:rsidP="00B90FEA" w:rsidRDefault="00BA3852" w14:paraId="0ACF095C" w14:textId="77777777">
      <w:pPr>
        <w:pStyle w:val="JuHIRoman"/>
      </w:pPr>
      <w:r w:rsidRPr="00B90FEA">
        <w:t xml:space="preserve">ALLEGED VIOLATION OF ARTICLE 6 </w:t>
      </w:r>
      <w:r w:rsidRPr="00B90FEA">
        <w:rPr>
          <w:rFonts w:cstheme="majorHAnsi"/>
        </w:rPr>
        <w:t>§</w:t>
      </w:r>
      <w:r w:rsidRPr="00B90FEA">
        <w:t xml:space="preserve"> 1 OF THE CONVENTION</w:t>
      </w:r>
    </w:p>
    <w:p w:rsidRPr="00B90FEA" w:rsidR="00BA3852" w:rsidP="00B90FEA" w:rsidRDefault="00BA3852" w14:paraId="43A6C412" w14:textId="557F97D8">
      <w:pPr>
        <w:pStyle w:val="JuPara"/>
      </w:pPr>
      <w:r w:rsidRPr="00B90FEA">
        <w:fldChar w:fldCharType="begin"/>
      </w:r>
      <w:r w:rsidRPr="00B90FEA">
        <w:instrText xml:space="preserve"> SEQ level0 \*arabic </w:instrText>
      </w:r>
      <w:r w:rsidRPr="00B90FEA">
        <w:fldChar w:fldCharType="separate"/>
      </w:r>
      <w:r w:rsidRPr="00B90FEA" w:rsidR="00B90FEA">
        <w:rPr>
          <w:noProof/>
        </w:rPr>
        <w:t>23</w:t>
      </w:r>
      <w:r w:rsidRPr="00B90FEA">
        <w:fldChar w:fldCharType="end"/>
      </w:r>
      <w:r w:rsidRPr="00B90FEA">
        <w:t>.  </w:t>
      </w:r>
      <w:r w:rsidRPr="00B90FEA">
        <w:rPr>
          <w:rFonts w:ascii="Times New Roman" w:hAnsi="Times New Roman" w:eastAsia="Times New Roman" w:cs="Times New Roman"/>
        </w:rPr>
        <w:t>The applicants complained that there had been a violation of Article 6 § 1 since their case had been determined by courts that could not qualify as “independent tribunals established by law” and that moreover those tribunals had not afforded them a fair trial.</w:t>
      </w:r>
      <w:r w:rsidRPr="00B90FEA">
        <w:t xml:space="preserve"> The relevant parts of Article 6 of the Convention read as follows:</w:t>
      </w:r>
    </w:p>
    <w:p w:rsidRPr="00B90FEA" w:rsidR="00BA3852" w:rsidP="00B90FEA" w:rsidRDefault="00BA3852" w14:paraId="6FBCC279" w14:textId="77777777">
      <w:pPr>
        <w:pStyle w:val="JuHArticle"/>
      </w:pPr>
      <w:r w:rsidRPr="00B90FEA">
        <w:t>Article 6</w:t>
      </w:r>
    </w:p>
    <w:p w:rsidRPr="00B90FEA" w:rsidR="00BA3852" w:rsidP="00B90FEA" w:rsidRDefault="00BA3852" w14:paraId="377D974A" w14:textId="77777777">
      <w:pPr>
        <w:pStyle w:val="JuQuot"/>
        <w:rPr>
          <w:sz w:val="24"/>
          <w:lang w:eastAsia="fr-FR"/>
        </w:rPr>
      </w:pPr>
      <w:r w:rsidRPr="00B90FEA">
        <w:rPr>
          <w:lang w:eastAsia="fr-FR"/>
        </w:rPr>
        <w:t xml:space="preserve">“1.  In </w:t>
      </w:r>
      <w:r w:rsidRPr="00B90FEA">
        <w:t>the</w:t>
      </w:r>
      <w:r w:rsidRPr="00B90FEA">
        <w:rPr>
          <w:lang w:eastAsia="fr-FR"/>
        </w:rPr>
        <w:t xml:space="preserve"> </w:t>
      </w:r>
      <w:r w:rsidRPr="00B90FEA">
        <w:t>determination</w:t>
      </w:r>
      <w:r w:rsidRPr="00B90FEA">
        <w:rPr>
          <w:lang w:eastAsia="fr-FR"/>
        </w:rPr>
        <w:t xml:space="preserve"> of his civil rights and obligations ..., everyone is entitled to a fair ... hearing ... by [a] ... tribunal ...”</w:t>
      </w:r>
    </w:p>
    <w:p w:rsidRPr="00B90FEA" w:rsidR="00BA3852" w:rsidP="00B90FEA" w:rsidRDefault="00BA3852" w14:paraId="6821CB1F" w14:textId="77777777">
      <w:pPr>
        <w:pStyle w:val="JuHA"/>
      </w:pPr>
      <w:r w:rsidRPr="00B90FEA">
        <w:t>Admissibility</w:t>
      </w:r>
    </w:p>
    <w:p w:rsidRPr="00B90FEA" w:rsidR="00BA3852" w:rsidP="00B90FEA" w:rsidRDefault="00BA3852" w14:paraId="737A4AE9" w14:textId="047A1F57">
      <w:pPr>
        <w:pStyle w:val="JuPara"/>
      </w:pPr>
      <w:r w:rsidRPr="00B90FEA">
        <w:fldChar w:fldCharType="begin"/>
      </w:r>
      <w:r w:rsidRPr="00B90FEA">
        <w:instrText xml:space="preserve"> SEQ level0 \*arabic </w:instrText>
      </w:r>
      <w:r w:rsidRPr="00B90FEA">
        <w:fldChar w:fldCharType="separate"/>
      </w:r>
      <w:r w:rsidRPr="00B90FEA" w:rsidR="00B90FEA">
        <w:rPr>
          <w:noProof/>
        </w:rPr>
        <w:t>24</w:t>
      </w:r>
      <w:r w:rsidRPr="00B90FEA">
        <w:fldChar w:fldCharType="end"/>
      </w:r>
      <w:r w:rsidRPr="00B90FEA">
        <w:t xml:space="preserve">.  The respondent Governments submitted that the application should be rejected for failure to exhaust domestic remedies before the Moldovan courts. The Court recalls that it has already examined and dismissed a similar objection in the cases of </w:t>
      </w:r>
      <w:proofErr w:type="spellStart"/>
      <w:r w:rsidRPr="00B90FEA">
        <w:rPr>
          <w:i/>
        </w:rPr>
        <w:t>Mozer</w:t>
      </w:r>
      <w:proofErr w:type="spellEnd"/>
      <w:r w:rsidRPr="00B90FEA">
        <w:rPr>
          <w:i/>
        </w:rPr>
        <w:t xml:space="preserve"> </w:t>
      </w:r>
      <w:r w:rsidRPr="00B90FEA">
        <w:t xml:space="preserve">(cited above, </w:t>
      </w:r>
      <w:r w:rsidRPr="00B90FEA">
        <w:rPr>
          <w:rFonts w:cstheme="minorHAnsi"/>
        </w:rPr>
        <w:t>§§</w:t>
      </w:r>
      <w:r w:rsidRPr="00B90FEA">
        <w:t xml:space="preserve"> 115-121) and </w:t>
      </w:r>
      <w:proofErr w:type="spellStart"/>
      <w:r w:rsidRPr="00B90FEA">
        <w:rPr>
          <w:i/>
        </w:rPr>
        <w:t>Bobeico</w:t>
      </w:r>
      <w:proofErr w:type="spellEnd"/>
      <w:r w:rsidRPr="00B90FEA">
        <w:rPr>
          <w:i/>
        </w:rPr>
        <w:t xml:space="preserve"> and Others v. the Republic of Moldova and Russia</w:t>
      </w:r>
      <w:r w:rsidRPr="00B90FEA">
        <w:t xml:space="preserve"> (no. 30003/04, </w:t>
      </w:r>
      <w:r w:rsidRPr="00B90FEA">
        <w:rPr>
          <w:rFonts w:cstheme="minorHAnsi"/>
        </w:rPr>
        <w:t>§</w:t>
      </w:r>
      <w:r w:rsidRPr="00B90FEA">
        <w:t> 39, 23 October 2018). Since no new arguments have been adduced by the respondent Governments, the Court sees no reason to reach a different conclusion in this case. It follows that the respondent Governments</w:t>
      </w:r>
      <w:r w:rsidRPr="00B90FEA" w:rsidR="00B90FEA">
        <w:t>’</w:t>
      </w:r>
      <w:r w:rsidRPr="00B90FEA">
        <w:t xml:space="preserve"> objection of non-exhaustion of domestic remedies must be dismissed.</w:t>
      </w:r>
    </w:p>
    <w:p w:rsidRPr="00B90FEA" w:rsidR="00BA3852" w:rsidP="00B90FEA" w:rsidRDefault="00BA3852" w14:paraId="3598C701" w14:textId="3E46E3E5">
      <w:pPr>
        <w:pStyle w:val="JuPara"/>
      </w:pPr>
      <w:r w:rsidRPr="00B90FEA">
        <w:fldChar w:fldCharType="begin"/>
      </w:r>
      <w:r w:rsidRPr="00B90FEA">
        <w:instrText xml:space="preserve"> SEQ level0 \*arabic </w:instrText>
      </w:r>
      <w:r w:rsidRPr="00B90FEA">
        <w:fldChar w:fldCharType="separate"/>
      </w:r>
      <w:r w:rsidRPr="00B90FEA" w:rsidR="00B90FEA">
        <w:rPr>
          <w:noProof/>
        </w:rPr>
        <w:t>25</w:t>
      </w:r>
      <w:r w:rsidRPr="00B90FEA">
        <w:fldChar w:fldCharType="end"/>
      </w:r>
      <w:r w:rsidRPr="00B90FEA">
        <w:t>.  </w:t>
      </w:r>
      <w:bookmarkStart w:name="_Hlk67579089" w:id="2"/>
      <w:r w:rsidRPr="00B90FEA">
        <w:t xml:space="preserve">The Court notes that the complaint is not manifestly ill-founded within the meaning of Article 35 </w:t>
      </w:r>
      <w:r w:rsidRPr="00B90FEA">
        <w:rPr>
          <w:rFonts w:cstheme="minorHAnsi"/>
        </w:rPr>
        <w:t>§</w:t>
      </w:r>
      <w:r w:rsidRPr="00B90FEA">
        <w:t xml:space="preserve"> 3 of the Convention and that it is not inadmissible on any other ground. The Court therefore declares it admissible.</w:t>
      </w:r>
      <w:bookmarkEnd w:id="2"/>
    </w:p>
    <w:p w:rsidRPr="00B90FEA" w:rsidR="00BA3852" w:rsidP="00B90FEA" w:rsidRDefault="00BA3852" w14:paraId="41173CAB" w14:textId="77777777">
      <w:pPr>
        <w:pStyle w:val="JuHA"/>
      </w:pPr>
      <w:r w:rsidRPr="00B90FEA">
        <w:t>Merits</w:t>
      </w:r>
    </w:p>
    <w:p w:rsidRPr="00B90FEA" w:rsidR="00BA3852" w:rsidP="00B90FEA" w:rsidRDefault="00BA3852" w14:paraId="337F34A7" w14:textId="4C83A5C2">
      <w:pPr>
        <w:pStyle w:val="JuPara"/>
        <w:rPr>
          <w:rFonts w:eastAsia="Times New Roman"/>
        </w:rPr>
      </w:pPr>
      <w:r w:rsidRPr="00B90FEA">
        <w:rPr>
          <w:rFonts w:eastAsia="Times New Roman"/>
        </w:rPr>
        <w:fldChar w:fldCharType="begin"/>
      </w:r>
      <w:r w:rsidRPr="00B90FEA">
        <w:rPr>
          <w:rFonts w:eastAsia="Times New Roman"/>
        </w:rPr>
        <w:instrText xml:space="preserve"> SEQ level0 \*arabic </w:instrText>
      </w:r>
      <w:r w:rsidRPr="00B90FEA">
        <w:rPr>
          <w:rFonts w:eastAsia="Times New Roman"/>
        </w:rPr>
        <w:fldChar w:fldCharType="separate"/>
      </w:r>
      <w:r w:rsidRPr="00B90FEA" w:rsidR="00B90FEA">
        <w:rPr>
          <w:rFonts w:eastAsia="Times New Roman"/>
          <w:noProof/>
        </w:rPr>
        <w:t>26</w:t>
      </w:r>
      <w:r w:rsidRPr="00B90FEA">
        <w:rPr>
          <w:rFonts w:eastAsia="Times New Roman"/>
        </w:rPr>
        <w:fldChar w:fldCharType="end"/>
      </w:r>
      <w:r w:rsidRPr="00B90FEA">
        <w:rPr>
          <w:rFonts w:eastAsia="Times New Roman"/>
        </w:rPr>
        <w:t>.  The applicants argued that the “MRT” courts that had decided their case could not be considered as “independent tribunals established by law” within the meaning of Article 6 § 1. They also argued that the proceedings were unfair.</w:t>
      </w:r>
    </w:p>
    <w:p w:rsidRPr="00B90FEA" w:rsidR="00BA3852" w:rsidP="00B90FEA" w:rsidRDefault="00BA3852" w14:paraId="51A2FB00" w14:textId="5438AFCD">
      <w:pPr>
        <w:pStyle w:val="JuPara"/>
      </w:pPr>
      <w:r w:rsidRPr="00B90FEA">
        <w:fldChar w:fldCharType="begin"/>
      </w:r>
      <w:r w:rsidRPr="00B90FEA">
        <w:instrText xml:space="preserve"> SEQ level0 \*arabic </w:instrText>
      </w:r>
      <w:r w:rsidRPr="00B90FEA">
        <w:fldChar w:fldCharType="separate"/>
      </w:r>
      <w:r w:rsidRPr="00B90FEA" w:rsidR="00B90FEA">
        <w:rPr>
          <w:noProof/>
        </w:rPr>
        <w:t>27</w:t>
      </w:r>
      <w:r w:rsidRPr="00B90FEA">
        <w:fldChar w:fldCharType="end"/>
      </w:r>
      <w:r w:rsidRPr="00B90FEA">
        <w:t>.  The Moldovan Government submitted that the “MRT” courts could not be considered “tribunals established by law” for the purposes of Article 6 of the Convention. However, that was not attributable to the Republic of Moldova.</w:t>
      </w:r>
    </w:p>
    <w:p w:rsidRPr="00B90FEA" w:rsidR="00BA3852" w:rsidP="00B90FEA" w:rsidRDefault="00BA3852" w14:paraId="3A698C48" w14:textId="15D4F96E">
      <w:pPr>
        <w:pStyle w:val="JuPara"/>
      </w:pPr>
      <w:r w:rsidRPr="00B90FEA">
        <w:fldChar w:fldCharType="begin"/>
      </w:r>
      <w:r w:rsidRPr="00B90FEA">
        <w:instrText xml:space="preserve"> SEQ level0 \*arabic </w:instrText>
      </w:r>
      <w:r w:rsidRPr="00B90FEA">
        <w:fldChar w:fldCharType="separate"/>
      </w:r>
      <w:r w:rsidRPr="00B90FEA" w:rsidR="00B90FEA">
        <w:rPr>
          <w:noProof/>
        </w:rPr>
        <w:t>28</w:t>
      </w:r>
      <w:r w:rsidRPr="00B90FEA">
        <w:fldChar w:fldCharType="end"/>
      </w:r>
      <w:r w:rsidRPr="00B90FEA">
        <w:t xml:space="preserve">.  The Russian Government made </w:t>
      </w:r>
      <w:proofErr w:type="gramStart"/>
      <w:r w:rsidRPr="00B90FEA">
        <w:t>a brief summary</w:t>
      </w:r>
      <w:proofErr w:type="gramEnd"/>
      <w:r w:rsidRPr="00B90FEA">
        <w:t xml:space="preserve"> of the legislation and international law applicable in the MRT and described the judicial system and the law enforcement authorities of the region. They pointed to the existence of an MRT Ombudsman and Constitutional Court and gave a description of the linguistic situation and the foreign policy of the MRT. They finally mentioned the MRT</w:t>
      </w:r>
      <w:r w:rsidRPr="00B90FEA" w:rsidR="00B90FEA">
        <w:t>’</w:t>
      </w:r>
      <w:r w:rsidRPr="00B90FEA">
        <w:t>s cooperation with the United Nations, the Organisation for Security and Co-operation in Europe and the Human Rights Commissioner of the Council of Europe.</w:t>
      </w:r>
    </w:p>
    <w:p w:rsidRPr="00B90FEA" w:rsidR="00BA3852" w:rsidP="00B90FEA" w:rsidRDefault="00BA3852" w14:paraId="7E376A90" w14:textId="0D63CB4C">
      <w:pPr>
        <w:pStyle w:val="JuPara"/>
      </w:pPr>
      <w:r w:rsidRPr="00B90FEA">
        <w:fldChar w:fldCharType="begin"/>
      </w:r>
      <w:r w:rsidRPr="00B90FEA">
        <w:instrText xml:space="preserve"> SEQ level0 \*arabic </w:instrText>
      </w:r>
      <w:r w:rsidRPr="00B90FEA">
        <w:fldChar w:fldCharType="separate"/>
      </w:r>
      <w:r w:rsidRPr="00B90FEA" w:rsidR="00B90FEA">
        <w:rPr>
          <w:noProof/>
        </w:rPr>
        <w:t>29</w:t>
      </w:r>
      <w:r w:rsidRPr="00B90FEA">
        <w:fldChar w:fldCharType="end"/>
      </w:r>
      <w:r w:rsidRPr="00B90FEA">
        <w:t xml:space="preserve">.  The Court reiterates </w:t>
      </w:r>
      <w:r w:rsidRPr="00B90FEA">
        <w:rPr>
          <w:rFonts w:eastAsia="MS Mincho"/>
        </w:rPr>
        <w:t>that</w:t>
      </w:r>
      <w:r w:rsidRPr="00B90FEA">
        <w:t xml:space="preserve"> in certain circumstances, a court belonging to the judicial system of an entity not recognised under international law may be regarded as a “tribunal established by law” provided that it forms part of a judicial system operating on a “constitutional and legal basis” reflecting a judicial tradition compatible with the Convention, in order to enable individuals to enjoy the Convention guarantees (see </w:t>
      </w:r>
      <w:proofErr w:type="spellStart"/>
      <w:r w:rsidRPr="00B90FEA">
        <w:rPr>
          <w:rFonts w:eastAsia="MS Mincho"/>
          <w:i/>
        </w:rPr>
        <w:t>Ilaşcu</w:t>
      </w:r>
      <w:proofErr w:type="spellEnd"/>
      <w:r w:rsidRPr="00B90FEA">
        <w:rPr>
          <w:rFonts w:eastAsia="MS Mincho"/>
          <w:i/>
        </w:rPr>
        <w:t xml:space="preserve"> and Others</w:t>
      </w:r>
      <w:r w:rsidRPr="00B90FEA">
        <w:rPr>
          <w:rFonts w:eastAsia="MS Mincho"/>
        </w:rPr>
        <w:t>,</w:t>
      </w:r>
      <w:r w:rsidRPr="00B90FEA">
        <w:rPr>
          <w:rFonts w:eastAsia="MS Mincho"/>
          <w:i/>
        </w:rPr>
        <w:t xml:space="preserve"> </w:t>
      </w:r>
      <w:r w:rsidRPr="00B90FEA">
        <w:rPr>
          <w:rFonts w:eastAsia="MS Mincho"/>
        </w:rPr>
        <w:t>cited above, § 460)</w:t>
      </w:r>
      <w:r w:rsidRPr="00B90FEA">
        <w:t xml:space="preserve">. It further recalls that in </w:t>
      </w:r>
      <w:proofErr w:type="spellStart"/>
      <w:r w:rsidRPr="00B90FEA">
        <w:rPr>
          <w:i/>
        </w:rPr>
        <w:t>Mozer</w:t>
      </w:r>
      <w:proofErr w:type="spellEnd"/>
      <w:r w:rsidRPr="00B90FEA">
        <w:t xml:space="preserve"> it held that the judicial system of the “MRT” was not a system reflecting a judicial tradition compatible with the Convention</w:t>
      </w:r>
      <w:r w:rsidRPr="00B90FEA">
        <w:rPr>
          <w:i/>
        </w:rPr>
        <w:t xml:space="preserve"> </w:t>
      </w:r>
      <w:r w:rsidRPr="00B90FEA">
        <w:t xml:space="preserve">(see </w:t>
      </w:r>
      <w:proofErr w:type="spellStart"/>
      <w:r w:rsidRPr="00B90FEA">
        <w:rPr>
          <w:i/>
        </w:rPr>
        <w:t>Mozer</w:t>
      </w:r>
      <w:proofErr w:type="spellEnd"/>
      <w:r w:rsidRPr="00B90FEA">
        <w:t xml:space="preserve">, cited above, </w:t>
      </w:r>
      <w:r w:rsidRPr="00B90FEA">
        <w:rPr>
          <w:rFonts w:cstheme="minorHAnsi"/>
        </w:rPr>
        <w:t>§§</w:t>
      </w:r>
      <w:r w:rsidRPr="00B90FEA">
        <w:t xml:space="preserve"> 148-149). It made a similar finding in respect of facts going up to September 2016 in the case of </w:t>
      </w:r>
      <w:proofErr w:type="spellStart"/>
      <w:r w:rsidRPr="00B90FEA">
        <w:rPr>
          <w:i/>
        </w:rPr>
        <w:t>Eriomenco</w:t>
      </w:r>
      <w:proofErr w:type="spellEnd"/>
      <w:r w:rsidRPr="00B90FEA">
        <w:rPr>
          <w:i/>
        </w:rPr>
        <w:t xml:space="preserve"> v. the Republic of Moldova and Russia</w:t>
      </w:r>
      <w:r w:rsidRPr="00B90FEA">
        <w:t xml:space="preserve"> (no. 42224/11, §</w:t>
      </w:r>
      <w:r w:rsidRPr="00B90FEA" w:rsidR="00605F4D">
        <w:t> </w:t>
      </w:r>
      <w:r w:rsidRPr="00B90FEA">
        <w:t>72, 9 May 2017).</w:t>
      </w:r>
    </w:p>
    <w:p w:rsidRPr="00B90FEA" w:rsidR="00BA3852" w:rsidP="00B90FEA" w:rsidRDefault="00BA3852" w14:paraId="2F00104C" w14:textId="2AB1E155">
      <w:pPr>
        <w:pStyle w:val="JuPara"/>
      </w:pPr>
      <w:r w:rsidRPr="00B90FEA">
        <w:fldChar w:fldCharType="begin"/>
      </w:r>
      <w:r w:rsidRPr="00B90FEA">
        <w:instrText xml:space="preserve"> SEQ level0 \*arabic </w:instrText>
      </w:r>
      <w:r w:rsidRPr="00B90FEA">
        <w:fldChar w:fldCharType="separate"/>
      </w:r>
      <w:r w:rsidRPr="00B90FEA" w:rsidR="00B90FEA">
        <w:rPr>
          <w:noProof/>
        </w:rPr>
        <w:t>30</w:t>
      </w:r>
      <w:r w:rsidRPr="00B90FEA">
        <w:fldChar w:fldCharType="end"/>
      </w:r>
      <w:r w:rsidRPr="00B90FEA">
        <w:t xml:space="preserve">.  In the light of the above, the Court considers that the conclusions reached in </w:t>
      </w:r>
      <w:proofErr w:type="spellStart"/>
      <w:r w:rsidRPr="00B90FEA">
        <w:rPr>
          <w:i/>
        </w:rPr>
        <w:t>Mozer</w:t>
      </w:r>
      <w:proofErr w:type="spellEnd"/>
      <w:r w:rsidRPr="00B90FEA">
        <w:t xml:space="preserve"> and </w:t>
      </w:r>
      <w:proofErr w:type="spellStart"/>
      <w:r w:rsidRPr="00B90FEA">
        <w:rPr>
          <w:i/>
          <w:iCs/>
        </w:rPr>
        <w:t>Eriomenco</w:t>
      </w:r>
      <w:proofErr w:type="spellEnd"/>
      <w:r w:rsidRPr="00B90FEA">
        <w:rPr>
          <w:i/>
          <w:iCs/>
        </w:rPr>
        <w:t xml:space="preserve"> </w:t>
      </w:r>
      <w:r w:rsidRPr="00B90FEA">
        <w:t xml:space="preserve">are valid in the present case too and that the “MRT” courts could not qualify as a “tribunal established by law” for the purposes of Article 6 § 1 of the Convention (see </w:t>
      </w:r>
      <w:proofErr w:type="spellStart"/>
      <w:r w:rsidRPr="00B90FEA">
        <w:rPr>
          <w:i/>
        </w:rPr>
        <w:t>Vardanean</w:t>
      </w:r>
      <w:proofErr w:type="spellEnd"/>
      <w:r w:rsidRPr="00B90FEA">
        <w:t xml:space="preserve">, cited above, § 39, and </w:t>
      </w:r>
      <w:proofErr w:type="spellStart"/>
      <w:r w:rsidRPr="00B90FEA">
        <w:rPr>
          <w:i/>
          <w:iCs/>
        </w:rPr>
        <w:t>Apcov</w:t>
      </w:r>
      <w:proofErr w:type="spellEnd"/>
      <w:r w:rsidRPr="00B90FEA">
        <w:rPr>
          <w:i/>
          <w:iCs/>
        </w:rPr>
        <w:t xml:space="preserve"> v. the Republic of Moldova and Russia</w:t>
      </w:r>
      <w:r w:rsidRPr="00B90FEA">
        <w:t>, no.</w:t>
      </w:r>
      <w:r w:rsidRPr="00B90FEA" w:rsidR="00605F4D">
        <w:t> </w:t>
      </w:r>
      <w:r w:rsidRPr="00B90FEA">
        <w:t xml:space="preserve">13463/07, </w:t>
      </w:r>
      <w:r w:rsidRPr="00B90FEA">
        <w:rPr>
          <w:rFonts w:cstheme="minorHAnsi"/>
        </w:rPr>
        <w:t>§ </w:t>
      </w:r>
      <w:r w:rsidRPr="00B90FEA">
        <w:t xml:space="preserve">57, 30 May 2017). The Court therefore finds that there has been a breach of Article 6 </w:t>
      </w:r>
      <w:r w:rsidRPr="00B90FEA">
        <w:rPr>
          <w:rFonts w:cstheme="minorHAnsi"/>
        </w:rPr>
        <w:t>§</w:t>
      </w:r>
      <w:r w:rsidRPr="00B90FEA">
        <w:t xml:space="preserve"> 1 of the Convention in the present case.</w:t>
      </w:r>
    </w:p>
    <w:p w:rsidRPr="00B90FEA" w:rsidR="00BA3852" w:rsidP="00B90FEA" w:rsidRDefault="00BA3852" w14:paraId="307E025C" w14:textId="258D8726">
      <w:pPr>
        <w:pStyle w:val="JuPara"/>
      </w:pPr>
      <w:r w:rsidRPr="00B90FEA">
        <w:fldChar w:fldCharType="begin"/>
      </w:r>
      <w:r w:rsidRPr="00B90FEA">
        <w:instrText xml:space="preserve"> SEQ level0 \*arabic </w:instrText>
      </w:r>
      <w:r w:rsidRPr="00B90FEA">
        <w:fldChar w:fldCharType="separate"/>
      </w:r>
      <w:r w:rsidRPr="00B90FEA" w:rsidR="00B90FEA">
        <w:rPr>
          <w:noProof/>
        </w:rPr>
        <w:t>31</w:t>
      </w:r>
      <w:r w:rsidRPr="00B90FEA">
        <w:fldChar w:fldCharType="end"/>
      </w:r>
      <w:r w:rsidRPr="00B90FEA">
        <w:t>.  The Court must next determine whether the Republic of Moldova fulfilled its positive obligation to take appropriate and sufficient measures to secure the applicants</w:t>
      </w:r>
      <w:r w:rsidRPr="00B90FEA" w:rsidR="00B90FEA">
        <w:t>’</w:t>
      </w:r>
      <w:r w:rsidRPr="00B90FEA">
        <w:t xml:space="preserve"> rights (see paragraph 17 above). In </w:t>
      </w:r>
      <w:proofErr w:type="spellStart"/>
      <w:r w:rsidRPr="00B90FEA">
        <w:rPr>
          <w:i/>
        </w:rPr>
        <w:t>Mozer</w:t>
      </w:r>
      <w:proofErr w:type="spellEnd"/>
      <w:r w:rsidRPr="00B90FEA">
        <w:t>, the Court held that Moldova</w:t>
      </w:r>
      <w:r w:rsidRPr="00B90FEA" w:rsidR="00B90FEA">
        <w:t>’</w:t>
      </w:r>
      <w:r w:rsidRPr="00B90FEA">
        <w:t xml:space="preserve">s positive obligations related both to measures needed to re-establish its control over the </w:t>
      </w:r>
      <w:proofErr w:type="spellStart"/>
      <w:r w:rsidRPr="00B90FEA">
        <w:t>Transdniestrian</w:t>
      </w:r>
      <w:proofErr w:type="spellEnd"/>
      <w:r w:rsidRPr="00B90FEA">
        <w:t xml:space="preserve"> territory, as an expression of its jurisdiction, and to measures to ensure respect for individual applicants</w:t>
      </w:r>
      <w:r w:rsidRPr="00B90FEA" w:rsidR="00B90FEA">
        <w:t>’</w:t>
      </w:r>
      <w:r w:rsidRPr="00B90FEA">
        <w:t xml:space="preserve"> rights</w:t>
      </w:r>
      <w:r w:rsidRPr="00B90FEA">
        <w:rPr>
          <w:i/>
        </w:rPr>
        <w:t xml:space="preserve"> </w:t>
      </w:r>
      <w:r w:rsidRPr="00B90FEA">
        <w:t xml:space="preserve">(see </w:t>
      </w:r>
      <w:proofErr w:type="spellStart"/>
      <w:r w:rsidRPr="00B90FEA">
        <w:rPr>
          <w:i/>
        </w:rPr>
        <w:t>Mozer</w:t>
      </w:r>
      <w:proofErr w:type="spellEnd"/>
      <w:r w:rsidRPr="00B90FEA">
        <w:t>, cited above, § 151).</w:t>
      </w:r>
    </w:p>
    <w:p w:rsidRPr="00B90FEA" w:rsidR="00BA3852" w:rsidP="00B90FEA" w:rsidRDefault="00BA3852" w14:paraId="6D2D5996" w14:textId="60B6077C">
      <w:pPr>
        <w:pStyle w:val="JuPara"/>
      </w:pPr>
      <w:r w:rsidRPr="00B90FEA">
        <w:fldChar w:fldCharType="begin"/>
      </w:r>
      <w:r w:rsidRPr="00B90FEA">
        <w:instrText xml:space="preserve"> SEQ level0 \*arabic </w:instrText>
      </w:r>
      <w:r w:rsidRPr="00B90FEA">
        <w:fldChar w:fldCharType="separate"/>
      </w:r>
      <w:r w:rsidRPr="00B90FEA" w:rsidR="00B90FEA">
        <w:rPr>
          <w:noProof/>
        </w:rPr>
        <w:t>32</w:t>
      </w:r>
      <w:r w:rsidRPr="00B90FEA">
        <w:fldChar w:fldCharType="end"/>
      </w:r>
      <w:r w:rsidRPr="00B90FEA">
        <w:t>.  As regards the first aspect of Moldova</w:t>
      </w:r>
      <w:r w:rsidRPr="00B90FEA" w:rsidR="00B90FEA">
        <w:t>’</w:t>
      </w:r>
      <w:r w:rsidRPr="00B90FEA">
        <w:t xml:space="preserve">s obligation, to re-establish control, the Court found in </w:t>
      </w:r>
      <w:proofErr w:type="spellStart"/>
      <w:r w:rsidRPr="00B90FEA">
        <w:rPr>
          <w:i/>
        </w:rPr>
        <w:t>Mozer</w:t>
      </w:r>
      <w:proofErr w:type="spellEnd"/>
      <w:r w:rsidRPr="00B90FEA">
        <w:t xml:space="preserve"> that, from the onset of the hostilities in 1991-1992 until July 2010, Moldova had taken all the measures in its power (see </w:t>
      </w:r>
      <w:proofErr w:type="spellStart"/>
      <w:r w:rsidRPr="00B90FEA">
        <w:rPr>
          <w:i/>
        </w:rPr>
        <w:t>Mozer</w:t>
      </w:r>
      <w:proofErr w:type="spellEnd"/>
      <w:r w:rsidRPr="00B90FEA">
        <w:t xml:space="preserve">, cited above, § 152). Since the parties did not adduce any evidence to show that the Moldovan Government has changed its position concerning the </w:t>
      </w:r>
      <w:proofErr w:type="spellStart"/>
      <w:r w:rsidRPr="00B90FEA">
        <w:t>Transdniestrian</w:t>
      </w:r>
      <w:proofErr w:type="spellEnd"/>
      <w:r w:rsidRPr="00B90FEA">
        <w:t xml:space="preserve"> region in the years preceding the facts of the present case, the Court sees no reason to reach a different conclusion (</w:t>
      </w:r>
      <w:r w:rsidRPr="00B90FEA">
        <w:rPr>
          <w:i/>
        </w:rPr>
        <w:t>ibid.</w:t>
      </w:r>
      <w:r w:rsidRPr="00B90FEA">
        <w:t>).</w:t>
      </w:r>
    </w:p>
    <w:p w:rsidRPr="00B90FEA" w:rsidR="00BA3852" w:rsidP="00B90FEA" w:rsidRDefault="00BA3852" w14:paraId="0B39906A" w14:textId="2FA1B5FC">
      <w:pPr>
        <w:pStyle w:val="JuPara"/>
      </w:pPr>
      <w:r w:rsidRPr="00B90FEA">
        <w:fldChar w:fldCharType="begin"/>
      </w:r>
      <w:r w:rsidRPr="00B90FEA">
        <w:instrText xml:space="preserve"> SEQ level0 \*arabic </w:instrText>
      </w:r>
      <w:r w:rsidRPr="00B90FEA">
        <w:fldChar w:fldCharType="separate"/>
      </w:r>
      <w:r w:rsidRPr="00B90FEA" w:rsidR="00B90FEA">
        <w:rPr>
          <w:noProof/>
        </w:rPr>
        <w:t>33</w:t>
      </w:r>
      <w:r w:rsidRPr="00B90FEA">
        <w:fldChar w:fldCharType="end"/>
      </w:r>
      <w:r w:rsidRPr="00B90FEA">
        <w:t xml:space="preserve">.  Turning to the second part of the positive obligations, </w:t>
      </w:r>
      <w:proofErr w:type="gramStart"/>
      <w:r w:rsidRPr="00B90FEA">
        <w:t>namely</w:t>
      </w:r>
      <w:proofErr w:type="gramEnd"/>
      <w:r w:rsidRPr="00B90FEA">
        <w:t xml:space="preserve"> to ensure respect for the applicants</w:t>
      </w:r>
      <w:r w:rsidRPr="00B90FEA" w:rsidR="00B90FEA">
        <w:t>’</w:t>
      </w:r>
      <w:r w:rsidRPr="00B90FEA">
        <w:t xml:space="preserve"> rights, the Court notes that the applicants adduced no evidence to the effect that they had informed the Moldovan authorities of their problem. In such circumstances, the non-involvement of the Moldovan authorities in the case cannot be held against them.</w:t>
      </w:r>
    </w:p>
    <w:p w:rsidRPr="00B90FEA" w:rsidR="00BA3852" w:rsidP="00B90FEA" w:rsidRDefault="00BA3852" w14:paraId="54CFF8E9" w14:textId="240C0777">
      <w:pPr>
        <w:pStyle w:val="JuPara"/>
      </w:pPr>
      <w:r w:rsidRPr="00B90FEA">
        <w:fldChar w:fldCharType="begin"/>
      </w:r>
      <w:r w:rsidRPr="00B90FEA">
        <w:instrText xml:space="preserve"> SEQ level0 \*arabic </w:instrText>
      </w:r>
      <w:r w:rsidRPr="00B90FEA">
        <w:fldChar w:fldCharType="separate"/>
      </w:r>
      <w:r w:rsidRPr="00B90FEA" w:rsidR="00B90FEA">
        <w:rPr>
          <w:noProof/>
        </w:rPr>
        <w:t>34</w:t>
      </w:r>
      <w:r w:rsidRPr="00B90FEA">
        <w:fldChar w:fldCharType="end"/>
      </w:r>
      <w:r w:rsidRPr="00B90FEA">
        <w:t xml:space="preserve">.  In the light of the foregoing, the Court concludes that the Republic of Moldova did not fail to fulfil its positive obligations in respect of the applicants. There has therefore been no violation of Article 6 </w:t>
      </w:r>
      <w:r w:rsidRPr="00B90FEA">
        <w:rPr>
          <w:rFonts w:cstheme="minorHAnsi"/>
        </w:rPr>
        <w:t>§</w:t>
      </w:r>
      <w:r w:rsidRPr="00B90FEA">
        <w:t xml:space="preserve"> 1 of the Convention by the Republic of Moldova.</w:t>
      </w:r>
    </w:p>
    <w:p w:rsidRPr="00B90FEA" w:rsidR="00BA3852" w:rsidP="00B90FEA" w:rsidRDefault="00BA3852" w14:paraId="498CEBEB" w14:textId="46D26AB4">
      <w:pPr>
        <w:pStyle w:val="JuPara"/>
      </w:pPr>
      <w:r w:rsidRPr="00B90FEA">
        <w:fldChar w:fldCharType="begin"/>
      </w:r>
      <w:r w:rsidRPr="00B90FEA">
        <w:instrText xml:space="preserve"> SEQ level0 \*arabic </w:instrText>
      </w:r>
      <w:r w:rsidRPr="00B90FEA">
        <w:fldChar w:fldCharType="separate"/>
      </w:r>
      <w:r w:rsidRPr="00B90FEA" w:rsidR="00B90FEA">
        <w:rPr>
          <w:noProof/>
        </w:rPr>
        <w:t>35</w:t>
      </w:r>
      <w:r w:rsidRPr="00B90FEA">
        <w:fldChar w:fldCharType="end"/>
      </w:r>
      <w:r w:rsidRPr="00B90FEA">
        <w:t xml:space="preserve">.  In so far as the responsibility of the Russian Federation is concerned, the Court has established that Russia exercised effective control over the “MRT” during the period in question (see paragraphs 19-20 above). In the light of this conclusion, and in accordance with its case-law, it is not necessary to determine whether or not Russia exercised detailed control over the policies and actions of the subordinate local administration (see </w:t>
      </w:r>
      <w:proofErr w:type="spellStart"/>
      <w:r w:rsidRPr="00B90FEA">
        <w:rPr>
          <w:i/>
        </w:rPr>
        <w:t>Mozer</w:t>
      </w:r>
      <w:proofErr w:type="spellEnd"/>
      <w:r w:rsidRPr="00B90FEA">
        <w:t>, cited above, § 157). By virtue of its continued military, economic and political support for the “MRT”, which could not otherwise survive, Russia</w:t>
      </w:r>
      <w:r w:rsidRPr="00B90FEA" w:rsidR="00B90FEA">
        <w:t>’</w:t>
      </w:r>
      <w:r w:rsidRPr="00B90FEA">
        <w:t>s responsibility under the Convention is engaged as regards the violation of the applicants</w:t>
      </w:r>
      <w:r w:rsidRPr="00B90FEA" w:rsidR="00B90FEA">
        <w:t>’</w:t>
      </w:r>
      <w:r w:rsidRPr="00B90FEA">
        <w:t xml:space="preserve"> rights.</w:t>
      </w:r>
    </w:p>
    <w:p w:rsidRPr="00B90FEA" w:rsidR="00BA3852" w:rsidP="00B90FEA" w:rsidRDefault="00BA3852" w14:paraId="3E437814" w14:textId="6CC9596C">
      <w:pPr>
        <w:pStyle w:val="JuPara"/>
      </w:pPr>
      <w:r w:rsidRPr="00B90FEA">
        <w:fldChar w:fldCharType="begin"/>
      </w:r>
      <w:r w:rsidRPr="00B90FEA">
        <w:instrText xml:space="preserve"> SEQ level0 \*arabic </w:instrText>
      </w:r>
      <w:r w:rsidRPr="00B90FEA">
        <w:fldChar w:fldCharType="separate"/>
      </w:r>
      <w:r w:rsidRPr="00B90FEA" w:rsidR="00B90FEA">
        <w:rPr>
          <w:noProof/>
        </w:rPr>
        <w:t>36</w:t>
      </w:r>
      <w:r w:rsidRPr="00B90FEA">
        <w:fldChar w:fldCharType="end"/>
      </w:r>
      <w:r w:rsidRPr="00B90FEA">
        <w:t>.  In conclusion, and after having found that the applicants</w:t>
      </w:r>
      <w:r w:rsidRPr="00B90FEA" w:rsidR="00B90FEA">
        <w:t>’</w:t>
      </w:r>
      <w:r w:rsidRPr="00B90FEA">
        <w:t xml:space="preserve"> rights guaranteed by Article 6 </w:t>
      </w:r>
      <w:r w:rsidRPr="00B90FEA">
        <w:rPr>
          <w:rFonts w:cstheme="minorHAnsi"/>
        </w:rPr>
        <w:t>§</w:t>
      </w:r>
      <w:r w:rsidRPr="00B90FEA">
        <w:t xml:space="preserve"> 1 have been breached (see paragraph 30 above), the Court holds that there has been a violation of that provision by the Russian Federation.</w:t>
      </w:r>
    </w:p>
    <w:p w:rsidRPr="00B90FEA" w:rsidR="00BA3852" w:rsidP="00B90FEA" w:rsidRDefault="00BA3852" w14:paraId="3D626BB6" w14:textId="6FAC8B87">
      <w:pPr>
        <w:pStyle w:val="JuPara"/>
      </w:pPr>
      <w:r w:rsidRPr="00B90FEA">
        <w:fldChar w:fldCharType="begin"/>
      </w:r>
      <w:r w:rsidRPr="00B90FEA">
        <w:instrText xml:space="preserve"> SEQ level0 \*arabic </w:instrText>
      </w:r>
      <w:r w:rsidRPr="00B90FEA">
        <w:fldChar w:fldCharType="separate"/>
      </w:r>
      <w:r w:rsidRPr="00B90FEA" w:rsidR="00B90FEA">
        <w:rPr>
          <w:noProof/>
        </w:rPr>
        <w:t>37</w:t>
      </w:r>
      <w:r w:rsidRPr="00B90FEA">
        <w:fldChar w:fldCharType="end"/>
      </w:r>
      <w:r w:rsidRPr="00B90FEA">
        <w:t xml:space="preserve">.  In view of the above, the Court does not consider it necessary to examine separately any other issues under Article 6 </w:t>
      </w:r>
      <w:r w:rsidRPr="00B90FEA">
        <w:rPr>
          <w:rFonts w:cstheme="minorHAnsi"/>
        </w:rPr>
        <w:t>§</w:t>
      </w:r>
      <w:r w:rsidRPr="00B90FEA">
        <w:t xml:space="preserve"> 1 of the Convention.</w:t>
      </w:r>
    </w:p>
    <w:p w:rsidRPr="00B90FEA" w:rsidR="00BA3852" w:rsidP="00B90FEA" w:rsidRDefault="00BA3852" w14:paraId="03CAF3CC" w14:textId="77777777">
      <w:pPr>
        <w:pStyle w:val="JuHIRoman"/>
      </w:pPr>
      <w:r w:rsidRPr="00B90FEA">
        <w:t>ALLEGED VIOLATION OF ARTICLES 8 OF THE CONVENTION AND ARTICLE 1 OF pROTOCOL NO. 1 TO THE CONVENTION</w:t>
      </w:r>
    </w:p>
    <w:p w:rsidRPr="00B90FEA" w:rsidR="00BA3852" w:rsidP="00B90FEA" w:rsidRDefault="00BA3852" w14:paraId="1BF781F3" w14:textId="0345B963">
      <w:pPr>
        <w:pStyle w:val="JuPara"/>
      </w:pPr>
      <w:r w:rsidRPr="00B90FEA">
        <w:fldChar w:fldCharType="begin"/>
      </w:r>
      <w:r w:rsidRPr="00B90FEA">
        <w:instrText xml:space="preserve"> SEQ level0 \*arabic </w:instrText>
      </w:r>
      <w:r w:rsidRPr="00B90FEA">
        <w:fldChar w:fldCharType="separate"/>
      </w:r>
      <w:r w:rsidRPr="00B90FEA" w:rsidR="00B90FEA">
        <w:rPr>
          <w:noProof/>
        </w:rPr>
        <w:t>38</w:t>
      </w:r>
      <w:r w:rsidRPr="00B90FEA">
        <w:fldChar w:fldCharType="end"/>
      </w:r>
      <w:r w:rsidRPr="00B90FEA">
        <w:t xml:space="preserve">.  The applicants also complained under Article 8 of the Convention and Article 1 of Protocol No. 1 to the Convention that they had lost their apartment, which was also their home, </w:t>
      </w:r>
      <w:proofErr w:type="gramStart"/>
      <w:r w:rsidRPr="00B90FEA">
        <w:t>as a result of</w:t>
      </w:r>
      <w:proofErr w:type="gramEnd"/>
      <w:r w:rsidRPr="00B90FEA">
        <w:t xml:space="preserve"> the impugned proceedings. The Articles in question read as follows:</w:t>
      </w:r>
    </w:p>
    <w:p w:rsidRPr="00B90FEA" w:rsidR="00BA3852" w:rsidP="00B90FEA" w:rsidRDefault="00BA3852" w14:paraId="0140FA88" w14:textId="77777777">
      <w:pPr>
        <w:pStyle w:val="JuHArticle"/>
      </w:pPr>
      <w:r w:rsidRPr="00B90FEA">
        <w:t>Article 8. (Right to respect for private and family life)</w:t>
      </w:r>
    </w:p>
    <w:p w:rsidRPr="00B90FEA" w:rsidR="00BA3852" w:rsidP="00B90FEA" w:rsidRDefault="00BA3852" w14:paraId="34D7F02D" w14:textId="77777777">
      <w:pPr>
        <w:pStyle w:val="JuQuot"/>
      </w:pPr>
      <w:r w:rsidRPr="00B90FEA">
        <w:t xml:space="preserve">“1.  Everyone has the right to respect for his private and family life, his </w:t>
      </w:r>
      <w:proofErr w:type="gramStart"/>
      <w:r w:rsidRPr="00B90FEA">
        <w:t>home</w:t>
      </w:r>
      <w:proofErr w:type="gramEnd"/>
      <w:r w:rsidRPr="00B90FEA">
        <w:t xml:space="preserve"> and his correspondence.</w:t>
      </w:r>
    </w:p>
    <w:p w:rsidRPr="00B90FEA" w:rsidR="00BA3852" w:rsidP="00B90FEA" w:rsidRDefault="00BA3852" w14:paraId="5B25ADBD" w14:textId="77777777">
      <w:pPr>
        <w:pStyle w:val="JuQuot"/>
      </w:pPr>
      <w:r w:rsidRPr="00B90FEA">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B90FEA" w:rsidR="00BA3852" w:rsidP="00B90FEA" w:rsidRDefault="00BA3852" w14:paraId="4F870443" w14:textId="77777777">
      <w:pPr>
        <w:pStyle w:val="JuHArticle"/>
      </w:pPr>
      <w:r w:rsidRPr="00B90FEA">
        <w:t>Article 1 of Protocol No. 1 (protection of property)</w:t>
      </w:r>
    </w:p>
    <w:p w:rsidRPr="00B90FEA" w:rsidR="00BA3852" w:rsidP="00B90FEA" w:rsidRDefault="00BA3852" w14:paraId="09BB6359" w14:textId="77777777">
      <w:pPr>
        <w:pStyle w:val="JuQuot"/>
      </w:pPr>
      <w:r w:rsidRPr="00B90FEA">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B90FEA" w:rsidR="00BA3852" w:rsidP="00B90FEA" w:rsidRDefault="00BA3852" w14:paraId="74DEFB1C" w14:textId="77777777">
      <w:pPr>
        <w:pStyle w:val="JuQuot"/>
      </w:pPr>
      <w:r w:rsidRPr="00B90FEA">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B90FEA" w:rsidR="00BA3852" w:rsidP="00B90FEA" w:rsidRDefault="00BA3852" w14:paraId="295460B4" w14:textId="77777777">
      <w:pPr>
        <w:pStyle w:val="JuHA"/>
      </w:pPr>
      <w:r w:rsidRPr="00B90FEA">
        <w:t>Admissibility</w:t>
      </w:r>
    </w:p>
    <w:p w:rsidRPr="00B90FEA" w:rsidR="00BA3852" w:rsidP="00B90FEA" w:rsidRDefault="00BA3852" w14:paraId="250E92DD" w14:textId="3C7E680F">
      <w:pPr>
        <w:pStyle w:val="JuPara"/>
      </w:pPr>
      <w:r w:rsidRPr="00B90FEA">
        <w:fldChar w:fldCharType="begin"/>
      </w:r>
      <w:r w:rsidRPr="00B90FEA">
        <w:instrText xml:space="preserve"> SEQ level0 \*arabic </w:instrText>
      </w:r>
      <w:r w:rsidRPr="00B90FEA">
        <w:fldChar w:fldCharType="separate"/>
      </w:r>
      <w:r w:rsidRPr="00B90FEA" w:rsidR="00B90FEA">
        <w:rPr>
          <w:noProof/>
        </w:rPr>
        <w:t>39</w:t>
      </w:r>
      <w:r w:rsidRPr="00B90FEA">
        <w:fldChar w:fldCharType="end"/>
      </w:r>
      <w:r w:rsidRPr="00B90FEA">
        <w:t>.  Having examined and dismissed the respondent Governments</w:t>
      </w:r>
      <w:r w:rsidRPr="00B90FEA" w:rsidR="00B90FEA">
        <w:t>’</w:t>
      </w:r>
      <w:r w:rsidRPr="00B90FEA">
        <w:t xml:space="preserve"> objection concerning non-exhaustion of domestic remedies (see paragraph 24 above), the Court notes that these complaints are not manifestly ill-founded within the meaning of Article 35 </w:t>
      </w:r>
      <w:r w:rsidRPr="00B90FEA">
        <w:rPr>
          <w:rFonts w:cstheme="minorHAnsi"/>
        </w:rPr>
        <w:t>§</w:t>
      </w:r>
      <w:r w:rsidRPr="00B90FEA">
        <w:t xml:space="preserve"> 3 of the Convention and that they are not inadmissible on any other ground. The Court therefore declares them admissible.</w:t>
      </w:r>
    </w:p>
    <w:p w:rsidRPr="00B90FEA" w:rsidR="00BA3852" w:rsidP="00B90FEA" w:rsidRDefault="00BA3852" w14:paraId="3B24E7FA" w14:textId="77777777">
      <w:pPr>
        <w:pStyle w:val="JuHA"/>
      </w:pPr>
      <w:r w:rsidRPr="00B90FEA">
        <w:t>Merits</w:t>
      </w:r>
    </w:p>
    <w:p w:rsidRPr="00B90FEA" w:rsidR="00BA3852" w:rsidP="00B90FEA" w:rsidRDefault="00BA3852" w14:paraId="11E4246F" w14:textId="25D4F131">
      <w:pPr>
        <w:pStyle w:val="JuPara"/>
      </w:pPr>
      <w:r w:rsidRPr="00B90FEA">
        <w:fldChar w:fldCharType="begin"/>
      </w:r>
      <w:r w:rsidRPr="00B90FEA">
        <w:instrText xml:space="preserve"> SEQ level0 \*arabic </w:instrText>
      </w:r>
      <w:r w:rsidRPr="00B90FEA">
        <w:fldChar w:fldCharType="separate"/>
      </w:r>
      <w:r w:rsidRPr="00B90FEA" w:rsidR="00B90FEA">
        <w:rPr>
          <w:noProof/>
        </w:rPr>
        <w:t>40</w:t>
      </w:r>
      <w:r w:rsidRPr="00B90FEA">
        <w:fldChar w:fldCharType="end"/>
      </w:r>
      <w:r w:rsidRPr="00B90FEA">
        <w:t>.  The applicants argued that there had been a breach of their right to respect for their home under Article 8 of the Convention and of their right to the peaceful enjoyment of their possessions under Article 1 of Protocol No. 1 to the Convention.</w:t>
      </w:r>
    </w:p>
    <w:p w:rsidRPr="00B90FEA" w:rsidR="00BA3852" w:rsidP="00B90FEA" w:rsidRDefault="00BA3852" w14:paraId="78567C27" w14:textId="3CD03211">
      <w:pPr>
        <w:pStyle w:val="JuPara"/>
      </w:pPr>
      <w:r w:rsidRPr="00B90FEA">
        <w:fldChar w:fldCharType="begin"/>
      </w:r>
      <w:r w:rsidRPr="00B90FEA">
        <w:instrText xml:space="preserve"> SEQ level0 \*arabic </w:instrText>
      </w:r>
      <w:r w:rsidRPr="00B90FEA">
        <w:fldChar w:fldCharType="separate"/>
      </w:r>
      <w:r w:rsidRPr="00B90FEA" w:rsidR="00B90FEA">
        <w:rPr>
          <w:noProof/>
        </w:rPr>
        <w:t>41</w:t>
      </w:r>
      <w:r w:rsidRPr="00B90FEA">
        <w:fldChar w:fldCharType="end"/>
      </w:r>
      <w:r w:rsidRPr="00B90FEA">
        <w:t>.  The Moldovan Government submitted that the interference with the applicants</w:t>
      </w:r>
      <w:r w:rsidRPr="00B90FEA" w:rsidR="00B90FEA">
        <w:t>’</w:t>
      </w:r>
      <w:r w:rsidRPr="00B90FEA">
        <w:t xml:space="preserve"> rights had not been lawful because it had not been provided for by the domestic laws of the Republic of Moldova and that there has been no violation of the applicants</w:t>
      </w:r>
      <w:r w:rsidRPr="00B90FEA" w:rsidR="00B90FEA">
        <w:t>’</w:t>
      </w:r>
      <w:r w:rsidRPr="00B90FEA">
        <w:t xml:space="preserve"> rights by the Republic of Moldova.</w:t>
      </w:r>
    </w:p>
    <w:p w:rsidRPr="00B90FEA" w:rsidR="00BA3852" w:rsidP="00B90FEA" w:rsidRDefault="00BA3852" w14:paraId="28E5EF76" w14:textId="29093870">
      <w:pPr>
        <w:pStyle w:val="JuPara"/>
      </w:pPr>
      <w:r w:rsidRPr="00B90FEA">
        <w:fldChar w:fldCharType="begin"/>
      </w:r>
      <w:r w:rsidRPr="00B90FEA">
        <w:instrText xml:space="preserve"> SEQ level0 \*arabic </w:instrText>
      </w:r>
      <w:r w:rsidRPr="00B90FEA">
        <w:fldChar w:fldCharType="separate"/>
      </w:r>
      <w:r w:rsidRPr="00B90FEA" w:rsidR="00B90FEA">
        <w:rPr>
          <w:noProof/>
        </w:rPr>
        <w:t>42</w:t>
      </w:r>
      <w:r w:rsidRPr="00B90FEA">
        <w:fldChar w:fldCharType="end"/>
      </w:r>
      <w:r w:rsidRPr="00B90FEA">
        <w:t xml:space="preserve">.  The Russian Government did not make any submissions on the merits of this complaint. Their position was that they did not have “jurisdiction” in the territory of the “MRT” and that they were therefore not </w:t>
      </w:r>
      <w:proofErr w:type="gramStart"/>
      <w:r w:rsidRPr="00B90FEA">
        <w:t>in a position</w:t>
      </w:r>
      <w:proofErr w:type="gramEnd"/>
      <w:r w:rsidRPr="00B90FEA">
        <w:t xml:space="preserve"> to make any observations on the merits of the case.</w:t>
      </w:r>
    </w:p>
    <w:p w:rsidRPr="00B90FEA" w:rsidR="00BA3852" w:rsidP="00B90FEA" w:rsidRDefault="00BA3852" w14:paraId="18204F1F" w14:textId="779B841E">
      <w:pPr>
        <w:pStyle w:val="JuPara"/>
      </w:pPr>
      <w:r w:rsidRPr="00B90FEA">
        <w:fldChar w:fldCharType="begin"/>
      </w:r>
      <w:r w:rsidRPr="00B90FEA">
        <w:instrText xml:space="preserve"> SEQ level0 \*arabic </w:instrText>
      </w:r>
      <w:r w:rsidRPr="00B90FEA">
        <w:fldChar w:fldCharType="separate"/>
      </w:r>
      <w:r w:rsidRPr="00B90FEA" w:rsidR="00B90FEA">
        <w:rPr>
          <w:noProof/>
        </w:rPr>
        <w:t>43</w:t>
      </w:r>
      <w:r w:rsidRPr="00B90FEA">
        <w:fldChar w:fldCharType="end"/>
      </w:r>
      <w:r w:rsidRPr="00B90FEA">
        <w:t>.  It is undisputed that the applicants</w:t>
      </w:r>
      <w:r w:rsidRPr="00B90FEA" w:rsidR="00B90FEA">
        <w:t>’</w:t>
      </w:r>
      <w:r w:rsidRPr="00B90FEA">
        <w:t xml:space="preserve"> eviction from their apartment constituted an interference with their right to respect for their home. An interference will contravene Article 8 unless it is “in accordance with the law”, pursues one or more of the legitimate aims referred to in paragraph 2, and is “necessary in a democratic society” in order to achieve the aim or aims (see </w:t>
      </w:r>
      <w:proofErr w:type="spellStart"/>
      <w:r w:rsidRPr="00B90FEA">
        <w:rPr>
          <w:i/>
          <w:iCs/>
        </w:rPr>
        <w:t>Labita</w:t>
      </w:r>
      <w:proofErr w:type="spellEnd"/>
      <w:r w:rsidRPr="00B90FEA">
        <w:rPr>
          <w:i/>
          <w:iCs/>
        </w:rPr>
        <w:t xml:space="preserve"> v. Italy</w:t>
      </w:r>
      <w:r w:rsidRPr="00B90FEA">
        <w:t xml:space="preserve"> [GC], no. 26772/95, § 179, ECHR 2000</w:t>
      </w:r>
      <w:r w:rsidRPr="00B90FEA">
        <w:noBreakHyphen/>
        <w:t xml:space="preserve">IV; and </w:t>
      </w:r>
      <w:proofErr w:type="spellStart"/>
      <w:r w:rsidRPr="00B90FEA">
        <w:rPr>
          <w:i/>
          <w:iCs/>
        </w:rPr>
        <w:t>Idalov</w:t>
      </w:r>
      <w:proofErr w:type="spellEnd"/>
      <w:r w:rsidRPr="00B90FEA">
        <w:rPr>
          <w:i/>
          <w:iCs/>
        </w:rPr>
        <w:t xml:space="preserve"> v. Russia</w:t>
      </w:r>
      <w:r w:rsidRPr="00B90FEA">
        <w:t xml:space="preserve"> [GC], no. 5826/03, § 200, 22 May 2012).</w:t>
      </w:r>
    </w:p>
    <w:p w:rsidRPr="00B90FEA" w:rsidR="00BA3852" w:rsidP="00B90FEA" w:rsidRDefault="00BA3852" w14:paraId="2A881627" w14:textId="00945F5F">
      <w:pPr>
        <w:pStyle w:val="JuPara"/>
      </w:pPr>
      <w:r w:rsidRPr="00B90FEA">
        <w:fldChar w:fldCharType="begin"/>
      </w:r>
      <w:r w:rsidRPr="00B90FEA">
        <w:instrText xml:space="preserve"> SEQ level0 \*arabic </w:instrText>
      </w:r>
      <w:r w:rsidRPr="00B90FEA">
        <w:fldChar w:fldCharType="separate"/>
      </w:r>
      <w:r w:rsidRPr="00B90FEA" w:rsidR="00B90FEA">
        <w:rPr>
          <w:noProof/>
        </w:rPr>
        <w:t>44</w:t>
      </w:r>
      <w:r w:rsidRPr="00B90FEA">
        <w:fldChar w:fldCharType="end"/>
      </w:r>
      <w:r w:rsidRPr="00B90FEA">
        <w:t xml:space="preserve">.  The Court notes that the parties did not dispute the fact that the apartment in which the applicants used to live for more than twenty years constituted a possession for the purposes of Article 1 of Protocol No. 1 to the Convention. </w:t>
      </w:r>
      <w:proofErr w:type="gramStart"/>
      <w:r w:rsidRPr="00B90FEA">
        <w:t>It</w:t>
      </w:r>
      <w:proofErr w:type="gramEnd"/>
      <w:r w:rsidRPr="00B90FEA">
        <w:t xml:space="preserve"> further notes that it is similarly undisputed that the applicants</w:t>
      </w:r>
      <w:r w:rsidRPr="00B90FEA" w:rsidR="00B90FEA">
        <w:t>’</w:t>
      </w:r>
      <w:r w:rsidRPr="00B90FEA">
        <w:t xml:space="preserve"> eviction from that apartment amounted to an interference with their right to the peaceful enjoyment of their possessions for the purposes of Article 1 of Protocol No. 1 to the Convention. According to the Court</w:t>
      </w:r>
      <w:r w:rsidRPr="00B90FEA" w:rsidR="00B90FEA">
        <w:t>’</w:t>
      </w:r>
      <w:r w:rsidRPr="00B90FEA">
        <w:t xml:space="preserve">s case-law (see among other authorities, </w:t>
      </w:r>
      <w:proofErr w:type="spellStart"/>
      <w:r w:rsidRPr="00B90FEA">
        <w:rPr>
          <w:i/>
        </w:rPr>
        <w:t>Bosphorus</w:t>
      </w:r>
      <w:proofErr w:type="spellEnd"/>
      <w:r w:rsidRPr="00B90FEA">
        <w:rPr>
          <w:i/>
        </w:rPr>
        <w:t xml:space="preserve"> </w:t>
      </w:r>
      <w:proofErr w:type="spellStart"/>
      <w:r w:rsidRPr="00B90FEA">
        <w:rPr>
          <w:i/>
        </w:rPr>
        <w:t>Hava</w:t>
      </w:r>
      <w:proofErr w:type="spellEnd"/>
      <w:r w:rsidRPr="00B90FEA">
        <w:rPr>
          <w:i/>
        </w:rPr>
        <w:t xml:space="preserve"> </w:t>
      </w:r>
      <w:proofErr w:type="spellStart"/>
      <w:r w:rsidRPr="00B90FEA">
        <w:rPr>
          <w:i/>
        </w:rPr>
        <w:t>Yolları</w:t>
      </w:r>
      <w:proofErr w:type="spellEnd"/>
      <w:r w:rsidRPr="00B90FEA">
        <w:rPr>
          <w:i/>
        </w:rPr>
        <w:t xml:space="preserve"> </w:t>
      </w:r>
      <w:proofErr w:type="spellStart"/>
      <w:r w:rsidRPr="00B90FEA">
        <w:rPr>
          <w:i/>
        </w:rPr>
        <w:t>Turizm</w:t>
      </w:r>
      <w:proofErr w:type="spellEnd"/>
      <w:r w:rsidRPr="00B90FEA">
        <w:rPr>
          <w:i/>
        </w:rPr>
        <w:t xml:space="preserve"> </w:t>
      </w:r>
      <w:proofErr w:type="spellStart"/>
      <w:r w:rsidRPr="00B90FEA">
        <w:rPr>
          <w:i/>
        </w:rPr>
        <w:t>ve</w:t>
      </w:r>
      <w:proofErr w:type="spellEnd"/>
      <w:r w:rsidRPr="00B90FEA">
        <w:rPr>
          <w:i/>
        </w:rPr>
        <w:t xml:space="preserve"> </w:t>
      </w:r>
      <w:proofErr w:type="spellStart"/>
      <w:r w:rsidRPr="00B90FEA">
        <w:rPr>
          <w:i/>
        </w:rPr>
        <w:t>Ticaret</w:t>
      </w:r>
      <w:proofErr w:type="spellEnd"/>
      <w:r w:rsidRPr="00B90FEA">
        <w:rPr>
          <w:i/>
        </w:rPr>
        <w:t xml:space="preserve"> </w:t>
      </w:r>
      <w:proofErr w:type="spellStart"/>
      <w:r w:rsidRPr="00B90FEA">
        <w:rPr>
          <w:i/>
        </w:rPr>
        <w:t>Anonim</w:t>
      </w:r>
      <w:proofErr w:type="spellEnd"/>
      <w:r w:rsidRPr="00B90FEA">
        <w:rPr>
          <w:i/>
        </w:rPr>
        <w:t xml:space="preserve"> </w:t>
      </w:r>
      <w:proofErr w:type="spellStart"/>
      <w:r w:rsidRPr="00B90FEA">
        <w:rPr>
          <w:i/>
        </w:rPr>
        <w:t>Şirketi</w:t>
      </w:r>
      <w:proofErr w:type="spellEnd"/>
      <w:r w:rsidRPr="00B90FEA">
        <w:rPr>
          <w:i/>
        </w:rPr>
        <w:t xml:space="preserve"> v. Ireland</w:t>
      </w:r>
      <w:r w:rsidRPr="00B90FEA">
        <w:t xml:space="preserve"> [GC], no. 45036/98, § 142, ECHR 2005</w:t>
      </w:r>
      <w:r w:rsidRPr="00B90FEA">
        <w:noBreakHyphen/>
        <w:t xml:space="preserve">VI), such interference constitutes a measure of control of the use of property which falls to be examined under the second paragraph of that Article. For a measure constituting control of use to be justified, it must be lawful (see </w:t>
      </w:r>
      <w:proofErr w:type="spellStart"/>
      <w:r w:rsidRPr="00B90FEA">
        <w:rPr>
          <w:i/>
        </w:rPr>
        <w:t>Katsaros</w:t>
      </w:r>
      <w:proofErr w:type="spellEnd"/>
      <w:r w:rsidRPr="00B90FEA">
        <w:rPr>
          <w:i/>
        </w:rPr>
        <w:t xml:space="preserve"> v. Greece</w:t>
      </w:r>
      <w:r w:rsidRPr="00B90FEA">
        <w:t xml:space="preserve">, no. 51473/99, § 43, 6 June 2002; </w:t>
      </w:r>
      <w:r w:rsidRPr="00B90FEA">
        <w:rPr>
          <w:i/>
        </w:rPr>
        <w:t>Herrmann v. Germany</w:t>
      </w:r>
      <w:r w:rsidRPr="00B90FEA">
        <w:t xml:space="preserve"> [GC], </w:t>
      </w:r>
      <w:r w:rsidRPr="00B90FEA">
        <w:rPr>
          <w:snapToGrid w:val="0"/>
        </w:rPr>
        <w:t>no.</w:t>
      </w:r>
      <w:r w:rsidRPr="00B90FEA">
        <w:t> 9300/07</w:t>
      </w:r>
      <w:r w:rsidRPr="00B90FEA">
        <w:rPr>
          <w:snapToGrid w:val="0"/>
        </w:rPr>
        <w:t xml:space="preserve">, § 74, 26 June 2012; </w:t>
      </w:r>
      <w:r w:rsidRPr="00B90FEA">
        <w:rPr>
          <w:i/>
        </w:rPr>
        <w:t xml:space="preserve">Centro Europa 7 </w:t>
      </w:r>
      <w:r w:rsidRPr="00B90FEA">
        <w:rPr>
          <w:i/>
          <w:snapToGrid w:val="0"/>
        </w:rPr>
        <w:t>S.R.L.</w:t>
      </w:r>
      <w:r w:rsidRPr="00B90FEA">
        <w:rPr>
          <w:i/>
        </w:rPr>
        <w:t xml:space="preserve"> and Di Stefano v. Italy</w:t>
      </w:r>
      <w:r w:rsidRPr="00B90FEA">
        <w:t xml:space="preserve"> [GC], no. 38433/09</w:t>
      </w:r>
      <w:r w:rsidRPr="00B90FEA">
        <w:rPr>
          <w:snapToGrid w:val="0"/>
        </w:rPr>
        <w:t>, § 187, ECHR 2012</w:t>
      </w:r>
      <w:r w:rsidRPr="00B90FEA">
        <w:t xml:space="preserve">) and “in accordance with the general interest”. The measure must also be proportionate to the aim pursued; however, it is only necessary to examine the proportionality of an interference once its lawfulness has been established (see </w:t>
      </w:r>
      <w:proofErr w:type="spellStart"/>
      <w:r w:rsidRPr="00B90FEA">
        <w:rPr>
          <w:i/>
        </w:rPr>
        <w:t>Katsaros</w:t>
      </w:r>
      <w:proofErr w:type="spellEnd"/>
      <w:r w:rsidRPr="00B90FEA">
        <w:t>, cited above, § 43).</w:t>
      </w:r>
    </w:p>
    <w:p w:rsidRPr="00B90FEA" w:rsidR="00BA3852" w:rsidP="00B90FEA" w:rsidRDefault="00BA3852" w14:paraId="41C6B15B" w14:textId="5165191C">
      <w:pPr>
        <w:pStyle w:val="JuPara"/>
      </w:pPr>
      <w:r w:rsidRPr="00B90FEA">
        <w:fldChar w:fldCharType="begin"/>
      </w:r>
      <w:r w:rsidRPr="00B90FEA">
        <w:instrText xml:space="preserve"> SEQ level0 \*arabic </w:instrText>
      </w:r>
      <w:r w:rsidRPr="00B90FEA">
        <w:fldChar w:fldCharType="separate"/>
      </w:r>
      <w:r w:rsidRPr="00B90FEA" w:rsidR="00B90FEA">
        <w:rPr>
          <w:noProof/>
        </w:rPr>
        <w:t>45</w:t>
      </w:r>
      <w:r w:rsidRPr="00B90FEA">
        <w:fldChar w:fldCharType="end"/>
      </w:r>
      <w:r w:rsidRPr="00B90FEA">
        <w:t>.  In so far as the lawfulness of the above interferences with the applicants</w:t>
      </w:r>
      <w:r w:rsidRPr="00B90FEA" w:rsidR="00B90FEA">
        <w:t>’</w:t>
      </w:r>
      <w:r w:rsidRPr="00B90FEA">
        <w:t xml:space="preserve"> rights under both Article 8 and Article 1 of Protocol No. 1 is concerned, no elements in the present case allow the Court to consider that there was a legal basis for evicting the applicants from their apartment. Given the circumstances, the Court concludes that the interferences in question were not lawful under domestic law. Accordingly, there has been a violation of Article 8 of the Convention and of Article 1 of Protocol No.</w:t>
      </w:r>
      <w:r w:rsidRPr="00B90FEA" w:rsidR="00605F4D">
        <w:t> </w:t>
      </w:r>
      <w:r w:rsidRPr="00B90FEA">
        <w:t>1 to the Convention.</w:t>
      </w:r>
      <w:bookmarkStart w:name="p_93_MDA_responsib_Art_3_start" w:id="3"/>
    </w:p>
    <w:p w:rsidRPr="00B90FEA" w:rsidR="00BA3852" w:rsidP="00B90FEA" w:rsidRDefault="00BA3852" w14:paraId="7E8ECC11" w14:textId="6D9D5A26">
      <w:pPr>
        <w:pStyle w:val="JuPara"/>
      </w:pPr>
      <w:r w:rsidRPr="00B90FEA">
        <w:fldChar w:fldCharType="begin"/>
      </w:r>
      <w:r w:rsidRPr="00B90FEA">
        <w:instrText xml:space="preserve"> SEQ level0 \*arabic </w:instrText>
      </w:r>
      <w:r w:rsidRPr="00B90FEA">
        <w:fldChar w:fldCharType="separate"/>
      </w:r>
      <w:r w:rsidRPr="00B90FEA" w:rsidR="00B90FEA">
        <w:rPr>
          <w:noProof/>
        </w:rPr>
        <w:t>46</w:t>
      </w:r>
      <w:r w:rsidRPr="00B90FEA">
        <w:fldChar w:fldCharType="end"/>
      </w:r>
      <w:r w:rsidRPr="00B90FEA">
        <w:t>.  For the same reasons as those given in respect of the complaint under Article 6 § 1 of the Convention (see paragraphs 32-33 above), the Court finds that there has been no violation of Article 8 of the Convention and of Article 1 of Protocol No. 1 to the Convention by the Republic of Moldova.</w:t>
      </w:r>
      <w:bookmarkStart w:name="p_184_breach_Art_3" w:id="4"/>
      <w:bookmarkEnd w:id="3"/>
    </w:p>
    <w:bookmarkEnd w:id="4"/>
    <w:p w:rsidRPr="00B90FEA" w:rsidR="00BA3852" w:rsidP="00B90FEA" w:rsidRDefault="00BA3852" w14:paraId="4737AA7A" w14:textId="439D551D">
      <w:pPr>
        <w:pStyle w:val="JuPara"/>
      </w:pPr>
      <w:r w:rsidRPr="00B90FEA">
        <w:fldChar w:fldCharType="begin"/>
      </w:r>
      <w:r w:rsidRPr="00B90FEA">
        <w:instrText xml:space="preserve"> SEQ level0 \*arabic </w:instrText>
      </w:r>
      <w:r w:rsidRPr="00B90FEA">
        <w:fldChar w:fldCharType="separate"/>
      </w:r>
      <w:r w:rsidRPr="00B90FEA" w:rsidR="00B90FEA">
        <w:rPr>
          <w:noProof/>
        </w:rPr>
        <w:t>47</w:t>
      </w:r>
      <w:r w:rsidRPr="00B90FEA">
        <w:fldChar w:fldCharType="end"/>
      </w:r>
      <w:r w:rsidRPr="00B90FEA">
        <w:t>.  For the same reasons as those given in the same context (see paragraph 35), the Court finds that there has been a violation of Article 8 of the Convention and of Article 1 of Protocol No. 1 to the Convention by the Russian Federation.</w:t>
      </w:r>
    </w:p>
    <w:p w:rsidRPr="00B90FEA" w:rsidR="00BA3852" w:rsidP="00B90FEA" w:rsidRDefault="00BA3852" w14:paraId="3D93DF5D" w14:textId="77777777">
      <w:pPr>
        <w:pStyle w:val="JuHIRoman"/>
      </w:pPr>
      <w:r w:rsidRPr="00B90FEA">
        <w:t>APPLICATION OF ARTICLE 41 OF THE CONVENTION</w:t>
      </w:r>
    </w:p>
    <w:p w:rsidRPr="00B90FEA" w:rsidR="00BA3852" w:rsidP="00B90FEA" w:rsidRDefault="00BA3852" w14:paraId="6CECD2D7" w14:textId="3178C8FE">
      <w:pPr>
        <w:pStyle w:val="JuPara"/>
        <w:keepNext/>
        <w:keepLines/>
      </w:pPr>
      <w:r w:rsidRPr="00B90FEA">
        <w:fldChar w:fldCharType="begin"/>
      </w:r>
      <w:r w:rsidRPr="00B90FEA">
        <w:instrText xml:space="preserve"> SEQ level0 \*arabic </w:instrText>
      </w:r>
      <w:r w:rsidRPr="00B90FEA">
        <w:fldChar w:fldCharType="separate"/>
      </w:r>
      <w:r w:rsidRPr="00B90FEA" w:rsidR="00B90FEA">
        <w:rPr>
          <w:noProof/>
        </w:rPr>
        <w:t>48</w:t>
      </w:r>
      <w:r w:rsidRPr="00B90FEA">
        <w:fldChar w:fldCharType="end"/>
      </w:r>
      <w:r w:rsidRPr="00B90FEA">
        <w:t>.  Article 41 of the Convention provides:</w:t>
      </w:r>
    </w:p>
    <w:p w:rsidRPr="00B90FEA" w:rsidR="00BA3852" w:rsidP="00B90FEA" w:rsidRDefault="00BA3852" w14:paraId="54617D10" w14:textId="77777777">
      <w:pPr>
        <w:pStyle w:val="JuQuot"/>
      </w:pPr>
      <w:r w:rsidRPr="00B90FE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90FEA" w:rsidR="00BA3852" w:rsidP="00B90FEA" w:rsidRDefault="00BA3852" w14:paraId="3B07AB80" w14:textId="77777777">
      <w:pPr>
        <w:pStyle w:val="JuHA"/>
      </w:pPr>
      <w:r w:rsidRPr="00B90FEA">
        <w:t>Damage</w:t>
      </w:r>
    </w:p>
    <w:p w:rsidRPr="00B90FEA" w:rsidR="00BA3852" w:rsidP="00B90FEA" w:rsidRDefault="00BA3852" w14:paraId="304B1B6D" w14:textId="73D845BD">
      <w:pPr>
        <w:pStyle w:val="JuPara"/>
      </w:pPr>
      <w:r w:rsidRPr="00B90FEA">
        <w:fldChar w:fldCharType="begin"/>
      </w:r>
      <w:r w:rsidRPr="00B90FEA">
        <w:instrText xml:space="preserve"> SEQ level0 \*arabic </w:instrText>
      </w:r>
      <w:r w:rsidRPr="00B90FEA">
        <w:fldChar w:fldCharType="separate"/>
      </w:r>
      <w:r w:rsidRPr="00B90FEA" w:rsidR="00B90FEA">
        <w:rPr>
          <w:noProof/>
        </w:rPr>
        <w:t>49</w:t>
      </w:r>
      <w:r w:rsidRPr="00B90FEA">
        <w:fldChar w:fldCharType="end"/>
      </w:r>
      <w:r w:rsidRPr="00B90FEA">
        <w:t>.  The applicants claimed 25,000 euros (EUR) in respect of pecuniary damage, the amount representing the price of the apartment from which they had been evicted. They also claimed EUR 20,000 for non-pecuniary damage.</w:t>
      </w:r>
    </w:p>
    <w:p w:rsidRPr="00B90FEA" w:rsidR="00BA3852" w:rsidP="00B90FEA" w:rsidRDefault="00BA3852" w14:paraId="4C67FAD7" w14:textId="7B3D19DF">
      <w:pPr>
        <w:pStyle w:val="JuPara"/>
      </w:pPr>
      <w:r w:rsidRPr="00B90FEA">
        <w:fldChar w:fldCharType="begin"/>
      </w:r>
      <w:r w:rsidRPr="00B90FEA">
        <w:instrText xml:space="preserve"> SEQ level0 \*arabic </w:instrText>
      </w:r>
      <w:r w:rsidRPr="00B90FEA">
        <w:fldChar w:fldCharType="separate"/>
      </w:r>
      <w:r w:rsidRPr="00B90FEA" w:rsidR="00B90FEA">
        <w:rPr>
          <w:noProof/>
        </w:rPr>
        <w:t>50</w:t>
      </w:r>
      <w:r w:rsidRPr="00B90FEA">
        <w:fldChar w:fldCharType="end"/>
      </w:r>
      <w:r w:rsidRPr="00B90FEA">
        <w:t>.  The respondent Governments argued that they were not responsible and should not be ordered to pay any damages to the applicants.</w:t>
      </w:r>
    </w:p>
    <w:p w:rsidRPr="00B90FEA" w:rsidR="00BA3852" w:rsidP="00B90FEA" w:rsidRDefault="00BA3852" w14:paraId="4C0EE691" w14:textId="2DC7A023">
      <w:pPr>
        <w:pStyle w:val="JuPara"/>
      </w:pPr>
      <w:r w:rsidRPr="00B90FEA">
        <w:fldChar w:fldCharType="begin"/>
      </w:r>
      <w:r w:rsidRPr="00B90FEA">
        <w:instrText xml:space="preserve"> SEQ level0 \*arabic </w:instrText>
      </w:r>
      <w:r w:rsidRPr="00B90FEA">
        <w:fldChar w:fldCharType="separate"/>
      </w:r>
      <w:r w:rsidRPr="00B90FEA" w:rsidR="00B90FEA">
        <w:rPr>
          <w:noProof/>
        </w:rPr>
        <w:t>51</w:t>
      </w:r>
      <w:r w:rsidRPr="00B90FEA">
        <w:fldChar w:fldCharType="end"/>
      </w:r>
      <w:r w:rsidRPr="00B90FEA">
        <w:t>.  The Court notes that the applicants did not own the apartment in dispute and therefore considers that they are not entitled to its value; it therefore rejects the applicants</w:t>
      </w:r>
      <w:r w:rsidRPr="00B90FEA" w:rsidR="00B90FEA">
        <w:t>’</w:t>
      </w:r>
      <w:r w:rsidRPr="00B90FEA">
        <w:t xml:space="preserve"> claim for pecuniary damage. On the other hand, it awards the applicants EUR 12,500 in respect of non-pecuniary damage, plus any tax that may be chargeable, to be paid by the Russian Federation.</w:t>
      </w:r>
    </w:p>
    <w:p w:rsidRPr="00B90FEA" w:rsidR="00BA3852" w:rsidP="00B90FEA" w:rsidRDefault="00BA3852" w14:paraId="72B0280F" w14:textId="77777777">
      <w:pPr>
        <w:pStyle w:val="JuHA"/>
      </w:pPr>
      <w:bookmarkStart w:name="_Hlk68783611" w:id="5"/>
      <w:r w:rsidRPr="00B90FEA">
        <w:t>Costs and expenses</w:t>
      </w:r>
    </w:p>
    <w:p w:rsidRPr="00B90FEA" w:rsidR="00BA3852" w:rsidP="00B90FEA" w:rsidRDefault="00BA3852" w14:paraId="6AFDAA0D" w14:textId="05A3784B">
      <w:pPr>
        <w:pStyle w:val="JuPara"/>
      </w:pPr>
      <w:r w:rsidRPr="00B90FEA">
        <w:fldChar w:fldCharType="begin"/>
      </w:r>
      <w:r w:rsidRPr="00B90FEA">
        <w:instrText xml:space="preserve"> SEQ level0 \*arabic </w:instrText>
      </w:r>
      <w:r w:rsidRPr="00B90FEA">
        <w:fldChar w:fldCharType="separate"/>
      </w:r>
      <w:r w:rsidRPr="00B90FEA" w:rsidR="00B90FEA">
        <w:rPr>
          <w:noProof/>
        </w:rPr>
        <w:t>52</w:t>
      </w:r>
      <w:r w:rsidRPr="00B90FEA">
        <w:fldChar w:fldCharType="end"/>
      </w:r>
      <w:r w:rsidRPr="00B90FEA">
        <w:t>.  The applicants also claimed EUR 9,824 for the costs and expenses incurred before the Court.</w:t>
      </w:r>
    </w:p>
    <w:p w:rsidRPr="00B90FEA" w:rsidR="00BA3852" w:rsidP="00B90FEA" w:rsidRDefault="00BA3852" w14:paraId="2071B66D" w14:textId="2D86F164">
      <w:pPr>
        <w:pStyle w:val="JuPara"/>
      </w:pPr>
      <w:r w:rsidRPr="00B90FEA">
        <w:fldChar w:fldCharType="begin"/>
      </w:r>
      <w:r w:rsidRPr="00B90FEA">
        <w:instrText xml:space="preserve"> SEQ level0 \*arabic </w:instrText>
      </w:r>
      <w:r w:rsidRPr="00B90FEA">
        <w:fldChar w:fldCharType="separate"/>
      </w:r>
      <w:r w:rsidRPr="00B90FEA" w:rsidR="00B90FEA">
        <w:rPr>
          <w:noProof/>
        </w:rPr>
        <w:t>53</w:t>
      </w:r>
      <w:r w:rsidRPr="00B90FEA">
        <w:fldChar w:fldCharType="end"/>
      </w:r>
      <w:r w:rsidRPr="00B90FEA">
        <w:t>.  The respondent Governments considered the above claim to be excessive.</w:t>
      </w:r>
    </w:p>
    <w:p w:rsidRPr="00B90FEA" w:rsidR="00BA3852" w:rsidP="00B90FEA" w:rsidRDefault="00BA3852" w14:paraId="45703742" w14:textId="3A471C79">
      <w:pPr>
        <w:pStyle w:val="JuPara"/>
      </w:pPr>
      <w:r w:rsidRPr="00B90FEA">
        <w:fldChar w:fldCharType="begin"/>
      </w:r>
      <w:r w:rsidRPr="00B90FEA">
        <w:instrText xml:space="preserve"> SEQ level0 \*arabic </w:instrText>
      </w:r>
      <w:r w:rsidRPr="00B90FEA">
        <w:fldChar w:fldCharType="separate"/>
      </w:r>
      <w:r w:rsidRPr="00B90FEA" w:rsidR="00B90FEA">
        <w:rPr>
          <w:noProof/>
        </w:rPr>
        <w:t>54</w:t>
      </w:r>
      <w:r w:rsidRPr="00B90FEA">
        <w:fldChar w:fldCharType="end"/>
      </w:r>
      <w:r w:rsidRPr="00B90FEA">
        <w:t>.  Regard being had to the documents in its possession such as the contract between the applicants and their lawyer and the detailed time-sheet, the Court considers it reasonable to award the sum of EUR 3,000 for costs and expenses, to be paid by the Russian Federation.</w:t>
      </w:r>
      <w:bookmarkEnd w:id="5"/>
    </w:p>
    <w:p w:rsidRPr="00B90FEA" w:rsidR="00BA3852" w:rsidP="00B90FEA" w:rsidRDefault="00BA3852" w14:paraId="7D04B9A3" w14:textId="77777777">
      <w:pPr>
        <w:pStyle w:val="JuHA"/>
      </w:pPr>
      <w:r w:rsidRPr="00B90FEA">
        <w:t>Default interest</w:t>
      </w:r>
    </w:p>
    <w:p w:rsidRPr="00B90FEA" w:rsidR="00BA3852" w:rsidP="00B90FEA" w:rsidRDefault="00BA3852" w14:paraId="39529A2D" w14:textId="682E565E">
      <w:pPr>
        <w:pStyle w:val="JuPara"/>
      </w:pPr>
      <w:r w:rsidRPr="00B90FEA">
        <w:fldChar w:fldCharType="begin"/>
      </w:r>
      <w:r w:rsidRPr="00B90FEA">
        <w:instrText xml:space="preserve"> SEQ level0 \*arabic </w:instrText>
      </w:r>
      <w:r w:rsidRPr="00B90FEA">
        <w:fldChar w:fldCharType="separate"/>
      </w:r>
      <w:r w:rsidRPr="00B90FEA" w:rsidR="00B90FEA">
        <w:rPr>
          <w:noProof/>
        </w:rPr>
        <w:t>55</w:t>
      </w:r>
      <w:r w:rsidRPr="00B90FEA">
        <w:fldChar w:fldCharType="end"/>
      </w:r>
      <w:r w:rsidRPr="00B90FEA">
        <w:t>.  The Court considers it appropriate that the default interest rate should be based on the marginal lending rate of the European Central Bank, to which should be added three percentage points.</w:t>
      </w:r>
    </w:p>
    <w:p w:rsidRPr="00B90FEA" w:rsidR="00BA3852" w:rsidP="00B90FEA" w:rsidRDefault="00BA3852" w14:paraId="30F182D8" w14:textId="77777777">
      <w:pPr>
        <w:pStyle w:val="JuHHead"/>
      </w:pPr>
      <w:r w:rsidRPr="00B90FEA">
        <w:t>FOR THESE REASONS, THE COURT</w:t>
      </w:r>
    </w:p>
    <w:p w:rsidRPr="00B90FEA" w:rsidR="00BA3852" w:rsidP="00B90FEA" w:rsidRDefault="00BA3852" w14:paraId="3C3571C9" w14:textId="77777777">
      <w:pPr>
        <w:pStyle w:val="JuList"/>
      </w:pPr>
      <w:r w:rsidRPr="00B90FEA">
        <w:rPr>
          <w:i/>
        </w:rPr>
        <w:t>Declares</w:t>
      </w:r>
      <w:r w:rsidRPr="00B90FEA">
        <w:t xml:space="preserve"> the application admissible in respect of the Republic of </w:t>
      </w:r>
      <w:proofErr w:type="gramStart"/>
      <w:r w:rsidRPr="00B90FEA">
        <w:t>Moldova;</w:t>
      </w:r>
      <w:proofErr w:type="gramEnd"/>
    </w:p>
    <w:p w:rsidRPr="00B90FEA" w:rsidR="00BA3852" w:rsidP="00B90FEA" w:rsidRDefault="00BA3852" w14:paraId="695AF346" w14:textId="77777777">
      <w:pPr>
        <w:pStyle w:val="JuList"/>
      </w:pPr>
      <w:r w:rsidRPr="00B90FEA">
        <w:rPr>
          <w:i/>
        </w:rPr>
        <w:t xml:space="preserve">Declares </w:t>
      </w:r>
      <w:r w:rsidRPr="00B90FEA">
        <w:t xml:space="preserve">the application admissible in respect of the Russian </w:t>
      </w:r>
      <w:proofErr w:type="gramStart"/>
      <w:r w:rsidRPr="00B90FEA">
        <w:t>Federation;</w:t>
      </w:r>
      <w:proofErr w:type="gramEnd"/>
    </w:p>
    <w:p w:rsidRPr="00B90FEA" w:rsidR="00BA3852" w:rsidP="00B90FEA" w:rsidRDefault="00BA3852" w14:paraId="6133BAAA" w14:textId="77777777">
      <w:pPr>
        <w:pStyle w:val="JuList"/>
      </w:pPr>
      <w:r w:rsidRPr="00B90FEA">
        <w:rPr>
          <w:i/>
        </w:rPr>
        <w:t>Holds</w:t>
      </w:r>
      <w:r w:rsidRPr="00B90FEA">
        <w:t xml:space="preserve"> that there has been no violation of Articles 6 </w:t>
      </w:r>
      <w:r w:rsidRPr="00B90FEA">
        <w:rPr>
          <w:rFonts w:cstheme="minorHAnsi"/>
        </w:rPr>
        <w:t>§</w:t>
      </w:r>
      <w:r w:rsidRPr="00B90FEA">
        <w:t xml:space="preserve"> 1 and 8 of the Convention and Article 1 of Protocol No. 1 to the Convention by the Republic of Moldova.</w:t>
      </w:r>
    </w:p>
    <w:p w:rsidRPr="00B90FEA" w:rsidR="00BA3852" w:rsidP="00B90FEA" w:rsidRDefault="00BA3852" w14:paraId="188CFDBA" w14:textId="77777777">
      <w:pPr>
        <w:pStyle w:val="JuList"/>
      </w:pPr>
      <w:r w:rsidRPr="00B90FEA">
        <w:rPr>
          <w:i/>
        </w:rPr>
        <w:t>Holds</w:t>
      </w:r>
      <w:r w:rsidRPr="00B90FEA">
        <w:t xml:space="preserve"> that there has been a violation </w:t>
      </w:r>
      <w:bookmarkStart w:name="_Hlk68678610" w:id="6"/>
      <w:r w:rsidRPr="00B90FEA">
        <w:t xml:space="preserve">of Article 6 </w:t>
      </w:r>
      <w:r w:rsidRPr="00B90FEA">
        <w:rPr>
          <w:rFonts w:cstheme="minorHAnsi"/>
        </w:rPr>
        <w:t>§</w:t>
      </w:r>
      <w:r w:rsidRPr="00B90FEA">
        <w:t xml:space="preserve"> 1 of the Convention by the Russian </w:t>
      </w:r>
      <w:proofErr w:type="gramStart"/>
      <w:r w:rsidRPr="00B90FEA">
        <w:t>Federation;</w:t>
      </w:r>
      <w:proofErr w:type="gramEnd"/>
    </w:p>
    <w:bookmarkEnd w:id="6"/>
    <w:p w:rsidRPr="00B90FEA" w:rsidR="00BA3852" w:rsidP="00B90FEA" w:rsidRDefault="00BA3852" w14:paraId="73EE869C" w14:textId="77777777">
      <w:pPr>
        <w:pStyle w:val="JuList"/>
      </w:pPr>
      <w:r w:rsidRPr="00B90FEA">
        <w:rPr>
          <w:i/>
        </w:rPr>
        <w:t>Holds</w:t>
      </w:r>
      <w:r w:rsidRPr="00B90FEA">
        <w:rPr>
          <w:color w:val="000000"/>
        </w:rPr>
        <w:t xml:space="preserve"> </w:t>
      </w:r>
      <w:r w:rsidRPr="00B90FEA">
        <w:t xml:space="preserve">that there has been a violation of Article 8 of the Convention by the Russian </w:t>
      </w:r>
      <w:proofErr w:type="gramStart"/>
      <w:r w:rsidRPr="00B90FEA">
        <w:t>Federation;</w:t>
      </w:r>
      <w:proofErr w:type="gramEnd"/>
    </w:p>
    <w:p w:rsidRPr="00B90FEA" w:rsidR="00BA3852" w:rsidP="00B90FEA" w:rsidRDefault="00BA3852" w14:paraId="20AEF7CC" w14:textId="77777777">
      <w:pPr>
        <w:pStyle w:val="JuList"/>
      </w:pPr>
      <w:r w:rsidRPr="00B90FEA">
        <w:rPr>
          <w:i/>
        </w:rPr>
        <w:t>Holds</w:t>
      </w:r>
      <w:r w:rsidRPr="00B90FEA">
        <w:rPr>
          <w:color w:val="000000"/>
        </w:rPr>
        <w:t xml:space="preserve"> </w:t>
      </w:r>
      <w:r w:rsidRPr="00B90FEA">
        <w:t xml:space="preserve">that there has been a violation of Article 1 of Protocol No. 1 to the Convention by the Russian </w:t>
      </w:r>
      <w:proofErr w:type="gramStart"/>
      <w:r w:rsidRPr="00B90FEA">
        <w:t>Federation;</w:t>
      </w:r>
      <w:proofErr w:type="gramEnd"/>
    </w:p>
    <w:p w:rsidRPr="00B90FEA" w:rsidR="00BA3852" w:rsidP="00B90FEA" w:rsidRDefault="00BA3852" w14:paraId="736520F4" w14:textId="77777777">
      <w:pPr>
        <w:pStyle w:val="JuList"/>
      </w:pPr>
      <w:r w:rsidRPr="00B90FEA">
        <w:rPr>
          <w:i/>
          <w:iCs/>
        </w:rPr>
        <w:t>Holds</w:t>
      </w:r>
    </w:p>
    <w:p w:rsidRPr="00B90FEA" w:rsidR="00BA3852" w:rsidP="00B90FEA" w:rsidRDefault="00BA3852" w14:paraId="09AE144D" w14:textId="77777777">
      <w:pPr>
        <w:pStyle w:val="JuLista"/>
        <w:numPr>
          <w:ilvl w:val="1"/>
          <w:numId w:val="5"/>
        </w:numPr>
      </w:pPr>
      <w:r w:rsidRPr="00B90FEA">
        <w:t>that the Russian Federation is to pay the applicants, within three months from the date on which the judgment becomes final in accordance with Article 44 § 2 of the Convention, the following amounts:</w:t>
      </w:r>
    </w:p>
    <w:p w:rsidRPr="00B90FEA" w:rsidR="00BA3852" w:rsidP="00B90FEA" w:rsidRDefault="00BA3852" w14:paraId="764D7190" w14:textId="77777777">
      <w:pPr>
        <w:pStyle w:val="JuListi"/>
        <w:numPr>
          <w:ilvl w:val="2"/>
          <w:numId w:val="5"/>
        </w:numPr>
      </w:pPr>
      <w:r w:rsidRPr="00B90FEA">
        <w:t xml:space="preserve">EUR 12,500 (twelve thousand five hundred euros), plus any tax that may be chargeable, in respect of non-pecuniary </w:t>
      </w:r>
      <w:proofErr w:type="gramStart"/>
      <w:r w:rsidRPr="00B90FEA">
        <w:t>damage;</w:t>
      </w:r>
      <w:proofErr w:type="gramEnd"/>
    </w:p>
    <w:p w:rsidRPr="00B90FEA" w:rsidR="00BA3852" w:rsidP="00B90FEA" w:rsidRDefault="00BA3852" w14:paraId="140A85DF" w14:textId="77777777">
      <w:pPr>
        <w:pStyle w:val="JuListi"/>
        <w:numPr>
          <w:ilvl w:val="2"/>
          <w:numId w:val="5"/>
        </w:numPr>
      </w:pPr>
      <w:r w:rsidRPr="00B90FEA">
        <w:t xml:space="preserve">EUR 3,000 (three thousand euros), plus any tax that may be chargeable to the applicants, in respect of costs and </w:t>
      </w:r>
      <w:proofErr w:type="gramStart"/>
      <w:r w:rsidRPr="00B90FEA">
        <w:t>expenses;</w:t>
      </w:r>
      <w:proofErr w:type="gramEnd"/>
    </w:p>
    <w:p w:rsidRPr="00B90FEA" w:rsidR="00BA3852" w:rsidP="00B90FEA" w:rsidRDefault="00BA3852" w14:paraId="72BE667E" w14:textId="77777777">
      <w:pPr>
        <w:pStyle w:val="JuLista"/>
        <w:numPr>
          <w:ilvl w:val="1"/>
          <w:numId w:val="5"/>
        </w:numPr>
      </w:pPr>
      <w:r w:rsidRPr="00B90FEA">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B90FEA">
        <w:t>points;</w:t>
      </w:r>
      <w:proofErr w:type="gramEnd"/>
    </w:p>
    <w:p w:rsidRPr="00B90FEA" w:rsidR="004D0EC7" w:rsidP="00B90FEA" w:rsidRDefault="00BA3852" w14:paraId="0D6EEF9B" w14:textId="5377AD61">
      <w:pPr>
        <w:pStyle w:val="JuList"/>
        <w:keepNext/>
        <w:keepLines/>
      </w:pPr>
      <w:r w:rsidRPr="00B90FEA">
        <w:rPr>
          <w:i/>
        </w:rPr>
        <w:t>Dismisses</w:t>
      </w:r>
      <w:r w:rsidRPr="00B90FEA">
        <w:t xml:space="preserve"> the remainder of the applicants</w:t>
      </w:r>
      <w:r w:rsidRPr="00B90FEA" w:rsidR="00B90FEA">
        <w:t>’</w:t>
      </w:r>
      <w:r w:rsidRPr="00B90FEA">
        <w:t xml:space="preserve"> claim for just satisfaction.</w:t>
      </w:r>
    </w:p>
    <w:p w:rsidRPr="00B90FEA" w:rsidR="008E3A08" w:rsidP="00B90FEA" w:rsidRDefault="007E2C8C" w14:paraId="73EABC49" w14:textId="69B4A3CF">
      <w:pPr>
        <w:pStyle w:val="JuParaLast"/>
      </w:pPr>
      <w:r w:rsidRPr="00B90FEA">
        <w:t xml:space="preserve">Done in English, and notified in writing on </w:t>
      </w:r>
      <w:r w:rsidRPr="00B90FEA" w:rsidR="00BA3852">
        <w:rPr>
          <w:rFonts w:ascii="Times New Roman" w:hAnsi="Times New Roman" w:cs="Times New Roman"/>
        </w:rPr>
        <w:t>28 September 2021</w:t>
      </w:r>
      <w:r w:rsidRPr="00B90FEA">
        <w:t>, pursuant to Rule 77 §§ 2 and 3 of the Rules of Court.</w:t>
      </w:r>
    </w:p>
    <w:p w:rsidRPr="00B90FEA" w:rsidR="001C055B" w:rsidP="00B90FEA" w:rsidRDefault="00605F4D" w14:paraId="13F07E67" w14:textId="471FAD9A">
      <w:pPr>
        <w:pStyle w:val="JuSigned"/>
        <w:spacing w:before="960"/>
      </w:pPr>
      <w:r w:rsidRPr="00B90FEA">
        <w:tab/>
      </w:r>
      <w:r w:rsidRPr="00B90FEA" w:rsidR="00BA3852">
        <w:t xml:space="preserve">Hasan </w:t>
      </w:r>
      <w:proofErr w:type="spellStart"/>
      <w:r w:rsidRPr="00B90FEA" w:rsidR="00BA3852">
        <w:t>Bakırcı</w:t>
      </w:r>
      <w:proofErr w:type="spellEnd"/>
      <w:r w:rsidRPr="00B90FEA" w:rsidR="005879A2">
        <w:t xml:space="preserve"> </w:t>
      </w:r>
      <w:r w:rsidRPr="00B90FEA" w:rsidR="009F4C8F">
        <w:tab/>
      </w:r>
      <w:r w:rsidRPr="00B90FEA" w:rsidR="00BA3852">
        <w:t>Carlo Ranzoni</w:t>
      </w:r>
      <w:r w:rsidRPr="00B90FEA" w:rsidR="009F4C8F">
        <w:br/>
      </w:r>
      <w:r w:rsidRPr="00B90FEA" w:rsidR="009F4C8F">
        <w:tab/>
      </w:r>
      <w:r w:rsidRPr="00B90FEA" w:rsidR="00BA3852">
        <w:t xml:space="preserve">Deputy </w:t>
      </w:r>
      <w:r w:rsidRPr="00B90FEA" w:rsidR="00BA3852">
        <w:rPr>
          <w:iCs/>
        </w:rPr>
        <w:t>Registrar</w:t>
      </w:r>
      <w:r w:rsidRPr="00B90FEA" w:rsidR="009F4C8F">
        <w:tab/>
        <w:t>President</w:t>
      </w:r>
    </w:p>
    <w:p w:rsidRPr="00B90FEA" w:rsidR="00675AF2" w:rsidP="00B90FEA" w:rsidRDefault="00675AF2" w14:paraId="0C2DFB1B" w14:textId="77777777">
      <w:pPr>
        <w:pStyle w:val="JuPara"/>
      </w:pPr>
    </w:p>
    <w:p w:rsidRPr="00B90FEA" w:rsidR="00182EBA" w:rsidP="00B90FEA" w:rsidRDefault="00182EBA" w14:paraId="5C500352" w14:textId="68CF4F40"/>
    <w:sectPr w:rsidRPr="00B90FEA" w:rsidR="00182EB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AE56" w14:textId="77777777" w:rsidR="00BA3852" w:rsidRPr="00E67565" w:rsidRDefault="00BA3852" w:rsidP="0098410D">
      <w:r w:rsidRPr="00E67565">
        <w:separator/>
      </w:r>
    </w:p>
  </w:endnote>
  <w:endnote w:type="continuationSeparator" w:id="0">
    <w:p w14:paraId="1F8C531C" w14:textId="77777777" w:rsidR="00BA3852" w:rsidRPr="00E67565" w:rsidRDefault="00BA3852"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39BB9" w14:textId="77777777" w:rsidR="00BA3852" w:rsidRDefault="00BA3852">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4217" w14:textId="075E89AE" w:rsidR="00BA3852" w:rsidRPr="00150BFA" w:rsidRDefault="00BA3852" w:rsidP="0020718E">
    <w:pPr>
      <w:jc w:val="center"/>
    </w:pPr>
    <w:r>
      <w:rPr>
        <w:noProof/>
        <w:lang w:val="en-US" w:eastAsia="ja-JP"/>
      </w:rPr>
      <w:drawing>
        <wp:inline distT="0" distB="0" distL="0" distR="0" wp14:anchorId="44376188" wp14:editId="1BA56A50">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EFD3586" w14:textId="33EC329D"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3F04" w14:textId="637A2228" w:rsidR="00BA3852" w:rsidRPr="00150BFA" w:rsidRDefault="00BA3852" w:rsidP="0020718E">
    <w:pPr>
      <w:jc w:val="center"/>
    </w:pPr>
    <w:r>
      <w:rPr>
        <w:noProof/>
        <w:lang w:val="en-US" w:eastAsia="ja-JP"/>
      </w:rPr>
      <w:drawing>
        <wp:inline distT="0" distB="0" distL="0" distR="0" wp14:anchorId="3D328B39" wp14:editId="5713CD5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B587377" w14:textId="2DBA69D0"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E720" w14:textId="61057CDB" w:rsidR="00182EBA" w:rsidRDefault="00BA3852"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13E0" w14:textId="3E984ED6" w:rsidR="00182EBA" w:rsidRPr="000B7195" w:rsidRDefault="00BA3852"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BE00" w14:textId="77777777" w:rsidR="00BA3852" w:rsidRPr="00E67565" w:rsidRDefault="00BA3852" w:rsidP="0098410D">
      <w:r w:rsidRPr="00E67565">
        <w:separator/>
      </w:r>
    </w:p>
  </w:footnote>
  <w:footnote w:type="continuationSeparator" w:id="0">
    <w:p w14:paraId="2D4FCFA0" w14:textId="77777777" w:rsidR="00BA3852" w:rsidRPr="00E67565" w:rsidRDefault="00BA3852"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B21B" w14:textId="77777777" w:rsidR="00BA3852" w:rsidRDefault="00BA3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9667" w14:textId="39F7EB39" w:rsidR="00BA3852" w:rsidRPr="00A45145" w:rsidRDefault="00BA3852" w:rsidP="00A45145">
    <w:pPr>
      <w:jc w:val="center"/>
    </w:pPr>
    <w:r>
      <w:rPr>
        <w:noProof/>
        <w:lang w:val="en-US" w:eastAsia="ja-JP"/>
      </w:rPr>
      <w:drawing>
        <wp:inline distT="0" distB="0" distL="0" distR="0" wp14:anchorId="099C19AC" wp14:editId="4491848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B7B3316" w14:textId="1D96B705"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6B27" w14:textId="6E9EDC79" w:rsidR="00BA3852" w:rsidRPr="00A45145" w:rsidRDefault="00BA3852" w:rsidP="00A45145">
    <w:pPr>
      <w:jc w:val="center"/>
    </w:pPr>
    <w:r>
      <w:rPr>
        <w:noProof/>
        <w:lang w:val="en-US" w:eastAsia="ja-JP"/>
      </w:rPr>
      <w:drawing>
        <wp:inline distT="0" distB="0" distL="0" distR="0" wp14:anchorId="6EE4C880" wp14:editId="59ECB98E">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7905DC8" w14:textId="69975B85"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96F0" w14:textId="03FD80AE" w:rsidR="00182EBA" w:rsidRPr="004D0EC7" w:rsidRDefault="00BA3852" w:rsidP="004D0EC7">
    <w:pPr>
      <w:pStyle w:val="JuHeader"/>
    </w:pPr>
    <w:r>
      <w:t>CRAVCIȘIN v. THE REPUBLIC OF MOLDOVA AND RUSSIA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C0A7" w14:textId="3FEE0E93" w:rsidR="00182EBA" w:rsidRPr="00882CD5" w:rsidRDefault="00BA3852" w:rsidP="007D3701">
    <w:pPr>
      <w:pStyle w:val="JuHeader"/>
    </w:pPr>
    <w:r>
      <w:t>CRAVCIȘIN v. THE REPUBLIC OF MOLDOVA AND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1"/>
  </w:docVars>
  <w:rsids>
    <w:rsidRoot w:val="00BA3852"/>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47BE"/>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5F4D"/>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0D1C"/>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16B7"/>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0FEA"/>
    <w:rsid w:val="00B922FF"/>
    <w:rsid w:val="00B9281E"/>
    <w:rsid w:val="00B93925"/>
    <w:rsid w:val="00B95187"/>
    <w:rsid w:val="00B97F28"/>
    <w:rsid w:val="00BA2D55"/>
    <w:rsid w:val="00BA3852"/>
    <w:rsid w:val="00BA71B1"/>
    <w:rsid w:val="00BB0637"/>
    <w:rsid w:val="00BB345F"/>
    <w:rsid w:val="00BB68EA"/>
    <w:rsid w:val="00BC0B99"/>
    <w:rsid w:val="00BC1C27"/>
    <w:rsid w:val="00BC6BBF"/>
    <w:rsid w:val="00BD1572"/>
    <w:rsid w:val="00BE14E3"/>
    <w:rsid w:val="00BE3774"/>
    <w:rsid w:val="00BE41E5"/>
    <w:rsid w:val="00BF118F"/>
    <w:rsid w:val="00BF4109"/>
    <w:rsid w:val="00BF4CC3"/>
    <w:rsid w:val="00BF6B35"/>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36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7565"/>
    <w:rPr>
      <w:sz w:val="24"/>
      <w:szCs w:val="24"/>
      <w:lang w:val="en-GB"/>
    </w:rPr>
  </w:style>
  <w:style w:type="paragraph" w:styleId="Heading1">
    <w:name w:val="heading 1"/>
    <w:basedOn w:val="Normal"/>
    <w:next w:val="Normal"/>
    <w:link w:val="Heading1Char"/>
    <w:uiPriority w:val="98"/>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675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675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675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67565"/>
    <w:rPr>
      <w:rFonts w:ascii="Tahoma" w:hAnsi="Tahoma" w:cs="Tahoma"/>
      <w:sz w:val="16"/>
      <w:szCs w:val="16"/>
    </w:rPr>
  </w:style>
  <w:style w:type="character" w:customStyle="1" w:styleId="BalloonTextChar">
    <w:name w:val="Balloon Text Char"/>
    <w:basedOn w:val="DefaultParagraphFont"/>
    <w:link w:val="BalloonText"/>
    <w:uiPriority w:val="98"/>
    <w:semiHidden/>
    <w:rsid w:val="00E67565"/>
    <w:rPr>
      <w:rFonts w:ascii="Tahoma" w:hAnsi="Tahoma" w:cs="Tahoma"/>
      <w:sz w:val="16"/>
      <w:szCs w:val="16"/>
      <w:lang w:val="en-GB"/>
    </w:rPr>
  </w:style>
  <w:style w:type="character" w:styleId="BookTitle">
    <w:name w:val="Book Title"/>
    <w:uiPriority w:val="98"/>
    <w:semiHidden/>
    <w:qFormat/>
    <w:rsid w:val="00E67565"/>
    <w:rPr>
      <w:i/>
      <w:iCs/>
      <w:smallCaps/>
      <w:spacing w:val="5"/>
    </w:rPr>
  </w:style>
  <w:style w:type="paragraph" w:customStyle="1" w:styleId="JuHeader">
    <w:name w:val="Ju_Header"/>
    <w:aliases w:val="_Header"/>
    <w:basedOn w:val="Header"/>
    <w:uiPriority w:val="29"/>
    <w:qFormat/>
    <w:rsid w:val="00E67565"/>
    <w:pPr>
      <w:tabs>
        <w:tab w:val="clear" w:pos="4536"/>
        <w:tab w:val="clear" w:pos="9072"/>
      </w:tabs>
      <w:jc w:val="center"/>
    </w:pPr>
    <w:rPr>
      <w:sz w:val="18"/>
    </w:rPr>
  </w:style>
  <w:style w:type="paragraph" w:customStyle="1" w:styleId="NormalJustified">
    <w:name w:val="Normal_Justified"/>
    <w:basedOn w:val="Normal"/>
    <w:semiHidden/>
    <w:rsid w:val="00E67565"/>
    <w:pPr>
      <w:jc w:val="both"/>
    </w:pPr>
  </w:style>
  <w:style w:type="character" w:styleId="Strong">
    <w:name w:val="Strong"/>
    <w:uiPriority w:val="98"/>
    <w:semiHidden/>
    <w:qFormat/>
    <w:rsid w:val="00E67565"/>
    <w:rPr>
      <w:b/>
      <w:bCs/>
    </w:rPr>
  </w:style>
  <w:style w:type="paragraph" w:styleId="NoSpacing">
    <w:name w:val="No Spacing"/>
    <w:basedOn w:val="Normal"/>
    <w:link w:val="NoSpacingChar"/>
    <w:uiPriority w:val="98"/>
    <w:semiHidden/>
    <w:qFormat/>
    <w:rsid w:val="00E67565"/>
  </w:style>
  <w:style w:type="character" w:customStyle="1" w:styleId="NoSpacingChar">
    <w:name w:val="No Spacing Char"/>
    <w:basedOn w:val="DefaultParagraphFont"/>
    <w:link w:val="NoSpacing"/>
    <w:uiPriority w:val="98"/>
    <w:semiHidden/>
    <w:rsid w:val="00E67565"/>
    <w:rPr>
      <w:sz w:val="24"/>
      <w:szCs w:val="24"/>
      <w:lang w:val="en-GB"/>
    </w:rPr>
  </w:style>
  <w:style w:type="paragraph" w:customStyle="1" w:styleId="JuQuot">
    <w:name w:val="Ju_Quot"/>
    <w:aliases w:val="_Quote"/>
    <w:basedOn w:val="NormalJustified"/>
    <w:uiPriority w:val="20"/>
    <w:qFormat/>
    <w:rsid w:val="00E67565"/>
    <w:pPr>
      <w:spacing w:before="120" w:after="120"/>
      <w:ind w:left="425" w:firstLine="142"/>
    </w:pPr>
    <w:rPr>
      <w:sz w:val="20"/>
    </w:rPr>
  </w:style>
  <w:style w:type="paragraph" w:customStyle="1" w:styleId="DummyStyle">
    <w:name w:val="Dummy_Style"/>
    <w:aliases w:val="_Dummy"/>
    <w:basedOn w:val="Normal"/>
    <w:semiHidden/>
    <w:qFormat/>
    <w:rsid w:val="00E67565"/>
    <w:rPr>
      <w:color w:val="00B050"/>
      <w:sz w:val="22"/>
    </w:rPr>
  </w:style>
  <w:style w:type="paragraph" w:customStyle="1" w:styleId="JuList">
    <w:name w:val="Ju_List"/>
    <w:aliases w:val="_List_1"/>
    <w:basedOn w:val="NormalJustified"/>
    <w:uiPriority w:val="23"/>
    <w:qFormat/>
    <w:rsid w:val="00E67565"/>
    <w:pPr>
      <w:numPr>
        <w:numId w:val="10"/>
      </w:numPr>
      <w:spacing w:before="280" w:after="60"/>
    </w:pPr>
  </w:style>
  <w:style w:type="paragraph" w:customStyle="1" w:styleId="JuLista">
    <w:name w:val="Ju_List_a"/>
    <w:aliases w:val="_List_2"/>
    <w:basedOn w:val="NormalJustified"/>
    <w:uiPriority w:val="23"/>
    <w:rsid w:val="00E67565"/>
    <w:pPr>
      <w:numPr>
        <w:ilvl w:val="1"/>
        <w:numId w:val="10"/>
      </w:numPr>
    </w:pPr>
  </w:style>
  <w:style w:type="paragraph" w:customStyle="1" w:styleId="JuListi">
    <w:name w:val="Ju_List_i"/>
    <w:aliases w:val="_List_3"/>
    <w:basedOn w:val="NormalJustified"/>
    <w:uiPriority w:val="23"/>
    <w:rsid w:val="00E67565"/>
    <w:pPr>
      <w:numPr>
        <w:ilvl w:val="2"/>
        <w:numId w:val="10"/>
      </w:numPr>
    </w:pPr>
  </w:style>
  <w:style w:type="paragraph" w:customStyle="1" w:styleId="JuHArticle">
    <w:name w:val="Ju_H_Article"/>
    <w:aliases w:val="_Title_Quote"/>
    <w:basedOn w:val="Normal"/>
    <w:next w:val="JuQuot"/>
    <w:uiPriority w:val="19"/>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6756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67565"/>
    <w:pPr>
      <w:numPr>
        <w:numId w:val="4"/>
      </w:numPr>
    </w:pPr>
  </w:style>
  <w:style w:type="paragraph" w:customStyle="1" w:styleId="JuSigned">
    <w:name w:val="Ju_Signed"/>
    <w:aliases w:val="_Signature"/>
    <w:basedOn w:val="Normal"/>
    <w:next w:val="JuPara"/>
    <w:uiPriority w:val="31"/>
    <w:qFormat/>
    <w:rsid w:val="00E67565"/>
    <w:pPr>
      <w:tabs>
        <w:tab w:val="center" w:pos="851"/>
        <w:tab w:val="center" w:pos="6407"/>
      </w:tabs>
      <w:spacing w:before="720"/>
    </w:pPr>
  </w:style>
  <w:style w:type="paragraph" w:styleId="Title">
    <w:name w:val="Title"/>
    <w:basedOn w:val="Normal"/>
    <w:next w:val="Normal"/>
    <w:link w:val="TitleChar"/>
    <w:uiPriority w:val="98"/>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67565"/>
    <w:pPr>
      <w:numPr>
        <w:numId w:val="5"/>
      </w:numPr>
    </w:pPr>
  </w:style>
  <w:style w:type="numbering" w:customStyle="1" w:styleId="ECHRA1StyleNumberedList">
    <w:name w:val="ECHR_A1_Style_Numbered_List"/>
    <w:basedOn w:val="NoList"/>
    <w:rsid w:val="00E67565"/>
    <w:pPr>
      <w:numPr>
        <w:numId w:val="6"/>
      </w:numPr>
    </w:pPr>
  </w:style>
  <w:style w:type="table" w:customStyle="1" w:styleId="ECHRTable2019">
    <w:name w:val="ECHR_Table_2019"/>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link w:val="JuHIRomanChar"/>
    <w:uiPriority w:val="17"/>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67565"/>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E67565"/>
    <w:pPr>
      <w:tabs>
        <w:tab w:val="center" w:pos="4536"/>
        <w:tab w:val="right" w:pos="9072"/>
      </w:tabs>
    </w:pPr>
  </w:style>
  <w:style w:type="character" w:customStyle="1" w:styleId="HeaderChar">
    <w:name w:val="Header Char"/>
    <w:basedOn w:val="DefaultParagraphFont"/>
    <w:link w:val="Header"/>
    <w:uiPriority w:val="98"/>
    <w:semiHidden/>
    <w:rsid w:val="00E67565"/>
    <w:rPr>
      <w:sz w:val="24"/>
      <w:szCs w:val="24"/>
      <w:lang w:val="en-GB"/>
    </w:rPr>
  </w:style>
  <w:style w:type="character" w:customStyle="1" w:styleId="Heading1Char">
    <w:name w:val="Heading 1 Char"/>
    <w:basedOn w:val="DefaultParagraphFont"/>
    <w:link w:val="Heading1"/>
    <w:uiPriority w:val="98"/>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67565"/>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67565"/>
    <w:pPr>
      <w:keepNext/>
      <w:keepLines/>
      <w:spacing w:before="240" w:after="240"/>
      <w:ind w:firstLine="284"/>
    </w:pPr>
  </w:style>
  <w:style w:type="paragraph" w:customStyle="1" w:styleId="JuJudges">
    <w:name w:val="Ju_Judges"/>
    <w:aliases w:val="_Judges"/>
    <w:basedOn w:val="Normal"/>
    <w:uiPriority w:val="32"/>
    <w:qFormat/>
    <w:rsid w:val="00E67565"/>
    <w:pPr>
      <w:tabs>
        <w:tab w:val="left" w:pos="567"/>
        <w:tab w:val="left" w:pos="1134"/>
      </w:tabs>
    </w:pPr>
  </w:style>
  <w:style w:type="character" w:customStyle="1" w:styleId="Heading4Char">
    <w:name w:val="Heading 4 Char"/>
    <w:basedOn w:val="DefaultParagraphFont"/>
    <w:link w:val="Heading4"/>
    <w:uiPriority w:val="98"/>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67565"/>
    <w:pPr>
      <w:tabs>
        <w:tab w:val="center" w:pos="6407"/>
      </w:tabs>
      <w:spacing w:before="720"/>
      <w:jc w:val="right"/>
    </w:pPr>
  </w:style>
  <w:style w:type="character" w:customStyle="1" w:styleId="Heading5Char">
    <w:name w:val="Heading 5 Char"/>
    <w:basedOn w:val="DefaultParagraphFont"/>
    <w:link w:val="Heading5"/>
    <w:uiPriority w:val="98"/>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67565"/>
    <w:rPr>
      <w:caps w:val="0"/>
      <w:smallCaps/>
    </w:rPr>
  </w:style>
  <w:style w:type="character" w:styleId="SubtleEmphasis">
    <w:name w:val="Subtle Emphasis"/>
    <w:uiPriority w:val="98"/>
    <w:semiHidden/>
    <w:qFormat/>
    <w:rsid w:val="00E67565"/>
    <w:rPr>
      <w:i/>
      <w:iCs/>
    </w:rPr>
  </w:style>
  <w:style w:type="table" w:customStyle="1" w:styleId="ECHRTable">
    <w:name w:val="ECHR_Table"/>
    <w:basedOn w:val="TableNormal"/>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67565"/>
    <w:rPr>
      <w:b/>
      <w:bCs/>
      <w:i/>
      <w:iCs/>
      <w:spacing w:val="10"/>
      <w:bdr w:val="none" w:sz="0" w:space="0" w:color="auto"/>
      <w:shd w:val="clear" w:color="auto" w:fill="auto"/>
    </w:rPr>
  </w:style>
  <w:style w:type="paragraph" w:styleId="Footer0">
    <w:name w:val="footer"/>
    <w:basedOn w:val="Normal"/>
    <w:link w:val="FooterChar"/>
    <w:uiPriority w:val="98"/>
    <w:semiHidden/>
    <w:rsid w:val="00E67565"/>
    <w:pPr>
      <w:tabs>
        <w:tab w:val="center" w:pos="3686"/>
        <w:tab w:val="right" w:pos="7371"/>
      </w:tabs>
    </w:pPr>
  </w:style>
  <w:style w:type="character" w:customStyle="1" w:styleId="FooterChar">
    <w:name w:val="Footer Char"/>
    <w:basedOn w:val="DefaultParagraphFont"/>
    <w:link w:val="Footer0"/>
    <w:uiPriority w:val="98"/>
    <w:semiHidden/>
    <w:rsid w:val="00E67565"/>
    <w:rPr>
      <w:sz w:val="24"/>
      <w:szCs w:val="24"/>
      <w:lang w:val="en-GB"/>
    </w:rPr>
  </w:style>
  <w:style w:type="character" w:styleId="FootnoteReference">
    <w:name w:val="footnote reference"/>
    <w:basedOn w:val="DefaultParagraphFont"/>
    <w:uiPriority w:val="98"/>
    <w:semiHidden/>
    <w:rsid w:val="00E67565"/>
    <w:rPr>
      <w:vertAlign w:val="superscript"/>
    </w:rPr>
  </w:style>
  <w:style w:type="paragraph" w:styleId="FootnoteText">
    <w:name w:val="footnote text"/>
    <w:basedOn w:val="Normal"/>
    <w:link w:val="FootnoteTextChar"/>
    <w:uiPriority w:val="98"/>
    <w:semiHidden/>
    <w:rsid w:val="00E67565"/>
    <w:rPr>
      <w:sz w:val="20"/>
      <w:szCs w:val="20"/>
    </w:rPr>
  </w:style>
  <w:style w:type="character" w:customStyle="1" w:styleId="FootnoteTextChar">
    <w:name w:val="Footnote Text Char"/>
    <w:basedOn w:val="DefaultParagraphFont"/>
    <w:link w:val="FootnoteText"/>
    <w:uiPriority w:val="98"/>
    <w:semiHidden/>
    <w:rsid w:val="00E67565"/>
    <w:rPr>
      <w:sz w:val="20"/>
      <w:szCs w:val="20"/>
      <w:lang w:val="en-GB"/>
    </w:rPr>
  </w:style>
  <w:style w:type="character" w:customStyle="1" w:styleId="Heading6Char">
    <w:name w:val="Heading 6 Char"/>
    <w:basedOn w:val="DefaultParagraphFont"/>
    <w:link w:val="Heading6"/>
    <w:uiPriority w:val="98"/>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675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675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675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67565"/>
    <w:rPr>
      <w:color w:val="0072BC" w:themeColor="hyperlink"/>
      <w:u w:val="single"/>
    </w:rPr>
  </w:style>
  <w:style w:type="character" w:styleId="IntenseEmphasis">
    <w:name w:val="Intense Emphasis"/>
    <w:uiPriority w:val="98"/>
    <w:semiHidden/>
    <w:qFormat/>
    <w:rsid w:val="00E67565"/>
    <w:rPr>
      <w:b/>
      <w:bCs/>
    </w:rPr>
  </w:style>
  <w:style w:type="paragraph" w:styleId="IntenseQuote">
    <w:name w:val="Intense Quote"/>
    <w:basedOn w:val="Normal"/>
    <w:next w:val="Normal"/>
    <w:link w:val="IntenseQuoteChar"/>
    <w:uiPriority w:val="98"/>
    <w:semiHidden/>
    <w:qFormat/>
    <w:rsid w:val="00E675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67565"/>
    <w:rPr>
      <w:b/>
      <w:bCs/>
      <w:i/>
      <w:iCs/>
      <w:sz w:val="24"/>
      <w:szCs w:val="24"/>
      <w:lang w:val="en-GB" w:bidi="en-US"/>
    </w:rPr>
  </w:style>
  <w:style w:type="character" w:styleId="IntenseReference">
    <w:name w:val="Intense Reference"/>
    <w:uiPriority w:val="98"/>
    <w:semiHidden/>
    <w:qFormat/>
    <w:rsid w:val="00E67565"/>
    <w:rPr>
      <w:smallCaps/>
      <w:spacing w:val="5"/>
      <w:u w:val="single"/>
    </w:rPr>
  </w:style>
  <w:style w:type="paragraph" w:styleId="ListParagraph">
    <w:name w:val="List Paragraph"/>
    <w:basedOn w:val="Normal"/>
    <w:uiPriority w:val="98"/>
    <w:semiHidden/>
    <w:qFormat/>
    <w:rsid w:val="00E67565"/>
    <w:pPr>
      <w:ind w:left="720"/>
      <w:contextualSpacing/>
    </w:pPr>
  </w:style>
  <w:style w:type="table" w:customStyle="1" w:styleId="LtrTableAddress">
    <w:name w:val="Ltr_Table_Address"/>
    <w:aliases w:val="ECHR_Ltr_Table_Address"/>
    <w:basedOn w:val="TableNormal"/>
    <w:uiPriority w:val="99"/>
    <w:rsid w:val="00E67565"/>
    <w:rPr>
      <w:sz w:val="24"/>
      <w:szCs w:val="24"/>
    </w:rPr>
    <w:tblPr>
      <w:tblInd w:w="5103" w:type="dxa"/>
    </w:tblPr>
  </w:style>
  <w:style w:type="paragraph" w:styleId="Quote">
    <w:name w:val="Quote"/>
    <w:basedOn w:val="Normal"/>
    <w:next w:val="Normal"/>
    <w:link w:val="QuoteChar"/>
    <w:uiPriority w:val="98"/>
    <w:semiHidden/>
    <w:qFormat/>
    <w:rsid w:val="00E67565"/>
    <w:pPr>
      <w:spacing w:before="200"/>
      <w:ind w:left="360" w:right="360"/>
    </w:pPr>
    <w:rPr>
      <w:i/>
      <w:iCs/>
      <w:lang w:bidi="en-US"/>
    </w:rPr>
  </w:style>
  <w:style w:type="character" w:customStyle="1" w:styleId="QuoteChar">
    <w:name w:val="Quote Char"/>
    <w:basedOn w:val="DefaultParagraphFont"/>
    <w:link w:val="Quote"/>
    <w:uiPriority w:val="98"/>
    <w:semiHidden/>
    <w:rsid w:val="00E67565"/>
    <w:rPr>
      <w:i/>
      <w:iCs/>
      <w:sz w:val="24"/>
      <w:szCs w:val="24"/>
      <w:lang w:val="en-GB" w:bidi="en-US"/>
    </w:rPr>
  </w:style>
  <w:style w:type="character" w:styleId="SubtleReference">
    <w:name w:val="Subtle Reference"/>
    <w:uiPriority w:val="98"/>
    <w:semiHidden/>
    <w:qFormat/>
    <w:rsid w:val="00E67565"/>
    <w:rPr>
      <w:smallCaps/>
    </w:rPr>
  </w:style>
  <w:style w:type="table" w:styleId="TableGrid">
    <w:name w:val="Table Grid"/>
    <w:basedOn w:val="TableNormal"/>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675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675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675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675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675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675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oList"/>
    <w:uiPriority w:val="99"/>
    <w:semiHidden/>
    <w:unhideWhenUsed/>
    <w:rsid w:val="00E67565"/>
    <w:pPr>
      <w:numPr>
        <w:numId w:val="2"/>
      </w:numPr>
    </w:pPr>
  </w:style>
  <w:style w:type="table" w:customStyle="1" w:styleId="ECHRTableSimpleBox">
    <w:name w:val="ECHR_Table_Simple_Box"/>
    <w:basedOn w:val="TableNormal"/>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67565"/>
    <w:pPr>
      <w:numPr>
        <w:numId w:val="3"/>
      </w:numPr>
    </w:pPr>
  </w:style>
  <w:style w:type="table" w:customStyle="1" w:styleId="ECHRTableForInternalUse">
    <w:name w:val="ECHR_Table_For_Internal_Use"/>
    <w:basedOn w:val="TableNormal"/>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67565"/>
  </w:style>
  <w:style w:type="paragraph" w:styleId="BlockText">
    <w:name w:val="Block Text"/>
    <w:basedOn w:val="Normal"/>
    <w:uiPriority w:val="98"/>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67565"/>
    <w:pPr>
      <w:spacing w:after="120"/>
    </w:pPr>
  </w:style>
  <w:style w:type="character" w:customStyle="1" w:styleId="BodyTextChar">
    <w:name w:val="Body Text Char"/>
    <w:basedOn w:val="DefaultParagraphFont"/>
    <w:link w:val="BodyText"/>
    <w:uiPriority w:val="98"/>
    <w:semiHidden/>
    <w:rsid w:val="00E67565"/>
    <w:rPr>
      <w:sz w:val="24"/>
      <w:szCs w:val="24"/>
      <w:lang w:val="en-GB"/>
    </w:rPr>
  </w:style>
  <w:style w:type="table" w:customStyle="1" w:styleId="ECHRTableOddBanded">
    <w:name w:val="ECHR_Table_Odd_Banded"/>
    <w:basedOn w:val="TableNormal"/>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67565"/>
    <w:pPr>
      <w:spacing w:after="120" w:line="480" w:lineRule="auto"/>
    </w:pPr>
  </w:style>
  <w:style w:type="table" w:customStyle="1" w:styleId="ECHRHeaderTableReduced">
    <w:name w:val="ECHR_Header_Table_Reduced"/>
    <w:basedOn w:val="TableNormal"/>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67565"/>
    <w:pPr>
      <w:ind w:firstLine="284"/>
    </w:pPr>
    <w:rPr>
      <w:b/>
    </w:rPr>
  </w:style>
  <w:style w:type="character" w:styleId="PageNumber">
    <w:name w:val="page number"/>
    <w:uiPriority w:val="98"/>
    <w:semiHidden/>
    <w:rsid w:val="00E67565"/>
    <w:rPr>
      <w:sz w:val="18"/>
    </w:rPr>
  </w:style>
  <w:style w:type="paragraph" w:styleId="ListBullet">
    <w:name w:val="List Bullet"/>
    <w:basedOn w:val="Normal"/>
    <w:uiPriority w:val="98"/>
    <w:semiHidden/>
    <w:rsid w:val="00E67565"/>
    <w:pPr>
      <w:numPr>
        <w:numId w:val="11"/>
      </w:numPr>
    </w:pPr>
  </w:style>
  <w:style w:type="paragraph" w:styleId="ListBullet3">
    <w:name w:val="List Bullet 3"/>
    <w:basedOn w:val="Normal"/>
    <w:uiPriority w:val="98"/>
    <w:semiHidden/>
    <w:rsid w:val="00E67565"/>
    <w:pPr>
      <w:numPr>
        <w:numId w:val="13"/>
      </w:numPr>
      <w:contextualSpacing/>
    </w:pPr>
  </w:style>
  <w:style w:type="character" w:customStyle="1" w:styleId="BodyText2Char">
    <w:name w:val="Body Text 2 Char"/>
    <w:basedOn w:val="DefaultParagraphFont"/>
    <w:link w:val="BodyText2"/>
    <w:uiPriority w:val="98"/>
    <w:semiHidden/>
    <w:rsid w:val="00E67565"/>
    <w:rPr>
      <w:sz w:val="24"/>
      <w:szCs w:val="24"/>
      <w:lang w:val="en-GB"/>
    </w:rPr>
  </w:style>
  <w:style w:type="paragraph" w:styleId="BodyText3">
    <w:name w:val="Body Text 3"/>
    <w:basedOn w:val="Normal"/>
    <w:link w:val="BodyText3Char"/>
    <w:uiPriority w:val="98"/>
    <w:semiHidden/>
    <w:rsid w:val="00E67565"/>
    <w:pPr>
      <w:spacing w:after="120"/>
    </w:pPr>
    <w:rPr>
      <w:sz w:val="16"/>
      <w:szCs w:val="16"/>
    </w:rPr>
  </w:style>
  <w:style w:type="character" w:customStyle="1" w:styleId="BodyText3Char">
    <w:name w:val="Body Text 3 Char"/>
    <w:basedOn w:val="DefaultParagraphFont"/>
    <w:link w:val="BodyText3"/>
    <w:uiPriority w:val="98"/>
    <w:semiHidden/>
    <w:rsid w:val="00E67565"/>
    <w:rPr>
      <w:sz w:val="16"/>
      <w:szCs w:val="16"/>
      <w:lang w:val="en-GB"/>
    </w:rPr>
  </w:style>
  <w:style w:type="paragraph" w:styleId="BodyTextFirstIndent">
    <w:name w:val="Body Text First Indent"/>
    <w:basedOn w:val="BodyText"/>
    <w:link w:val="BodyTextFirstIndentChar"/>
    <w:uiPriority w:val="98"/>
    <w:semiHidden/>
    <w:rsid w:val="00E67565"/>
    <w:pPr>
      <w:spacing w:after="0"/>
      <w:ind w:firstLine="360"/>
    </w:pPr>
  </w:style>
  <w:style w:type="character" w:customStyle="1" w:styleId="BodyTextFirstIndentChar">
    <w:name w:val="Body Text First Indent Char"/>
    <w:basedOn w:val="BodyTextChar"/>
    <w:link w:val="BodyTextFirstIndent"/>
    <w:uiPriority w:val="98"/>
    <w:semiHidden/>
    <w:rsid w:val="00E67565"/>
    <w:rPr>
      <w:sz w:val="24"/>
      <w:szCs w:val="24"/>
      <w:lang w:val="en-GB"/>
    </w:rPr>
  </w:style>
  <w:style w:type="paragraph" w:styleId="BodyTextIndent">
    <w:name w:val="Body Text Indent"/>
    <w:basedOn w:val="Normal"/>
    <w:link w:val="BodyTextIndentChar"/>
    <w:uiPriority w:val="98"/>
    <w:semiHidden/>
    <w:rsid w:val="00E67565"/>
    <w:pPr>
      <w:spacing w:after="120"/>
      <w:ind w:left="283"/>
    </w:pPr>
  </w:style>
  <w:style w:type="character" w:customStyle="1" w:styleId="BodyTextIndentChar">
    <w:name w:val="Body Text Indent Char"/>
    <w:basedOn w:val="DefaultParagraphFont"/>
    <w:link w:val="BodyTextIndent"/>
    <w:uiPriority w:val="98"/>
    <w:semiHidden/>
    <w:rsid w:val="00E67565"/>
    <w:rPr>
      <w:sz w:val="24"/>
      <w:szCs w:val="24"/>
      <w:lang w:val="en-GB"/>
    </w:rPr>
  </w:style>
  <w:style w:type="paragraph" w:styleId="BodyTextFirstIndent2">
    <w:name w:val="Body Text First Indent 2"/>
    <w:basedOn w:val="BodyTextIndent"/>
    <w:link w:val="BodyTextFirstIndent2Char"/>
    <w:uiPriority w:val="98"/>
    <w:semiHidden/>
    <w:rsid w:val="00E67565"/>
    <w:pPr>
      <w:spacing w:after="0"/>
      <w:ind w:left="360" w:firstLine="360"/>
    </w:pPr>
  </w:style>
  <w:style w:type="character" w:customStyle="1" w:styleId="BodyTextFirstIndent2Char">
    <w:name w:val="Body Text First Indent 2 Char"/>
    <w:basedOn w:val="BodyTextIndentChar"/>
    <w:link w:val="BodyTextFirstIndent2"/>
    <w:uiPriority w:val="98"/>
    <w:semiHidden/>
    <w:rsid w:val="00E67565"/>
    <w:rPr>
      <w:sz w:val="24"/>
      <w:szCs w:val="24"/>
      <w:lang w:val="en-GB"/>
    </w:rPr>
  </w:style>
  <w:style w:type="paragraph" w:styleId="BodyTextIndent2">
    <w:name w:val="Body Text Indent 2"/>
    <w:basedOn w:val="Normal"/>
    <w:link w:val="BodyTextIndent2Char"/>
    <w:uiPriority w:val="98"/>
    <w:semiHidden/>
    <w:rsid w:val="00E67565"/>
    <w:pPr>
      <w:spacing w:after="120" w:line="480" w:lineRule="auto"/>
      <w:ind w:left="283"/>
    </w:pPr>
  </w:style>
  <w:style w:type="character" w:customStyle="1" w:styleId="BodyTextIndent2Char">
    <w:name w:val="Body Text Indent 2 Char"/>
    <w:basedOn w:val="DefaultParagraphFont"/>
    <w:link w:val="BodyTextIndent2"/>
    <w:uiPriority w:val="98"/>
    <w:semiHidden/>
    <w:rsid w:val="00E67565"/>
    <w:rPr>
      <w:sz w:val="24"/>
      <w:szCs w:val="24"/>
      <w:lang w:val="en-GB"/>
    </w:rPr>
  </w:style>
  <w:style w:type="paragraph" w:styleId="BodyTextIndent3">
    <w:name w:val="Body Text Indent 3"/>
    <w:basedOn w:val="Normal"/>
    <w:link w:val="BodyTextIndent3Char"/>
    <w:uiPriority w:val="98"/>
    <w:semiHidden/>
    <w:rsid w:val="00E6756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67565"/>
    <w:rPr>
      <w:sz w:val="16"/>
      <w:szCs w:val="16"/>
      <w:lang w:val="en-GB"/>
    </w:rPr>
  </w:style>
  <w:style w:type="paragraph" w:styleId="Caption">
    <w:name w:val="caption"/>
    <w:basedOn w:val="Normal"/>
    <w:next w:val="Normal"/>
    <w:uiPriority w:val="98"/>
    <w:semiHidden/>
    <w:qFormat/>
    <w:rsid w:val="00E67565"/>
    <w:pPr>
      <w:spacing w:after="200"/>
    </w:pPr>
    <w:rPr>
      <w:b/>
      <w:bCs/>
      <w:color w:val="0072BC" w:themeColor="accent1"/>
      <w:sz w:val="18"/>
      <w:szCs w:val="18"/>
    </w:rPr>
  </w:style>
  <w:style w:type="paragraph" w:styleId="Closing">
    <w:name w:val="Closing"/>
    <w:basedOn w:val="Normal"/>
    <w:link w:val="ClosingChar"/>
    <w:uiPriority w:val="98"/>
    <w:semiHidden/>
    <w:rsid w:val="00E67565"/>
    <w:pPr>
      <w:ind w:left="4252"/>
    </w:pPr>
  </w:style>
  <w:style w:type="character" w:customStyle="1" w:styleId="ClosingChar">
    <w:name w:val="Closing Char"/>
    <w:basedOn w:val="DefaultParagraphFont"/>
    <w:link w:val="Closing"/>
    <w:uiPriority w:val="98"/>
    <w:semiHidden/>
    <w:rsid w:val="00E67565"/>
    <w:rPr>
      <w:sz w:val="24"/>
      <w:szCs w:val="24"/>
      <w:lang w:val="en-GB"/>
    </w:rPr>
  </w:style>
  <w:style w:type="table" w:styleId="ColorfulGrid">
    <w:name w:val="Colorful Grid"/>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67565"/>
    <w:rPr>
      <w:sz w:val="16"/>
      <w:szCs w:val="16"/>
    </w:rPr>
  </w:style>
  <w:style w:type="paragraph" w:styleId="CommentText">
    <w:name w:val="annotation text"/>
    <w:basedOn w:val="Normal"/>
    <w:link w:val="CommentTextChar"/>
    <w:uiPriority w:val="98"/>
    <w:semiHidden/>
    <w:rsid w:val="00E67565"/>
    <w:rPr>
      <w:sz w:val="20"/>
      <w:szCs w:val="20"/>
    </w:rPr>
  </w:style>
  <w:style w:type="character" w:customStyle="1" w:styleId="CommentTextChar">
    <w:name w:val="Comment Text Char"/>
    <w:basedOn w:val="DefaultParagraphFont"/>
    <w:link w:val="CommentText"/>
    <w:uiPriority w:val="98"/>
    <w:semiHidden/>
    <w:rsid w:val="00E67565"/>
    <w:rPr>
      <w:sz w:val="20"/>
      <w:szCs w:val="20"/>
      <w:lang w:val="en-GB"/>
    </w:rPr>
  </w:style>
  <w:style w:type="paragraph" w:styleId="CommentSubject">
    <w:name w:val="annotation subject"/>
    <w:basedOn w:val="CommentText"/>
    <w:next w:val="CommentText"/>
    <w:link w:val="CommentSubjectChar"/>
    <w:uiPriority w:val="98"/>
    <w:semiHidden/>
    <w:rsid w:val="00E67565"/>
    <w:rPr>
      <w:b/>
      <w:bCs/>
    </w:rPr>
  </w:style>
  <w:style w:type="character" w:customStyle="1" w:styleId="CommentSubjectChar">
    <w:name w:val="Comment Subject Char"/>
    <w:basedOn w:val="CommentTextChar"/>
    <w:link w:val="CommentSubject"/>
    <w:uiPriority w:val="98"/>
    <w:semiHidden/>
    <w:rsid w:val="00E67565"/>
    <w:rPr>
      <w:b/>
      <w:bCs/>
      <w:sz w:val="20"/>
      <w:szCs w:val="20"/>
      <w:lang w:val="en-GB"/>
    </w:rPr>
  </w:style>
  <w:style w:type="table" w:styleId="DarkList">
    <w:name w:val="Dark List"/>
    <w:basedOn w:val="TableNormal"/>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67565"/>
  </w:style>
  <w:style w:type="character" w:customStyle="1" w:styleId="DateChar">
    <w:name w:val="Date Char"/>
    <w:basedOn w:val="DefaultParagraphFont"/>
    <w:link w:val="Date"/>
    <w:uiPriority w:val="98"/>
    <w:semiHidden/>
    <w:rsid w:val="00E67565"/>
    <w:rPr>
      <w:sz w:val="24"/>
      <w:szCs w:val="24"/>
      <w:lang w:val="en-GB"/>
    </w:rPr>
  </w:style>
  <w:style w:type="paragraph" w:styleId="DocumentMap">
    <w:name w:val="Document Map"/>
    <w:basedOn w:val="Normal"/>
    <w:link w:val="DocumentMapChar"/>
    <w:uiPriority w:val="98"/>
    <w:semiHidden/>
    <w:rsid w:val="00E67565"/>
    <w:rPr>
      <w:rFonts w:ascii="Tahoma" w:hAnsi="Tahoma" w:cs="Tahoma"/>
      <w:sz w:val="16"/>
      <w:szCs w:val="16"/>
    </w:rPr>
  </w:style>
  <w:style w:type="character" w:customStyle="1" w:styleId="DocumentMapChar">
    <w:name w:val="Document Map Char"/>
    <w:basedOn w:val="DefaultParagraphFont"/>
    <w:link w:val="DocumentMap"/>
    <w:uiPriority w:val="98"/>
    <w:semiHidden/>
    <w:rsid w:val="00E67565"/>
    <w:rPr>
      <w:rFonts w:ascii="Tahoma" w:hAnsi="Tahoma" w:cs="Tahoma"/>
      <w:sz w:val="16"/>
      <w:szCs w:val="16"/>
      <w:lang w:val="en-GB"/>
    </w:rPr>
  </w:style>
  <w:style w:type="paragraph" w:styleId="E-mailSignature">
    <w:name w:val="E-mail Signature"/>
    <w:basedOn w:val="Normal"/>
    <w:link w:val="E-mailSignatureChar"/>
    <w:uiPriority w:val="98"/>
    <w:semiHidden/>
    <w:rsid w:val="00E67565"/>
  </w:style>
  <w:style w:type="character" w:customStyle="1" w:styleId="E-mailSignatureChar">
    <w:name w:val="E-mail Signature Char"/>
    <w:basedOn w:val="DefaultParagraphFont"/>
    <w:link w:val="E-mailSignature"/>
    <w:uiPriority w:val="98"/>
    <w:semiHidden/>
    <w:rsid w:val="00E67565"/>
    <w:rPr>
      <w:sz w:val="24"/>
      <w:szCs w:val="24"/>
      <w:lang w:val="en-GB"/>
    </w:rPr>
  </w:style>
  <w:style w:type="character" w:styleId="EndnoteReference">
    <w:name w:val="endnote reference"/>
    <w:basedOn w:val="DefaultParagraphFont"/>
    <w:uiPriority w:val="98"/>
    <w:semiHidden/>
    <w:rsid w:val="00E67565"/>
    <w:rPr>
      <w:vertAlign w:val="superscript"/>
    </w:rPr>
  </w:style>
  <w:style w:type="paragraph" w:styleId="EndnoteText">
    <w:name w:val="endnote text"/>
    <w:basedOn w:val="Normal"/>
    <w:link w:val="EndnoteTextChar"/>
    <w:uiPriority w:val="98"/>
    <w:semiHidden/>
    <w:rsid w:val="00E67565"/>
    <w:rPr>
      <w:sz w:val="20"/>
      <w:szCs w:val="20"/>
    </w:rPr>
  </w:style>
  <w:style w:type="character" w:customStyle="1" w:styleId="EndnoteTextChar">
    <w:name w:val="Endnote Text Char"/>
    <w:basedOn w:val="DefaultParagraphFont"/>
    <w:link w:val="EndnoteText"/>
    <w:uiPriority w:val="98"/>
    <w:semiHidden/>
    <w:rsid w:val="00E67565"/>
    <w:rPr>
      <w:sz w:val="20"/>
      <w:szCs w:val="20"/>
      <w:lang w:val="en-GB"/>
    </w:rPr>
  </w:style>
  <w:style w:type="paragraph" w:styleId="EnvelopeAddress">
    <w:name w:val="envelope address"/>
    <w:basedOn w:val="Normal"/>
    <w:uiPriority w:val="98"/>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6756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67565"/>
    <w:rPr>
      <w:color w:val="7030A0" w:themeColor="followedHyperlink"/>
      <w:u w:val="single"/>
    </w:rPr>
  </w:style>
  <w:style w:type="character" w:styleId="HTMLAcronym">
    <w:name w:val="HTML Acronym"/>
    <w:basedOn w:val="DefaultParagraphFont"/>
    <w:uiPriority w:val="98"/>
    <w:semiHidden/>
    <w:rsid w:val="00E67565"/>
  </w:style>
  <w:style w:type="paragraph" w:styleId="HTMLAddress">
    <w:name w:val="HTML Address"/>
    <w:basedOn w:val="Normal"/>
    <w:link w:val="HTMLAddressChar"/>
    <w:uiPriority w:val="98"/>
    <w:semiHidden/>
    <w:rsid w:val="00E67565"/>
    <w:rPr>
      <w:i/>
      <w:iCs/>
    </w:rPr>
  </w:style>
  <w:style w:type="character" w:customStyle="1" w:styleId="HTMLAddressChar">
    <w:name w:val="HTML Address Char"/>
    <w:basedOn w:val="DefaultParagraphFont"/>
    <w:link w:val="HTMLAddress"/>
    <w:uiPriority w:val="98"/>
    <w:semiHidden/>
    <w:rsid w:val="00E67565"/>
    <w:rPr>
      <w:i/>
      <w:iCs/>
      <w:sz w:val="24"/>
      <w:szCs w:val="24"/>
      <w:lang w:val="en-GB"/>
    </w:rPr>
  </w:style>
  <w:style w:type="character" w:styleId="HTMLCite">
    <w:name w:val="HTML Cite"/>
    <w:basedOn w:val="DefaultParagraphFont"/>
    <w:uiPriority w:val="98"/>
    <w:semiHidden/>
    <w:rsid w:val="00E67565"/>
    <w:rPr>
      <w:i/>
      <w:iCs/>
    </w:rPr>
  </w:style>
  <w:style w:type="character" w:styleId="HTMLCode">
    <w:name w:val="HTML Code"/>
    <w:basedOn w:val="DefaultParagraphFont"/>
    <w:uiPriority w:val="98"/>
    <w:semiHidden/>
    <w:rsid w:val="00E67565"/>
    <w:rPr>
      <w:rFonts w:ascii="Consolas" w:hAnsi="Consolas" w:cs="Consolas"/>
      <w:sz w:val="20"/>
      <w:szCs w:val="20"/>
    </w:rPr>
  </w:style>
  <w:style w:type="character" w:styleId="HTMLDefinition">
    <w:name w:val="HTML Definition"/>
    <w:basedOn w:val="DefaultParagraphFont"/>
    <w:uiPriority w:val="98"/>
    <w:semiHidden/>
    <w:rsid w:val="00E67565"/>
    <w:rPr>
      <w:i/>
      <w:iCs/>
    </w:rPr>
  </w:style>
  <w:style w:type="character" w:styleId="HTMLKeyboard">
    <w:name w:val="HTML Keyboard"/>
    <w:basedOn w:val="DefaultParagraphFont"/>
    <w:uiPriority w:val="98"/>
    <w:semiHidden/>
    <w:rsid w:val="00E67565"/>
    <w:rPr>
      <w:rFonts w:ascii="Consolas" w:hAnsi="Consolas" w:cs="Consolas"/>
      <w:sz w:val="20"/>
      <w:szCs w:val="20"/>
    </w:rPr>
  </w:style>
  <w:style w:type="paragraph" w:styleId="HTMLPreformatted">
    <w:name w:val="HTML Preformatted"/>
    <w:basedOn w:val="Normal"/>
    <w:link w:val="HTMLPreformattedChar"/>
    <w:uiPriority w:val="98"/>
    <w:semiHidden/>
    <w:rsid w:val="00E6756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67565"/>
    <w:rPr>
      <w:rFonts w:ascii="Consolas" w:hAnsi="Consolas" w:cs="Consolas"/>
      <w:sz w:val="20"/>
      <w:szCs w:val="20"/>
      <w:lang w:val="en-GB"/>
    </w:rPr>
  </w:style>
  <w:style w:type="character" w:styleId="HTMLSample">
    <w:name w:val="HTML Sample"/>
    <w:basedOn w:val="DefaultParagraphFont"/>
    <w:uiPriority w:val="98"/>
    <w:semiHidden/>
    <w:rsid w:val="00E67565"/>
    <w:rPr>
      <w:rFonts w:ascii="Consolas" w:hAnsi="Consolas" w:cs="Consolas"/>
      <w:sz w:val="24"/>
      <w:szCs w:val="24"/>
    </w:rPr>
  </w:style>
  <w:style w:type="character" w:styleId="HTMLTypewriter">
    <w:name w:val="HTML Typewriter"/>
    <w:basedOn w:val="DefaultParagraphFont"/>
    <w:uiPriority w:val="98"/>
    <w:semiHidden/>
    <w:rsid w:val="00E67565"/>
    <w:rPr>
      <w:rFonts w:ascii="Consolas" w:hAnsi="Consolas" w:cs="Consolas"/>
      <w:sz w:val="20"/>
      <w:szCs w:val="20"/>
    </w:rPr>
  </w:style>
  <w:style w:type="character" w:styleId="HTMLVariable">
    <w:name w:val="HTML Variable"/>
    <w:basedOn w:val="DefaultParagraphFont"/>
    <w:uiPriority w:val="98"/>
    <w:semiHidden/>
    <w:rsid w:val="00E67565"/>
    <w:rPr>
      <w:i/>
      <w:iCs/>
    </w:rPr>
  </w:style>
  <w:style w:type="paragraph" w:styleId="Index1">
    <w:name w:val="index 1"/>
    <w:basedOn w:val="Normal"/>
    <w:next w:val="Normal"/>
    <w:autoRedefine/>
    <w:uiPriority w:val="98"/>
    <w:semiHidden/>
    <w:rsid w:val="00E67565"/>
    <w:pPr>
      <w:ind w:left="240" w:hanging="240"/>
    </w:pPr>
  </w:style>
  <w:style w:type="paragraph" w:styleId="Index2">
    <w:name w:val="index 2"/>
    <w:basedOn w:val="Normal"/>
    <w:next w:val="Normal"/>
    <w:autoRedefine/>
    <w:uiPriority w:val="98"/>
    <w:semiHidden/>
    <w:rsid w:val="00E67565"/>
    <w:pPr>
      <w:ind w:left="480" w:hanging="240"/>
    </w:pPr>
  </w:style>
  <w:style w:type="paragraph" w:styleId="Index3">
    <w:name w:val="index 3"/>
    <w:basedOn w:val="Normal"/>
    <w:next w:val="Normal"/>
    <w:autoRedefine/>
    <w:uiPriority w:val="98"/>
    <w:semiHidden/>
    <w:rsid w:val="00E67565"/>
    <w:pPr>
      <w:ind w:left="720" w:hanging="240"/>
    </w:pPr>
  </w:style>
  <w:style w:type="paragraph" w:styleId="Index4">
    <w:name w:val="index 4"/>
    <w:basedOn w:val="Normal"/>
    <w:next w:val="Normal"/>
    <w:autoRedefine/>
    <w:uiPriority w:val="98"/>
    <w:semiHidden/>
    <w:rsid w:val="00E67565"/>
    <w:pPr>
      <w:ind w:left="960" w:hanging="240"/>
    </w:pPr>
  </w:style>
  <w:style w:type="paragraph" w:styleId="Index5">
    <w:name w:val="index 5"/>
    <w:basedOn w:val="Normal"/>
    <w:next w:val="Normal"/>
    <w:autoRedefine/>
    <w:uiPriority w:val="98"/>
    <w:semiHidden/>
    <w:rsid w:val="00E67565"/>
    <w:pPr>
      <w:ind w:left="1200" w:hanging="240"/>
    </w:pPr>
  </w:style>
  <w:style w:type="paragraph" w:styleId="Index6">
    <w:name w:val="index 6"/>
    <w:basedOn w:val="Normal"/>
    <w:next w:val="Normal"/>
    <w:autoRedefine/>
    <w:uiPriority w:val="98"/>
    <w:semiHidden/>
    <w:rsid w:val="00E67565"/>
    <w:pPr>
      <w:ind w:left="1440" w:hanging="240"/>
    </w:pPr>
  </w:style>
  <w:style w:type="paragraph" w:styleId="Index7">
    <w:name w:val="index 7"/>
    <w:basedOn w:val="Normal"/>
    <w:next w:val="Normal"/>
    <w:autoRedefine/>
    <w:uiPriority w:val="98"/>
    <w:semiHidden/>
    <w:rsid w:val="00E67565"/>
    <w:pPr>
      <w:ind w:left="1680" w:hanging="240"/>
    </w:pPr>
  </w:style>
  <w:style w:type="paragraph" w:styleId="Index8">
    <w:name w:val="index 8"/>
    <w:basedOn w:val="Normal"/>
    <w:next w:val="Normal"/>
    <w:autoRedefine/>
    <w:uiPriority w:val="98"/>
    <w:semiHidden/>
    <w:rsid w:val="00E67565"/>
    <w:pPr>
      <w:ind w:left="1920" w:hanging="240"/>
    </w:pPr>
  </w:style>
  <w:style w:type="paragraph" w:styleId="Index9">
    <w:name w:val="index 9"/>
    <w:basedOn w:val="Normal"/>
    <w:next w:val="Normal"/>
    <w:autoRedefine/>
    <w:uiPriority w:val="98"/>
    <w:semiHidden/>
    <w:rsid w:val="00E67565"/>
    <w:pPr>
      <w:ind w:left="2160" w:hanging="240"/>
    </w:pPr>
  </w:style>
  <w:style w:type="paragraph" w:styleId="IndexHeading">
    <w:name w:val="index heading"/>
    <w:basedOn w:val="Normal"/>
    <w:next w:val="Index1"/>
    <w:uiPriority w:val="98"/>
    <w:semiHidden/>
    <w:rsid w:val="00E67565"/>
    <w:rPr>
      <w:rFonts w:asciiTheme="majorHAnsi" w:eastAsiaTheme="majorEastAsia" w:hAnsiTheme="majorHAnsi" w:cstheme="majorBidi"/>
      <w:b/>
      <w:bCs/>
    </w:rPr>
  </w:style>
  <w:style w:type="table" w:styleId="LightGrid">
    <w:name w:val="Light Grid"/>
    <w:basedOn w:val="TableNormal"/>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67565"/>
  </w:style>
  <w:style w:type="paragraph" w:styleId="List">
    <w:name w:val="List"/>
    <w:basedOn w:val="Normal"/>
    <w:uiPriority w:val="98"/>
    <w:semiHidden/>
    <w:rsid w:val="00E67565"/>
    <w:pPr>
      <w:ind w:left="283" w:hanging="283"/>
      <w:contextualSpacing/>
    </w:pPr>
  </w:style>
  <w:style w:type="paragraph" w:styleId="List2">
    <w:name w:val="List 2"/>
    <w:basedOn w:val="Normal"/>
    <w:uiPriority w:val="98"/>
    <w:semiHidden/>
    <w:rsid w:val="00E67565"/>
    <w:pPr>
      <w:ind w:left="566" w:hanging="283"/>
      <w:contextualSpacing/>
    </w:pPr>
  </w:style>
  <w:style w:type="paragraph" w:styleId="List3">
    <w:name w:val="List 3"/>
    <w:basedOn w:val="Normal"/>
    <w:uiPriority w:val="98"/>
    <w:semiHidden/>
    <w:rsid w:val="00E67565"/>
    <w:pPr>
      <w:ind w:left="849" w:hanging="283"/>
      <w:contextualSpacing/>
    </w:pPr>
  </w:style>
  <w:style w:type="paragraph" w:styleId="List4">
    <w:name w:val="List 4"/>
    <w:basedOn w:val="Normal"/>
    <w:uiPriority w:val="98"/>
    <w:semiHidden/>
    <w:rsid w:val="00E67565"/>
    <w:pPr>
      <w:ind w:left="1132" w:hanging="283"/>
      <w:contextualSpacing/>
    </w:pPr>
  </w:style>
  <w:style w:type="paragraph" w:styleId="List5">
    <w:name w:val="List 5"/>
    <w:basedOn w:val="Normal"/>
    <w:uiPriority w:val="98"/>
    <w:semiHidden/>
    <w:rsid w:val="00E67565"/>
    <w:pPr>
      <w:ind w:left="1415" w:hanging="283"/>
      <w:contextualSpacing/>
    </w:pPr>
  </w:style>
  <w:style w:type="paragraph" w:styleId="ListBullet2">
    <w:name w:val="List Bullet 2"/>
    <w:basedOn w:val="Normal"/>
    <w:uiPriority w:val="98"/>
    <w:semiHidden/>
    <w:rsid w:val="00E67565"/>
    <w:pPr>
      <w:numPr>
        <w:numId w:val="12"/>
      </w:numPr>
      <w:contextualSpacing/>
    </w:pPr>
  </w:style>
  <w:style w:type="paragraph" w:styleId="ListBullet4">
    <w:name w:val="List Bullet 4"/>
    <w:basedOn w:val="Normal"/>
    <w:uiPriority w:val="98"/>
    <w:semiHidden/>
    <w:rsid w:val="00E67565"/>
    <w:pPr>
      <w:numPr>
        <w:numId w:val="14"/>
      </w:numPr>
      <w:contextualSpacing/>
    </w:pPr>
  </w:style>
  <w:style w:type="paragraph" w:styleId="ListBullet5">
    <w:name w:val="List Bullet 5"/>
    <w:basedOn w:val="Normal"/>
    <w:uiPriority w:val="98"/>
    <w:semiHidden/>
    <w:rsid w:val="00E67565"/>
    <w:pPr>
      <w:numPr>
        <w:numId w:val="15"/>
      </w:numPr>
      <w:contextualSpacing/>
    </w:pPr>
  </w:style>
  <w:style w:type="paragraph" w:styleId="ListContinue">
    <w:name w:val="List Continue"/>
    <w:basedOn w:val="Normal"/>
    <w:uiPriority w:val="98"/>
    <w:semiHidden/>
    <w:rsid w:val="00E67565"/>
    <w:pPr>
      <w:spacing w:after="120"/>
      <w:ind w:left="283"/>
      <w:contextualSpacing/>
    </w:pPr>
  </w:style>
  <w:style w:type="paragraph" w:styleId="ListContinue2">
    <w:name w:val="List Continue 2"/>
    <w:basedOn w:val="Normal"/>
    <w:uiPriority w:val="98"/>
    <w:semiHidden/>
    <w:rsid w:val="00E67565"/>
    <w:pPr>
      <w:spacing w:after="120"/>
      <w:ind w:left="566"/>
      <w:contextualSpacing/>
    </w:pPr>
  </w:style>
  <w:style w:type="paragraph" w:styleId="ListContinue3">
    <w:name w:val="List Continue 3"/>
    <w:basedOn w:val="Normal"/>
    <w:uiPriority w:val="98"/>
    <w:semiHidden/>
    <w:rsid w:val="00E67565"/>
    <w:pPr>
      <w:spacing w:after="120"/>
      <w:ind w:left="849"/>
      <w:contextualSpacing/>
    </w:pPr>
  </w:style>
  <w:style w:type="paragraph" w:styleId="ListContinue4">
    <w:name w:val="List Continue 4"/>
    <w:basedOn w:val="Normal"/>
    <w:uiPriority w:val="98"/>
    <w:semiHidden/>
    <w:rsid w:val="00E67565"/>
    <w:pPr>
      <w:spacing w:after="120"/>
      <w:ind w:left="1132"/>
      <w:contextualSpacing/>
    </w:pPr>
  </w:style>
  <w:style w:type="paragraph" w:styleId="ListContinue5">
    <w:name w:val="List Continue 5"/>
    <w:basedOn w:val="Normal"/>
    <w:uiPriority w:val="98"/>
    <w:semiHidden/>
    <w:rsid w:val="00E67565"/>
    <w:pPr>
      <w:spacing w:after="120"/>
      <w:ind w:left="1415"/>
      <w:contextualSpacing/>
    </w:pPr>
  </w:style>
  <w:style w:type="paragraph" w:styleId="ListNumber">
    <w:name w:val="List Number"/>
    <w:basedOn w:val="Normal"/>
    <w:uiPriority w:val="98"/>
    <w:semiHidden/>
    <w:rsid w:val="00E67565"/>
    <w:pPr>
      <w:numPr>
        <w:numId w:val="16"/>
      </w:numPr>
      <w:contextualSpacing/>
    </w:pPr>
  </w:style>
  <w:style w:type="paragraph" w:styleId="ListNumber2">
    <w:name w:val="List Number 2"/>
    <w:basedOn w:val="Normal"/>
    <w:uiPriority w:val="98"/>
    <w:semiHidden/>
    <w:rsid w:val="00E67565"/>
    <w:pPr>
      <w:numPr>
        <w:numId w:val="17"/>
      </w:numPr>
      <w:contextualSpacing/>
    </w:pPr>
  </w:style>
  <w:style w:type="paragraph" w:styleId="ListNumber3">
    <w:name w:val="List Number 3"/>
    <w:basedOn w:val="Normal"/>
    <w:uiPriority w:val="98"/>
    <w:semiHidden/>
    <w:rsid w:val="00E67565"/>
    <w:pPr>
      <w:numPr>
        <w:numId w:val="18"/>
      </w:numPr>
      <w:contextualSpacing/>
    </w:pPr>
  </w:style>
  <w:style w:type="paragraph" w:styleId="ListNumber4">
    <w:name w:val="List Number 4"/>
    <w:basedOn w:val="Normal"/>
    <w:uiPriority w:val="98"/>
    <w:semiHidden/>
    <w:rsid w:val="00E67565"/>
    <w:pPr>
      <w:numPr>
        <w:numId w:val="19"/>
      </w:numPr>
      <w:contextualSpacing/>
    </w:pPr>
  </w:style>
  <w:style w:type="paragraph" w:styleId="ListNumber5">
    <w:name w:val="List Number 5"/>
    <w:basedOn w:val="Normal"/>
    <w:uiPriority w:val="98"/>
    <w:semiHidden/>
    <w:rsid w:val="00E67565"/>
    <w:pPr>
      <w:numPr>
        <w:numId w:val="20"/>
      </w:numPr>
      <w:contextualSpacing/>
    </w:pPr>
  </w:style>
  <w:style w:type="paragraph" w:styleId="MacroText">
    <w:name w:val="macro"/>
    <w:link w:val="MacroTextChar"/>
    <w:uiPriority w:val="98"/>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67565"/>
    <w:rPr>
      <w:rFonts w:ascii="Consolas" w:eastAsiaTheme="minorEastAsia" w:hAnsi="Consolas" w:cs="Consolas"/>
      <w:sz w:val="20"/>
      <w:szCs w:val="20"/>
    </w:rPr>
  </w:style>
  <w:style w:type="table" w:styleId="MediumGrid1">
    <w:name w:val="Medium Grid 1"/>
    <w:basedOn w:val="TableNormal"/>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67565"/>
    <w:rPr>
      <w:rFonts w:ascii="Times New Roman" w:hAnsi="Times New Roman" w:cs="Times New Roman"/>
    </w:rPr>
  </w:style>
  <w:style w:type="paragraph" w:styleId="NormalIndent">
    <w:name w:val="Normal Indent"/>
    <w:basedOn w:val="Normal"/>
    <w:uiPriority w:val="98"/>
    <w:semiHidden/>
    <w:rsid w:val="00E67565"/>
    <w:pPr>
      <w:ind w:left="720"/>
    </w:pPr>
  </w:style>
  <w:style w:type="paragraph" w:styleId="NoteHeading">
    <w:name w:val="Note Heading"/>
    <w:basedOn w:val="Normal"/>
    <w:next w:val="Normal"/>
    <w:link w:val="NoteHeadingChar"/>
    <w:uiPriority w:val="98"/>
    <w:semiHidden/>
    <w:rsid w:val="00E67565"/>
  </w:style>
  <w:style w:type="character" w:customStyle="1" w:styleId="NoteHeadingChar">
    <w:name w:val="Note Heading Char"/>
    <w:basedOn w:val="DefaultParagraphFont"/>
    <w:link w:val="NoteHeading"/>
    <w:uiPriority w:val="98"/>
    <w:semiHidden/>
    <w:rsid w:val="00E67565"/>
    <w:rPr>
      <w:sz w:val="24"/>
      <w:szCs w:val="24"/>
      <w:lang w:val="en-GB"/>
    </w:rPr>
  </w:style>
  <w:style w:type="character" w:styleId="PlaceholderText">
    <w:name w:val="Placeholder Text"/>
    <w:basedOn w:val="DefaultParagraphFont"/>
    <w:uiPriority w:val="98"/>
    <w:semiHidden/>
    <w:rsid w:val="00E6756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67565"/>
    <w:rPr>
      <w:rFonts w:ascii="Consolas" w:hAnsi="Consolas" w:cs="Consolas"/>
      <w:sz w:val="21"/>
      <w:szCs w:val="21"/>
    </w:rPr>
  </w:style>
  <w:style w:type="character" w:customStyle="1" w:styleId="PlainTextChar">
    <w:name w:val="Plain Text Char"/>
    <w:basedOn w:val="DefaultParagraphFont"/>
    <w:link w:val="PlainText"/>
    <w:uiPriority w:val="98"/>
    <w:semiHidden/>
    <w:rsid w:val="00E67565"/>
    <w:rPr>
      <w:rFonts w:ascii="Consolas" w:hAnsi="Consolas" w:cs="Consolas"/>
      <w:sz w:val="21"/>
      <w:szCs w:val="21"/>
      <w:lang w:val="en-GB"/>
    </w:rPr>
  </w:style>
  <w:style w:type="paragraph" w:styleId="Salutation">
    <w:name w:val="Salutation"/>
    <w:basedOn w:val="Normal"/>
    <w:next w:val="Normal"/>
    <w:link w:val="SalutationChar"/>
    <w:uiPriority w:val="98"/>
    <w:semiHidden/>
    <w:rsid w:val="00E67565"/>
  </w:style>
  <w:style w:type="character" w:customStyle="1" w:styleId="SalutationChar">
    <w:name w:val="Salutation Char"/>
    <w:basedOn w:val="DefaultParagraphFont"/>
    <w:link w:val="Salutation"/>
    <w:uiPriority w:val="98"/>
    <w:semiHidden/>
    <w:rsid w:val="00E67565"/>
    <w:rPr>
      <w:sz w:val="24"/>
      <w:szCs w:val="24"/>
      <w:lang w:val="en-GB"/>
    </w:rPr>
  </w:style>
  <w:style w:type="paragraph" w:styleId="Signature">
    <w:name w:val="Signature"/>
    <w:basedOn w:val="Normal"/>
    <w:link w:val="SignatureChar"/>
    <w:uiPriority w:val="98"/>
    <w:semiHidden/>
    <w:rsid w:val="00E67565"/>
    <w:pPr>
      <w:ind w:left="4252"/>
    </w:pPr>
  </w:style>
  <w:style w:type="character" w:customStyle="1" w:styleId="SignatureChar">
    <w:name w:val="Signature Char"/>
    <w:basedOn w:val="DefaultParagraphFont"/>
    <w:link w:val="Signature"/>
    <w:uiPriority w:val="98"/>
    <w:semiHidden/>
    <w:rsid w:val="00E67565"/>
    <w:rPr>
      <w:sz w:val="24"/>
      <w:szCs w:val="24"/>
      <w:lang w:val="en-GB"/>
    </w:rPr>
  </w:style>
  <w:style w:type="table" w:styleId="Table3Deffects1">
    <w:name w:val="Table 3D effects 1"/>
    <w:basedOn w:val="TableNormal"/>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67565"/>
    <w:pPr>
      <w:ind w:left="240" w:hanging="240"/>
    </w:pPr>
  </w:style>
  <w:style w:type="paragraph" w:styleId="TableofFigures">
    <w:name w:val="table of figures"/>
    <w:basedOn w:val="Normal"/>
    <w:next w:val="Normal"/>
    <w:uiPriority w:val="98"/>
    <w:semiHidden/>
    <w:rsid w:val="00E67565"/>
  </w:style>
  <w:style w:type="table" w:styleId="TableProfessional">
    <w:name w:val="Table Professional"/>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675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675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67565"/>
    <w:pPr>
      <w:spacing w:after="100"/>
      <w:ind w:left="1680"/>
    </w:pPr>
  </w:style>
  <w:style w:type="paragraph" w:styleId="TOC9">
    <w:name w:val="toc 9"/>
    <w:basedOn w:val="Normal"/>
    <w:next w:val="Normal"/>
    <w:autoRedefine/>
    <w:uiPriority w:val="98"/>
    <w:semiHidden/>
    <w:rsid w:val="00E675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675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
    <w:next w:val="Normal"/>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67565"/>
    <w:pPr>
      <w:jc w:val="right"/>
    </w:pPr>
    <w:rPr>
      <w:sz w:val="20"/>
    </w:rPr>
  </w:style>
  <w:style w:type="paragraph" w:customStyle="1" w:styleId="ECHRHeaderRefIt">
    <w:name w:val="ECHR_Header_Ref_It"/>
    <w:aliases w:val="_Ref_Ital"/>
    <w:basedOn w:val="Normal"/>
    <w:next w:val="ECHRHeaderDate"/>
    <w:uiPriority w:val="43"/>
    <w:semiHidden/>
    <w:qFormat/>
    <w:rsid w:val="00E67565"/>
    <w:pPr>
      <w:jc w:val="right"/>
    </w:pPr>
    <w:rPr>
      <w:i/>
      <w:sz w:val="20"/>
    </w:rPr>
  </w:style>
  <w:style w:type="paragraph" w:customStyle="1" w:styleId="ECHRHeading9">
    <w:name w:val="ECHR_Heading_9"/>
    <w:aliases w:val="_Head_9"/>
    <w:basedOn w:val="Heading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
    <w:uiPriority w:val="8"/>
    <w:semiHidden/>
    <w:qFormat/>
    <w:rsid w:val="00E67565"/>
    <w:pPr>
      <w:ind w:left="567" w:hanging="567"/>
      <w:jc w:val="both"/>
    </w:pPr>
  </w:style>
  <w:style w:type="paragraph" w:customStyle="1" w:styleId="ECHRParaIndent">
    <w:name w:val="ECHR_Para_Indent"/>
    <w:aliases w:val="_Indent"/>
    <w:basedOn w:val="Normal"/>
    <w:uiPriority w:val="7"/>
    <w:semiHidden/>
    <w:qFormat/>
    <w:rsid w:val="00E67565"/>
    <w:pPr>
      <w:spacing w:before="120" w:after="120"/>
      <w:ind w:left="284"/>
      <w:jc w:val="both"/>
    </w:pPr>
  </w:style>
  <w:style w:type="character" w:customStyle="1" w:styleId="ECHRRed">
    <w:name w:val="ECHR_Red"/>
    <w:aliases w:val="_Red"/>
    <w:basedOn w:val="DefaultParagraphFont"/>
    <w:uiPriority w:val="15"/>
    <w:semiHidden/>
    <w:qFormat/>
    <w:rsid w:val="00E67565"/>
    <w:rPr>
      <w:color w:val="C00000" w:themeColor="accent2"/>
    </w:rPr>
  </w:style>
  <w:style w:type="paragraph" w:customStyle="1" w:styleId="DecList">
    <w:name w:val="Dec_List"/>
    <w:aliases w:val="_List"/>
    <w:basedOn w:val="JuList"/>
    <w:uiPriority w:val="22"/>
    <w:rsid w:val="00E67565"/>
    <w:pPr>
      <w:numPr>
        <w:numId w:val="0"/>
      </w:numPr>
      <w:ind w:left="284"/>
    </w:pPr>
  </w:style>
  <w:style w:type="table" w:customStyle="1" w:styleId="ECHRTable2">
    <w:name w:val="ECHR_Table_2"/>
    <w:basedOn w:val="TableNormal"/>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67565"/>
    <w:pPr>
      <w:outlineLvl w:val="0"/>
    </w:pPr>
  </w:style>
  <w:style w:type="paragraph" w:customStyle="1" w:styleId="ECHRTitleTOC1">
    <w:name w:val="ECHR_Title_TOC_1"/>
    <w:aliases w:val="_Title_L_TOC"/>
    <w:basedOn w:val="ECHRTitle1"/>
    <w:next w:val="Normal"/>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
    <w:uiPriority w:val="45"/>
    <w:semiHidden/>
    <w:rsid w:val="00E67565"/>
    <w:rPr>
      <w:sz w:val="4"/>
    </w:rPr>
  </w:style>
  <w:style w:type="table" w:customStyle="1" w:styleId="ECHRTableGrey">
    <w:name w:val="ECHR_Table_Grey"/>
    <w:basedOn w:val="TableNormal"/>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BA3852"/>
    <w:rPr>
      <w:sz w:val="24"/>
      <w:szCs w:val="24"/>
      <w:lang w:val="en-GB"/>
    </w:rPr>
  </w:style>
  <w:style w:type="character" w:customStyle="1" w:styleId="JuHIRomanChar">
    <w:name w:val="Ju_H_I_Roman Char"/>
    <w:basedOn w:val="DefaultParagraphFont"/>
    <w:link w:val="JuHIRoman"/>
    <w:uiPriority w:val="17"/>
    <w:rsid w:val="00BA3852"/>
    <w:rPr>
      <w:rFonts w:asciiTheme="majorHAnsi" w:eastAsiaTheme="majorEastAsia" w:hAnsiTheme="majorHAnsi" w:cstheme="majorBidi"/>
      <w:bCs/>
      <w:caps/>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666C2-9048-4F05-A3BE-E718F63E9671}">
  <ds:schemaRefs>
    <ds:schemaRef ds:uri="http://schemas.openxmlformats.org/officeDocument/2006/bibliography"/>
  </ds:schemaRefs>
</ds:datastoreItem>
</file>

<file path=customXml/itemProps2.xml><?xml version="1.0" encoding="utf-8"?>
<ds:datastoreItem xmlns:ds="http://schemas.openxmlformats.org/officeDocument/2006/customXml" ds:itemID="{EE14148D-D1B4-4C92-9D44-54B6AA968807}"/>
</file>

<file path=customXml/itemProps3.xml><?xml version="1.0" encoding="utf-8"?>
<ds:datastoreItem xmlns:ds="http://schemas.openxmlformats.org/officeDocument/2006/customXml" ds:itemID="{53A3681E-EF7D-4817-B278-8D5A4EEF62F1}"/>
</file>

<file path=customXml/itemProps4.xml><?xml version="1.0" encoding="utf-8"?>
<ds:datastoreItem xmlns:ds="http://schemas.openxmlformats.org/officeDocument/2006/customXml" ds:itemID="{4474C0AA-B966-48D7-95F6-F65DAA246168}"/>
</file>

<file path=docProps/app.xml><?xml version="1.0" encoding="utf-8"?>
<Properties xmlns="http://schemas.openxmlformats.org/officeDocument/2006/extended-properties" xmlns:vt="http://schemas.openxmlformats.org/officeDocument/2006/docPropsVTypes">
  <Template>Normal.dotm</Template>
  <TotalTime>0</TotalTime>
  <Pages>1</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43176/13</vt:lpwstr>
  </property>
  <property fmtid="{D5CDD505-2E9C-101B-9397-08002B2CF9AE}" pid="4" name="CASEID">
    <vt:lpwstr>893812</vt:lpwstr>
  </property>
  <property fmtid="{D5CDD505-2E9C-101B-9397-08002B2CF9AE}" pid="5" name="ContentTypeId">
    <vt:lpwstr>0x010100558EB02BDB9E204AB350EDD385B68E10</vt:lpwstr>
  </property>
</Properties>
</file>