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79AD" w:rsidR="0098410D" w:rsidP="000879AD" w:rsidRDefault="0098410D" w14:paraId="0EFF3017" w14:textId="77777777">
      <w:pPr>
        <w:jc w:val="center"/>
      </w:pPr>
    </w:p>
    <w:p w:rsidRPr="000879AD" w:rsidR="0098410D" w:rsidP="000879AD" w:rsidRDefault="0098379F" w14:paraId="6EE49468" w14:textId="4DD67228">
      <w:pPr>
        <w:pStyle w:val="DecHCase"/>
      </w:pPr>
      <w:r w:rsidRPr="000879AD">
        <w:t>THIRD SECTION</w:t>
      </w:r>
    </w:p>
    <w:p w:rsidRPr="000879AD" w:rsidR="008E6217" w:rsidP="000879AD" w:rsidRDefault="008E6217" w14:paraId="521E4082" w14:textId="3E10BFB4">
      <w:pPr>
        <w:pStyle w:val="JuTitle"/>
      </w:pPr>
      <w:bookmarkStart w:name="To" w:id="0"/>
      <w:r w:rsidRPr="000879AD">
        <w:rPr>
          <w:color w:val="000000" w:themeColor="text1"/>
        </w:rPr>
        <w:t xml:space="preserve">CASE OF </w:t>
      </w:r>
      <w:bookmarkEnd w:id="0"/>
      <w:r w:rsidRPr="000879AD" w:rsidR="0098379F">
        <w:t>NOVAYA GAZETA AND OTHERS v. RUSSIA</w:t>
      </w:r>
    </w:p>
    <w:p w:rsidRPr="000879AD" w:rsidR="00D74888" w:rsidP="000879AD" w:rsidRDefault="008E6217" w14:paraId="6D9D9643" w14:textId="0643639F">
      <w:pPr>
        <w:pStyle w:val="ECHRCoverTitle4"/>
      </w:pPr>
      <w:r w:rsidRPr="000879AD">
        <w:t>(</w:t>
      </w:r>
      <w:r w:rsidRPr="000879AD" w:rsidR="0098379F">
        <w:t>Applications nos.</w:t>
      </w:r>
      <w:r w:rsidRPr="000879AD" w:rsidR="00D61AE0">
        <w:t> </w:t>
      </w:r>
      <w:r w:rsidRPr="000879AD" w:rsidR="0098379F">
        <w:t>12996/12 and</w:t>
      </w:r>
      <w:r w:rsidRPr="000879AD" w:rsidR="00B51F2E">
        <w:t xml:space="preserve"> 35043/13</w:t>
      </w:r>
      <w:r w:rsidRPr="000879AD">
        <w:t>)</w:t>
      </w:r>
    </w:p>
    <w:p w:rsidRPr="000879AD" w:rsidR="0098410D" w:rsidP="000879AD" w:rsidRDefault="0098410D" w14:paraId="519A7CC7" w14:textId="77777777">
      <w:pPr>
        <w:pStyle w:val="DecHCase"/>
      </w:pPr>
    </w:p>
    <w:p w:rsidRPr="000879AD" w:rsidR="0098410D" w:rsidP="000879AD" w:rsidRDefault="0098410D" w14:paraId="2EB1C2A0" w14:textId="77777777">
      <w:pPr>
        <w:pStyle w:val="DecHCase"/>
      </w:pPr>
    </w:p>
    <w:p w:rsidRPr="000879AD" w:rsidR="00AC4CD4" w:rsidP="000879AD" w:rsidRDefault="00AC4CD4" w14:paraId="74842FEA" w14:textId="77777777">
      <w:pPr>
        <w:pStyle w:val="DecHCase"/>
      </w:pPr>
    </w:p>
    <w:p w:rsidRPr="000879AD" w:rsidR="0098410D" w:rsidP="000879AD" w:rsidRDefault="0098410D" w14:paraId="0E2F2244" w14:textId="77777777">
      <w:pPr>
        <w:pStyle w:val="DecHCase"/>
      </w:pPr>
    </w:p>
    <w:p w:rsidRPr="000879AD" w:rsidR="00A02836" w:rsidP="000879AD" w:rsidRDefault="00A02836" w14:paraId="65A6F1DE" w14:textId="77777777">
      <w:pPr>
        <w:pStyle w:val="DecHCase"/>
      </w:pPr>
    </w:p>
    <w:p w:rsidRPr="000879AD" w:rsidR="00A02836" w:rsidP="000879AD" w:rsidRDefault="00A02836" w14:paraId="32A80855" w14:textId="77777777">
      <w:pPr>
        <w:pStyle w:val="DecHCase"/>
      </w:pPr>
    </w:p>
    <w:p w:rsidRPr="000879AD" w:rsidR="0098410D" w:rsidP="000879AD" w:rsidRDefault="0098410D" w14:paraId="414240BA" w14:textId="5099ADA9">
      <w:pPr>
        <w:pStyle w:val="DecHCase"/>
      </w:pPr>
      <w:r w:rsidRPr="000879AD">
        <w:t>JUDGMENT</w:t>
      </w:r>
      <w:r w:rsidRPr="000879AD" w:rsidR="00AC4CD4">
        <w:br/>
      </w:r>
    </w:p>
    <w:p w:rsidRPr="000879AD" w:rsidR="0098410D" w:rsidP="000879AD" w:rsidRDefault="0098410D" w14:paraId="25B9F7FD" w14:textId="77777777">
      <w:pPr>
        <w:pStyle w:val="DecHCase"/>
      </w:pPr>
      <w:r w:rsidRPr="000879AD">
        <w:t>STRASBOURG</w:t>
      </w:r>
    </w:p>
    <w:p w:rsidRPr="000879AD" w:rsidR="0098410D" w:rsidP="000879AD" w:rsidRDefault="0098379F" w14:paraId="6A6B6545" w14:textId="4EDA2E8C">
      <w:pPr>
        <w:pStyle w:val="DecHCase"/>
        <w:rPr>
          <w:rFonts w:ascii="Times New Roman" w:hAnsi="Times New Roman" w:cs="Times New Roman"/>
        </w:rPr>
      </w:pPr>
      <w:r w:rsidRPr="000879AD">
        <w:rPr>
          <w:rFonts w:ascii="Times New Roman" w:hAnsi="Times New Roman" w:cs="Times New Roman"/>
        </w:rPr>
        <w:t>28 September 2021</w:t>
      </w:r>
    </w:p>
    <w:p w:rsidRPr="000879AD" w:rsidR="007D7066" w:rsidP="000879AD" w:rsidRDefault="007D7066" w14:paraId="22C1149D" w14:textId="77777777">
      <w:pPr>
        <w:pStyle w:val="JuPara"/>
      </w:pPr>
    </w:p>
    <w:p w:rsidRPr="000879AD" w:rsidR="002422B6" w:rsidP="000879AD" w:rsidRDefault="0098410D" w14:paraId="1C8A2ECD" w14:textId="6AF0E90C">
      <w:pPr>
        <w:rPr>
          <w:i/>
          <w:sz w:val="22"/>
        </w:rPr>
      </w:pPr>
      <w:r w:rsidRPr="000879AD">
        <w:rPr>
          <w:i/>
          <w:sz w:val="22"/>
        </w:rPr>
        <w:t xml:space="preserve">This judgment </w:t>
      </w:r>
      <w:r w:rsidRPr="000879AD" w:rsidR="0098379F">
        <w:rPr>
          <w:i/>
          <w:sz w:val="22"/>
        </w:rPr>
        <w:t>is final but it</w:t>
      </w:r>
      <w:r w:rsidRPr="000879AD">
        <w:rPr>
          <w:i/>
          <w:sz w:val="22"/>
        </w:rPr>
        <w:t xml:space="preserve"> may be subject to editorial revision.</w:t>
      </w:r>
    </w:p>
    <w:p w:rsidRPr="000879AD" w:rsidR="0098410D" w:rsidP="000879AD" w:rsidRDefault="0098410D" w14:paraId="7C323068" w14:textId="77777777">
      <w:pPr>
        <w:sectPr w:rsidRPr="000879AD"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0879AD" w:rsidR="0098410D" w:rsidP="000879AD" w:rsidRDefault="0098410D" w14:paraId="2C77FFFE" w14:textId="4BC59555">
      <w:pPr>
        <w:pStyle w:val="JuCase"/>
      </w:pPr>
      <w:r w:rsidRPr="000879AD">
        <w:t xml:space="preserve">In the case of </w:t>
      </w:r>
      <w:r w:rsidRPr="000879AD" w:rsidR="0098379F">
        <w:t>Novaya Gazeta and Others v. Russia</w:t>
      </w:r>
      <w:r w:rsidRPr="000879AD">
        <w:t>,</w:t>
      </w:r>
    </w:p>
    <w:p w:rsidRPr="000879AD" w:rsidR="009F4C8F" w:rsidP="000879AD" w:rsidRDefault="009F4C8F" w14:paraId="12A470A5" w14:textId="6D7FC27B">
      <w:pPr>
        <w:pStyle w:val="JuPara"/>
      </w:pPr>
      <w:r w:rsidRPr="000879AD">
        <w:t>The European Court of Human Rights (</w:t>
      </w:r>
      <w:r w:rsidRPr="000879AD" w:rsidR="0098379F">
        <w:t>Third Section</w:t>
      </w:r>
      <w:r w:rsidRPr="000879AD">
        <w:t xml:space="preserve">), sitting as a </w:t>
      </w:r>
      <w:r w:rsidRPr="000879AD" w:rsidR="0098379F">
        <w:t>Committee</w:t>
      </w:r>
      <w:r w:rsidRPr="000879AD">
        <w:t xml:space="preserve"> composed of:</w:t>
      </w:r>
    </w:p>
    <w:p w:rsidRPr="000879AD" w:rsidR="009F4C8F" w:rsidP="000879AD" w:rsidRDefault="00D61AE0" w14:paraId="4982145A" w14:textId="097E79AC">
      <w:pPr>
        <w:pStyle w:val="JuJudges"/>
      </w:pPr>
      <w:r w:rsidRPr="000879AD">
        <w:tab/>
        <w:t>Darian Pavli,</w:t>
      </w:r>
      <w:r w:rsidRPr="000879AD">
        <w:rPr>
          <w:i/>
        </w:rPr>
        <w:t xml:space="preserve"> President,</w:t>
      </w:r>
      <w:r w:rsidRPr="000879AD">
        <w:rPr>
          <w:i/>
        </w:rPr>
        <w:br/>
      </w:r>
      <w:r w:rsidRPr="000879AD">
        <w:tab/>
        <w:t>Dmitry Dedov,</w:t>
      </w:r>
      <w:r w:rsidRPr="000879AD">
        <w:rPr>
          <w:i/>
        </w:rPr>
        <w:br/>
      </w:r>
      <w:r w:rsidRPr="000879AD">
        <w:tab/>
        <w:t>Peeter Roosma,</w:t>
      </w:r>
      <w:r w:rsidRPr="000879AD">
        <w:rPr>
          <w:i/>
        </w:rPr>
        <w:t xml:space="preserve"> judges,</w:t>
      </w:r>
      <w:r w:rsidRPr="000879AD" w:rsidR="009F4C8F">
        <w:br/>
        <w:t xml:space="preserve">and </w:t>
      </w:r>
      <w:r w:rsidRPr="000879AD" w:rsidR="0098379F">
        <w:t>Olga Chernishova</w:t>
      </w:r>
      <w:r w:rsidRPr="000879AD" w:rsidR="009F4C8F">
        <w:t xml:space="preserve">, </w:t>
      </w:r>
      <w:r w:rsidRPr="000879AD" w:rsidR="0098379F">
        <w:rPr>
          <w:i/>
        </w:rPr>
        <w:t xml:space="preserve">Deputy Section </w:t>
      </w:r>
      <w:r w:rsidRPr="000879AD" w:rsidR="0098379F">
        <w:rPr>
          <w:i/>
          <w:iCs/>
        </w:rPr>
        <w:t>Registrar</w:t>
      </w:r>
      <w:r w:rsidRPr="000879AD" w:rsidR="009F4C8F">
        <w:rPr>
          <w:i/>
        </w:rPr>
        <w:t>,</w:t>
      </w:r>
    </w:p>
    <w:p w:rsidRPr="000879AD" w:rsidR="0098379F" w:rsidP="000879AD" w:rsidRDefault="0098379F" w14:paraId="1E539332" w14:textId="77777777">
      <w:pPr>
        <w:pStyle w:val="JuPara"/>
      </w:pPr>
      <w:r w:rsidRPr="000879AD">
        <w:t>Having regard to:</w:t>
      </w:r>
    </w:p>
    <w:p w:rsidRPr="000879AD" w:rsidR="0098379F" w:rsidP="000879AD" w:rsidRDefault="0098379F" w14:paraId="0742981E" w14:textId="77777777">
      <w:pPr>
        <w:pStyle w:val="JuPara"/>
      </w:pPr>
      <w:r w:rsidRPr="000879AD">
        <w:t xml:space="preserve">the applications (nos. 12996/12 and </w:t>
      </w:r>
      <w:r w:rsidRPr="000879AD">
        <w:rPr>
          <w:color w:val="000000"/>
        </w:rPr>
        <w:t>35043/13)</w:t>
      </w:r>
      <w:r w:rsidRPr="000879AD">
        <w:t xml:space="preserve"> against the Russian Federation lodged with the Court under Article 34 of the Convention for the Protection of Human Rights and Fundamental Freedoms (“the Convention”) by three applicants (“the applicants”), whose details as well as the dates of introduction of each application are indicated </w:t>
      </w:r>
      <w:r w:rsidRPr="000879AD">
        <w:rPr>
          <w:rFonts w:eastAsia="PMingLiU"/>
        </w:rPr>
        <w:t>in Appendix I below</w:t>
      </w:r>
      <w:r w:rsidRPr="000879AD">
        <w:t>;</w:t>
      </w:r>
    </w:p>
    <w:p w:rsidRPr="000879AD" w:rsidR="0098379F" w:rsidP="000879AD" w:rsidRDefault="0098379F" w14:paraId="20D27E28" w14:textId="2AF0B499">
      <w:pPr>
        <w:pStyle w:val="JuPara"/>
      </w:pPr>
      <w:r w:rsidRPr="000879AD">
        <w:t>the decision to give notice to the Russian Government (“the Government”) of the complaints concerning the applicants</w:t>
      </w:r>
      <w:r w:rsidRPr="000879AD" w:rsidR="000879AD">
        <w:t>’</w:t>
      </w:r>
      <w:r w:rsidRPr="000879AD">
        <w:t xml:space="preserve"> right to freedom of expression;</w:t>
      </w:r>
    </w:p>
    <w:p w:rsidRPr="000879AD" w:rsidR="0098379F" w:rsidP="000879AD" w:rsidRDefault="0098379F" w14:paraId="463E9468" w14:textId="7E372386">
      <w:pPr>
        <w:pStyle w:val="JuPara"/>
      </w:pPr>
      <w:r w:rsidRPr="000879AD">
        <w:t>the parties</w:t>
      </w:r>
      <w:r w:rsidRPr="000879AD" w:rsidR="000879AD">
        <w:t>’</w:t>
      </w:r>
      <w:r w:rsidRPr="000879AD">
        <w:t xml:space="preserve"> observations;</w:t>
      </w:r>
    </w:p>
    <w:p w:rsidRPr="000879AD" w:rsidR="0098379F" w:rsidP="000879AD" w:rsidRDefault="0098379F" w14:paraId="69D02562" w14:textId="4A4C6ED9">
      <w:pPr>
        <w:pStyle w:val="JuPara"/>
      </w:pPr>
      <w:r w:rsidRPr="000879AD">
        <w:t>the decision to reject the Government</w:t>
      </w:r>
      <w:r w:rsidRPr="000879AD" w:rsidR="000879AD">
        <w:t>’</w:t>
      </w:r>
      <w:r w:rsidRPr="000879AD">
        <w:t>s objection to examination of the applications by a Committee;</w:t>
      </w:r>
    </w:p>
    <w:p w:rsidRPr="000879AD" w:rsidR="009F4C8F" w:rsidP="000879AD" w:rsidRDefault="009F4C8F" w14:paraId="71370501" w14:textId="2699323B">
      <w:pPr>
        <w:pStyle w:val="JuPara"/>
      </w:pPr>
      <w:r w:rsidRPr="000879AD">
        <w:t xml:space="preserve">Having deliberated in private on </w:t>
      </w:r>
      <w:r w:rsidRPr="000879AD" w:rsidR="0098379F">
        <w:t>7 September 2021</w:t>
      </w:r>
      <w:r w:rsidRPr="000879AD">
        <w:t>,</w:t>
      </w:r>
    </w:p>
    <w:p w:rsidRPr="000879AD" w:rsidR="009F4C8F" w:rsidP="000879AD" w:rsidRDefault="009F4C8F" w14:paraId="66C7E07C" w14:textId="77777777">
      <w:pPr>
        <w:pStyle w:val="JuPara"/>
      </w:pPr>
      <w:r w:rsidRPr="000879AD">
        <w:t>Delivers the following judgment, which was adopted on that date:</w:t>
      </w:r>
    </w:p>
    <w:p w:rsidRPr="000879AD" w:rsidR="0098379F" w:rsidP="000879AD" w:rsidRDefault="0098379F" w14:paraId="1CFBEF42" w14:textId="77777777">
      <w:pPr>
        <w:pStyle w:val="JuHHead"/>
        <w:numPr>
          <w:ilvl w:val="0"/>
          <w:numId w:val="0"/>
        </w:numPr>
      </w:pPr>
      <w:r w:rsidRPr="000879AD">
        <w:t>INTRODUCTION</w:t>
      </w:r>
    </w:p>
    <w:p w:rsidRPr="000879AD" w:rsidR="0098379F" w:rsidP="000879AD" w:rsidRDefault="0098379F" w14:paraId="08167446" w14:textId="0CC830E9">
      <w:pPr>
        <w:pStyle w:val="JuPara"/>
      </w:pPr>
      <w:r w:rsidRPr="000879AD">
        <w:fldChar w:fldCharType="begin"/>
      </w:r>
      <w:r w:rsidRPr="000879AD">
        <w:instrText xml:space="preserve"> SEQ level0 \*arabic </w:instrText>
      </w:r>
      <w:r w:rsidRPr="000879AD">
        <w:fldChar w:fldCharType="separate"/>
      </w:r>
      <w:r w:rsidRPr="000879AD" w:rsidR="000879AD">
        <w:rPr>
          <w:noProof/>
        </w:rPr>
        <w:t>1</w:t>
      </w:r>
      <w:r w:rsidRPr="000879AD">
        <w:fldChar w:fldCharType="end"/>
      </w:r>
      <w:r w:rsidRPr="000879AD">
        <w:t>.  This case concerns two sets of civil defamation proceedings instituted against members of the media by commercial companies alleging damage to their business reputation before commercial courts. The applicants considered that the domestic courts</w:t>
      </w:r>
      <w:r w:rsidRPr="000879AD" w:rsidR="000879AD">
        <w:t>’</w:t>
      </w:r>
      <w:r w:rsidRPr="000879AD">
        <w:t xml:space="preserve"> judgments finding them civilly liable for defamation amounted to a disproportionate interference with the exercise of their right to freedom of expression.</w:t>
      </w:r>
    </w:p>
    <w:p w:rsidRPr="000879AD" w:rsidR="0098379F" w:rsidP="000879AD" w:rsidRDefault="0098379F" w14:paraId="607744DE" w14:textId="77777777">
      <w:pPr>
        <w:pStyle w:val="JuHHead"/>
      </w:pPr>
      <w:r w:rsidRPr="000879AD">
        <w:t>THE FACTS</w:t>
      </w:r>
    </w:p>
    <w:p w:rsidRPr="000879AD" w:rsidR="0098379F" w:rsidP="000879AD" w:rsidRDefault="0098379F" w14:paraId="5A99F5A1" w14:textId="598D29D4">
      <w:pPr>
        <w:pStyle w:val="JuPara"/>
      </w:pPr>
      <w:r w:rsidRPr="000879AD">
        <w:fldChar w:fldCharType="begin"/>
      </w:r>
      <w:r w:rsidRPr="000879AD">
        <w:instrText xml:space="preserve"> SEQ level0 \*arabic </w:instrText>
      </w:r>
      <w:r w:rsidRPr="000879AD">
        <w:fldChar w:fldCharType="separate"/>
      </w:r>
      <w:r w:rsidRPr="000879AD" w:rsidR="000879AD">
        <w:rPr>
          <w:noProof/>
        </w:rPr>
        <w:t>2</w:t>
      </w:r>
      <w:r w:rsidRPr="000879AD">
        <w:fldChar w:fldCharType="end"/>
      </w:r>
      <w:r w:rsidRPr="000879AD">
        <w:t xml:space="preserve">.  The applicant company is a publisher of </w:t>
      </w:r>
      <w:r w:rsidRPr="000879AD">
        <w:rPr>
          <w:i/>
          <w:iCs/>
        </w:rPr>
        <w:t>Novaya Gazeta</w:t>
      </w:r>
      <w:r w:rsidRPr="000879AD">
        <w:t>, a leading Russian newspaper (“the newspaper”). Mr Polukhin and Mr Nikolayev are professional journalists who at the material time wrote for the newspaper. The applicants were represented by Mr Ya. Kozheurov, a lawyer practising in Moscow.</w:t>
      </w:r>
    </w:p>
    <w:p w:rsidRPr="000879AD" w:rsidR="00990022" w:rsidP="000879AD" w:rsidRDefault="0098379F" w14:paraId="1315AB97" w14:textId="0E71F72D">
      <w:pPr>
        <w:pStyle w:val="JuPara"/>
      </w:pPr>
      <w:r w:rsidRPr="000879AD">
        <w:fldChar w:fldCharType="begin"/>
      </w:r>
      <w:r w:rsidRPr="000879AD">
        <w:instrText xml:space="preserve"> SEQ level0 \*arabic </w:instrText>
      </w:r>
      <w:r w:rsidRPr="000879AD">
        <w:fldChar w:fldCharType="separate"/>
      </w:r>
      <w:r w:rsidRPr="000879AD" w:rsidR="000879AD">
        <w:rPr>
          <w:noProof/>
        </w:rPr>
        <w:t>3</w:t>
      </w:r>
      <w:r w:rsidRPr="000879AD">
        <w:fldChar w:fldCharType="end"/>
      </w:r>
      <w:r w:rsidRPr="000879AD">
        <w:t>.  The Government were represented by Mr M. Galperin, Representative of the Russian Federation to the European Court of Human Rights</w:t>
      </w:r>
      <w:r w:rsidRPr="000879AD" w:rsidR="00990022">
        <w:t>, and lately by Mr M. Vinogradov, his successor in that office.</w:t>
      </w:r>
    </w:p>
    <w:p w:rsidRPr="000879AD" w:rsidR="0098379F" w:rsidP="000879AD" w:rsidRDefault="0098379F" w14:paraId="0C4418BE" w14:textId="3ABC34D0">
      <w:pPr>
        <w:pStyle w:val="JuHIRoman"/>
      </w:pPr>
      <w:r w:rsidRPr="000879AD">
        <w:t>Application n</w:t>
      </w:r>
      <w:r w:rsidRPr="000879AD" w:rsidR="00B51F2E">
        <w:rPr>
          <w:caps w:val="0"/>
        </w:rPr>
        <w:t>o</w:t>
      </w:r>
      <w:r w:rsidRPr="000879AD">
        <w:t>.</w:t>
      </w:r>
      <w:r w:rsidRPr="000879AD" w:rsidR="00B51F2E">
        <w:t> </w:t>
      </w:r>
      <w:r w:rsidRPr="000879AD">
        <w:t>12996/12</w:t>
      </w:r>
    </w:p>
    <w:bookmarkStart w:name="A1" w:id="1"/>
    <w:p w:rsidRPr="000879AD" w:rsidR="0098379F" w:rsidP="000879AD" w:rsidRDefault="0098379F" w14:paraId="2B75EF24" w14:textId="7BAEB54C">
      <w:pPr>
        <w:pStyle w:val="JuPara"/>
      </w:pPr>
      <w:r w:rsidRPr="000879AD">
        <w:fldChar w:fldCharType="begin"/>
      </w:r>
      <w:r w:rsidRPr="000879AD">
        <w:instrText xml:space="preserve"> SEQ level0 \*arabic </w:instrText>
      </w:r>
      <w:r w:rsidRPr="000879AD">
        <w:fldChar w:fldCharType="separate"/>
      </w:r>
      <w:r w:rsidRPr="000879AD" w:rsidR="000879AD">
        <w:rPr>
          <w:noProof/>
        </w:rPr>
        <w:t>4</w:t>
      </w:r>
      <w:r w:rsidRPr="000879AD">
        <w:fldChar w:fldCharType="end"/>
      </w:r>
      <w:bookmarkEnd w:id="1"/>
      <w:r w:rsidRPr="000879AD">
        <w:t>.  In November 2009 and Marc</w:t>
      </w:r>
      <w:r w:rsidRPr="000879AD" w:rsidR="00FA3FD4">
        <w:t xml:space="preserve">h </w:t>
      </w:r>
      <w:r w:rsidRPr="000879AD">
        <w:t>2010 the newspaper published two articles by Mr Polukhin and Mr Nikolayev, respectively. The articles concerned the Clear Water Programme that promoted water filters based on a supposedly innovative technology that had not been supported by scientific consensus. The filters, known as “Petrik</w:t>
      </w:r>
      <w:r w:rsidRPr="000879AD" w:rsidR="000879AD">
        <w:t>’</w:t>
      </w:r>
      <w:r w:rsidRPr="000879AD">
        <w:t>s filter” after the name of their creator, attracted criticism on the part of expert community and considerable public attention. The articles by Mr Polukhin and Mr Nikolayev alleged that the then Speaker of the Russian State Duma had promoted the interests of the producer of the filters lobbying for installation of the filters in public schools and hospitals. The article by Mr Polukhin contained open questions as to why documented outbreaks of meningitis had happened in schools equipped with “Petrik</w:t>
      </w:r>
      <w:r w:rsidRPr="000879AD" w:rsidR="000879AD">
        <w:t>’</w:t>
      </w:r>
      <w:r w:rsidRPr="000879AD">
        <w:t>s filter”. The articles contained quotes from an article published in a third</w:t>
      </w:r>
      <w:r w:rsidRPr="000879AD">
        <w:noBreakHyphen/>
        <w:t>party science magazine in 2009. The subject matter of the articles pertained to issues of public health and safety and allocation of State funds. The articles did not contain offensive or abusive language and were socially acceptable in terms of contents and form.</w:t>
      </w:r>
    </w:p>
    <w:p w:rsidRPr="000879AD" w:rsidR="0098379F" w:rsidP="000879AD" w:rsidRDefault="0098379F" w14:paraId="666401CE" w14:textId="367B3ACF">
      <w:pPr>
        <w:pStyle w:val="JuPara"/>
      </w:pPr>
      <w:r w:rsidRPr="000879AD">
        <w:fldChar w:fldCharType="begin"/>
      </w:r>
      <w:r w:rsidRPr="000879AD">
        <w:instrText xml:space="preserve"> SEQ level0 \*arabic </w:instrText>
      </w:r>
      <w:r w:rsidRPr="000879AD">
        <w:fldChar w:fldCharType="separate"/>
      </w:r>
      <w:r w:rsidRPr="000879AD" w:rsidR="000879AD">
        <w:rPr>
          <w:noProof/>
        </w:rPr>
        <w:t>5</w:t>
      </w:r>
      <w:r w:rsidRPr="000879AD">
        <w:fldChar w:fldCharType="end"/>
      </w:r>
      <w:r w:rsidRPr="000879AD">
        <w:t>.  OOO Holding Zolotaya Formula, a limited liability company that produced the filters, brought civil proceedings for defamation in respect of five articles published in three different media outlets, including the newspaper, in which the efficacy of the filters had been questioned. The claims were lodged with the Commercial Court of St Petersburg and the Leningrad Region (“the St Petersburg Court”) under Article 152 of the Russian Civil Code against eight defendants: the applicant company, two other media outlets that had published materials critical of the “Petrik</w:t>
      </w:r>
      <w:r w:rsidRPr="000879AD" w:rsidR="000879AD">
        <w:t>’</w:t>
      </w:r>
      <w:r w:rsidRPr="000879AD">
        <w:t>s filter” and five people, including Mr Polukhin and Mr Nikolayev. The claimant company alleged that the defendants had disseminated statements that had tarnished their business reputation and claimed the total of 21,162,700 Russian roubles (RUB) in compensation.</w:t>
      </w:r>
    </w:p>
    <w:p w:rsidRPr="000879AD" w:rsidR="0098379F" w:rsidP="000879AD" w:rsidRDefault="0098379F" w14:paraId="25A631DA" w14:textId="6B3D597D">
      <w:pPr>
        <w:pStyle w:val="JuPara"/>
      </w:pPr>
      <w:r w:rsidRPr="000879AD">
        <w:fldChar w:fldCharType="begin"/>
      </w:r>
      <w:r w:rsidRPr="000879AD">
        <w:instrText xml:space="preserve"> SEQ level0 \*arabic </w:instrText>
      </w:r>
      <w:r w:rsidRPr="000879AD">
        <w:fldChar w:fldCharType="separate"/>
      </w:r>
      <w:r w:rsidRPr="000879AD" w:rsidR="000879AD">
        <w:rPr>
          <w:noProof/>
        </w:rPr>
        <w:t>6</w:t>
      </w:r>
      <w:r w:rsidRPr="000879AD">
        <w:fldChar w:fldCharType="end"/>
      </w:r>
      <w:r w:rsidRPr="000879AD">
        <w:t>.  The eight defendants objected, in particular, that some of the statements had represented value judgments not susceptible of proof. The applicant company invoked the provision of the Russian Media Act exempting a publisher or journalist from liability under Article 152 of the Civil Code for quoting a material already published by another media outlet.</w:t>
      </w:r>
    </w:p>
    <w:bookmarkStart w:name="SPBCourt" w:id="2"/>
    <w:p w:rsidRPr="000879AD" w:rsidR="0098379F" w:rsidP="000879AD" w:rsidRDefault="0098379F" w14:paraId="73D32EE4" w14:textId="00AE40B6">
      <w:pPr>
        <w:pStyle w:val="JuPara"/>
      </w:pPr>
      <w:r w:rsidRPr="000879AD">
        <w:fldChar w:fldCharType="begin"/>
      </w:r>
      <w:r w:rsidRPr="000879AD">
        <w:instrText xml:space="preserve"> SEQ level0 \*arabic </w:instrText>
      </w:r>
      <w:r w:rsidRPr="000879AD">
        <w:fldChar w:fldCharType="separate"/>
      </w:r>
      <w:r w:rsidRPr="000879AD" w:rsidR="000879AD">
        <w:rPr>
          <w:noProof/>
        </w:rPr>
        <w:t>7</w:t>
      </w:r>
      <w:r w:rsidRPr="000879AD">
        <w:fldChar w:fldCharType="end"/>
      </w:r>
      <w:bookmarkEnd w:id="2"/>
      <w:r w:rsidRPr="000879AD">
        <w:t>.  On 29 December 2010 the St Petersburg Court found established the fact of dissemination by the defendants of the statements to the effect that the filters produced by the claimant company had not been safe to use, as well as the tarnishing nature of such statements. It further proclaimed the impugned statements, including those in the form of a question, to be “implicit or explicit” statements of fact that had not been proven to be true. The applicant company</w:t>
      </w:r>
      <w:r w:rsidRPr="000879AD" w:rsidR="000879AD">
        <w:t>’</w:t>
      </w:r>
      <w:r w:rsidRPr="000879AD">
        <w:t>s reference to the source material from which the articles had borrowed was dismissed on the grounds that the defendants had failed to prove the truthfulness of the information contained in the source material. The St Petersburg Court thus found for the claimant company and granted its claims in part. Basing itself on “an expert report on the prognosis of the income that the claimant had not received”, it awarded, in particular, RUB 200,000 in respect of non</w:t>
      </w:r>
      <w:r w:rsidRPr="000879AD">
        <w:noBreakHyphen/>
        <w:t>pecuniary damage and RUB 4,000 in respect of court fees to be paid by the applicant company. The St Petersburg Court also ordered a retraction of all impugned publications, including the two articles published in the newspaper,</w:t>
      </w:r>
    </w:p>
    <w:p w:rsidRPr="000879AD" w:rsidR="0098379F" w:rsidP="000879AD" w:rsidRDefault="0098379F" w14:paraId="07BAD199" w14:textId="2700A8E9">
      <w:pPr>
        <w:pStyle w:val="JuPara"/>
      </w:pPr>
      <w:r w:rsidRPr="000879AD">
        <w:fldChar w:fldCharType="begin"/>
      </w:r>
      <w:r w:rsidRPr="000879AD">
        <w:instrText xml:space="preserve"> SEQ level0 \*arabic </w:instrText>
      </w:r>
      <w:r w:rsidRPr="000879AD">
        <w:fldChar w:fldCharType="separate"/>
      </w:r>
      <w:r w:rsidRPr="000879AD" w:rsidR="000879AD">
        <w:rPr>
          <w:noProof/>
        </w:rPr>
        <w:t>8</w:t>
      </w:r>
      <w:r w:rsidRPr="000879AD">
        <w:fldChar w:fldCharType="end"/>
      </w:r>
      <w:r w:rsidRPr="000879AD">
        <w:t>.  On 21 April 2011 the Thirteenth Appellate Commercial Court upheld, in substance, the judgment of 23 October 2010 on appeal. The appellate court modified the judgment to the effect that the applicant company be ordered to publish the judgment of 29 October 2010 on its website, not a retraction.</w:t>
      </w:r>
    </w:p>
    <w:p w:rsidRPr="000879AD" w:rsidR="0098379F" w:rsidP="000879AD" w:rsidRDefault="0098379F" w14:paraId="25079C4C" w14:textId="3A2FBA5D">
      <w:pPr>
        <w:pStyle w:val="JuPara"/>
      </w:pPr>
      <w:r w:rsidRPr="000879AD">
        <w:fldChar w:fldCharType="begin"/>
      </w:r>
      <w:r w:rsidRPr="000879AD">
        <w:instrText xml:space="preserve"> SEQ level0 \*arabic </w:instrText>
      </w:r>
      <w:r w:rsidRPr="000879AD">
        <w:fldChar w:fldCharType="separate"/>
      </w:r>
      <w:r w:rsidRPr="000879AD" w:rsidR="000879AD">
        <w:rPr>
          <w:noProof/>
        </w:rPr>
        <w:t>9</w:t>
      </w:r>
      <w:r w:rsidRPr="000879AD">
        <w:fldChar w:fldCharType="end"/>
      </w:r>
      <w:r w:rsidRPr="000879AD">
        <w:t>.  On 23 May 2011 the applicant company transferred RUB 204,000 to the bailiffs</w:t>
      </w:r>
      <w:r w:rsidRPr="000879AD" w:rsidR="000879AD">
        <w:t>’</w:t>
      </w:r>
      <w:r w:rsidRPr="000879AD">
        <w:t xml:space="preserve"> service</w:t>
      </w:r>
      <w:r w:rsidRPr="000879AD" w:rsidR="000879AD">
        <w:t>’</w:t>
      </w:r>
      <w:r w:rsidRPr="000879AD">
        <w:t>s account in execution of the judgment of 29 December 2010.</w:t>
      </w:r>
    </w:p>
    <w:p w:rsidRPr="000879AD" w:rsidR="0098379F" w:rsidP="000879AD" w:rsidRDefault="0098379F" w14:paraId="3003CE8D" w14:textId="1E1F4AB5">
      <w:pPr>
        <w:pStyle w:val="JuPara"/>
      </w:pPr>
      <w:r w:rsidRPr="000879AD">
        <w:fldChar w:fldCharType="begin"/>
      </w:r>
      <w:r w:rsidRPr="000879AD">
        <w:instrText xml:space="preserve"> SEQ level0 \*arabic </w:instrText>
      </w:r>
      <w:r w:rsidRPr="000879AD">
        <w:fldChar w:fldCharType="separate"/>
      </w:r>
      <w:r w:rsidRPr="000879AD" w:rsidR="000879AD">
        <w:rPr>
          <w:noProof/>
        </w:rPr>
        <w:t>10</w:t>
      </w:r>
      <w:r w:rsidRPr="000879AD">
        <w:fldChar w:fldCharType="end"/>
      </w:r>
      <w:r w:rsidRPr="000879AD">
        <w:t>.  On 10 August 2011 the Federal Commercial Court of the North</w:t>
      </w:r>
      <w:r w:rsidRPr="000879AD">
        <w:noBreakHyphen/>
        <w:t>Western Circuit dismissed the applicants</w:t>
      </w:r>
      <w:r w:rsidRPr="000879AD" w:rsidR="000879AD">
        <w:t>’</w:t>
      </w:r>
      <w:r w:rsidRPr="000879AD">
        <w:t xml:space="preserve"> cassation appeal.</w:t>
      </w:r>
    </w:p>
    <w:p w:rsidRPr="000879AD" w:rsidR="0098379F" w:rsidP="000879AD" w:rsidRDefault="0098379F" w14:paraId="1D17C0E1" w14:textId="1AA122A4">
      <w:pPr>
        <w:pStyle w:val="JuPara"/>
      </w:pPr>
      <w:r w:rsidRPr="000879AD">
        <w:fldChar w:fldCharType="begin"/>
      </w:r>
      <w:r w:rsidRPr="000879AD">
        <w:instrText xml:space="preserve"> SEQ level0 \*arabic </w:instrText>
      </w:r>
      <w:r w:rsidRPr="000879AD">
        <w:fldChar w:fldCharType="separate"/>
      </w:r>
      <w:r w:rsidRPr="000879AD" w:rsidR="000879AD">
        <w:rPr>
          <w:noProof/>
        </w:rPr>
        <w:t>11</w:t>
      </w:r>
      <w:r w:rsidRPr="000879AD">
        <w:fldChar w:fldCharType="end"/>
      </w:r>
      <w:r w:rsidRPr="000879AD">
        <w:t>.  On 5 December 2011 the Supreme Commercial Court of the Russian Federation dismissed the applicants</w:t>
      </w:r>
      <w:r w:rsidRPr="000879AD" w:rsidR="000879AD">
        <w:t>’</w:t>
      </w:r>
      <w:r w:rsidRPr="000879AD">
        <w:t xml:space="preserve"> application for supervisory review of the lower courts</w:t>
      </w:r>
      <w:r w:rsidRPr="000879AD" w:rsidR="000879AD">
        <w:t>’</w:t>
      </w:r>
      <w:r w:rsidRPr="000879AD">
        <w:t xml:space="preserve"> judgments.</w:t>
      </w:r>
    </w:p>
    <w:p w:rsidRPr="000879AD" w:rsidR="0098379F" w:rsidP="000879AD" w:rsidRDefault="0098379F" w14:paraId="334F406B" w14:textId="0B48541F">
      <w:pPr>
        <w:pStyle w:val="JuHIRoman"/>
      </w:pPr>
      <w:r w:rsidRPr="000879AD">
        <w:t>application n</w:t>
      </w:r>
      <w:r w:rsidRPr="000879AD" w:rsidR="00B91AD3">
        <w:rPr>
          <w:caps w:val="0"/>
        </w:rPr>
        <w:t>o</w:t>
      </w:r>
      <w:r w:rsidRPr="000879AD">
        <w:t>.</w:t>
      </w:r>
      <w:r w:rsidRPr="000879AD" w:rsidR="00B91AD3">
        <w:t> </w:t>
      </w:r>
      <w:r w:rsidRPr="000879AD">
        <w:t>35043/13</w:t>
      </w:r>
    </w:p>
    <w:p w:rsidRPr="000879AD" w:rsidR="0098379F" w:rsidP="000879AD" w:rsidRDefault="0098379F" w14:paraId="02672A0F" w14:textId="3DC6FBFD">
      <w:pPr>
        <w:pStyle w:val="JuPara"/>
      </w:pPr>
      <w:r w:rsidRPr="000879AD">
        <w:fldChar w:fldCharType="begin"/>
      </w:r>
      <w:r w:rsidRPr="000879AD">
        <w:instrText xml:space="preserve"> SEQ level0 \*arabic </w:instrText>
      </w:r>
      <w:r w:rsidRPr="000879AD">
        <w:fldChar w:fldCharType="separate"/>
      </w:r>
      <w:r w:rsidRPr="000879AD" w:rsidR="000879AD">
        <w:rPr>
          <w:noProof/>
        </w:rPr>
        <w:t>12</w:t>
      </w:r>
      <w:r w:rsidRPr="000879AD">
        <w:fldChar w:fldCharType="end"/>
      </w:r>
      <w:r w:rsidRPr="000879AD">
        <w:t>.  In 2006 Gazprom, a multinational energy corporation, the majority of stocks of which are State</w:t>
      </w:r>
      <w:r w:rsidRPr="000879AD">
        <w:noBreakHyphen/>
        <w:t>owned, commissioned the construction of its headquarters in St Petersburg on the basis of the project known as “Gazprom City” or “Okhta Centre”, that was supposed to include the tallest skyscraper in Europe. Its construction was co</w:t>
      </w:r>
      <w:r w:rsidRPr="000879AD">
        <w:noBreakHyphen/>
        <w:t>funded by the city of St</w:t>
      </w:r>
      <w:r w:rsidRPr="000879AD" w:rsidR="007D7066">
        <w:t> </w:t>
      </w:r>
      <w:r w:rsidRPr="000879AD">
        <w:t>Petersburg. The project attracted considerable criticism domestically and internationally, and concerns were expressed that its realisation would be damaging to the city</w:t>
      </w:r>
      <w:r w:rsidRPr="000879AD" w:rsidR="000879AD">
        <w:t>’</w:t>
      </w:r>
      <w:r w:rsidRPr="000879AD">
        <w:t>s historic skyline, and was eventually abandoned.</w:t>
      </w:r>
    </w:p>
    <w:p w:rsidRPr="000879AD" w:rsidR="0098379F" w:rsidP="000879AD" w:rsidRDefault="0098379F" w14:paraId="4AC5251D" w14:textId="344FD354">
      <w:pPr>
        <w:pStyle w:val="JuPara"/>
      </w:pPr>
      <w:r w:rsidRPr="000879AD">
        <w:fldChar w:fldCharType="begin"/>
      </w:r>
      <w:r w:rsidRPr="000879AD">
        <w:instrText xml:space="preserve"> SEQ level0 \*arabic </w:instrText>
      </w:r>
      <w:r w:rsidRPr="000879AD">
        <w:fldChar w:fldCharType="separate"/>
      </w:r>
      <w:r w:rsidRPr="000879AD" w:rsidR="000879AD">
        <w:rPr>
          <w:noProof/>
        </w:rPr>
        <w:t>13</w:t>
      </w:r>
      <w:r w:rsidRPr="000879AD">
        <w:fldChar w:fldCharType="end"/>
      </w:r>
      <w:r w:rsidRPr="000879AD">
        <w:t>.  On 12 February 2010 the newspaper published an article entitled “How I built a gas</w:t>
      </w:r>
      <w:r w:rsidRPr="000879AD">
        <w:noBreakHyphen/>
        <w:t>scraper” containing a first</w:t>
      </w:r>
      <w:r w:rsidRPr="000879AD">
        <w:noBreakHyphen/>
        <w:t>person narrative by Mr K., a former employee of ZAO Soletanshstroy, a subcontractor involved in the construction of Okhta Centre. The newspaper</w:t>
      </w:r>
      <w:r w:rsidRPr="000879AD" w:rsidR="000879AD">
        <w:t>’</w:t>
      </w:r>
      <w:r w:rsidRPr="000879AD">
        <w:t>s editors only added notes explaining certain technical terms that Mr K. used. According to Mr K., numerous breaches of rules and regulations had taken place in the course of that stage of the works. The article included a commentary by a representative of ZAO Soletanshstroy.</w:t>
      </w:r>
    </w:p>
    <w:bookmarkStart w:name="A2" w:id="3"/>
    <w:p w:rsidRPr="000879AD" w:rsidR="0098379F" w:rsidP="000879AD" w:rsidRDefault="0098379F" w14:paraId="082DB510" w14:textId="17EDC4B8">
      <w:pPr>
        <w:pStyle w:val="JuPara"/>
      </w:pPr>
      <w:r w:rsidRPr="000879AD">
        <w:fldChar w:fldCharType="begin"/>
      </w:r>
      <w:r w:rsidRPr="000879AD">
        <w:instrText xml:space="preserve"> SEQ level0 \*arabic </w:instrText>
      </w:r>
      <w:r w:rsidRPr="000879AD">
        <w:fldChar w:fldCharType="separate"/>
      </w:r>
      <w:r w:rsidRPr="000879AD" w:rsidR="000879AD">
        <w:rPr>
          <w:noProof/>
        </w:rPr>
        <w:t>14</w:t>
      </w:r>
      <w:r w:rsidRPr="000879AD">
        <w:fldChar w:fldCharType="end"/>
      </w:r>
      <w:bookmarkEnd w:id="3"/>
      <w:r w:rsidRPr="000879AD">
        <w:t>.  ZAO Soletanshstroy brought before the Commercial Court of Moscow (“the Moscow Court”) civil proceedings for defamation under Article 152 of the Russian Civil Code against the applicant company and Mr K. alleging that the article had tarnished their business reputation. In the course of the proceedings, the applicant company pleaded that it bore no liability for the statements by the third person. Mr K. submitted evidence in support of his factual assertions and witness statements by two other employees of the claimant.</w:t>
      </w:r>
    </w:p>
    <w:bookmarkStart w:name="MSKCourt" w:id="4"/>
    <w:p w:rsidRPr="000879AD" w:rsidR="0098379F" w:rsidP="000879AD" w:rsidRDefault="0098379F" w14:paraId="5C87E407" w14:textId="24471F74">
      <w:pPr>
        <w:pStyle w:val="JuPara"/>
      </w:pPr>
      <w:r w:rsidRPr="000879AD">
        <w:fldChar w:fldCharType="begin"/>
      </w:r>
      <w:r w:rsidRPr="000879AD">
        <w:instrText xml:space="preserve"> SEQ level0 \*arabic </w:instrText>
      </w:r>
      <w:r w:rsidRPr="000879AD">
        <w:fldChar w:fldCharType="separate"/>
      </w:r>
      <w:r w:rsidRPr="000879AD" w:rsidR="000879AD">
        <w:rPr>
          <w:noProof/>
        </w:rPr>
        <w:t>15</w:t>
      </w:r>
      <w:r w:rsidRPr="000879AD">
        <w:fldChar w:fldCharType="end"/>
      </w:r>
      <w:bookmarkEnd w:id="4"/>
      <w:r w:rsidRPr="000879AD">
        <w:t>.  On 22 March 2011 the Moscow Court found for the claimant company for the reason that the impugned statements had been disseminated, that they had been tarnishing to the claimant company</w:t>
      </w:r>
      <w:r w:rsidRPr="000879AD" w:rsidR="000879AD">
        <w:t>’</w:t>
      </w:r>
      <w:r w:rsidRPr="000879AD">
        <w:t>s business reputation, and that they had been untruthful. It ordered a retraction and awarded, in particular, RUB 50,000 in compensation of non</w:t>
      </w:r>
      <w:r w:rsidRPr="000879AD">
        <w:noBreakHyphen/>
        <w:t>pecuniary damage and RUB 49,000 in court and legal fees to be paid by the applicant company.</w:t>
      </w:r>
    </w:p>
    <w:p w:rsidRPr="000879AD" w:rsidR="0098379F" w:rsidP="000879AD" w:rsidRDefault="0098379F" w14:paraId="6443C9BE" w14:textId="0E880D6E">
      <w:pPr>
        <w:pStyle w:val="JuPara"/>
      </w:pPr>
      <w:r w:rsidRPr="000879AD">
        <w:fldChar w:fldCharType="begin"/>
      </w:r>
      <w:r w:rsidRPr="000879AD">
        <w:instrText xml:space="preserve"> SEQ level0 \*arabic </w:instrText>
      </w:r>
      <w:r w:rsidRPr="000879AD">
        <w:fldChar w:fldCharType="separate"/>
      </w:r>
      <w:r w:rsidRPr="000879AD" w:rsidR="000879AD">
        <w:rPr>
          <w:noProof/>
        </w:rPr>
        <w:t>16</w:t>
      </w:r>
      <w:r w:rsidRPr="000879AD">
        <w:fldChar w:fldCharType="end"/>
      </w:r>
      <w:r w:rsidRPr="000879AD">
        <w:t>.  On 28 July 2011 the Ninth Appellate Commercial Court upheld the Moscow Court</w:t>
      </w:r>
      <w:r w:rsidRPr="000879AD" w:rsidR="000879AD">
        <w:t>’</w:t>
      </w:r>
      <w:r w:rsidRPr="000879AD">
        <w:t>s judgment on appeal.</w:t>
      </w:r>
    </w:p>
    <w:p w:rsidRPr="000879AD" w:rsidR="0098379F" w:rsidP="000879AD" w:rsidRDefault="0098379F" w14:paraId="179F58C4" w14:textId="5F3C2F27">
      <w:pPr>
        <w:pStyle w:val="JuPara"/>
      </w:pPr>
      <w:r w:rsidRPr="000879AD">
        <w:fldChar w:fldCharType="begin"/>
      </w:r>
      <w:r w:rsidRPr="000879AD">
        <w:instrText xml:space="preserve"> SEQ level0 \*arabic </w:instrText>
      </w:r>
      <w:r w:rsidRPr="000879AD">
        <w:fldChar w:fldCharType="separate"/>
      </w:r>
      <w:r w:rsidRPr="000879AD" w:rsidR="000879AD">
        <w:rPr>
          <w:noProof/>
        </w:rPr>
        <w:t>17</w:t>
      </w:r>
      <w:r w:rsidRPr="000879AD">
        <w:fldChar w:fldCharType="end"/>
      </w:r>
      <w:r w:rsidRPr="000879AD">
        <w:t>.  On 19 October 2011 the applicant company transferred RUB 99,000 to the bailiffs</w:t>
      </w:r>
      <w:r w:rsidRPr="000879AD" w:rsidR="000879AD">
        <w:t>’</w:t>
      </w:r>
      <w:r w:rsidRPr="000879AD">
        <w:t xml:space="preserve"> service</w:t>
      </w:r>
      <w:r w:rsidRPr="000879AD" w:rsidR="000879AD">
        <w:t>’</w:t>
      </w:r>
      <w:r w:rsidRPr="000879AD">
        <w:t>s account in execution of the judgment of 22 March 2011.</w:t>
      </w:r>
    </w:p>
    <w:p w:rsidRPr="000879AD" w:rsidR="0098379F" w:rsidP="000879AD" w:rsidRDefault="0098379F" w14:paraId="571D0967" w14:textId="69D61296">
      <w:pPr>
        <w:pStyle w:val="JuPara"/>
      </w:pPr>
      <w:r w:rsidRPr="000879AD">
        <w:fldChar w:fldCharType="begin"/>
      </w:r>
      <w:r w:rsidRPr="000879AD">
        <w:instrText xml:space="preserve"> SEQ level0 \*arabic </w:instrText>
      </w:r>
      <w:r w:rsidRPr="000879AD">
        <w:fldChar w:fldCharType="separate"/>
      </w:r>
      <w:r w:rsidRPr="000879AD" w:rsidR="000879AD">
        <w:rPr>
          <w:noProof/>
        </w:rPr>
        <w:t>18</w:t>
      </w:r>
      <w:r w:rsidRPr="000879AD">
        <w:fldChar w:fldCharType="end"/>
      </w:r>
      <w:r w:rsidRPr="000879AD">
        <w:t>.  On 23 November 2011 the Federal Commercial Court of the Moscow Circuit upheld the judgment on cassation appeal.</w:t>
      </w:r>
    </w:p>
    <w:p w:rsidRPr="000879AD" w:rsidR="0098379F" w:rsidP="000879AD" w:rsidRDefault="0098379F" w14:paraId="0FFEA916" w14:textId="7CADB59A">
      <w:pPr>
        <w:pStyle w:val="JuPara"/>
      </w:pPr>
      <w:r w:rsidRPr="000879AD">
        <w:fldChar w:fldCharType="begin"/>
      </w:r>
      <w:r w:rsidRPr="000879AD">
        <w:instrText xml:space="preserve"> SEQ level0 \*arabic </w:instrText>
      </w:r>
      <w:r w:rsidRPr="000879AD">
        <w:fldChar w:fldCharType="separate"/>
      </w:r>
      <w:r w:rsidRPr="000879AD" w:rsidR="000879AD">
        <w:rPr>
          <w:noProof/>
        </w:rPr>
        <w:t>19</w:t>
      </w:r>
      <w:r w:rsidRPr="000879AD">
        <w:fldChar w:fldCharType="end"/>
      </w:r>
      <w:r w:rsidRPr="000879AD">
        <w:t>.  The Supreme Commercial Court of Russia dismissed the applicant company</w:t>
      </w:r>
      <w:r w:rsidRPr="000879AD" w:rsidR="000879AD">
        <w:t>’</w:t>
      </w:r>
      <w:r w:rsidRPr="000879AD">
        <w:t>s request for supervisory review on 23 May 2012.</w:t>
      </w:r>
    </w:p>
    <w:p w:rsidRPr="000879AD" w:rsidR="0098379F" w:rsidP="000879AD" w:rsidRDefault="0098379F" w14:paraId="37A95D5A" w14:textId="77777777">
      <w:pPr>
        <w:pStyle w:val="JuHHead"/>
      </w:pPr>
      <w:r w:rsidRPr="000879AD">
        <w:t>RELEVANT LEGAL FRAMEWORK</w:t>
      </w:r>
    </w:p>
    <w:p w:rsidRPr="000879AD" w:rsidR="0098379F" w:rsidP="000879AD" w:rsidRDefault="0098379F" w14:paraId="776F0D8C" w14:textId="0E9C42EF">
      <w:pPr>
        <w:pStyle w:val="JuPara"/>
      </w:pPr>
      <w:r w:rsidRPr="000879AD">
        <w:fldChar w:fldCharType="begin"/>
      </w:r>
      <w:r w:rsidRPr="000879AD">
        <w:instrText xml:space="preserve"> SEQ level0 \*arabic </w:instrText>
      </w:r>
      <w:r w:rsidRPr="000879AD">
        <w:fldChar w:fldCharType="separate"/>
      </w:r>
      <w:r w:rsidRPr="000879AD" w:rsidR="000879AD">
        <w:rPr>
          <w:noProof/>
        </w:rPr>
        <w:t>20</w:t>
      </w:r>
      <w:r w:rsidRPr="000879AD">
        <w:fldChar w:fldCharType="end"/>
      </w:r>
      <w:r w:rsidRPr="000879AD">
        <w:t xml:space="preserve">.  The relevant provisions of the domestic law applicable at the material time and practice have been summarised in </w:t>
      </w:r>
      <w:r w:rsidRPr="000879AD">
        <w:rPr>
          <w:i/>
        </w:rPr>
        <w:t>OOO Regnum v. Russia</w:t>
      </w:r>
      <w:r w:rsidRPr="000879AD">
        <w:t xml:space="preserve"> (no. 22649/08, §§ 35</w:t>
      </w:r>
      <w:r w:rsidRPr="000879AD">
        <w:noBreakHyphen/>
        <w:t>39, 8 September 2020).</w:t>
      </w:r>
    </w:p>
    <w:p w:rsidRPr="000879AD" w:rsidR="0098379F" w:rsidP="000879AD" w:rsidRDefault="0098379F" w14:paraId="7A67BB7A" w14:textId="77777777">
      <w:pPr>
        <w:pStyle w:val="JuHHead"/>
        <w:numPr>
          <w:ilvl w:val="0"/>
          <w:numId w:val="2"/>
        </w:numPr>
        <w:ind w:left="360" w:hanging="360"/>
      </w:pPr>
      <w:r w:rsidRPr="000879AD">
        <w:t>THE LAW</w:t>
      </w:r>
    </w:p>
    <w:p w:rsidRPr="000879AD" w:rsidR="0098379F" w:rsidP="000879AD" w:rsidRDefault="0098379F" w14:paraId="78902ED4" w14:textId="77777777">
      <w:pPr>
        <w:pStyle w:val="JuHIRoman"/>
      </w:pPr>
      <w:r w:rsidRPr="000879AD">
        <w:t>JOINDER OF THE APPLICATIONS</w:t>
      </w:r>
    </w:p>
    <w:p w:rsidRPr="000879AD" w:rsidR="0098379F" w:rsidP="000879AD" w:rsidRDefault="0098379F" w14:paraId="4E61706D" w14:textId="6D4D42C5">
      <w:pPr>
        <w:pStyle w:val="JuPara"/>
      </w:pPr>
      <w:r w:rsidRPr="000879AD">
        <w:fldChar w:fldCharType="begin"/>
      </w:r>
      <w:r w:rsidRPr="000879AD">
        <w:instrText xml:space="preserve"> SEQ level0 \*arabic </w:instrText>
      </w:r>
      <w:r w:rsidRPr="000879AD">
        <w:fldChar w:fldCharType="separate"/>
      </w:r>
      <w:r w:rsidRPr="000879AD" w:rsidR="000879AD">
        <w:rPr>
          <w:noProof/>
        </w:rPr>
        <w:t>21</w:t>
      </w:r>
      <w:r w:rsidRPr="000879AD">
        <w:fldChar w:fldCharType="end"/>
      </w:r>
      <w:r w:rsidRPr="000879AD">
        <w:t>.  Having regard to the similar subject matter of the applications, the Court finds it appropriate to examine them jointly in a single judgment.</w:t>
      </w:r>
    </w:p>
    <w:p w:rsidRPr="000879AD" w:rsidR="0098379F" w:rsidP="000879AD" w:rsidRDefault="0098379F" w14:paraId="0B22F7B8" w14:textId="77777777">
      <w:pPr>
        <w:pStyle w:val="JuHIRoman"/>
      </w:pPr>
      <w:r w:rsidRPr="000879AD">
        <w:t>ALLEGED VIOLATION OF ARTICLE 10 OF THE CONVENTION</w:t>
      </w:r>
    </w:p>
    <w:p w:rsidRPr="000879AD" w:rsidR="0098379F" w:rsidP="000879AD" w:rsidRDefault="0098379F" w14:paraId="5785F375" w14:textId="4221A7D7">
      <w:pPr>
        <w:pStyle w:val="JuPara"/>
      </w:pPr>
      <w:r w:rsidRPr="000879AD">
        <w:fldChar w:fldCharType="begin"/>
      </w:r>
      <w:r w:rsidRPr="000879AD">
        <w:instrText xml:space="preserve"> SEQ level0 \*arabic </w:instrText>
      </w:r>
      <w:r w:rsidRPr="000879AD">
        <w:fldChar w:fldCharType="separate"/>
      </w:r>
      <w:r w:rsidRPr="000879AD" w:rsidR="000879AD">
        <w:rPr>
          <w:noProof/>
        </w:rPr>
        <w:t>22</w:t>
      </w:r>
      <w:r w:rsidRPr="000879AD">
        <w:fldChar w:fldCharType="end"/>
      </w:r>
      <w:r w:rsidRPr="000879AD">
        <w:t>.  The applicants complained that the relevant judgments of the domestic courts in the defamation proceedings against them violated their right to freedom of expression guaranteed by Article 10 of the Convention, which reads as follows:</w:t>
      </w:r>
    </w:p>
    <w:p w:rsidRPr="000879AD" w:rsidR="0098379F" w:rsidP="000879AD" w:rsidRDefault="0098379F" w14:paraId="48D9B063" w14:textId="77777777">
      <w:pPr>
        <w:pStyle w:val="JuQuot"/>
      </w:pPr>
      <w:r w:rsidRPr="000879AD">
        <w:t>“1.  Everyone has the right to freedom of expression. This right shall include freedom to hold opinions and to receive and impart information and ideas without interference by public authority and regardless of frontiers. ...</w:t>
      </w:r>
    </w:p>
    <w:p w:rsidRPr="000879AD" w:rsidR="0098379F" w:rsidP="000879AD" w:rsidRDefault="0098379F" w14:paraId="62509A7B" w14:textId="77777777">
      <w:pPr>
        <w:pStyle w:val="JuQuot"/>
      </w:pPr>
      <w:r w:rsidRPr="000879AD">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0879AD" w:rsidR="0098379F" w:rsidP="000879AD" w:rsidRDefault="0098379F" w14:paraId="49435CB1" w14:textId="77777777">
      <w:pPr>
        <w:pStyle w:val="JuHA"/>
      </w:pPr>
      <w:r w:rsidRPr="000879AD">
        <w:t>Admissibility</w:t>
      </w:r>
    </w:p>
    <w:p w:rsidRPr="000879AD" w:rsidR="0098379F" w:rsidP="000879AD" w:rsidRDefault="0098379F" w14:paraId="3847BD61" w14:textId="00FE9AFC">
      <w:pPr>
        <w:pStyle w:val="JuPara"/>
      </w:pPr>
      <w:r w:rsidRPr="000879AD">
        <w:fldChar w:fldCharType="begin"/>
      </w:r>
      <w:r w:rsidRPr="000879AD">
        <w:instrText xml:space="preserve"> SEQ level0 \*arabic </w:instrText>
      </w:r>
      <w:r w:rsidRPr="000879AD">
        <w:fldChar w:fldCharType="separate"/>
      </w:r>
      <w:r w:rsidRPr="000879AD" w:rsidR="000879AD">
        <w:rPr>
          <w:noProof/>
        </w:rPr>
        <w:t>23</w:t>
      </w:r>
      <w:r w:rsidRPr="000879AD">
        <w:fldChar w:fldCharType="end"/>
      </w:r>
      <w:r w:rsidRPr="000879AD">
        <w:t xml:space="preserve">.  As regards application no. 12996/12, the Government submitted that Mr Polukhin and Mr Nikolayev could not claim to be “victims” of the violation alleged because the commercial courts had imposed no penalties on them. The Court notes that it has previously dismissed similar objections on the grounds that the fact that no award of damages was issued against the applicant cannot be decisive for his status as a “victim” of the alleged violation where he had been a co-defendant in the relevant proceedings (see </w:t>
      </w:r>
      <w:r w:rsidRPr="000879AD">
        <w:rPr>
          <w:i/>
        </w:rPr>
        <w:t>a/s Diena and Ozoliņš v. Latvia</w:t>
      </w:r>
      <w:r w:rsidRPr="000879AD">
        <w:t xml:space="preserve">, no. 16657/03, §§ 57-60, 12 July 2007, and </w:t>
      </w:r>
      <w:r w:rsidRPr="000879AD">
        <w:rPr>
          <w:i/>
        </w:rPr>
        <w:t>Godlevskiy v. Russia</w:t>
      </w:r>
      <w:r w:rsidRPr="000879AD">
        <w:t>, no. 14888/03, §§ 34-37, 23 October 2008). The Court thus dismisses the Government</w:t>
      </w:r>
      <w:r w:rsidRPr="000879AD" w:rsidR="000879AD">
        <w:t>’</w:t>
      </w:r>
      <w:r w:rsidRPr="000879AD">
        <w:t>s objection concerning incompatibility</w:t>
      </w:r>
      <w:r w:rsidRPr="000879AD" w:rsidR="00A02836">
        <w:t xml:space="preserve"> </w:t>
      </w:r>
      <w:r w:rsidRPr="000879AD">
        <w:rPr>
          <w:i/>
          <w:iCs/>
        </w:rPr>
        <w:t>ratione</w:t>
      </w:r>
      <w:r w:rsidRPr="000879AD" w:rsidR="00A02836">
        <w:rPr>
          <w:i/>
          <w:iCs/>
        </w:rPr>
        <w:t xml:space="preserve"> </w:t>
      </w:r>
      <w:r w:rsidRPr="000879AD">
        <w:rPr>
          <w:i/>
          <w:iCs/>
        </w:rPr>
        <w:t>personae</w:t>
      </w:r>
      <w:r w:rsidRPr="000879AD">
        <w:t>.</w:t>
      </w:r>
    </w:p>
    <w:p w:rsidRPr="000879AD" w:rsidR="0098379F" w:rsidP="000879AD" w:rsidRDefault="0098379F" w14:paraId="33390C3A" w14:textId="2F75A598">
      <w:pPr>
        <w:pStyle w:val="JuPara"/>
      </w:pPr>
      <w:r w:rsidRPr="000879AD">
        <w:fldChar w:fldCharType="begin"/>
      </w:r>
      <w:r w:rsidRPr="000879AD">
        <w:instrText xml:space="preserve"> SEQ level0 \*arabic </w:instrText>
      </w:r>
      <w:r w:rsidRPr="000879AD">
        <w:fldChar w:fldCharType="separate"/>
      </w:r>
      <w:r w:rsidRPr="000879AD" w:rsidR="000879AD">
        <w:rPr>
          <w:noProof/>
        </w:rPr>
        <w:t>24</w:t>
      </w:r>
      <w:r w:rsidRPr="000879AD">
        <w:fldChar w:fldCharType="end"/>
      </w:r>
      <w:r w:rsidRPr="000879AD">
        <w:t>.  The Court further notes that the applications are neither manifestly ill</w:t>
      </w:r>
      <w:r w:rsidRPr="000879AD">
        <w:noBreakHyphen/>
        <w:t>founded nor inadmissible on any other grounds listed in Article 35 of the Convention. They must therefore be declared admissible.</w:t>
      </w:r>
    </w:p>
    <w:p w:rsidRPr="000879AD" w:rsidR="0098379F" w:rsidP="000879AD" w:rsidRDefault="0098379F" w14:paraId="2E96ECAE" w14:textId="77777777">
      <w:pPr>
        <w:pStyle w:val="JuHA"/>
      </w:pPr>
      <w:r w:rsidRPr="000879AD">
        <w:t>Merits</w:t>
      </w:r>
    </w:p>
    <w:p w:rsidRPr="000879AD" w:rsidR="0098379F" w:rsidP="000879AD" w:rsidRDefault="0098379F" w14:paraId="6F02A05B" w14:textId="20EAAE3E">
      <w:pPr>
        <w:pStyle w:val="JuH1"/>
      </w:pPr>
      <w:r w:rsidRPr="000879AD">
        <w:t>The parties</w:t>
      </w:r>
      <w:r w:rsidRPr="000879AD" w:rsidR="000879AD">
        <w:t>’</w:t>
      </w:r>
      <w:r w:rsidRPr="000879AD">
        <w:t xml:space="preserve"> submissions</w:t>
      </w:r>
    </w:p>
    <w:p w:rsidRPr="000879AD" w:rsidR="0098379F" w:rsidP="000879AD" w:rsidRDefault="0098379F" w14:paraId="52CEB865" w14:textId="23512BD8">
      <w:pPr>
        <w:pStyle w:val="JuPara"/>
      </w:pPr>
      <w:r w:rsidRPr="000879AD">
        <w:fldChar w:fldCharType="begin"/>
      </w:r>
      <w:r w:rsidRPr="000879AD">
        <w:instrText xml:space="preserve"> SEQ level0 \*arabic </w:instrText>
      </w:r>
      <w:r w:rsidRPr="000879AD">
        <w:fldChar w:fldCharType="separate"/>
      </w:r>
      <w:r w:rsidRPr="000879AD" w:rsidR="000879AD">
        <w:rPr>
          <w:noProof/>
        </w:rPr>
        <w:t>25</w:t>
      </w:r>
      <w:r w:rsidRPr="000879AD">
        <w:fldChar w:fldCharType="end"/>
      </w:r>
      <w:r w:rsidRPr="000879AD">
        <w:t>.  The applicants maintained their complaints insisting that the domestic commercial courts had not applied the relevant standards established in the Court</w:t>
      </w:r>
      <w:r w:rsidRPr="000879AD" w:rsidR="000879AD">
        <w:t>’</w:t>
      </w:r>
      <w:r w:rsidRPr="000879AD">
        <w:t>s case-law.</w:t>
      </w:r>
    </w:p>
    <w:bookmarkStart w:name="OBSG" w:id="5"/>
    <w:p w:rsidRPr="000879AD" w:rsidR="0098379F" w:rsidP="000879AD" w:rsidRDefault="0098379F" w14:paraId="5F84E5EA" w14:textId="03E6F5F9">
      <w:pPr>
        <w:pStyle w:val="JuPara"/>
      </w:pPr>
      <w:r w:rsidRPr="000879AD">
        <w:fldChar w:fldCharType="begin"/>
      </w:r>
      <w:r w:rsidRPr="000879AD">
        <w:instrText xml:space="preserve"> SEQ level0 \*arabic </w:instrText>
      </w:r>
      <w:r w:rsidRPr="000879AD">
        <w:fldChar w:fldCharType="separate"/>
      </w:r>
      <w:r w:rsidRPr="000879AD" w:rsidR="000879AD">
        <w:rPr>
          <w:noProof/>
        </w:rPr>
        <w:t>26</w:t>
      </w:r>
      <w:r w:rsidRPr="000879AD">
        <w:fldChar w:fldCharType="end"/>
      </w:r>
      <w:bookmarkEnd w:id="5"/>
      <w:r w:rsidRPr="000879AD">
        <w:t>.  The Government argued that the instances of the interference with the applicants</w:t>
      </w:r>
      <w:r w:rsidRPr="000879AD" w:rsidR="000879AD">
        <w:t>’</w:t>
      </w:r>
      <w:r w:rsidRPr="000879AD">
        <w:t xml:space="preserve"> right to freedom of expression had been “prescribed by law”, had pursued a legitimate aim of protecting the reputation of others, and had been “necessary in a democratic society”. They emphasised that, under Article 152 of the Russian Civil Code, three elements are relevant in the assessment whether a statement tarnished one</w:t>
      </w:r>
      <w:r w:rsidRPr="000879AD" w:rsidR="000879AD">
        <w:t>’</w:t>
      </w:r>
      <w:r w:rsidRPr="000879AD">
        <w:t>s dignity, honour and business reputation: the tarnishing nature of the statements; the fact of their dissemination; and their untruthfulness.</w:t>
      </w:r>
    </w:p>
    <w:p w:rsidRPr="000879AD" w:rsidR="0098379F" w:rsidP="000879AD" w:rsidRDefault="0098379F" w14:paraId="08751914" w14:textId="47753174">
      <w:pPr>
        <w:pStyle w:val="JuH1"/>
      </w:pPr>
      <w:r w:rsidRPr="000879AD">
        <w:t>The Court</w:t>
      </w:r>
      <w:r w:rsidRPr="000879AD" w:rsidR="000879AD">
        <w:t>’</w:t>
      </w:r>
      <w:r w:rsidRPr="000879AD">
        <w:t>s assessment</w:t>
      </w:r>
    </w:p>
    <w:p w:rsidRPr="000879AD" w:rsidR="0098379F" w:rsidP="000879AD" w:rsidRDefault="0098379F" w14:paraId="0F4FCA4B" w14:textId="35C77D60">
      <w:pPr>
        <w:pStyle w:val="JuPara"/>
      </w:pPr>
      <w:r w:rsidRPr="000879AD">
        <w:fldChar w:fldCharType="begin"/>
      </w:r>
      <w:r w:rsidRPr="000879AD">
        <w:instrText xml:space="preserve"> SEQ level0 \*arabic </w:instrText>
      </w:r>
      <w:r w:rsidRPr="000879AD">
        <w:fldChar w:fldCharType="separate"/>
      </w:r>
      <w:r w:rsidRPr="000879AD" w:rsidR="000879AD">
        <w:rPr>
          <w:noProof/>
        </w:rPr>
        <w:t>27</w:t>
      </w:r>
      <w:r w:rsidRPr="000879AD">
        <w:fldChar w:fldCharType="end"/>
      </w:r>
      <w:r w:rsidRPr="000879AD">
        <w:t>.  The Court will examine this case in the light of the general principles of its settled case-law on balancing</w:t>
      </w:r>
      <w:r w:rsidRPr="000879AD">
        <w:rPr>
          <w:i/>
          <w:iCs/>
        </w:rPr>
        <w:t> </w:t>
      </w:r>
      <w:r w:rsidRPr="000879AD">
        <w:t>the right to freedom of expression against the right to reputation</w:t>
      </w:r>
      <w:r w:rsidRPr="000879AD">
        <w:rPr>
          <w:i/>
          <w:iCs/>
        </w:rPr>
        <w:t xml:space="preserve"> </w:t>
      </w:r>
      <w:r w:rsidRPr="000879AD">
        <w:t xml:space="preserve">that were summarised in </w:t>
      </w:r>
      <w:r w:rsidRPr="000879AD">
        <w:rPr>
          <w:i/>
          <w:iCs/>
        </w:rPr>
        <w:t>OOO Regnum</w:t>
      </w:r>
      <w:r w:rsidRPr="000879AD">
        <w:t xml:space="preserve"> (cited</w:t>
      </w:r>
      <w:r w:rsidRPr="000879AD" w:rsidR="007D7066">
        <w:t> </w:t>
      </w:r>
      <w:r w:rsidRPr="000879AD">
        <w:t xml:space="preserve">above, </w:t>
      </w:r>
      <w:r w:rsidRPr="000879AD">
        <w:rPr>
          <w:rFonts w:cstheme="minorHAnsi"/>
        </w:rPr>
        <w:t>§§</w:t>
      </w:r>
      <w:r w:rsidRPr="000879AD">
        <w:t> 58-63).</w:t>
      </w:r>
    </w:p>
    <w:p w:rsidRPr="000879AD" w:rsidR="0098379F" w:rsidP="000879AD" w:rsidRDefault="0098379F" w14:paraId="0310514D" w14:textId="02906746">
      <w:pPr>
        <w:pStyle w:val="JuPara"/>
      </w:pPr>
      <w:r w:rsidRPr="000879AD">
        <w:fldChar w:fldCharType="begin"/>
      </w:r>
      <w:r w:rsidRPr="000879AD">
        <w:instrText xml:space="preserve"> SEQ level0 \*arabic </w:instrText>
      </w:r>
      <w:r w:rsidRPr="000879AD">
        <w:fldChar w:fldCharType="separate"/>
      </w:r>
      <w:r w:rsidRPr="000879AD" w:rsidR="000879AD">
        <w:rPr>
          <w:noProof/>
        </w:rPr>
        <w:t>28</w:t>
      </w:r>
      <w:r w:rsidRPr="000879AD">
        <w:fldChar w:fldCharType="end"/>
      </w:r>
      <w:r w:rsidRPr="000879AD">
        <w:t xml:space="preserve">.  The Court emphasises that the claimants in both sets of proceedings at hand were private commercial companies. Accordingly, the following criteria are relevant in the assessment of the necessity of the instances of interference complained of both by domestic courts and the Court itself: the subject matter of the impugned publications, that is, whether they concerned a matter of public interest; the content, form and consequences of the publications; the way in which the information was obtained and its veracity; and the gravity of the penalty imposed on the media outlet or journalists (ibid., </w:t>
      </w:r>
      <w:r w:rsidRPr="000879AD">
        <w:rPr>
          <w:rFonts w:cstheme="minorHAnsi"/>
        </w:rPr>
        <w:t>§</w:t>
      </w:r>
      <w:r w:rsidRPr="000879AD">
        <w:t> 67).</w:t>
      </w:r>
    </w:p>
    <w:p w:rsidRPr="000879AD" w:rsidR="0098379F" w:rsidP="000879AD" w:rsidRDefault="0098379F" w14:paraId="5707751F" w14:textId="04ED5B07">
      <w:pPr>
        <w:pStyle w:val="JuPara"/>
      </w:pPr>
      <w:r w:rsidRPr="000879AD">
        <w:fldChar w:fldCharType="begin"/>
      </w:r>
      <w:r w:rsidRPr="000879AD">
        <w:instrText xml:space="preserve"> SEQ level0 \*arabic </w:instrText>
      </w:r>
      <w:r w:rsidRPr="000879AD">
        <w:fldChar w:fldCharType="separate"/>
      </w:r>
      <w:r w:rsidRPr="000879AD" w:rsidR="000879AD">
        <w:rPr>
          <w:noProof/>
        </w:rPr>
        <w:t>29</w:t>
      </w:r>
      <w:r w:rsidRPr="000879AD">
        <w:fldChar w:fldCharType="end"/>
      </w:r>
      <w:r w:rsidRPr="000879AD">
        <w:t>.  The Court is satisfied that the articles published in the newspaper concerning OOO Holding Zolotaya Formula and ZAO Soletanshstroy had touched upon matters of public interest, such as public health and allocation of public funds. The content and form of the impugned publications were socially appropriate.</w:t>
      </w:r>
    </w:p>
    <w:p w:rsidRPr="000879AD" w:rsidR="0098379F" w:rsidP="000879AD" w:rsidRDefault="000879AD" w14:paraId="2BBDE8E5" w14:textId="3568FE4A">
      <w:pPr>
        <w:pStyle w:val="JuPara"/>
      </w:pPr>
      <w:fldSimple w:instr=" SEQ level0 \*arabic \* MERGEFORMAT ">
        <w:r w:rsidRPr="000879AD">
          <w:rPr>
            <w:noProof/>
          </w:rPr>
          <w:t>30</w:t>
        </w:r>
      </w:fldSimple>
      <w:r w:rsidRPr="000879AD" w:rsidR="0098379F">
        <w:t>.  The Court reiterates that protection of</w:t>
      </w:r>
      <w:r w:rsidRPr="000879AD" w:rsidR="00A02836">
        <w:t xml:space="preserve"> </w:t>
      </w:r>
      <w:r w:rsidRPr="000879AD" w:rsidR="0098379F">
        <w:t>the right</w:t>
      </w:r>
      <w:r w:rsidRPr="000879AD" w:rsidR="00A02836">
        <w:t xml:space="preserve"> </w:t>
      </w:r>
      <w:r w:rsidRPr="000879AD" w:rsidR="0098379F">
        <w:t>of journalists</w:t>
      </w:r>
      <w:r w:rsidRPr="000879AD" w:rsidR="00A02836">
        <w:t xml:space="preserve"> </w:t>
      </w:r>
      <w:r w:rsidRPr="000879AD" w:rsidR="0098379F">
        <w:t>to</w:t>
      </w:r>
      <w:r w:rsidRPr="000879AD" w:rsidR="00A02836">
        <w:t xml:space="preserve"> </w:t>
      </w:r>
      <w:r w:rsidRPr="000879AD" w:rsidR="0098379F">
        <w:t>impart</w:t>
      </w:r>
      <w:r w:rsidRPr="000879AD" w:rsidR="00A02836">
        <w:t xml:space="preserve"> </w:t>
      </w:r>
      <w:r w:rsidRPr="000879AD" w:rsidR="0098379F">
        <w:t>information on issues of general interest</w:t>
      </w:r>
      <w:r w:rsidRPr="000879AD" w:rsidR="00A02836">
        <w:t xml:space="preserve"> </w:t>
      </w:r>
      <w:r w:rsidRPr="000879AD" w:rsidR="0098379F">
        <w:t>requires</w:t>
      </w:r>
      <w:r w:rsidRPr="000879AD" w:rsidR="00A02836">
        <w:t xml:space="preserve"> </w:t>
      </w:r>
      <w:r w:rsidRPr="000879AD" w:rsidR="0098379F">
        <w:t>that they</w:t>
      </w:r>
      <w:r w:rsidRPr="000879AD" w:rsidR="00A02836">
        <w:t xml:space="preserve"> </w:t>
      </w:r>
      <w:r w:rsidRPr="000879AD" w:rsidR="0098379F">
        <w:t>should</w:t>
      </w:r>
      <w:r w:rsidRPr="000879AD" w:rsidR="00A02836">
        <w:t xml:space="preserve"> </w:t>
      </w:r>
      <w:r w:rsidRPr="000879AD" w:rsidR="0098379F">
        <w:t>act in good faith and on</w:t>
      </w:r>
      <w:r w:rsidRPr="000879AD" w:rsidR="00A02836">
        <w:t xml:space="preserve"> </w:t>
      </w:r>
      <w:r w:rsidRPr="000879AD" w:rsidR="0098379F">
        <w:t>an</w:t>
      </w:r>
      <w:r w:rsidRPr="000879AD" w:rsidR="00A02836">
        <w:t xml:space="preserve"> </w:t>
      </w:r>
      <w:r w:rsidRPr="000879AD" w:rsidR="0098379F">
        <w:t>accurate factual basis and provide “reliable and precise”</w:t>
      </w:r>
      <w:r w:rsidRPr="000879AD" w:rsidR="00A02836">
        <w:t xml:space="preserve"> </w:t>
      </w:r>
      <w:r w:rsidRPr="000879AD" w:rsidR="0098379F">
        <w:t>information in accordance with the ethics of journalism. This obligation required that they should have</w:t>
      </w:r>
      <w:r w:rsidRPr="000879AD" w:rsidR="00A02836">
        <w:t xml:space="preserve"> </w:t>
      </w:r>
      <w:r w:rsidRPr="000879AD" w:rsidR="0098379F">
        <w:t>relied on a sufficiently accurate and reliable factual basis</w:t>
      </w:r>
      <w:r w:rsidRPr="000879AD" w:rsidR="00A02836">
        <w:t xml:space="preserve"> </w:t>
      </w:r>
      <w:r w:rsidRPr="000879AD" w:rsidR="0098379F">
        <w:t>which could be considered proportionate to the nature and degree of their allegation,</w:t>
      </w:r>
      <w:r w:rsidRPr="000879AD" w:rsidR="00A02836">
        <w:t xml:space="preserve"> </w:t>
      </w:r>
      <w:r w:rsidRPr="000879AD" w:rsidR="0098379F">
        <w:t>given that</w:t>
      </w:r>
      <w:r w:rsidRPr="000879AD" w:rsidR="00A02836">
        <w:t xml:space="preserve"> </w:t>
      </w:r>
      <w:r w:rsidRPr="000879AD" w:rsidR="0098379F">
        <w:t>the</w:t>
      </w:r>
      <w:r w:rsidRPr="000879AD" w:rsidR="00A02836">
        <w:t xml:space="preserve"> </w:t>
      </w:r>
      <w:r w:rsidRPr="000879AD" w:rsidR="0098379F">
        <w:t>more serious the allegation, the more solid the factual basis has</w:t>
      </w:r>
      <w:r w:rsidRPr="000879AD" w:rsidR="00A02836">
        <w:t xml:space="preserve"> </w:t>
      </w:r>
      <w:r w:rsidRPr="000879AD" w:rsidR="0098379F">
        <w:t>to be (see</w:t>
      </w:r>
      <w:r w:rsidRPr="000879AD" w:rsidR="00A02836">
        <w:t xml:space="preserve"> </w:t>
      </w:r>
      <w:r w:rsidRPr="000879AD" w:rsidR="0098379F">
        <w:rPr>
          <w:i/>
          <w:iCs/>
        </w:rPr>
        <w:t>Pedersen and</w:t>
      </w:r>
      <w:r w:rsidRPr="000879AD" w:rsidR="00A02836">
        <w:rPr>
          <w:i/>
          <w:iCs/>
        </w:rPr>
        <w:t> </w:t>
      </w:r>
      <w:r w:rsidRPr="000879AD" w:rsidR="0098379F">
        <w:rPr>
          <w:i/>
          <w:iCs/>
        </w:rPr>
        <w:t>Baadsgaard</w:t>
      </w:r>
      <w:r w:rsidRPr="000879AD" w:rsidR="00A02836">
        <w:rPr>
          <w:i/>
          <w:iCs/>
        </w:rPr>
        <w:t xml:space="preserve"> </w:t>
      </w:r>
      <w:r w:rsidRPr="000879AD" w:rsidR="0098379F">
        <w:rPr>
          <w:i/>
          <w:iCs/>
        </w:rPr>
        <w:t>v.</w:t>
      </w:r>
      <w:r w:rsidRPr="000879AD" w:rsidR="00A02836">
        <w:rPr>
          <w:i/>
          <w:iCs/>
        </w:rPr>
        <w:t xml:space="preserve"> </w:t>
      </w:r>
      <w:r w:rsidRPr="000879AD" w:rsidR="0098379F">
        <w:rPr>
          <w:i/>
          <w:iCs/>
        </w:rPr>
        <w:t>Denmark</w:t>
      </w:r>
      <w:r w:rsidRPr="000879AD" w:rsidR="00A02836">
        <w:rPr>
          <w:i/>
          <w:iCs/>
        </w:rPr>
        <w:t xml:space="preserve"> </w:t>
      </w:r>
      <w:r w:rsidRPr="000879AD" w:rsidR="0098379F">
        <w:t>[GC], no.</w:t>
      </w:r>
      <w:r w:rsidRPr="000879AD" w:rsidR="00A02836">
        <w:t xml:space="preserve"> </w:t>
      </w:r>
      <w:r w:rsidRPr="000879AD" w:rsidR="0098379F">
        <w:t>49017/99, §</w:t>
      </w:r>
      <w:r w:rsidRPr="000879AD" w:rsidR="00A02836">
        <w:t xml:space="preserve"> </w:t>
      </w:r>
      <w:r w:rsidRPr="000879AD" w:rsidR="0098379F">
        <w:t>78, ECHR 2004</w:t>
      </w:r>
      <w:r w:rsidRPr="000879AD" w:rsidR="0098379F">
        <w:noBreakHyphen/>
        <w:t>XI). The Court has no reasons to doubt that the information related in all three articles was obtained in compliance with the tenets of responsible journalism. Notably, the articles concerning OOO</w:t>
      </w:r>
      <w:r w:rsidRPr="000879AD" w:rsidR="00A02836">
        <w:t xml:space="preserve"> </w:t>
      </w:r>
      <w:r w:rsidRPr="000879AD" w:rsidR="0098379F">
        <w:t>Holding Zolotaya Formula contained references to the source material published in 2009 regarding documented outbreaks of meningitis in schools equipped with “Petrik</w:t>
      </w:r>
      <w:r w:rsidRPr="000879AD">
        <w:t>’</w:t>
      </w:r>
      <w:r w:rsidRPr="000879AD" w:rsidR="0098379F">
        <w:t xml:space="preserve">s filters” (see paragraph </w:t>
      </w:r>
      <w:r w:rsidRPr="000879AD" w:rsidR="0098379F">
        <w:fldChar w:fldCharType="begin"/>
      </w:r>
      <w:r w:rsidRPr="000879AD" w:rsidR="0098379F">
        <w:instrText xml:space="preserve"> REF A1 \h </w:instrText>
      </w:r>
      <w:r w:rsidRPr="000879AD" w:rsidR="0098379F">
        <w:fldChar w:fldCharType="separate"/>
      </w:r>
      <w:r w:rsidRPr="000879AD">
        <w:rPr>
          <w:noProof/>
        </w:rPr>
        <w:t>4</w:t>
      </w:r>
      <w:r w:rsidRPr="000879AD" w:rsidR="0098379F">
        <w:fldChar w:fldCharType="end"/>
      </w:r>
      <w:r w:rsidRPr="000879AD" w:rsidR="0098379F">
        <w:t xml:space="preserve"> above). The Court is thus satisfied that these articles had had sufficient factual basis. The article concerning ZAO Soletanshstroy reproduced verbatim an interview given by a third party, a builder immediately involved in the construction of the skyscraper who had named in the domestic proceedings two persons willing to corroborate his account of the events (see paragraph </w:t>
      </w:r>
      <w:r w:rsidRPr="000879AD" w:rsidR="0098379F">
        <w:fldChar w:fldCharType="begin"/>
      </w:r>
      <w:r w:rsidRPr="000879AD" w:rsidR="0098379F">
        <w:instrText xml:space="preserve"> REF A2 \h </w:instrText>
      </w:r>
      <w:r w:rsidRPr="000879AD" w:rsidR="0098379F">
        <w:fldChar w:fldCharType="separate"/>
      </w:r>
      <w:r w:rsidRPr="000879AD">
        <w:rPr>
          <w:noProof/>
        </w:rPr>
        <w:t>14</w:t>
      </w:r>
      <w:r w:rsidRPr="000879AD" w:rsidR="0098379F">
        <w:fldChar w:fldCharType="end"/>
      </w:r>
      <w:r w:rsidRPr="000879AD" w:rsidR="0098379F">
        <w:t xml:space="preserve"> above). However, the commercial courts examining the defamation claims stemming from the three articles summarily dismissed the defendants</w:t>
      </w:r>
      <w:r w:rsidRPr="000879AD">
        <w:t>’</w:t>
      </w:r>
      <w:r w:rsidRPr="000879AD" w:rsidR="0098379F">
        <w:t xml:space="preserve"> reference to the fact that the statements had clearly been identified as someone else</w:t>
      </w:r>
      <w:r w:rsidRPr="000879AD">
        <w:t>’</w:t>
      </w:r>
      <w:r w:rsidRPr="000879AD" w:rsidR="0098379F">
        <w:t>s.</w:t>
      </w:r>
    </w:p>
    <w:p w:rsidRPr="000879AD" w:rsidR="0098379F" w:rsidP="000879AD" w:rsidRDefault="000879AD" w14:paraId="41F0845D" w14:textId="5027F95C">
      <w:pPr>
        <w:pStyle w:val="JuPara"/>
      </w:pPr>
      <w:fldSimple w:instr=" SEQ level0 \*arabic \* MERGEFORMAT ">
        <w:r w:rsidRPr="000879AD">
          <w:rPr>
            <w:noProof/>
          </w:rPr>
          <w:t>31</w:t>
        </w:r>
      </w:fldSimple>
      <w:r w:rsidRPr="000879AD" w:rsidR="0098379F">
        <w:t>.  The Court reiterates that an indiscriminate approach to the author</w:t>
      </w:r>
      <w:r w:rsidRPr="000879AD">
        <w:t>’</w:t>
      </w:r>
      <w:r w:rsidRPr="000879AD" w:rsidR="0098379F">
        <w:t>s own speech and statements made by others is incompatible with the standards elaborated in the Court</w:t>
      </w:r>
      <w:r w:rsidRPr="000879AD">
        <w:t>’</w:t>
      </w:r>
      <w:r w:rsidRPr="000879AD" w:rsidR="0098379F">
        <w:t>s case-law under Article 10 of the Convention. In a number of cases the Court has held that a distinction needs to be made according to whether the statements emanate from the journalist or are a quotation of others, since</w:t>
      </w:r>
      <w:r w:rsidRPr="000879AD" w:rsidR="00A02836">
        <w:t xml:space="preserve"> </w:t>
      </w:r>
      <w:r w:rsidRPr="000879AD" w:rsidR="0098379F">
        <w:t>punishment of a journalist for assisting in the dissemination of statements made by another person in an interview would seriously hamper the contribution of the press to discussion of matters of public interest and should not be envisaged unless there are particularly strong reasons for doing so. The domestic courts did not advance any such reasons (see, with further references, </w:t>
      </w:r>
      <w:r w:rsidRPr="000879AD" w:rsidR="0098379F">
        <w:rPr>
          <w:i/>
          <w:iCs/>
        </w:rPr>
        <w:t>Godlevskiy v. Russia</w:t>
      </w:r>
      <w:r w:rsidRPr="000879AD" w:rsidR="0098379F">
        <w:t xml:space="preserve">, no. 14888/03, § 45, 23 October 2008; and </w:t>
      </w:r>
      <w:r w:rsidRPr="000879AD" w:rsidR="0098379F">
        <w:rPr>
          <w:i/>
          <w:iCs/>
        </w:rPr>
        <w:t>Pedersen and Baadsgaard</w:t>
      </w:r>
      <w:r w:rsidRPr="000879AD" w:rsidR="0098379F">
        <w:t>, cited above, § 77).</w:t>
      </w:r>
      <w:r w:rsidRPr="000879AD" w:rsidR="00FA3FD4">
        <w:t xml:space="preserve"> </w:t>
      </w:r>
      <w:r w:rsidRPr="000879AD" w:rsidR="0098379F">
        <w:t>A general requirement for journalists systematically and formally to distance themselves from the content of a quotation that might insult or provoke others or damage their reputation is not reconcilable with the press</w:t>
      </w:r>
      <w:r w:rsidRPr="000879AD">
        <w:t>’</w:t>
      </w:r>
      <w:r w:rsidRPr="000879AD" w:rsidR="0098379F">
        <w:t>s role of providing information on current events, opinions and ideas (see </w:t>
      </w:r>
      <w:r w:rsidRPr="000879AD" w:rsidR="0098379F">
        <w:rPr>
          <w:i/>
          <w:iCs/>
        </w:rPr>
        <w:t>Thoma v. Luxembourg</w:t>
      </w:r>
      <w:r w:rsidRPr="000879AD" w:rsidR="0098379F">
        <w:t>, no. 38432/97, § 64, ECHR 2001</w:t>
      </w:r>
      <w:r w:rsidRPr="000879AD" w:rsidR="0098379F">
        <w:noBreakHyphen/>
        <w:t xml:space="preserve">III, and </w:t>
      </w:r>
      <w:r w:rsidRPr="000879AD" w:rsidR="0098379F">
        <w:rPr>
          <w:rFonts w:ascii="Times New Roman" w:hAnsi="Times New Roman" w:eastAsia="Times New Roman" w:cs="Times New Roman"/>
          <w:i/>
          <w:lang w:val="en-US"/>
        </w:rPr>
        <w:t xml:space="preserve">Nadtoka </w:t>
      </w:r>
      <w:r w:rsidRPr="000879AD" w:rsidR="0098379F">
        <w:rPr>
          <w:rFonts w:ascii="Times New Roman" w:hAnsi="Times New Roman" w:eastAsia="Times New Roman" w:cs="Times New Roman"/>
          <w:i/>
        </w:rPr>
        <w:t>v. Russia</w:t>
      </w:r>
      <w:r w:rsidRPr="000879AD" w:rsidR="0098379F">
        <w:rPr>
          <w:rFonts w:ascii="Times New Roman" w:hAnsi="Times New Roman" w:eastAsia="Times New Roman" w:cs="Times New Roman"/>
          <w:i/>
          <w:lang w:val="en-US"/>
        </w:rPr>
        <w:t xml:space="preserve"> </w:t>
      </w:r>
      <w:r w:rsidRPr="000879AD" w:rsidR="0098379F">
        <w:rPr>
          <w:rFonts w:ascii="Times New Roman" w:hAnsi="Times New Roman" w:eastAsia="Times New Roman" w:cs="Times New Roman"/>
          <w:i/>
        </w:rPr>
        <w:t>(no. 2)</w:t>
      </w:r>
      <w:r w:rsidRPr="000879AD" w:rsidR="0098379F">
        <w:rPr>
          <w:rFonts w:ascii="Times New Roman" w:hAnsi="Times New Roman" w:eastAsia="Times New Roman" w:cs="Times New Roman"/>
          <w:lang w:val="en-US"/>
        </w:rPr>
        <w:t xml:space="preserve">, </w:t>
      </w:r>
      <w:r w:rsidRPr="000879AD" w:rsidR="0098379F">
        <w:rPr>
          <w:rFonts w:ascii="Times New Roman" w:hAnsi="Times New Roman" w:eastAsia="Times New Roman" w:cs="Times New Roman"/>
        </w:rPr>
        <w:t>no. </w:t>
      </w:r>
      <w:r w:rsidRPr="000879AD" w:rsidR="0098379F">
        <w:rPr>
          <w:rFonts w:ascii="Times New Roman" w:hAnsi="Times New Roman" w:eastAsia="Times New Roman" w:cs="Times New Roman"/>
          <w:lang w:val="en-US"/>
        </w:rPr>
        <w:t>29097/08, § 48, 8</w:t>
      </w:r>
      <w:r w:rsidRPr="000879AD" w:rsidR="00D61AE0">
        <w:rPr>
          <w:rFonts w:ascii="Times New Roman" w:hAnsi="Times New Roman" w:eastAsia="Times New Roman" w:cs="Times New Roman"/>
          <w:lang w:val="en-US"/>
        </w:rPr>
        <w:t> </w:t>
      </w:r>
      <w:r w:rsidRPr="000879AD" w:rsidR="0098379F">
        <w:rPr>
          <w:rFonts w:ascii="Times New Roman" w:hAnsi="Times New Roman" w:eastAsia="Times New Roman" w:cs="Times New Roman"/>
        </w:rPr>
        <w:t xml:space="preserve">October </w:t>
      </w:r>
      <w:r w:rsidRPr="000879AD" w:rsidR="0098379F">
        <w:rPr>
          <w:rFonts w:ascii="Times New Roman" w:hAnsi="Times New Roman" w:eastAsia="Times New Roman" w:cs="Times New Roman"/>
          <w:lang w:val="en-US"/>
        </w:rPr>
        <w:t>2019</w:t>
      </w:r>
      <w:r w:rsidRPr="000879AD" w:rsidR="0098379F">
        <w:t>). The commercial courts limited themselves to establishing the fact that statements that they regarded as tarnishing the business reputation of the claimants had been disseminated and to observing that the defendants had not proved the truthfulness of the statements (see paragraphs</w:t>
      </w:r>
      <w:r w:rsidRPr="000879AD" w:rsidR="00A02836">
        <w:t> </w:t>
      </w:r>
      <w:r w:rsidRPr="000879AD" w:rsidR="0098379F">
        <w:fldChar w:fldCharType="begin"/>
      </w:r>
      <w:r w:rsidRPr="000879AD" w:rsidR="0098379F">
        <w:instrText xml:space="preserve"> REF SPBCourt \h  \* MERGEFORMAT </w:instrText>
      </w:r>
      <w:r w:rsidRPr="000879AD" w:rsidR="0098379F">
        <w:fldChar w:fldCharType="separate"/>
      </w:r>
      <w:r w:rsidRPr="000879AD">
        <w:t>7</w:t>
      </w:r>
      <w:r w:rsidRPr="000879AD" w:rsidR="0098379F">
        <w:fldChar w:fldCharType="end"/>
      </w:r>
      <w:r w:rsidRPr="000879AD" w:rsidR="0098379F">
        <w:t xml:space="preserve"> and </w:t>
      </w:r>
      <w:r w:rsidRPr="000879AD" w:rsidR="0098379F">
        <w:fldChar w:fldCharType="begin"/>
      </w:r>
      <w:r w:rsidRPr="000879AD" w:rsidR="0098379F">
        <w:instrText xml:space="preserve"> REF MSKCourt \h  \* MERGEFORMAT </w:instrText>
      </w:r>
      <w:r w:rsidRPr="000879AD" w:rsidR="0098379F">
        <w:fldChar w:fldCharType="separate"/>
      </w:r>
      <w:r w:rsidRPr="000879AD">
        <w:t>15</w:t>
      </w:r>
      <w:r w:rsidRPr="000879AD" w:rsidR="0098379F">
        <w:fldChar w:fldCharType="end"/>
      </w:r>
      <w:r w:rsidRPr="000879AD" w:rsidR="0098379F">
        <w:t xml:space="preserve"> above); the courts then made sizeable awards as compensation for non-pecuniary damage.</w:t>
      </w:r>
    </w:p>
    <w:p w:rsidRPr="000879AD" w:rsidR="0098379F" w:rsidP="000879AD" w:rsidRDefault="0098379F" w14:paraId="4312C305" w14:textId="226CBE3F">
      <w:pPr>
        <w:pStyle w:val="JuPara"/>
      </w:pPr>
      <w:r w:rsidRPr="000879AD">
        <w:fldChar w:fldCharType="begin"/>
      </w:r>
      <w:r w:rsidRPr="000879AD">
        <w:instrText xml:space="preserve"> SEQ level0 \*arabic </w:instrText>
      </w:r>
      <w:r w:rsidRPr="000879AD">
        <w:fldChar w:fldCharType="separate"/>
      </w:r>
      <w:r w:rsidRPr="000879AD" w:rsidR="000879AD">
        <w:rPr>
          <w:noProof/>
        </w:rPr>
        <w:t>32</w:t>
      </w:r>
      <w:r w:rsidRPr="000879AD">
        <w:fldChar w:fldCharType="end"/>
      </w:r>
      <w:r w:rsidRPr="000879AD">
        <w:t xml:space="preserve">.  The Court reiterates that, when faced with the task of balancing the reputational interests of a commercial company against the general interests of society in being informed of irregularities in the use of public funds or of potential health hazards, as well as the corresponding interest (and duty) of members of the media in reporting on such irregularities or hazards, domestic courts ought to demonstrate convincingly the existence of a pressing social need capable of justifying an interference with freedom of the media (see </w:t>
      </w:r>
      <w:r w:rsidRPr="000879AD">
        <w:rPr>
          <w:i/>
          <w:iCs/>
        </w:rPr>
        <w:t>OOO Regnum</w:t>
      </w:r>
      <w:r w:rsidRPr="000879AD">
        <w:t xml:space="preserve">, cited above, </w:t>
      </w:r>
      <w:r w:rsidRPr="000879AD">
        <w:rPr>
          <w:rFonts w:cstheme="minorHAnsi"/>
        </w:rPr>
        <w:t>§</w:t>
      </w:r>
      <w:r w:rsidRPr="000879AD">
        <w:t xml:space="preserve"> 78). Yet the commercial courts that delivered the judgments complained of had limited their findings to establishing whether the three elements referred to by the Government in their observations (see paragraph </w:t>
      </w:r>
      <w:r w:rsidRPr="000879AD">
        <w:fldChar w:fldCharType="begin"/>
      </w:r>
      <w:r w:rsidRPr="000879AD">
        <w:instrText xml:space="preserve"> REF OBSG \h </w:instrText>
      </w:r>
      <w:r w:rsidRPr="000879AD">
        <w:fldChar w:fldCharType="separate"/>
      </w:r>
      <w:r w:rsidRPr="000879AD" w:rsidR="000879AD">
        <w:rPr>
          <w:noProof/>
        </w:rPr>
        <w:t>26</w:t>
      </w:r>
      <w:r w:rsidRPr="000879AD">
        <w:fldChar w:fldCharType="end"/>
      </w:r>
      <w:r w:rsidRPr="000879AD">
        <w:t xml:space="preserve"> above) had been met, thus disregarding the need to weigh the reputational interests of a commercial company against the interests of members of the media in purveying information and the public interest in obtaining it.</w:t>
      </w:r>
    </w:p>
    <w:p w:rsidRPr="000879AD" w:rsidR="0098379F" w:rsidP="000879AD" w:rsidRDefault="0098379F" w14:paraId="41D06B7C" w14:textId="473C8643">
      <w:pPr>
        <w:pStyle w:val="JuPara"/>
        <w:rPr>
          <w:rStyle w:val="JuParaCar"/>
        </w:rPr>
      </w:pPr>
      <w:r w:rsidRPr="000879AD">
        <w:fldChar w:fldCharType="begin"/>
      </w:r>
      <w:r w:rsidRPr="000879AD">
        <w:instrText xml:space="preserve"> SEQ level0 \*arabic </w:instrText>
      </w:r>
      <w:r w:rsidRPr="000879AD">
        <w:fldChar w:fldCharType="separate"/>
      </w:r>
      <w:r w:rsidRPr="000879AD" w:rsidR="000879AD">
        <w:rPr>
          <w:noProof/>
        </w:rPr>
        <w:t>33</w:t>
      </w:r>
      <w:r w:rsidRPr="000879AD">
        <w:fldChar w:fldCharType="end"/>
      </w:r>
      <w:r w:rsidRPr="000879AD">
        <w:t>.  </w:t>
      </w:r>
      <w:r w:rsidRPr="000879AD">
        <w:rPr>
          <w:rStyle w:val="JuParaCar"/>
        </w:rPr>
        <w:t xml:space="preserve">The Court has found a violation of Article 10 of the Convention in a large number of cases concerning freedom of the media in Russia for the reason that the domestic courts had failed to apply the Convention standards when deciding on a defamation dispute (see, among many others, </w:t>
      </w:r>
      <w:r w:rsidRPr="000879AD">
        <w:rPr>
          <w:rStyle w:val="JuParaCar"/>
          <w:i/>
          <w:iCs/>
        </w:rPr>
        <w:t>OOO Ivpress and Others v. Russia</w:t>
      </w:r>
      <w:r w:rsidRPr="000879AD">
        <w:rPr>
          <w:rStyle w:val="JuParaCar"/>
        </w:rPr>
        <w:t>, nos. </w:t>
      </w:r>
      <w:hyperlink w:tgtFrame="_blank" w:history="1" w:anchor="{&quot;appno&quot;:[&quot;33501/04&quot;]}" r:id="rId12">
        <w:r w:rsidRPr="000879AD">
          <w:rPr>
            <w:rStyle w:val="JuParaCar"/>
          </w:rPr>
          <w:t>33501/04</w:t>
        </w:r>
      </w:hyperlink>
      <w:r w:rsidRPr="000879AD">
        <w:rPr>
          <w:rStyle w:val="JuParaCar"/>
        </w:rPr>
        <w:t xml:space="preserve"> and 3 others, § 79, 22 January 2013; </w:t>
      </w:r>
      <w:r w:rsidRPr="000879AD">
        <w:rPr>
          <w:rStyle w:val="JuParaCar"/>
          <w:i/>
          <w:iCs/>
        </w:rPr>
        <w:t>Kunitsyna v. Russia</w:t>
      </w:r>
      <w:r w:rsidRPr="000879AD">
        <w:rPr>
          <w:rStyle w:val="JuParaCar"/>
        </w:rPr>
        <w:t>, no. </w:t>
      </w:r>
      <w:hyperlink w:tgtFrame="_blank" w:history="1" w:anchor="{&quot;appno&quot;:[&quot;9406/05&quot;]}" r:id="rId13">
        <w:r w:rsidRPr="000879AD">
          <w:rPr>
            <w:rStyle w:val="JuParaCar"/>
          </w:rPr>
          <w:t>9406/05</w:t>
        </w:r>
      </w:hyperlink>
      <w:r w:rsidRPr="000879AD">
        <w:rPr>
          <w:rStyle w:val="JuParaCar"/>
        </w:rPr>
        <w:t xml:space="preserve">, §§ 46-48, 13 December 2016; </w:t>
      </w:r>
      <w:r w:rsidRPr="000879AD">
        <w:rPr>
          <w:rStyle w:val="JuParaCar"/>
          <w:i/>
          <w:iCs/>
        </w:rPr>
        <w:t>Terentyev v. Russia</w:t>
      </w:r>
      <w:r w:rsidRPr="000879AD">
        <w:rPr>
          <w:rStyle w:val="JuParaCar"/>
        </w:rPr>
        <w:t>, no. </w:t>
      </w:r>
      <w:hyperlink w:tgtFrame="_blank" w:history="1" w:anchor="{&quot;appno&quot;:[&quot;25147/09&quot;]}" r:id="rId14">
        <w:r w:rsidRPr="000879AD">
          <w:rPr>
            <w:rStyle w:val="JuParaCar"/>
          </w:rPr>
          <w:t>25147/09</w:t>
        </w:r>
      </w:hyperlink>
      <w:r w:rsidRPr="000879AD">
        <w:rPr>
          <w:rStyle w:val="JuParaCar"/>
        </w:rPr>
        <w:t xml:space="preserve">, §§ 22-24, 26 January 2017; </w:t>
      </w:r>
      <w:r w:rsidRPr="000879AD">
        <w:rPr>
          <w:rStyle w:val="JuParaCar"/>
          <w:i/>
          <w:iCs/>
        </w:rPr>
        <w:t>OOO Izdatelskiy Tsentr Kvartirnyy Ryad v. Russia</w:t>
      </w:r>
      <w:r w:rsidRPr="000879AD">
        <w:rPr>
          <w:rStyle w:val="JuParaCar"/>
        </w:rPr>
        <w:t>, no. </w:t>
      </w:r>
      <w:hyperlink w:tgtFrame="_blank" w:history="1" w:anchor="{&quot;appno&quot;:[&quot;39748/05&quot;]}" r:id="rId15">
        <w:r w:rsidRPr="000879AD">
          <w:rPr>
            <w:rStyle w:val="JuParaCar"/>
          </w:rPr>
          <w:t>39748/05</w:t>
        </w:r>
      </w:hyperlink>
      <w:r w:rsidRPr="000879AD">
        <w:rPr>
          <w:rStyle w:val="JuParaCar"/>
        </w:rPr>
        <w:t xml:space="preserve">, § 46, 25 April 2017; </w:t>
      </w:r>
      <w:r w:rsidRPr="000879AD">
        <w:rPr>
          <w:rStyle w:val="JuParaCar"/>
          <w:i/>
          <w:iCs/>
        </w:rPr>
        <w:t>Novaya Gazeta and Milashina v. Russia</w:t>
      </w:r>
      <w:r w:rsidRPr="000879AD">
        <w:rPr>
          <w:rStyle w:val="JuParaCar"/>
        </w:rPr>
        <w:t>, no. </w:t>
      </w:r>
      <w:hyperlink w:tgtFrame="_blank" w:history="1" w:anchor="{&quot;appno&quot;:[&quot;4097/06&quot;]}" r:id="rId16">
        <w:r w:rsidRPr="000879AD">
          <w:rPr>
            <w:rStyle w:val="JuParaCar"/>
          </w:rPr>
          <w:t>4097/06</w:t>
        </w:r>
      </w:hyperlink>
      <w:r w:rsidRPr="000879AD">
        <w:rPr>
          <w:rStyle w:val="JuParaCar"/>
        </w:rPr>
        <w:t>, §§ 66</w:t>
      </w:r>
      <w:r w:rsidRPr="000879AD">
        <w:rPr>
          <w:rStyle w:val="JuParaCar"/>
        </w:rPr>
        <w:noBreakHyphen/>
        <w:t xml:space="preserve">73, 2 July 2019; </w:t>
      </w:r>
      <w:r w:rsidRPr="000879AD">
        <w:rPr>
          <w:rStyle w:val="JuParaCar"/>
          <w:i/>
          <w:iCs/>
        </w:rPr>
        <w:t>Tolmachev v. Russia</w:t>
      </w:r>
      <w:r w:rsidRPr="000879AD">
        <w:rPr>
          <w:rStyle w:val="JuParaCar"/>
        </w:rPr>
        <w:t>, no. 42182/11, § 47, 2 June 2020; and</w:t>
      </w:r>
      <w:r w:rsidRPr="000879AD">
        <w:rPr>
          <w:i/>
        </w:rPr>
        <w:t xml:space="preserve"> </w:t>
      </w:r>
      <w:r w:rsidRPr="000879AD">
        <w:rPr>
          <w:rFonts w:eastAsiaTheme="minorEastAsia"/>
          <w:i/>
        </w:rPr>
        <w:t>Rashkin v. Russia</w:t>
      </w:r>
      <w:r w:rsidRPr="000879AD">
        <w:rPr>
          <w:rFonts w:eastAsiaTheme="minorEastAsia"/>
        </w:rPr>
        <w:t>, no. 69575/10, § 18, 7 July 2020</w:t>
      </w:r>
      <w:r w:rsidRPr="000879AD">
        <w:rPr>
          <w:rStyle w:val="JuParaCar"/>
        </w:rPr>
        <w:t>).</w:t>
      </w:r>
    </w:p>
    <w:p w:rsidRPr="000879AD" w:rsidR="0098379F" w:rsidP="000879AD" w:rsidRDefault="0098379F" w14:paraId="73B857A0" w14:textId="1162A759">
      <w:pPr>
        <w:pStyle w:val="JuPara"/>
      </w:pPr>
      <w:r w:rsidRPr="000879AD">
        <w:fldChar w:fldCharType="begin"/>
      </w:r>
      <w:r w:rsidRPr="000879AD">
        <w:instrText xml:space="preserve"> SEQ level0 \*arabic </w:instrText>
      </w:r>
      <w:r w:rsidRPr="000879AD">
        <w:fldChar w:fldCharType="separate"/>
      </w:r>
      <w:r w:rsidRPr="000879AD" w:rsidR="000879AD">
        <w:rPr>
          <w:noProof/>
        </w:rPr>
        <w:t>34</w:t>
      </w:r>
      <w:r w:rsidRPr="000879AD">
        <w:fldChar w:fldCharType="end"/>
      </w:r>
      <w:r w:rsidRPr="000879AD">
        <w:t>.  Having carefully examined the parties</w:t>
      </w:r>
      <w:r w:rsidRPr="000879AD" w:rsidR="000879AD">
        <w:t>’</w:t>
      </w:r>
      <w:r w:rsidRPr="000879AD">
        <w:t xml:space="preserve"> submissions, the Court cannot but conclude that the domestic courts did not give due consideration to the principles and criteria as laid down by the Court</w:t>
      </w:r>
      <w:r w:rsidRPr="000879AD" w:rsidR="000879AD">
        <w:t>’</w:t>
      </w:r>
      <w:r w:rsidRPr="000879AD">
        <w:t xml:space="preserve">s case-law for balancing the right to respect for private life and the right to freedom of expression. They thus exceeded the margin of appreciation afforded to them and failed to demonstrate that there was a reasonable relationship of proportionality between the instances of interference in question and the legitimate aim pursued (see, with further references, </w:t>
      </w:r>
      <w:r w:rsidRPr="000879AD">
        <w:rPr>
          <w:i/>
          <w:iCs/>
        </w:rPr>
        <w:t>Tolmachev</w:t>
      </w:r>
      <w:r w:rsidRPr="000879AD">
        <w:t>, cited</w:t>
      </w:r>
      <w:r w:rsidRPr="000879AD" w:rsidR="00A02836">
        <w:t xml:space="preserve"> </w:t>
      </w:r>
      <w:r w:rsidRPr="000879AD">
        <w:t xml:space="preserve">above, § 56, and </w:t>
      </w:r>
      <w:r w:rsidRPr="000879AD">
        <w:rPr>
          <w:i/>
        </w:rPr>
        <w:t>Timakov and OOO ID Rubezh v. Russia</w:t>
      </w:r>
      <w:r w:rsidRPr="000879AD">
        <w:t>, nos.</w:t>
      </w:r>
      <w:r w:rsidRPr="000879AD" w:rsidR="00D61AE0">
        <w:t> </w:t>
      </w:r>
      <w:r w:rsidRPr="000879AD">
        <w:t>46232/10 and 74770/10, § 71, 8 September 2020). Nothing in the Government</w:t>
      </w:r>
      <w:r w:rsidRPr="000879AD" w:rsidR="000879AD">
        <w:t>’</w:t>
      </w:r>
      <w:r w:rsidRPr="000879AD">
        <w:t>s submissions indicates otherwise. The Court thus concludes that it has not been shown that</w:t>
      </w:r>
      <w:r w:rsidRPr="000879AD" w:rsidR="00A02836">
        <w:t xml:space="preserve"> </w:t>
      </w:r>
      <w:r w:rsidRPr="000879AD">
        <w:t>the</w:t>
      </w:r>
      <w:r w:rsidRPr="000879AD" w:rsidR="00A02836">
        <w:t xml:space="preserve"> </w:t>
      </w:r>
      <w:r w:rsidRPr="000879AD">
        <w:t>two instances of interference were “necessary in a democratic society”.</w:t>
      </w:r>
    </w:p>
    <w:p w:rsidRPr="000879AD" w:rsidR="0098379F" w:rsidP="000879AD" w:rsidRDefault="0098379F" w14:paraId="02067E54" w14:textId="2C35E97A">
      <w:pPr>
        <w:pStyle w:val="JuPara"/>
      </w:pPr>
      <w:r w:rsidRPr="000879AD">
        <w:fldChar w:fldCharType="begin"/>
      </w:r>
      <w:r w:rsidRPr="000879AD">
        <w:instrText xml:space="preserve"> SEQ level0 \*arabic </w:instrText>
      </w:r>
      <w:r w:rsidRPr="000879AD">
        <w:fldChar w:fldCharType="separate"/>
      </w:r>
      <w:r w:rsidRPr="000879AD" w:rsidR="000879AD">
        <w:rPr>
          <w:noProof/>
        </w:rPr>
        <w:t>35</w:t>
      </w:r>
      <w:r w:rsidRPr="000879AD">
        <w:fldChar w:fldCharType="end"/>
      </w:r>
      <w:r w:rsidRPr="000879AD">
        <w:t>.  There has accordingly been a violation of Article 10 of the Convention.</w:t>
      </w:r>
    </w:p>
    <w:p w:rsidRPr="000879AD" w:rsidR="0098379F" w:rsidP="000879AD" w:rsidRDefault="0098379F" w14:paraId="4E2910E4" w14:textId="77777777">
      <w:pPr>
        <w:pStyle w:val="JuHIRoman"/>
      </w:pPr>
      <w:r w:rsidRPr="000879AD">
        <w:t>APPLICATION OF ARTICLE 41 OF THE CONVENTION</w:t>
      </w:r>
    </w:p>
    <w:p w:rsidRPr="000879AD" w:rsidR="0098379F" w:rsidP="000879AD" w:rsidRDefault="0098379F" w14:paraId="1879D366" w14:textId="1B735F3D">
      <w:pPr>
        <w:pStyle w:val="JuPara"/>
        <w:keepNext/>
        <w:keepLines/>
      </w:pPr>
      <w:r w:rsidRPr="000879AD">
        <w:fldChar w:fldCharType="begin"/>
      </w:r>
      <w:r w:rsidRPr="000879AD">
        <w:instrText xml:space="preserve"> SEQ level0 \*arabic </w:instrText>
      </w:r>
      <w:r w:rsidRPr="000879AD">
        <w:fldChar w:fldCharType="separate"/>
      </w:r>
      <w:r w:rsidRPr="000879AD" w:rsidR="000879AD">
        <w:rPr>
          <w:noProof/>
        </w:rPr>
        <w:t>36</w:t>
      </w:r>
      <w:r w:rsidRPr="000879AD">
        <w:fldChar w:fldCharType="end"/>
      </w:r>
      <w:r w:rsidRPr="000879AD">
        <w:t>.  Article 41 of the Convention provides:</w:t>
      </w:r>
    </w:p>
    <w:p w:rsidRPr="000879AD" w:rsidR="0098379F" w:rsidP="000879AD" w:rsidRDefault="0098379F" w14:paraId="14AFAEFF" w14:textId="77777777">
      <w:pPr>
        <w:pStyle w:val="JuQuot"/>
      </w:pPr>
      <w:r w:rsidRPr="000879A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0879AD" w:rsidR="0098379F" w:rsidP="000879AD" w:rsidRDefault="0098379F" w14:paraId="32D9364B" w14:textId="68120F11">
      <w:pPr>
        <w:pStyle w:val="JuPara"/>
      </w:pPr>
      <w:r w:rsidRPr="000879AD">
        <w:fldChar w:fldCharType="begin"/>
      </w:r>
      <w:r w:rsidRPr="000879AD">
        <w:instrText xml:space="preserve"> SEQ level0 \*arabic </w:instrText>
      </w:r>
      <w:r w:rsidRPr="000879AD">
        <w:fldChar w:fldCharType="separate"/>
      </w:r>
      <w:r w:rsidRPr="000879AD" w:rsidR="000879AD">
        <w:rPr>
          <w:noProof/>
        </w:rPr>
        <w:t>37</w:t>
      </w:r>
      <w:r w:rsidRPr="000879AD">
        <w:fldChar w:fldCharType="end"/>
      </w:r>
      <w:r w:rsidRPr="000879AD">
        <w:t>.  The applicants claimed the amounts indicated in Appendix II below.</w:t>
      </w:r>
    </w:p>
    <w:p w:rsidRPr="000879AD" w:rsidR="0098379F" w:rsidP="000879AD" w:rsidRDefault="0098379F" w14:paraId="5204A3ED" w14:textId="7662DA64">
      <w:pPr>
        <w:pStyle w:val="JuPara"/>
      </w:pPr>
      <w:r w:rsidRPr="000879AD">
        <w:fldChar w:fldCharType="begin"/>
      </w:r>
      <w:r w:rsidRPr="000879AD">
        <w:instrText xml:space="preserve"> SEQ level0 \*arabic </w:instrText>
      </w:r>
      <w:r w:rsidRPr="000879AD">
        <w:fldChar w:fldCharType="separate"/>
      </w:r>
      <w:r w:rsidRPr="000879AD" w:rsidR="000879AD">
        <w:rPr>
          <w:noProof/>
        </w:rPr>
        <w:t>38</w:t>
      </w:r>
      <w:r w:rsidRPr="000879AD">
        <w:fldChar w:fldCharType="end"/>
      </w:r>
      <w:r w:rsidRPr="000879AD">
        <w:t>.  The Government considered the amounts claimed excessive.</w:t>
      </w:r>
    </w:p>
    <w:p w:rsidRPr="000879AD" w:rsidR="0098379F" w:rsidP="000879AD" w:rsidRDefault="0098379F" w14:paraId="17119C48" w14:textId="65EC4286">
      <w:pPr>
        <w:pStyle w:val="JuPara"/>
      </w:pPr>
      <w:r w:rsidRPr="000879AD">
        <w:fldChar w:fldCharType="begin"/>
      </w:r>
      <w:r w:rsidRPr="000879AD">
        <w:instrText xml:space="preserve"> SEQ level0 \*arabic </w:instrText>
      </w:r>
      <w:r w:rsidRPr="000879AD">
        <w:fldChar w:fldCharType="separate"/>
      </w:r>
      <w:r w:rsidRPr="000879AD" w:rsidR="000879AD">
        <w:rPr>
          <w:noProof/>
        </w:rPr>
        <w:t>39</w:t>
      </w:r>
      <w:r w:rsidRPr="000879AD">
        <w:fldChar w:fldCharType="end"/>
      </w:r>
      <w:r w:rsidRPr="000879AD">
        <w:t>.  The Court awards the applicants the amounts indicated in Appendix II below, plus any tax that may be chargeable on the applicants.</w:t>
      </w:r>
    </w:p>
    <w:p w:rsidRPr="000879AD" w:rsidR="0098379F" w:rsidP="000879AD" w:rsidRDefault="0098379F" w14:paraId="19A54030" w14:textId="201A8019">
      <w:pPr>
        <w:pStyle w:val="JuPara"/>
      </w:pPr>
      <w:r w:rsidRPr="000879AD">
        <w:fldChar w:fldCharType="begin"/>
      </w:r>
      <w:r w:rsidRPr="000879AD">
        <w:instrText xml:space="preserve"> SEQ level0 \*arabic </w:instrText>
      </w:r>
      <w:r w:rsidRPr="000879AD">
        <w:fldChar w:fldCharType="separate"/>
      </w:r>
      <w:r w:rsidRPr="000879AD" w:rsidR="000879AD">
        <w:rPr>
          <w:noProof/>
        </w:rPr>
        <w:t>40</w:t>
      </w:r>
      <w:r w:rsidRPr="000879AD">
        <w:fldChar w:fldCharType="end"/>
      </w:r>
      <w:r w:rsidRPr="000879AD">
        <w:t>.  The Court considers it appropriate that the default interest rate should be based on the marginal lending rate of the European Central Bank, to which should be added three percentage points.</w:t>
      </w:r>
    </w:p>
    <w:p w:rsidRPr="000879AD" w:rsidR="0098379F" w:rsidP="000879AD" w:rsidRDefault="0098379F" w14:paraId="739C3698" w14:textId="77777777">
      <w:pPr>
        <w:pStyle w:val="JuHHead"/>
        <w:numPr>
          <w:ilvl w:val="0"/>
          <w:numId w:val="3"/>
        </w:numPr>
        <w:ind w:left="360" w:hanging="360"/>
      </w:pPr>
      <w:r w:rsidRPr="000879AD">
        <w:t>FOR THESE REASONS, THE COURT, UNANIMOUSLY,</w:t>
      </w:r>
    </w:p>
    <w:p w:rsidRPr="000879AD" w:rsidR="0098379F" w:rsidP="000879AD" w:rsidRDefault="0098379F" w14:paraId="4AE75829" w14:textId="77777777">
      <w:pPr>
        <w:pStyle w:val="JuList"/>
        <w:numPr>
          <w:ilvl w:val="0"/>
          <w:numId w:val="1"/>
        </w:numPr>
        <w:ind w:left="0" w:firstLine="0"/>
      </w:pPr>
      <w:r w:rsidRPr="000879AD">
        <w:rPr>
          <w:i/>
        </w:rPr>
        <w:t xml:space="preserve">Decides </w:t>
      </w:r>
      <w:r w:rsidRPr="000879AD">
        <w:t>to join the applications;</w:t>
      </w:r>
    </w:p>
    <w:p w:rsidRPr="000879AD" w:rsidR="0098379F" w:rsidP="000879AD" w:rsidRDefault="0098379F" w14:paraId="282DE8F3" w14:textId="64D9E4D4">
      <w:pPr>
        <w:pStyle w:val="JuList"/>
        <w:numPr>
          <w:ilvl w:val="0"/>
          <w:numId w:val="1"/>
        </w:numPr>
      </w:pPr>
      <w:r w:rsidRPr="000879AD">
        <w:rPr>
          <w:i/>
        </w:rPr>
        <w:t xml:space="preserve">Dismisses </w:t>
      </w:r>
      <w:r w:rsidRPr="000879AD">
        <w:rPr>
          <w:iCs/>
        </w:rPr>
        <w:t>the Government</w:t>
      </w:r>
      <w:r w:rsidRPr="000879AD" w:rsidR="000879AD">
        <w:rPr>
          <w:iCs/>
        </w:rPr>
        <w:t>’</w:t>
      </w:r>
      <w:r w:rsidRPr="000879AD">
        <w:rPr>
          <w:iCs/>
        </w:rPr>
        <w:t xml:space="preserve">s objection in application no. 12996/12 and </w:t>
      </w:r>
      <w:r w:rsidRPr="000879AD">
        <w:rPr>
          <w:i/>
        </w:rPr>
        <w:t>declares</w:t>
      </w:r>
      <w:r w:rsidRPr="000879AD">
        <w:t xml:space="preserve"> the applications admissible;</w:t>
      </w:r>
    </w:p>
    <w:p w:rsidRPr="000879AD" w:rsidR="0098379F" w:rsidP="000879AD" w:rsidRDefault="0098379F" w14:paraId="044E73C5" w14:textId="77777777">
      <w:pPr>
        <w:pStyle w:val="JuList"/>
        <w:numPr>
          <w:ilvl w:val="0"/>
          <w:numId w:val="1"/>
        </w:numPr>
      </w:pPr>
      <w:r w:rsidRPr="000879AD">
        <w:rPr>
          <w:i/>
        </w:rPr>
        <w:t>Holds</w:t>
      </w:r>
      <w:r w:rsidRPr="000879AD">
        <w:t xml:space="preserve"> that there has been a violation of Article 10 of the Convention;</w:t>
      </w:r>
    </w:p>
    <w:p w:rsidRPr="000879AD" w:rsidR="0098379F" w:rsidP="000879AD" w:rsidRDefault="0098379F" w14:paraId="50BBF69A" w14:textId="77777777">
      <w:pPr>
        <w:pStyle w:val="JuList"/>
        <w:numPr>
          <w:ilvl w:val="0"/>
          <w:numId w:val="1"/>
        </w:numPr>
      </w:pPr>
      <w:r w:rsidRPr="000879AD">
        <w:rPr>
          <w:i/>
        </w:rPr>
        <w:t>Holds</w:t>
      </w:r>
    </w:p>
    <w:p w:rsidRPr="000879AD" w:rsidR="0098379F" w:rsidP="000879AD" w:rsidRDefault="0098379F" w14:paraId="55F047F6" w14:textId="77777777">
      <w:pPr>
        <w:pStyle w:val="JuLista"/>
        <w:numPr>
          <w:ilvl w:val="1"/>
          <w:numId w:val="1"/>
        </w:numPr>
      </w:pPr>
      <w:r w:rsidRPr="000879AD">
        <w:t>that the respondent State is to pay the applicants, within three months, the amounts indicated in the appended table, to be converted into the currency of the respondent State at the rate applicable at the date of settlement;</w:t>
      </w:r>
    </w:p>
    <w:p w:rsidRPr="000879AD" w:rsidR="0098379F" w:rsidP="000879AD" w:rsidRDefault="0098379F" w14:paraId="7E059649" w14:textId="77777777">
      <w:pPr>
        <w:pStyle w:val="JuLista"/>
        <w:numPr>
          <w:ilvl w:val="1"/>
          <w:numId w:val="1"/>
        </w:numPr>
      </w:pPr>
      <w:r w:rsidRPr="000879AD">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0879AD" w:rsidR="004D0EC7" w:rsidP="000879AD" w:rsidRDefault="0098379F" w14:paraId="37635A44" w14:textId="43BD5C08">
      <w:pPr>
        <w:pStyle w:val="JuList"/>
      </w:pPr>
      <w:r w:rsidRPr="000879AD">
        <w:rPr>
          <w:i/>
        </w:rPr>
        <w:t>Dismisses</w:t>
      </w:r>
      <w:r w:rsidRPr="000879AD">
        <w:t xml:space="preserve"> the remainder of the applicants</w:t>
      </w:r>
      <w:r w:rsidRPr="000879AD" w:rsidR="000879AD">
        <w:t>’</w:t>
      </w:r>
      <w:r w:rsidRPr="000879AD">
        <w:t xml:space="preserve"> claim for just satisfaction.</w:t>
      </w:r>
    </w:p>
    <w:p w:rsidRPr="000879AD" w:rsidR="008E3A08" w:rsidP="000879AD" w:rsidRDefault="007E2C8C" w14:paraId="798AC455" w14:textId="5B40D9D9">
      <w:pPr>
        <w:pStyle w:val="JuParaLast"/>
      </w:pPr>
      <w:r w:rsidRPr="000879AD">
        <w:t xml:space="preserve">Done in English, and notified in writing on </w:t>
      </w:r>
      <w:r w:rsidRPr="000879AD" w:rsidR="0098379F">
        <w:rPr>
          <w:rFonts w:ascii="Times New Roman" w:hAnsi="Times New Roman" w:cs="Times New Roman"/>
        </w:rPr>
        <w:t>28 September 2021</w:t>
      </w:r>
      <w:r w:rsidRPr="000879AD">
        <w:t>, pursuant to Rule 77 §§ 2 and 3 of the Rules of Court.</w:t>
      </w:r>
    </w:p>
    <w:p w:rsidRPr="000879AD" w:rsidR="001C055B" w:rsidP="000879AD" w:rsidRDefault="0098379F" w14:paraId="604539CA" w14:textId="2F9C5343">
      <w:pPr>
        <w:pStyle w:val="JuSigned"/>
      </w:pPr>
      <w:r w:rsidRPr="000879AD">
        <w:t>Olga Chernishova</w:t>
      </w:r>
      <w:r w:rsidRPr="000879AD" w:rsidR="005879A2">
        <w:t xml:space="preserve"> </w:t>
      </w:r>
      <w:r w:rsidRPr="000879AD" w:rsidR="009F4C8F">
        <w:tab/>
      </w:r>
      <w:r w:rsidRPr="000879AD">
        <w:t>Darian Pavli</w:t>
      </w:r>
      <w:r w:rsidRPr="000879AD" w:rsidR="009F4C8F">
        <w:br/>
      </w:r>
      <w:r w:rsidRPr="000879AD" w:rsidR="009F4C8F">
        <w:tab/>
      </w:r>
      <w:r w:rsidRPr="000879AD">
        <w:t xml:space="preserve">Deputy </w:t>
      </w:r>
      <w:r w:rsidRPr="000879AD">
        <w:rPr>
          <w:iCs/>
        </w:rPr>
        <w:t>Registrar</w:t>
      </w:r>
      <w:r w:rsidRPr="000879AD" w:rsidR="009F4C8F">
        <w:tab/>
        <w:t>President</w:t>
      </w:r>
    </w:p>
    <w:p w:rsidRPr="000879AD" w:rsidR="0098379F" w:rsidP="000879AD" w:rsidRDefault="0098379F" w14:paraId="5848C104" w14:textId="35163D61">
      <w:pPr>
        <w:rPr>
          <w:color w:val="000000"/>
        </w:rPr>
      </w:pPr>
    </w:p>
    <w:p w:rsidRPr="000879AD" w:rsidR="0098379F" w:rsidP="000879AD" w:rsidRDefault="0098379F" w14:paraId="7A21AA84" w14:textId="77777777">
      <w:pPr>
        <w:rPr>
          <w:color w:val="000000"/>
        </w:rPr>
        <w:sectPr w:rsidRPr="000879AD" w:rsidR="0098379F"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pPr>
    </w:p>
    <w:p w:rsidRPr="000879AD" w:rsidR="004D05C1" w:rsidP="000879AD" w:rsidRDefault="004D05C1" w14:paraId="4AABE497" w14:textId="692D97EC">
      <w:pPr>
        <w:pStyle w:val="JuParaLast"/>
        <w:jc w:val="center"/>
        <w:rPr>
          <w:rFonts w:ascii="Calibri" w:hAnsi="Calibri" w:cs="Calibri"/>
          <w:b/>
          <w:bCs/>
          <w:sz w:val="22"/>
          <w:szCs w:val="22"/>
        </w:rPr>
      </w:pPr>
      <w:r w:rsidRPr="000879AD">
        <w:rPr>
          <w:rFonts w:ascii="Calibri" w:hAnsi="Calibri" w:cs="Calibri"/>
          <w:b/>
          <w:bCs/>
          <w:sz w:val="22"/>
          <w:szCs w:val="22"/>
        </w:rPr>
        <w:t>Appendix I</w:t>
      </w:r>
    </w:p>
    <w:p w:rsidRPr="000879AD" w:rsidR="0098379F" w:rsidP="000879AD" w:rsidRDefault="0098379F" w14:paraId="3D7C665C" w14:textId="0E44B5AC">
      <w:pPr>
        <w:pStyle w:val="DecHTitle"/>
        <w:tabs>
          <w:tab w:val="center" w:pos="6237"/>
        </w:tabs>
        <w:jc w:val="left"/>
      </w:pPr>
      <w:r w:rsidRPr="000879AD">
        <w:rPr>
          <w:rFonts w:ascii="Calibri" w:hAnsi="Calibri" w:cs="Calibri"/>
          <w:sz w:val="22"/>
          <w:szCs w:val="22"/>
        </w:rPr>
        <w:t>List of applications:</w:t>
      </w:r>
    </w:p>
    <w:tbl>
      <w:tblPr>
        <w:tblStyle w:val="ECHRListTable"/>
        <w:tblW w:w="12191" w:type="dxa"/>
        <w:tblInd w:w="108" w:type="dxa"/>
        <w:tblLook w:val="0420" w:firstRow="1" w:lastRow="0" w:firstColumn="0" w:lastColumn="0" w:noHBand="0" w:noVBand="1"/>
      </w:tblPr>
      <w:tblGrid>
        <w:gridCol w:w="1261"/>
        <w:gridCol w:w="2659"/>
        <w:gridCol w:w="2335"/>
        <w:gridCol w:w="5936"/>
      </w:tblGrid>
      <w:tr w:rsidRPr="000879AD" w:rsidR="0098379F" w:rsidTr="00C04AB8" w14:paraId="5DE6B6D7" w14:textId="77777777">
        <w:trPr>
          <w:cnfStyle w:val="100000000000" w:firstRow="1" w:lastRow="0" w:firstColumn="0" w:lastColumn="0" w:oddVBand="0" w:evenVBand="0" w:oddHBand="0" w:evenHBand="0" w:firstRowFirstColumn="0" w:firstRowLastColumn="0" w:lastRowFirstColumn="0" w:lastRowLastColumn="0"/>
        </w:trPr>
        <w:tc>
          <w:tcPr>
            <w:tcW w:w="1261" w:type="dxa"/>
            <w:hideMark/>
          </w:tcPr>
          <w:p w:rsidRPr="000879AD" w:rsidR="0098379F" w:rsidP="000879AD" w:rsidRDefault="0098379F" w14:paraId="686FBB4D" w14:textId="77777777">
            <w:pPr>
              <w:rPr>
                <w:rFonts w:ascii="Calibri" w:hAnsi="Calibri" w:eastAsia="Times New Roman" w:cs="Calibri"/>
                <w:sz w:val="22"/>
                <w:szCs w:val="22"/>
              </w:rPr>
            </w:pPr>
            <w:r w:rsidRPr="000879AD">
              <w:rPr>
                <w:rFonts w:ascii="Calibri" w:hAnsi="Calibri" w:eastAsia="Times New Roman" w:cs="Calibri"/>
                <w:sz w:val="22"/>
                <w:szCs w:val="22"/>
              </w:rPr>
              <w:t>Application no.</w:t>
            </w:r>
          </w:p>
        </w:tc>
        <w:tc>
          <w:tcPr>
            <w:tcW w:w="2659" w:type="dxa"/>
            <w:hideMark/>
          </w:tcPr>
          <w:p w:rsidRPr="000879AD" w:rsidR="0098379F" w:rsidP="000879AD" w:rsidRDefault="0098379F" w14:paraId="217157AF" w14:textId="77777777">
            <w:pPr>
              <w:rPr>
                <w:rFonts w:ascii="Calibri" w:hAnsi="Calibri" w:eastAsia="Times New Roman" w:cs="Calibri"/>
                <w:sz w:val="22"/>
                <w:szCs w:val="22"/>
              </w:rPr>
            </w:pPr>
            <w:r w:rsidRPr="000879AD">
              <w:rPr>
                <w:rFonts w:ascii="Calibri" w:hAnsi="Calibri" w:eastAsia="Times New Roman" w:cs="Calibri"/>
                <w:sz w:val="22"/>
                <w:szCs w:val="22"/>
              </w:rPr>
              <w:t>Application name</w:t>
            </w:r>
          </w:p>
        </w:tc>
        <w:tc>
          <w:tcPr>
            <w:tcW w:w="2335" w:type="dxa"/>
            <w:hideMark/>
          </w:tcPr>
          <w:p w:rsidRPr="000879AD" w:rsidR="0098379F" w:rsidP="000879AD" w:rsidRDefault="0098379F" w14:paraId="143D9ED5" w14:textId="77777777">
            <w:pPr>
              <w:rPr>
                <w:rFonts w:ascii="Calibri" w:hAnsi="Calibri" w:eastAsia="Times New Roman" w:cs="Calibri"/>
                <w:sz w:val="22"/>
                <w:szCs w:val="22"/>
              </w:rPr>
            </w:pPr>
            <w:r w:rsidRPr="000879AD">
              <w:rPr>
                <w:rFonts w:ascii="Calibri" w:hAnsi="Calibri" w:eastAsia="Times New Roman" w:cs="Calibri"/>
                <w:sz w:val="22"/>
                <w:szCs w:val="22"/>
              </w:rPr>
              <w:t>Lodged on</w:t>
            </w:r>
          </w:p>
        </w:tc>
        <w:tc>
          <w:tcPr>
            <w:tcW w:w="5936" w:type="dxa"/>
            <w:hideMark/>
          </w:tcPr>
          <w:p w:rsidRPr="000879AD" w:rsidR="0098379F" w:rsidP="000879AD" w:rsidRDefault="0098379F" w14:paraId="1B030515" w14:textId="77777777">
            <w:pPr>
              <w:rPr>
                <w:rFonts w:ascii="Calibri" w:hAnsi="Calibri" w:eastAsia="Times New Roman" w:cs="Calibri"/>
                <w:sz w:val="22"/>
                <w:szCs w:val="22"/>
              </w:rPr>
            </w:pPr>
            <w:r w:rsidRPr="000879AD">
              <w:rPr>
                <w:rFonts w:ascii="Calibri" w:hAnsi="Calibri" w:eastAsia="Times New Roman" w:cs="Calibri"/>
                <w:sz w:val="22"/>
                <w:szCs w:val="22"/>
              </w:rPr>
              <w:t>Applicant(s)</w:t>
            </w:r>
          </w:p>
        </w:tc>
      </w:tr>
      <w:tr w:rsidRPr="000879AD" w:rsidR="0098379F" w:rsidTr="00C04AB8" w14:paraId="64AA7F57" w14:textId="77777777">
        <w:trPr>
          <w:trHeight w:val="1086"/>
        </w:trPr>
        <w:tc>
          <w:tcPr>
            <w:tcW w:w="1261" w:type="dxa"/>
            <w:vMerge w:val="restart"/>
            <w:hideMark/>
          </w:tcPr>
          <w:p w:rsidRPr="000879AD" w:rsidR="0098379F" w:rsidP="000879AD" w:rsidRDefault="0098379F" w14:paraId="7701497E" w14:textId="77777777">
            <w:pPr>
              <w:rPr>
                <w:rFonts w:ascii="Calibri" w:hAnsi="Calibri" w:eastAsia="Times New Roman" w:cs="Calibri"/>
                <w:sz w:val="22"/>
                <w:szCs w:val="22"/>
              </w:rPr>
            </w:pPr>
            <w:r w:rsidRPr="000879AD">
              <w:rPr>
                <w:rFonts w:ascii="Calibri" w:hAnsi="Calibri" w:eastAsia="Times New Roman" w:cs="Calibri"/>
                <w:sz w:val="22"/>
                <w:szCs w:val="22"/>
              </w:rPr>
              <w:t>12996/12</w:t>
            </w:r>
          </w:p>
        </w:tc>
        <w:tc>
          <w:tcPr>
            <w:tcW w:w="2659" w:type="dxa"/>
            <w:vMerge w:val="restart"/>
            <w:hideMark/>
          </w:tcPr>
          <w:p w:rsidRPr="000879AD" w:rsidR="0098379F" w:rsidP="000879AD" w:rsidRDefault="0098379F" w14:paraId="076D5C7D" w14:textId="77777777">
            <w:pPr>
              <w:rPr>
                <w:rFonts w:ascii="Calibri" w:hAnsi="Calibri" w:eastAsia="Times New Roman" w:cs="Calibri"/>
                <w:b/>
                <w:bCs/>
                <w:i/>
                <w:iCs/>
                <w:sz w:val="22"/>
                <w:szCs w:val="22"/>
              </w:rPr>
            </w:pPr>
            <w:r w:rsidRPr="000879AD">
              <w:rPr>
                <w:rFonts w:ascii="Calibri" w:hAnsi="Calibri" w:eastAsia="Times New Roman" w:cs="Calibri"/>
                <w:b/>
                <w:bCs/>
                <w:i/>
                <w:iCs/>
                <w:sz w:val="22"/>
                <w:szCs w:val="22"/>
              </w:rPr>
              <w:t>Novaya Gazeta and Others v. Russia</w:t>
            </w:r>
          </w:p>
        </w:tc>
        <w:tc>
          <w:tcPr>
            <w:tcW w:w="2335" w:type="dxa"/>
            <w:vMerge w:val="restart"/>
            <w:hideMark/>
          </w:tcPr>
          <w:p w:rsidRPr="000879AD" w:rsidR="0098379F" w:rsidP="000879AD" w:rsidRDefault="0098379F" w14:paraId="0981E8AD" w14:textId="77777777">
            <w:pPr>
              <w:rPr>
                <w:rFonts w:ascii="Calibri" w:hAnsi="Calibri" w:eastAsia="Times New Roman" w:cs="Calibri"/>
                <w:sz w:val="22"/>
                <w:szCs w:val="22"/>
              </w:rPr>
            </w:pPr>
            <w:r w:rsidRPr="000879AD">
              <w:rPr>
                <w:rFonts w:ascii="Calibri" w:hAnsi="Calibri" w:eastAsia="Times New Roman" w:cs="Calibri"/>
                <w:sz w:val="22"/>
                <w:szCs w:val="22"/>
              </w:rPr>
              <w:t>10/02/2012</w:t>
            </w:r>
          </w:p>
        </w:tc>
        <w:tc>
          <w:tcPr>
            <w:tcW w:w="5936" w:type="dxa"/>
            <w:tcBorders>
              <w:bottom w:val="single" w:color="auto" w:sz="4" w:space="0"/>
            </w:tcBorders>
            <w:hideMark/>
          </w:tcPr>
          <w:p w:rsidRPr="000879AD" w:rsidR="0098379F" w:rsidP="000879AD" w:rsidRDefault="0098379F" w14:paraId="57C7F057" w14:textId="150B042E">
            <w:pPr>
              <w:rPr>
                <w:rFonts w:ascii="Calibri" w:hAnsi="Calibri" w:eastAsia="Times New Roman" w:cs="Calibri"/>
                <w:b/>
                <w:bCs/>
                <w:sz w:val="22"/>
                <w:szCs w:val="22"/>
              </w:rPr>
            </w:pPr>
            <w:r w:rsidRPr="000879AD">
              <w:rPr>
                <w:rFonts w:ascii="Calibri" w:hAnsi="Calibri" w:eastAsia="Times New Roman" w:cs="Calibri"/>
                <w:sz w:val="22"/>
                <w:szCs w:val="22"/>
              </w:rPr>
              <w:t>1.</w:t>
            </w:r>
            <w:r w:rsidRPr="000879AD">
              <w:rPr>
                <w:rFonts w:ascii="Calibri" w:hAnsi="Calibri" w:eastAsia="Times New Roman" w:cs="Calibri"/>
                <w:b/>
                <w:sz w:val="22"/>
                <w:szCs w:val="22"/>
              </w:rPr>
              <w:t xml:space="preserve"> </w:t>
            </w:r>
            <w:r w:rsidRPr="000879AD">
              <w:rPr>
                <w:rFonts w:ascii="Calibri" w:hAnsi="Calibri" w:eastAsia="Times New Roman" w:cs="Calibri"/>
                <w:b/>
                <w:bCs/>
                <w:sz w:val="22"/>
                <w:szCs w:val="22"/>
              </w:rPr>
              <w:t>ANO “Redaktsionno-Izdatelskiy Dom </w:t>
            </w:r>
            <w:r w:rsidRPr="000879AD" w:rsidR="000879AD">
              <w:rPr>
                <w:rFonts w:ascii="Calibri" w:hAnsi="Calibri" w:eastAsia="Times New Roman" w:cs="Calibri"/>
                <w:b/>
                <w:bCs/>
                <w:sz w:val="22"/>
                <w:szCs w:val="22"/>
              </w:rPr>
              <w:t>’</w:t>
            </w:r>
            <w:r w:rsidRPr="000879AD">
              <w:rPr>
                <w:rFonts w:ascii="Calibri" w:hAnsi="Calibri" w:eastAsia="Times New Roman" w:cs="Calibri"/>
                <w:b/>
                <w:bCs/>
                <w:sz w:val="22"/>
                <w:szCs w:val="22"/>
              </w:rPr>
              <w:t>NOVAYA GAZETA</w:t>
            </w:r>
            <w:r w:rsidRPr="000879AD" w:rsidR="000879AD">
              <w:rPr>
                <w:rFonts w:ascii="Calibri" w:hAnsi="Calibri" w:eastAsia="Times New Roman" w:cs="Calibri"/>
                <w:b/>
                <w:bCs/>
                <w:sz w:val="22"/>
                <w:szCs w:val="22"/>
              </w:rPr>
              <w:t>’</w:t>
            </w:r>
            <w:r w:rsidRPr="000879AD">
              <w:rPr>
                <w:rFonts w:ascii="Calibri" w:hAnsi="Calibri" w:eastAsia="Times New Roman" w:cs="Calibri"/>
                <w:b/>
                <w:bCs/>
                <w:sz w:val="22"/>
                <w:szCs w:val="22"/>
              </w:rPr>
              <w:t>”</w:t>
            </w:r>
            <w:r w:rsidRPr="000879AD">
              <w:rPr>
                <w:rFonts w:ascii="Calibri" w:hAnsi="Calibri" w:eastAsia="Times New Roman" w:cs="Calibri"/>
                <w:sz w:val="22"/>
                <w:szCs w:val="22"/>
              </w:rPr>
              <w:t xml:space="preserve"> (“the</w:t>
            </w:r>
            <w:r w:rsidRPr="000879AD" w:rsidR="0018537E">
              <w:rPr>
                <w:rFonts w:ascii="Calibri" w:hAnsi="Calibri" w:eastAsia="Times New Roman" w:cs="Calibri"/>
                <w:sz w:val="22"/>
                <w:szCs w:val="22"/>
              </w:rPr>
              <w:t> </w:t>
            </w:r>
            <w:r w:rsidRPr="000879AD">
              <w:rPr>
                <w:rFonts w:ascii="Calibri" w:hAnsi="Calibri" w:eastAsia="Times New Roman" w:cs="Calibri"/>
                <w:sz w:val="22"/>
                <w:szCs w:val="22"/>
              </w:rPr>
              <w:t>applicant company”)</w:t>
            </w:r>
          </w:p>
          <w:p w:rsidRPr="000879AD" w:rsidR="0098379F" w:rsidP="000879AD" w:rsidRDefault="0098379F" w14:paraId="2C5C1BFD" w14:textId="77777777">
            <w:pPr>
              <w:rPr>
                <w:rFonts w:ascii="Calibri" w:hAnsi="Calibri" w:eastAsia="Times New Roman" w:cs="Calibri"/>
                <w:sz w:val="22"/>
                <w:szCs w:val="22"/>
              </w:rPr>
            </w:pPr>
            <w:r w:rsidRPr="000879AD">
              <w:rPr>
                <w:rFonts w:ascii="Calibri" w:hAnsi="Calibri" w:eastAsia="Times New Roman" w:cs="Calibri"/>
                <w:sz w:val="22"/>
                <w:szCs w:val="22"/>
              </w:rPr>
              <w:t xml:space="preserve">Legal entity incorporated under Russian law </w:t>
            </w:r>
          </w:p>
        </w:tc>
      </w:tr>
      <w:tr w:rsidRPr="000879AD" w:rsidR="0098379F" w:rsidTr="00C04AB8" w14:paraId="3BE3A25F" w14:textId="77777777">
        <w:trPr>
          <w:trHeight w:val="803"/>
        </w:trPr>
        <w:tc>
          <w:tcPr>
            <w:tcW w:w="1261" w:type="dxa"/>
            <w:vMerge/>
          </w:tcPr>
          <w:p w:rsidRPr="000879AD" w:rsidR="0098379F" w:rsidP="000879AD" w:rsidRDefault="0098379F" w14:paraId="7BE422EA" w14:textId="77777777">
            <w:pPr>
              <w:rPr>
                <w:rFonts w:ascii="Calibri" w:hAnsi="Calibri" w:eastAsia="Times New Roman" w:cs="Calibri"/>
                <w:sz w:val="22"/>
                <w:szCs w:val="22"/>
              </w:rPr>
            </w:pPr>
          </w:p>
        </w:tc>
        <w:tc>
          <w:tcPr>
            <w:tcW w:w="2659" w:type="dxa"/>
            <w:vMerge/>
          </w:tcPr>
          <w:p w:rsidRPr="000879AD" w:rsidR="0098379F" w:rsidP="000879AD" w:rsidRDefault="0098379F" w14:paraId="7A1C63F0" w14:textId="77777777">
            <w:pPr>
              <w:rPr>
                <w:rFonts w:ascii="Calibri" w:hAnsi="Calibri" w:eastAsia="Times New Roman" w:cs="Calibri"/>
                <w:b/>
                <w:bCs/>
                <w:i/>
                <w:iCs/>
                <w:sz w:val="22"/>
                <w:szCs w:val="22"/>
              </w:rPr>
            </w:pPr>
          </w:p>
        </w:tc>
        <w:tc>
          <w:tcPr>
            <w:tcW w:w="2335" w:type="dxa"/>
            <w:vMerge/>
          </w:tcPr>
          <w:p w:rsidRPr="000879AD" w:rsidR="0098379F" w:rsidP="000879AD" w:rsidRDefault="0098379F" w14:paraId="2E32F4FC" w14:textId="77777777">
            <w:pPr>
              <w:rPr>
                <w:rFonts w:ascii="Calibri" w:hAnsi="Calibri" w:eastAsia="Times New Roman" w:cs="Calibri"/>
                <w:sz w:val="22"/>
                <w:szCs w:val="22"/>
              </w:rPr>
            </w:pPr>
          </w:p>
        </w:tc>
        <w:tc>
          <w:tcPr>
            <w:tcW w:w="5936" w:type="dxa"/>
            <w:tcBorders>
              <w:top w:val="single" w:color="auto" w:sz="4" w:space="0"/>
              <w:bottom w:val="single" w:color="auto" w:sz="4" w:space="0"/>
            </w:tcBorders>
          </w:tcPr>
          <w:p w:rsidRPr="000879AD" w:rsidR="0098379F" w:rsidP="000879AD" w:rsidRDefault="0098379F" w14:paraId="73ED38B1" w14:textId="77777777">
            <w:pPr>
              <w:rPr>
                <w:rFonts w:ascii="Calibri" w:hAnsi="Calibri" w:eastAsia="Times New Roman" w:cs="Calibri"/>
                <w:sz w:val="22"/>
                <w:szCs w:val="22"/>
              </w:rPr>
            </w:pPr>
            <w:r w:rsidRPr="000879AD">
              <w:rPr>
                <w:rFonts w:ascii="Calibri" w:hAnsi="Calibri" w:eastAsia="Times New Roman" w:cs="Calibri"/>
                <w:b/>
                <w:bCs/>
                <w:sz w:val="22"/>
                <w:szCs w:val="22"/>
              </w:rPr>
              <w:t>2. Mr Aleksey Viktorovich POLUKHIN</w:t>
            </w:r>
            <w:r w:rsidRPr="000879AD">
              <w:rPr>
                <w:rFonts w:ascii="Calibri" w:hAnsi="Calibri" w:eastAsia="Times New Roman" w:cs="Calibri"/>
                <w:sz w:val="22"/>
                <w:szCs w:val="22"/>
              </w:rPr>
              <w:br/>
              <w:t>Year of birth: 1983</w:t>
            </w:r>
          </w:p>
          <w:p w:rsidRPr="000879AD" w:rsidR="0098379F" w:rsidP="000879AD" w:rsidRDefault="0098379F" w14:paraId="6EA4D3A3" w14:textId="77777777">
            <w:pPr>
              <w:rPr>
                <w:rFonts w:ascii="Calibri" w:hAnsi="Calibri" w:eastAsia="Times New Roman" w:cs="Calibri"/>
                <w:sz w:val="22"/>
                <w:szCs w:val="22"/>
              </w:rPr>
            </w:pPr>
            <w:r w:rsidRPr="000879AD">
              <w:rPr>
                <w:rFonts w:ascii="Calibri" w:hAnsi="Calibri" w:eastAsia="Times New Roman" w:cs="Calibri"/>
                <w:sz w:val="22"/>
                <w:szCs w:val="22"/>
              </w:rPr>
              <w:t>Place of residence: Moscow</w:t>
            </w:r>
          </w:p>
          <w:p w:rsidRPr="000879AD" w:rsidR="0098379F" w:rsidP="000879AD" w:rsidRDefault="0098379F" w14:paraId="4457FF70" w14:textId="77777777">
            <w:pPr>
              <w:rPr>
                <w:rFonts w:ascii="Calibri" w:hAnsi="Calibri" w:eastAsia="Times New Roman" w:cs="Calibri"/>
                <w:sz w:val="22"/>
                <w:szCs w:val="22"/>
              </w:rPr>
            </w:pPr>
            <w:r w:rsidRPr="000879AD">
              <w:rPr>
                <w:rFonts w:ascii="Calibri" w:hAnsi="Calibri" w:eastAsia="Times New Roman" w:cs="Calibri"/>
                <w:sz w:val="22"/>
                <w:szCs w:val="22"/>
              </w:rPr>
              <w:t>Nationality: Russian</w:t>
            </w:r>
          </w:p>
          <w:p w:rsidRPr="000879AD" w:rsidR="0098379F" w:rsidP="000879AD" w:rsidRDefault="0098379F" w14:paraId="7EEF42D3" w14:textId="77777777">
            <w:pPr>
              <w:rPr>
                <w:rFonts w:ascii="Calibri" w:hAnsi="Calibri" w:eastAsia="Times New Roman" w:cs="Calibri"/>
                <w:b/>
                <w:bCs/>
                <w:sz w:val="22"/>
                <w:szCs w:val="22"/>
              </w:rPr>
            </w:pPr>
          </w:p>
        </w:tc>
      </w:tr>
      <w:tr w:rsidRPr="000879AD" w:rsidR="0098379F" w:rsidTr="00C04AB8" w14:paraId="64C85229" w14:textId="77777777">
        <w:trPr>
          <w:trHeight w:val="1204"/>
        </w:trPr>
        <w:tc>
          <w:tcPr>
            <w:tcW w:w="1261" w:type="dxa"/>
            <w:vMerge/>
          </w:tcPr>
          <w:p w:rsidRPr="000879AD" w:rsidR="0098379F" w:rsidP="000879AD" w:rsidRDefault="0098379F" w14:paraId="26D8EAF5" w14:textId="77777777">
            <w:pPr>
              <w:rPr>
                <w:rFonts w:ascii="Calibri" w:hAnsi="Calibri" w:eastAsia="Times New Roman" w:cs="Calibri"/>
                <w:sz w:val="22"/>
                <w:szCs w:val="22"/>
              </w:rPr>
            </w:pPr>
          </w:p>
        </w:tc>
        <w:tc>
          <w:tcPr>
            <w:tcW w:w="2659" w:type="dxa"/>
            <w:vMerge/>
          </w:tcPr>
          <w:p w:rsidRPr="000879AD" w:rsidR="0098379F" w:rsidP="000879AD" w:rsidRDefault="0098379F" w14:paraId="6ABA87AD" w14:textId="77777777">
            <w:pPr>
              <w:rPr>
                <w:rFonts w:ascii="Calibri" w:hAnsi="Calibri" w:eastAsia="Times New Roman" w:cs="Calibri"/>
                <w:b/>
                <w:bCs/>
                <w:i/>
                <w:iCs/>
                <w:sz w:val="22"/>
                <w:szCs w:val="22"/>
              </w:rPr>
            </w:pPr>
          </w:p>
        </w:tc>
        <w:tc>
          <w:tcPr>
            <w:tcW w:w="2335" w:type="dxa"/>
            <w:vMerge/>
          </w:tcPr>
          <w:p w:rsidRPr="000879AD" w:rsidR="0098379F" w:rsidP="000879AD" w:rsidRDefault="0098379F" w14:paraId="10F3ED6A" w14:textId="77777777">
            <w:pPr>
              <w:rPr>
                <w:rFonts w:ascii="Calibri" w:hAnsi="Calibri" w:eastAsia="Times New Roman" w:cs="Calibri"/>
                <w:sz w:val="22"/>
                <w:szCs w:val="22"/>
              </w:rPr>
            </w:pPr>
          </w:p>
        </w:tc>
        <w:tc>
          <w:tcPr>
            <w:tcW w:w="5936" w:type="dxa"/>
            <w:tcBorders>
              <w:top w:val="single" w:color="auto" w:sz="4" w:space="0"/>
            </w:tcBorders>
          </w:tcPr>
          <w:p w:rsidRPr="000879AD" w:rsidR="0098379F" w:rsidP="000879AD" w:rsidRDefault="0098379F" w14:paraId="78E7AEC1" w14:textId="77777777">
            <w:pPr>
              <w:rPr>
                <w:rFonts w:ascii="Calibri" w:hAnsi="Calibri" w:eastAsia="Times New Roman" w:cs="Calibri"/>
                <w:sz w:val="22"/>
                <w:szCs w:val="22"/>
              </w:rPr>
            </w:pPr>
            <w:r w:rsidRPr="000879AD">
              <w:rPr>
                <w:rFonts w:ascii="Calibri" w:hAnsi="Calibri" w:eastAsia="Times New Roman" w:cs="Calibri"/>
                <w:b/>
                <w:bCs/>
                <w:sz w:val="22"/>
                <w:szCs w:val="22"/>
              </w:rPr>
              <w:t>3. Mr Valeriy Mikhaylovich NIKOLAYEV</w:t>
            </w:r>
            <w:r w:rsidRPr="000879AD">
              <w:rPr>
                <w:rFonts w:ascii="Calibri" w:hAnsi="Calibri" w:eastAsia="Times New Roman" w:cs="Calibri"/>
                <w:sz w:val="22"/>
                <w:szCs w:val="22"/>
              </w:rPr>
              <w:br/>
              <w:t>Year of birth: 1942</w:t>
            </w:r>
          </w:p>
          <w:p w:rsidRPr="000879AD" w:rsidR="0098379F" w:rsidP="000879AD" w:rsidRDefault="0098379F" w14:paraId="6B282B9B" w14:textId="77777777">
            <w:pPr>
              <w:rPr>
                <w:rFonts w:ascii="Calibri" w:hAnsi="Calibri" w:eastAsia="Times New Roman" w:cs="Calibri"/>
                <w:sz w:val="22"/>
                <w:szCs w:val="22"/>
              </w:rPr>
            </w:pPr>
            <w:r w:rsidRPr="000879AD">
              <w:rPr>
                <w:rFonts w:ascii="Calibri" w:hAnsi="Calibri" w:eastAsia="Times New Roman" w:cs="Calibri"/>
                <w:sz w:val="22"/>
                <w:szCs w:val="22"/>
              </w:rPr>
              <w:t>Place of residence: Moscow</w:t>
            </w:r>
          </w:p>
          <w:p w:rsidRPr="000879AD" w:rsidR="0098379F" w:rsidP="000879AD" w:rsidRDefault="0098379F" w14:paraId="7F1DBF22" w14:textId="77777777">
            <w:pPr>
              <w:rPr>
                <w:rFonts w:ascii="Calibri" w:hAnsi="Calibri" w:eastAsia="Times New Roman" w:cs="Calibri"/>
                <w:sz w:val="22"/>
                <w:szCs w:val="22"/>
              </w:rPr>
            </w:pPr>
            <w:r w:rsidRPr="000879AD">
              <w:rPr>
                <w:rFonts w:ascii="Calibri" w:hAnsi="Calibri" w:eastAsia="Times New Roman" w:cs="Calibri"/>
                <w:sz w:val="22"/>
                <w:szCs w:val="22"/>
              </w:rPr>
              <w:t>Nationality: Russian</w:t>
            </w:r>
          </w:p>
          <w:p w:rsidRPr="000879AD" w:rsidR="0098379F" w:rsidP="000879AD" w:rsidRDefault="0098379F" w14:paraId="333A75DC" w14:textId="77777777">
            <w:pPr>
              <w:rPr>
                <w:rFonts w:ascii="Calibri" w:hAnsi="Calibri" w:eastAsia="Times New Roman" w:cs="Calibri"/>
                <w:b/>
                <w:bCs/>
                <w:sz w:val="22"/>
                <w:szCs w:val="22"/>
              </w:rPr>
            </w:pPr>
          </w:p>
        </w:tc>
      </w:tr>
      <w:tr w:rsidRPr="000879AD" w:rsidR="0098379F" w:rsidTr="00C04AB8" w14:paraId="42DD4625" w14:textId="77777777">
        <w:tc>
          <w:tcPr>
            <w:tcW w:w="1261" w:type="dxa"/>
            <w:hideMark/>
          </w:tcPr>
          <w:p w:rsidRPr="000879AD" w:rsidR="0098379F" w:rsidP="000879AD" w:rsidRDefault="0098379F" w14:paraId="7404D58B" w14:textId="77777777">
            <w:pPr>
              <w:rPr>
                <w:rFonts w:ascii="Calibri" w:hAnsi="Calibri" w:eastAsia="Times New Roman" w:cs="Calibri"/>
                <w:sz w:val="22"/>
                <w:szCs w:val="22"/>
              </w:rPr>
            </w:pPr>
            <w:r w:rsidRPr="000879AD">
              <w:rPr>
                <w:rFonts w:ascii="Calibri" w:hAnsi="Calibri" w:eastAsia="Times New Roman" w:cs="Calibri"/>
                <w:sz w:val="22"/>
                <w:szCs w:val="22"/>
              </w:rPr>
              <w:t>35043/13</w:t>
            </w:r>
          </w:p>
        </w:tc>
        <w:tc>
          <w:tcPr>
            <w:tcW w:w="2659" w:type="dxa"/>
            <w:hideMark/>
          </w:tcPr>
          <w:p w:rsidRPr="000879AD" w:rsidR="0098379F" w:rsidP="000879AD" w:rsidRDefault="0098379F" w14:paraId="78812FDA" w14:textId="77777777">
            <w:pPr>
              <w:rPr>
                <w:rFonts w:ascii="Calibri" w:hAnsi="Calibri" w:eastAsia="Times New Roman" w:cs="Calibri"/>
                <w:b/>
                <w:bCs/>
                <w:i/>
                <w:iCs/>
                <w:sz w:val="22"/>
                <w:szCs w:val="22"/>
              </w:rPr>
            </w:pPr>
            <w:r w:rsidRPr="000879AD">
              <w:rPr>
                <w:rFonts w:ascii="Calibri" w:hAnsi="Calibri" w:eastAsia="Times New Roman" w:cs="Calibri"/>
                <w:b/>
                <w:bCs/>
                <w:i/>
                <w:iCs/>
                <w:sz w:val="22"/>
                <w:szCs w:val="22"/>
              </w:rPr>
              <w:t>Novaya Gazeta v. Russia</w:t>
            </w:r>
          </w:p>
        </w:tc>
        <w:tc>
          <w:tcPr>
            <w:tcW w:w="2335" w:type="dxa"/>
            <w:hideMark/>
          </w:tcPr>
          <w:p w:rsidRPr="000879AD" w:rsidR="0098379F" w:rsidP="000879AD" w:rsidRDefault="0098379F" w14:paraId="0F15AFDD" w14:textId="77777777">
            <w:pPr>
              <w:rPr>
                <w:rFonts w:ascii="Calibri" w:hAnsi="Calibri" w:eastAsia="Times New Roman" w:cs="Calibri"/>
                <w:sz w:val="22"/>
                <w:szCs w:val="22"/>
              </w:rPr>
            </w:pPr>
            <w:r w:rsidRPr="000879AD">
              <w:rPr>
                <w:rFonts w:ascii="Calibri" w:hAnsi="Calibri" w:eastAsia="Times New Roman" w:cs="Calibri"/>
                <w:sz w:val="22"/>
                <w:szCs w:val="22"/>
              </w:rPr>
              <w:t>22/11/2012</w:t>
            </w:r>
          </w:p>
        </w:tc>
        <w:tc>
          <w:tcPr>
            <w:tcW w:w="5936" w:type="dxa"/>
            <w:tcBorders>
              <w:bottom w:val="single" w:color="auto" w:sz="4" w:space="0"/>
            </w:tcBorders>
            <w:hideMark/>
          </w:tcPr>
          <w:p w:rsidRPr="000879AD" w:rsidR="0098379F" w:rsidP="000879AD" w:rsidRDefault="0098379F" w14:paraId="4E0879E4" w14:textId="4299858D">
            <w:pPr>
              <w:rPr>
                <w:rFonts w:ascii="Calibri" w:hAnsi="Calibri" w:eastAsia="Times New Roman" w:cs="Calibri"/>
                <w:b/>
                <w:bCs/>
                <w:sz w:val="22"/>
                <w:szCs w:val="22"/>
              </w:rPr>
            </w:pPr>
            <w:r w:rsidRPr="000879AD">
              <w:rPr>
                <w:rFonts w:ascii="Calibri" w:hAnsi="Calibri" w:eastAsia="Times New Roman" w:cs="Calibri"/>
                <w:b/>
                <w:bCs/>
                <w:sz w:val="22"/>
                <w:szCs w:val="22"/>
              </w:rPr>
              <w:t>ANO “Redaktsionno-Izdatelskiy Dom </w:t>
            </w:r>
            <w:r w:rsidRPr="000879AD" w:rsidR="000879AD">
              <w:rPr>
                <w:rFonts w:ascii="Calibri" w:hAnsi="Calibri" w:eastAsia="Times New Roman" w:cs="Calibri"/>
                <w:b/>
                <w:bCs/>
                <w:sz w:val="22"/>
                <w:szCs w:val="22"/>
              </w:rPr>
              <w:t>’</w:t>
            </w:r>
            <w:r w:rsidRPr="000879AD">
              <w:rPr>
                <w:rFonts w:ascii="Calibri" w:hAnsi="Calibri" w:eastAsia="Times New Roman" w:cs="Calibri"/>
                <w:b/>
                <w:bCs/>
                <w:sz w:val="22"/>
                <w:szCs w:val="22"/>
              </w:rPr>
              <w:t>NOVAYA GAZETA</w:t>
            </w:r>
            <w:r w:rsidRPr="000879AD" w:rsidR="000879AD">
              <w:rPr>
                <w:rFonts w:ascii="Calibri" w:hAnsi="Calibri" w:eastAsia="Times New Roman" w:cs="Calibri"/>
                <w:b/>
                <w:bCs/>
                <w:sz w:val="22"/>
                <w:szCs w:val="22"/>
              </w:rPr>
              <w:t>’</w:t>
            </w:r>
            <w:r w:rsidRPr="000879AD">
              <w:rPr>
                <w:rFonts w:ascii="Calibri" w:hAnsi="Calibri" w:eastAsia="Times New Roman" w:cs="Calibri"/>
                <w:b/>
                <w:bCs/>
                <w:sz w:val="22"/>
                <w:szCs w:val="22"/>
              </w:rPr>
              <w:t>”</w:t>
            </w:r>
            <w:r w:rsidRPr="000879AD">
              <w:rPr>
                <w:rFonts w:ascii="Calibri" w:hAnsi="Calibri" w:eastAsia="Times New Roman" w:cs="Calibri"/>
                <w:sz w:val="22"/>
                <w:szCs w:val="22"/>
              </w:rPr>
              <w:t xml:space="preserve"> (“the</w:t>
            </w:r>
            <w:r w:rsidRPr="000879AD" w:rsidR="0018537E">
              <w:rPr>
                <w:rFonts w:ascii="Calibri" w:hAnsi="Calibri" w:eastAsia="Times New Roman" w:cs="Calibri"/>
                <w:sz w:val="22"/>
                <w:szCs w:val="22"/>
              </w:rPr>
              <w:t> </w:t>
            </w:r>
            <w:r w:rsidRPr="000879AD">
              <w:rPr>
                <w:rFonts w:ascii="Calibri" w:hAnsi="Calibri" w:eastAsia="Times New Roman" w:cs="Calibri"/>
                <w:sz w:val="22"/>
                <w:szCs w:val="22"/>
              </w:rPr>
              <w:t>applicant company”)</w:t>
            </w:r>
          </w:p>
          <w:p w:rsidRPr="000879AD" w:rsidR="0098379F" w:rsidP="000879AD" w:rsidRDefault="0098379F" w14:paraId="3638FA0B" w14:textId="77777777">
            <w:pPr>
              <w:rPr>
                <w:rFonts w:ascii="Calibri" w:hAnsi="Calibri" w:eastAsia="Times New Roman" w:cs="Calibri"/>
                <w:sz w:val="22"/>
                <w:szCs w:val="22"/>
              </w:rPr>
            </w:pPr>
            <w:r w:rsidRPr="000879AD">
              <w:rPr>
                <w:rFonts w:ascii="Calibri" w:hAnsi="Calibri" w:eastAsia="Times New Roman" w:cs="Calibri"/>
                <w:sz w:val="22"/>
                <w:szCs w:val="22"/>
              </w:rPr>
              <w:t xml:space="preserve">Legal entity incorporated under Russian law </w:t>
            </w:r>
          </w:p>
        </w:tc>
      </w:tr>
    </w:tbl>
    <w:p w:rsidRPr="000879AD" w:rsidR="0098379F" w:rsidP="000879AD" w:rsidRDefault="0098379F" w14:paraId="44C644F4" w14:textId="77777777">
      <w:pPr>
        <w:pStyle w:val="JuParaLast"/>
        <w:jc w:val="center"/>
        <w:rPr>
          <w:rFonts w:ascii="Calibri" w:hAnsi="Calibri" w:cs="Calibri"/>
          <w:b/>
          <w:bCs/>
          <w:sz w:val="22"/>
          <w:szCs w:val="22"/>
          <w:lang w:val="fr-FR"/>
        </w:rPr>
      </w:pPr>
      <w:r w:rsidRPr="000879AD">
        <w:rPr>
          <w:rFonts w:ascii="Calibri" w:hAnsi="Calibri" w:cs="Calibri"/>
          <w:b/>
          <w:bCs/>
          <w:sz w:val="22"/>
          <w:szCs w:val="22"/>
          <w:lang w:val="fr-FR"/>
        </w:rPr>
        <w:t>Appendix II</w:t>
      </w:r>
    </w:p>
    <w:tbl>
      <w:tblPr>
        <w:tblStyle w:val="TableGrid"/>
        <w:tblW w:w="0" w:type="auto"/>
        <w:tblInd w:w="108" w:type="dxa"/>
        <w:tblLook w:val="04A0" w:firstRow="1" w:lastRow="0" w:firstColumn="1" w:lastColumn="0" w:noHBand="0" w:noVBand="1"/>
      </w:tblPr>
      <w:tblGrid>
        <w:gridCol w:w="1071"/>
        <w:gridCol w:w="2137"/>
        <w:gridCol w:w="1659"/>
        <w:gridCol w:w="1568"/>
        <w:gridCol w:w="1846"/>
        <w:gridCol w:w="1840"/>
        <w:gridCol w:w="2070"/>
      </w:tblGrid>
      <w:tr w:rsidRPr="000879AD" w:rsidR="0098379F" w:rsidTr="00C04AB8" w14:paraId="1176CE34" w14:textId="77777777">
        <w:trPr>
          <w:trHeight w:val="215"/>
        </w:trPr>
        <w:tc>
          <w:tcPr>
            <w:tcW w:w="1071" w:type="dxa"/>
            <w:vMerge w:val="restart"/>
          </w:tcPr>
          <w:p w:rsidRPr="000879AD" w:rsidR="0098379F" w:rsidP="000879AD" w:rsidRDefault="0098379F" w14:paraId="05502527" w14:textId="77777777">
            <w:pPr>
              <w:pStyle w:val="JuParaLast"/>
              <w:ind w:firstLine="0"/>
              <w:jc w:val="left"/>
              <w:rPr>
                <w:rFonts w:ascii="Calibri" w:hAnsi="Calibri" w:cs="Calibri"/>
                <w:b/>
                <w:bCs/>
                <w:sz w:val="18"/>
                <w:szCs w:val="18"/>
              </w:rPr>
            </w:pPr>
            <w:r w:rsidRPr="000879AD">
              <w:rPr>
                <w:rFonts w:ascii="Calibri" w:hAnsi="Calibri" w:cs="Calibri"/>
                <w:b/>
                <w:bCs/>
                <w:sz w:val="18"/>
                <w:szCs w:val="18"/>
              </w:rPr>
              <w:t>Application no.</w:t>
            </w:r>
          </w:p>
        </w:tc>
        <w:tc>
          <w:tcPr>
            <w:tcW w:w="5364" w:type="dxa"/>
            <w:gridSpan w:val="3"/>
          </w:tcPr>
          <w:p w:rsidRPr="000879AD" w:rsidR="0098379F" w:rsidP="000879AD" w:rsidRDefault="0098379F" w14:paraId="6EADFAD8" w14:textId="60F05620">
            <w:pPr>
              <w:pStyle w:val="JuParaLast"/>
              <w:ind w:firstLine="0"/>
              <w:jc w:val="center"/>
              <w:rPr>
                <w:rFonts w:ascii="Calibri" w:hAnsi="Calibri" w:cs="Calibri"/>
                <w:b/>
                <w:bCs/>
                <w:sz w:val="18"/>
                <w:szCs w:val="18"/>
              </w:rPr>
            </w:pPr>
            <w:r w:rsidRPr="000879AD">
              <w:rPr>
                <w:rFonts w:ascii="Calibri" w:hAnsi="Calibri" w:cs="Calibri"/>
                <w:b/>
                <w:bCs/>
                <w:sz w:val="18"/>
                <w:szCs w:val="18"/>
              </w:rPr>
              <w:t>Applicants</w:t>
            </w:r>
            <w:r w:rsidRPr="000879AD" w:rsidR="000879AD">
              <w:rPr>
                <w:rFonts w:ascii="Calibri" w:hAnsi="Calibri" w:cs="Calibri"/>
                <w:b/>
                <w:bCs/>
                <w:sz w:val="18"/>
                <w:szCs w:val="18"/>
              </w:rPr>
              <w:t>’</w:t>
            </w:r>
            <w:r w:rsidRPr="000879AD">
              <w:rPr>
                <w:rFonts w:ascii="Calibri" w:hAnsi="Calibri" w:cs="Calibri"/>
                <w:b/>
                <w:bCs/>
                <w:sz w:val="18"/>
                <w:szCs w:val="18"/>
              </w:rPr>
              <w:t xml:space="preserve"> claims for just satisfaction (Article 41 of the Convention)</w:t>
            </w:r>
          </w:p>
        </w:tc>
        <w:tc>
          <w:tcPr>
            <w:tcW w:w="5756" w:type="dxa"/>
            <w:gridSpan w:val="3"/>
          </w:tcPr>
          <w:p w:rsidRPr="000879AD" w:rsidR="0098379F" w:rsidP="000879AD" w:rsidRDefault="0098379F" w14:paraId="237D1AB8" w14:textId="48AF55F1">
            <w:pPr>
              <w:pStyle w:val="JuParaLast"/>
              <w:ind w:firstLine="0"/>
              <w:jc w:val="center"/>
              <w:rPr>
                <w:rFonts w:ascii="Calibri" w:hAnsi="Calibri" w:cs="Calibri"/>
                <w:b/>
                <w:bCs/>
                <w:sz w:val="18"/>
                <w:szCs w:val="18"/>
                <w:lang w:val="fr-FR"/>
              </w:rPr>
            </w:pPr>
            <w:r w:rsidRPr="000879AD">
              <w:rPr>
                <w:rFonts w:ascii="Calibri" w:hAnsi="Calibri" w:cs="Calibri"/>
                <w:b/>
                <w:bCs/>
                <w:sz w:val="18"/>
                <w:szCs w:val="18"/>
                <w:lang w:val="fr-FR"/>
              </w:rPr>
              <w:t>The Court</w:t>
            </w:r>
            <w:r w:rsidRPr="000879AD" w:rsidR="000879AD">
              <w:rPr>
                <w:rFonts w:ascii="Calibri" w:hAnsi="Calibri" w:cs="Calibri"/>
                <w:b/>
                <w:bCs/>
                <w:sz w:val="18"/>
                <w:szCs w:val="18"/>
                <w:lang w:val="fr-FR"/>
              </w:rPr>
              <w:t>’</w:t>
            </w:r>
            <w:r w:rsidRPr="000879AD">
              <w:rPr>
                <w:rFonts w:ascii="Calibri" w:hAnsi="Calibri" w:cs="Calibri"/>
                <w:b/>
                <w:bCs/>
                <w:sz w:val="18"/>
                <w:szCs w:val="18"/>
                <w:lang w:val="fr-FR"/>
              </w:rPr>
              <w:t>s award</w:t>
            </w:r>
          </w:p>
        </w:tc>
      </w:tr>
      <w:tr w:rsidRPr="000879AD" w:rsidR="0098379F" w:rsidTr="00C04AB8" w14:paraId="64FE4D29" w14:textId="77777777">
        <w:trPr>
          <w:trHeight w:val="720"/>
        </w:trPr>
        <w:tc>
          <w:tcPr>
            <w:tcW w:w="1071" w:type="dxa"/>
            <w:vMerge/>
          </w:tcPr>
          <w:p w:rsidRPr="000879AD" w:rsidR="0098379F" w:rsidP="000879AD" w:rsidRDefault="0098379F" w14:paraId="15D14DB3" w14:textId="77777777">
            <w:pPr>
              <w:pStyle w:val="JuParaLast"/>
              <w:ind w:firstLine="0"/>
              <w:jc w:val="left"/>
              <w:rPr>
                <w:rFonts w:ascii="Calibri" w:hAnsi="Calibri" w:cs="Calibri"/>
                <w:sz w:val="18"/>
                <w:szCs w:val="18"/>
              </w:rPr>
            </w:pPr>
          </w:p>
        </w:tc>
        <w:tc>
          <w:tcPr>
            <w:tcW w:w="2137" w:type="dxa"/>
          </w:tcPr>
          <w:p w:rsidRPr="000879AD" w:rsidR="0098379F" w:rsidP="000879AD" w:rsidRDefault="0098379F" w14:paraId="199E9755" w14:textId="77777777">
            <w:pPr>
              <w:pStyle w:val="JuParaLast"/>
              <w:ind w:firstLine="0"/>
              <w:jc w:val="left"/>
              <w:rPr>
                <w:rFonts w:ascii="Calibri" w:hAnsi="Calibri" w:cs="Calibri"/>
                <w:i/>
                <w:iCs/>
                <w:sz w:val="18"/>
                <w:szCs w:val="18"/>
                <w:lang w:val="fr-FR"/>
              </w:rPr>
            </w:pPr>
            <w:r w:rsidRPr="000879AD">
              <w:rPr>
                <w:rFonts w:ascii="Calibri" w:hAnsi="Calibri" w:cs="Calibri"/>
                <w:i/>
                <w:iCs/>
                <w:sz w:val="18"/>
                <w:szCs w:val="18"/>
                <w:lang w:val="fr-FR"/>
              </w:rPr>
              <w:t>Pecuniary damage</w:t>
            </w:r>
          </w:p>
        </w:tc>
        <w:tc>
          <w:tcPr>
            <w:tcW w:w="1659" w:type="dxa"/>
          </w:tcPr>
          <w:p w:rsidRPr="000879AD" w:rsidR="0098379F" w:rsidP="000879AD" w:rsidRDefault="0098379F" w14:paraId="74206068" w14:textId="77777777">
            <w:pPr>
              <w:pStyle w:val="JuParaLast"/>
              <w:ind w:firstLine="0"/>
              <w:jc w:val="left"/>
              <w:rPr>
                <w:rFonts w:ascii="Calibri" w:hAnsi="Calibri" w:cs="Calibri"/>
                <w:i/>
                <w:iCs/>
                <w:sz w:val="18"/>
                <w:szCs w:val="18"/>
                <w:lang w:val="fr-FR"/>
              </w:rPr>
            </w:pPr>
            <w:r w:rsidRPr="000879AD">
              <w:rPr>
                <w:rFonts w:ascii="Calibri" w:hAnsi="Calibri" w:cs="Calibri"/>
                <w:i/>
                <w:iCs/>
                <w:sz w:val="18"/>
                <w:szCs w:val="18"/>
                <w:lang w:val="fr-FR"/>
              </w:rPr>
              <w:t>Non-pecuniary damage</w:t>
            </w:r>
          </w:p>
        </w:tc>
        <w:tc>
          <w:tcPr>
            <w:tcW w:w="1568" w:type="dxa"/>
          </w:tcPr>
          <w:p w:rsidRPr="000879AD" w:rsidR="0098379F" w:rsidP="000879AD" w:rsidRDefault="0098379F" w14:paraId="191F6F64" w14:textId="77777777">
            <w:pPr>
              <w:pStyle w:val="JuParaLast"/>
              <w:ind w:firstLine="0"/>
              <w:jc w:val="left"/>
              <w:rPr>
                <w:rFonts w:ascii="Calibri" w:hAnsi="Calibri" w:cs="Calibri"/>
                <w:i/>
                <w:iCs/>
                <w:sz w:val="18"/>
                <w:szCs w:val="18"/>
                <w:lang w:val="fr-FR"/>
              </w:rPr>
            </w:pPr>
            <w:r w:rsidRPr="000879AD">
              <w:rPr>
                <w:rFonts w:ascii="Calibri" w:hAnsi="Calibri" w:cs="Calibri"/>
                <w:i/>
                <w:iCs/>
                <w:sz w:val="18"/>
                <w:szCs w:val="18"/>
                <w:lang w:val="fr-FR"/>
              </w:rPr>
              <w:t>Costs and expenses</w:t>
            </w:r>
          </w:p>
        </w:tc>
        <w:tc>
          <w:tcPr>
            <w:tcW w:w="1846" w:type="dxa"/>
          </w:tcPr>
          <w:p w:rsidRPr="000879AD" w:rsidR="0098379F" w:rsidP="000879AD" w:rsidRDefault="0098379F" w14:paraId="660121AC" w14:textId="77777777">
            <w:pPr>
              <w:pStyle w:val="JuParaLast"/>
              <w:ind w:left="-108" w:firstLine="30"/>
              <w:jc w:val="left"/>
              <w:rPr>
                <w:rFonts w:ascii="Calibri" w:hAnsi="Calibri" w:cs="Calibri"/>
                <w:i/>
                <w:iCs/>
                <w:sz w:val="18"/>
                <w:szCs w:val="18"/>
                <w:lang w:val="fr-FR"/>
              </w:rPr>
            </w:pPr>
            <w:r w:rsidRPr="000879AD">
              <w:rPr>
                <w:rFonts w:ascii="Calibri" w:hAnsi="Calibri" w:cs="Calibri"/>
                <w:i/>
                <w:iCs/>
                <w:sz w:val="18"/>
                <w:szCs w:val="18"/>
                <w:lang w:val="fr-FR"/>
              </w:rPr>
              <w:t>Pecuniary damage</w:t>
            </w:r>
          </w:p>
        </w:tc>
        <w:tc>
          <w:tcPr>
            <w:tcW w:w="1840" w:type="dxa"/>
          </w:tcPr>
          <w:p w:rsidRPr="000879AD" w:rsidR="0098379F" w:rsidP="000879AD" w:rsidRDefault="0098379F" w14:paraId="5475B539" w14:textId="77777777">
            <w:pPr>
              <w:pStyle w:val="JuParaLast"/>
              <w:ind w:firstLine="0"/>
              <w:jc w:val="left"/>
              <w:rPr>
                <w:rFonts w:ascii="Calibri" w:hAnsi="Calibri" w:cs="Calibri"/>
                <w:i/>
                <w:iCs/>
                <w:sz w:val="18"/>
                <w:szCs w:val="18"/>
                <w:lang w:val="fr-FR"/>
              </w:rPr>
            </w:pPr>
            <w:r w:rsidRPr="000879AD">
              <w:rPr>
                <w:rFonts w:ascii="Calibri" w:hAnsi="Calibri" w:cs="Calibri"/>
                <w:i/>
                <w:iCs/>
                <w:sz w:val="18"/>
                <w:szCs w:val="18"/>
                <w:lang w:val="fr-FR"/>
              </w:rPr>
              <w:t>Non-pecuniary damage</w:t>
            </w:r>
          </w:p>
        </w:tc>
        <w:tc>
          <w:tcPr>
            <w:tcW w:w="2070" w:type="dxa"/>
          </w:tcPr>
          <w:p w:rsidRPr="000879AD" w:rsidR="0098379F" w:rsidP="000879AD" w:rsidRDefault="0098379F" w14:paraId="42B64192" w14:textId="77777777">
            <w:pPr>
              <w:pStyle w:val="JuParaLast"/>
              <w:ind w:firstLine="0"/>
              <w:jc w:val="left"/>
              <w:rPr>
                <w:rFonts w:ascii="Calibri" w:hAnsi="Calibri" w:cs="Calibri"/>
                <w:i/>
                <w:iCs/>
                <w:sz w:val="18"/>
                <w:szCs w:val="18"/>
                <w:lang w:val="fr-FR"/>
              </w:rPr>
            </w:pPr>
            <w:r w:rsidRPr="000879AD">
              <w:rPr>
                <w:rFonts w:ascii="Calibri" w:hAnsi="Calibri" w:cs="Calibri"/>
                <w:i/>
                <w:iCs/>
                <w:sz w:val="18"/>
                <w:szCs w:val="18"/>
                <w:lang w:val="fr-FR"/>
              </w:rPr>
              <w:t>Costs and expenses</w:t>
            </w:r>
          </w:p>
        </w:tc>
      </w:tr>
      <w:tr w:rsidRPr="000879AD" w:rsidR="0098379F" w:rsidTr="00C04AB8" w14:paraId="5549313E" w14:textId="77777777">
        <w:tc>
          <w:tcPr>
            <w:tcW w:w="1071" w:type="dxa"/>
          </w:tcPr>
          <w:p w:rsidRPr="000879AD" w:rsidR="0098379F" w:rsidP="000879AD" w:rsidRDefault="0098379F" w14:paraId="0AE316E8" w14:textId="77777777">
            <w:pPr>
              <w:pStyle w:val="JuParaLast"/>
              <w:ind w:firstLine="0"/>
              <w:jc w:val="left"/>
              <w:rPr>
                <w:rFonts w:ascii="Calibri" w:hAnsi="Calibri" w:cs="Calibri"/>
                <w:b/>
                <w:bCs/>
                <w:sz w:val="18"/>
                <w:szCs w:val="18"/>
                <w:lang w:val="fr-FR"/>
              </w:rPr>
            </w:pPr>
            <w:r w:rsidRPr="000879AD">
              <w:rPr>
                <w:rFonts w:ascii="Calibri" w:hAnsi="Calibri" w:cs="Calibri"/>
                <w:b/>
                <w:bCs/>
                <w:sz w:val="18"/>
                <w:szCs w:val="18"/>
              </w:rPr>
              <w:t>12996/12</w:t>
            </w:r>
          </w:p>
        </w:tc>
        <w:tc>
          <w:tcPr>
            <w:tcW w:w="2137" w:type="dxa"/>
          </w:tcPr>
          <w:p w:rsidRPr="000879AD" w:rsidR="0098379F" w:rsidP="000879AD" w:rsidRDefault="0098379F" w14:paraId="44F2832B" w14:textId="77777777">
            <w:pPr>
              <w:pStyle w:val="JuParaLast"/>
              <w:ind w:firstLine="0"/>
              <w:jc w:val="left"/>
              <w:rPr>
                <w:rFonts w:ascii="Calibri" w:hAnsi="Calibri" w:cs="Calibri"/>
                <w:sz w:val="18"/>
                <w:szCs w:val="18"/>
              </w:rPr>
            </w:pPr>
            <w:r w:rsidRPr="000879AD">
              <w:rPr>
                <w:rFonts w:ascii="Calibri" w:hAnsi="Calibri" w:cs="Calibri"/>
                <w:sz w:val="18"/>
                <w:szCs w:val="18"/>
              </w:rPr>
              <w:t xml:space="preserve">Applicant company: RUB 204,000 (EUR 3,240 at the exchange rate applicable on 23/05/2011, the date of execution of the judgment of 29/12/2010 </w:t>
            </w:r>
          </w:p>
        </w:tc>
        <w:tc>
          <w:tcPr>
            <w:tcW w:w="1659" w:type="dxa"/>
          </w:tcPr>
          <w:p w:rsidRPr="000879AD" w:rsidR="0098379F" w:rsidP="000879AD" w:rsidRDefault="0098379F" w14:paraId="269EEE00" w14:textId="246BBB71">
            <w:pPr>
              <w:pStyle w:val="JuParaLast"/>
              <w:ind w:firstLine="0"/>
              <w:jc w:val="left"/>
              <w:rPr>
                <w:rFonts w:ascii="Calibri" w:hAnsi="Calibri" w:cs="Calibri"/>
                <w:sz w:val="18"/>
                <w:szCs w:val="18"/>
              </w:rPr>
            </w:pPr>
            <w:r w:rsidRPr="000879AD">
              <w:rPr>
                <w:rFonts w:ascii="Calibri" w:hAnsi="Calibri" w:cs="Calibri"/>
                <w:sz w:val="18"/>
                <w:szCs w:val="18"/>
              </w:rPr>
              <w:t>1.</w:t>
            </w:r>
            <w:r w:rsidRPr="000879AD" w:rsidR="0018537E">
              <w:rPr>
                <w:rFonts w:ascii="Calibri" w:hAnsi="Calibri" w:cs="Calibri"/>
                <w:sz w:val="18"/>
                <w:szCs w:val="18"/>
              </w:rPr>
              <w:t> </w:t>
            </w:r>
            <w:r w:rsidRPr="000879AD">
              <w:rPr>
                <w:rFonts w:ascii="Calibri" w:hAnsi="Calibri" w:cs="Calibri"/>
                <w:sz w:val="18"/>
                <w:szCs w:val="18"/>
              </w:rPr>
              <w:t>Applicant company: EUR 5,000</w:t>
            </w:r>
          </w:p>
          <w:p w:rsidRPr="000879AD" w:rsidR="0098379F" w:rsidP="000879AD" w:rsidRDefault="0098379F" w14:paraId="3A1D46A0" w14:textId="072A67D4">
            <w:pPr>
              <w:pStyle w:val="JuParaLast"/>
              <w:ind w:firstLine="0"/>
              <w:jc w:val="left"/>
              <w:rPr>
                <w:rFonts w:ascii="Calibri" w:hAnsi="Calibri" w:cs="Calibri"/>
                <w:sz w:val="18"/>
                <w:szCs w:val="18"/>
              </w:rPr>
            </w:pPr>
            <w:r w:rsidRPr="000879AD">
              <w:rPr>
                <w:rFonts w:ascii="Calibri" w:hAnsi="Calibri" w:cs="Calibri"/>
                <w:sz w:val="18"/>
                <w:szCs w:val="18"/>
              </w:rPr>
              <w:t>2.</w:t>
            </w:r>
            <w:r w:rsidRPr="000879AD" w:rsidR="0018537E">
              <w:rPr>
                <w:rFonts w:ascii="Calibri" w:hAnsi="Calibri" w:cs="Calibri"/>
                <w:sz w:val="18"/>
                <w:szCs w:val="18"/>
              </w:rPr>
              <w:t> </w:t>
            </w:r>
            <w:r w:rsidRPr="000879AD">
              <w:rPr>
                <w:rFonts w:ascii="Calibri" w:hAnsi="Calibri" w:cs="Calibri"/>
                <w:sz w:val="18"/>
                <w:szCs w:val="18"/>
              </w:rPr>
              <w:t>Mr Polukhin: EUR 5,000</w:t>
            </w:r>
          </w:p>
          <w:p w:rsidRPr="000879AD" w:rsidR="0098379F" w:rsidP="000879AD" w:rsidRDefault="0098379F" w14:paraId="102B2CB0" w14:textId="5E27AB04">
            <w:pPr>
              <w:pStyle w:val="JuParaLast"/>
              <w:ind w:firstLine="0"/>
              <w:jc w:val="left"/>
              <w:rPr>
                <w:rFonts w:ascii="Calibri" w:hAnsi="Calibri" w:cs="Calibri"/>
                <w:sz w:val="18"/>
                <w:szCs w:val="18"/>
              </w:rPr>
            </w:pPr>
            <w:r w:rsidRPr="000879AD">
              <w:rPr>
                <w:rFonts w:ascii="Calibri" w:hAnsi="Calibri" w:cs="Calibri"/>
                <w:sz w:val="18"/>
                <w:szCs w:val="18"/>
              </w:rPr>
              <w:t>3.</w:t>
            </w:r>
            <w:r w:rsidRPr="000879AD" w:rsidR="0018537E">
              <w:rPr>
                <w:rFonts w:ascii="Calibri" w:hAnsi="Calibri" w:cs="Calibri"/>
                <w:sz w:val="18"/>
                <w:szCs w:val="18"/>
              </w:rPr>
              <w:t> </w:t>
            </w:r>
            <w:r w:rsidRPr="000879AD">
              <w:rPr>
                <w:rFonts w:ascii="Calibri" w:hAnsi="Calibri" w:cs="Calibri"/>
                <w:sz w:val="18"/>
                <w:szCs w:val="18"/>
              </w:rPr>
              <w:t xml:space="preserve">Mr Nikolayev: EUR 5,000 </w:t>
            </w:r>
          </w:p>
        </w:tc>
        <w:tc>
          <w:tcPr>
            <w:tcW w:w="1568" w:type="dxa"/>
          </w:tcPr>
          <w:p w:rsidRPr="000879AD" w:rsidR="0098379F" w:rsidP="000879AD" w:rsidRDefault="0098379F" w14:paraId="635E1721" w14:textId="2DCF5374">
            <w:pPr>
              <w:pStyle w:val="JuParaLast"/>
              <w:ind w:firstLine="0"/>
              <w:jc w:val="left"/>
              <w:rPr>
                <w:rFonts w:ascii="Calibri" w:hAnsi="Calibri" w:cs="Calibri"/>
                <w:sz w:val="18"/>
                <w:szCs w:val="18"/>
              </w:rPr>
            </w:pPr>
            <w:r w:rsidRPr="000879AD">
              <w:rPr>
                <w:rFonts w:ascii="Calibri" w:hAnsi="Calibri" w:cs="Calibri"/>
                <w:sz w:val="18"/>
                <w:szCs w:val="18"/>
              </w:rPr>
              <w:t>EUR 7,664 (RUB 484,160 at the exchange rate applicable on the date of submission of the applicants</w:t>
            </w:r>
            <w:r w:rsidRPr="000879AD" w:rsidR="000879AD">
              <w:rPr>
                <w:rFonts w:ascii="Calibri" w:hAnsi="Calibri" w:cs="Calibri"/>
                <w:sz w:val="18"/>
                <w:szCs w:val="18"/>
              </w:rPr>
              <w:t>’</w:t>
            </w:r>
            <w:r w:rsidRPr="000879AD">
              <w:rPr>
                <w:rFonts w:ascii="Calibri" w:hAnsi="Calibri" w:cs="Calibri"/>
                <w:sz w:val="18"/>
                <w:szCs w:val="18"/>
              </w:rPr>
              <w:t xml:space="preserve"> claims for just satisfaction)</w:t>
            </w:r>
          </w:p>
        </w:tc>
        <w:tc>
          <w:tcPr>
            <w:tcW w:w="1846" w:type="dxa"/>
          </w:tcPr>
          <w:p w:rsidRPr="000879AD" w:rsidR="0098379F" w:rsidP="000879AD" w:rsidRDefault="0098379F" w14:paraId="2BAA39DC" w14:textId="77777777">
            <w:pPr>
              <w:pStyle w:val="JuParaLast"/>
              <w:ind w:firstLine="0"/>
              <w:jc w:val="left"/>
              <w:rPr>
                <w:rFonts w:ascii="Calibri" w:hAnsi="Calibri" w:cs="Calibri"/>
                <w:sz w:val="18"/>
                <w:szCs w:val="18"/>
              </w:rPr>
            </w:pPr>
            <w:r w:rsidRPr="000879AD">
              <w:rPr>
                <w:rFonts w:ascii="Calibri" w:hAnsi="Calibri" w:cs="Calibri"/>
                <w:sz w:val="18"/>
                <w:szCs w:val="18"/>
              </w:rPr>
              <w:t>EUR 3,240 to the applicant company</w:t>
            </w:r>
          </w:p>
        </w:tc>
        <w:tc>
          <w:tcPr>
            <w:tcW w:w="1840" w:type="dxa"/>
          </w:tcPr>
          <w:p w:rsidRPr="000879AD" w:rsidR="0098379F" w:rsidP="000879AD" w:rsidRDefault="0098379F" w14:paraId="3C7A83D7" w14:textId="77777777">
            <w:pPr>
              <w:pStyle w:val="JuParaLast"/>
              <w:ind w:firstLine="0"/>
              <w:jc w:val="left"/>
              <w:rPr>
                <w:rFonts w:ascii="Calibri" w:hAnsi="Calibri" w:cs="Calibri"/>
                <w:sz w:val="18"/>
                <w:szCs w:val="18"/>
              </w:rPr>
            </w:pPr>
            <w:r w:rsidRPr="000879AD">
              <w:rPr>
                <w:rFonts w:ascii="Calibri" w:hAnsi="Calibri" w:cs="Calibri"/>
                <w:sz w:val="18"/>
                <w:szCs w:val="18"/>
              </w:rPr>
              <w:t xml:space="preserve">EUR 2,500 to the applicant company, Mr Polukhin and Mr Nikolayev, each </w:t>
            </w:r>
          </w:p>
        </w:tc>
        <w:tc>
          <w:tcPr>
            <w:tcW w:w="2070" w:type="dxa"/>
          </w:tcPr>
          <w:p w:rsidRPr="000879AD" w:rsidR="0098379F" w:rsidP="000879AD" w:rsidRDefault="0098379F" w14:paraId="43209D8E" w14:textId="77777777">
            <w:pPr>
              <w:pStyle w:val="JuParaLast"/>
              <w:ind w:firstLine="0"/>
              <w:jc w:val="left"/>
              <w:rPr>
                <w:rFonts w:ascii="Calibri" w:hAnsi="Calibri" w:cs="Calibri"/>
                <w:sz w:val="18"/>
                <w:szCs w:val="18"/>
              </w:rPr>
            </w:pPr>
            <w:r w:rsidRPr="000879AD">
              <w:rPr>
                <w:rFonts w:ascii="Calibri" w:hAnsi="Calibri" w:cs="Calibri"/>
                <w:sz w:val="18"/>
                <w:szCs w:val="18"/>
              </w:rPr>
              <w:t>EUR 1,500 to the applicant company</w:t>
            </w:r>
          </w:p>
        </w:tc>
      </w:tr>
      <w:tr w:rsidRPr="000879AD" w:rsidR="0098379F" w:rsidTr="00C04AB8" w14:paraId="55E3CC1A" w14:textId="77777777">
        <w:trPr>
          <w:trHeight w:val="1719"/>
        </w:trPr>
        <w:tc>
          <w:tcPr>
            <w:tcW w:w="1071" w:type="dxa"/>
          </w:tcPr>
          <w:p w:rsidRPr="000879AD" w:rsidR="0098379F" w:rsidP="000879AD" w:rsidRDefault="0098379F" w14:paraId="73F2FD7F" w14:textId="77777777">
            <w:pPr>
              <w:pStyle w:val="JuParaLast"/>
              <w:ind w:firstLine="0"/>
              <w:jc w:val="left"/>
              <w:rPr>
                <w:rFonts w:ascii="Calibri" w:hAnsi="Calibri" w:cs="Calibri"/>
                <w:b/>
                <w:bCs/>
                <w:sz w:val="18"/>
                <w:szCs w:val="18"/>
                <w:lang w:val="fr-FR"/>
              </w:rPr>
            </w:pPr>
            <w:r w:rsidRPr="000879AD">
              <w:rPr>
                <w:rFonts w:ascii="Calibri" w:hAnsi="Calibri" w:cs="Calibri"/>
                <w:b/>
                <w:bCs/>
                <w:sz w:val="18"/>
                <w:szCs w:val="18"/>
              </w:rPr>
              <w:t>35043/13</w:t>
            </w:r>
          </w:p>
        </w:tc>
        <w:tc>
          <w:tcPr>
            <w:tcW w:w="2137" w:type="dxa"/>
          </w:tcPr>
          <w:p w:rsidRPr="000879AD" w:rsidR="0098379F" w:rsidP="000879AD" w:rsidRDefault="0098379F" w14:paraId="4BF3F981" w14:textId="77777777">
            <w:pPr>
              <w:pStyle w:val="JuParaLast"/>
              <w:ind w:left="-2" w:firstLine="2"/>
              <w:jc w:val="left"/>
              <w:rPr>
                <w:rFonts w:ascii="Calibri" w:hAnsi="Calibri" w:cs="Calibri"/>
                <w:sz w:val="18"/>
                <w:szCs w:val="18"/>
              </w:rPr>
            </w:pPr>
            <w:r w:rsidRPr="000879AD">
              <w:rPr>
                <w:rFonts w:ascii="Calibri" w:hAnsi="Calibri" w:cs="Calibri"/>
                <w:sz w:val="18"/>
                <w:szCs w:val="18"/>
              </w:rPr>
              <w:t>RUB 99,000</w:t>
            </w:r>
          </w:p>
          <w:p w:rsidRPr="000879AD" w:rsidR="0098379F" w:rsidP="000879AD" w:rsidRDefault="0098379F" w14:paraId="69B7BA2E" w14:textId="77777777">
            <w:pPr>
              <w:pStyle w:val="JuParaLast"/>
              <w:ind w:left="-2" w:firstLine="2"/>
              <w:jc w:val="left"/>
              <w:rPr>
                <w:rFonts w:ascii="Calibri" w:hAnsi="Calibri" w:cs="Calibri"/>
                <w:sz w:val="18"/>
                <w:szCs w:val="18"/>
              </w:rPr>
            </w:pPr>
            <w:r w:rsidRPr="000879AD">
              <w:rPr>
                <w:rFonts w:ascii="Calibri" w:hAnsi="Calibri" w:cs="Calibri"/>
                <w:sz w:val="18"/>
                <w:szCs w:val="18"/>
              </w:rPr>
              <w:t>(EUR 2,326 at the exchange rate applicable on 19/10/2011, the date of execution of the judgment of 22/03/2011)</w:t>
            </w:r>
          </w:p>
        </w:tc>
        <w:tc>
          <w:tcPr>
            <w:tcW w:w="1659" w:type="dxa"/>
          </w:tcPr>
          <w:p w:rsidRPr="000879AD" w:rsidR="0098379F" w:rsidP="000879AD" w:rsidRDefault="0098379F" w14:paraId="486E5B44" w14:textId="77777777">
            <w:pPr>
              <w:pStyle w:val="JuParaLast"/>
              <w:ind w:firstLine="0"/>
              <w:jc w:val="left"/>
              <w:rPr>
                <w:rFonts w:ascii="Calibri" w:hAnsi="Calibri" w:cs="Calibri"/>
                <w:sz w:val="18"/>
                <w:szCs w:val="18"/>
              </w:rPr>
            </w:pPr>
            <w:r w:rsidRPr="000879AD">
              <w:rPr>
                <w:rFonts w:ascii="Calibri" w:hAnsi="Calibri" w:cs="Calibri"/>
                <w:sz w:val="18"/>
                <w:szCs w:val="18"/>
              </w:rPr>
              <w:t>EUR 5,000</w:t>
            </w:r>
          </w:p>
        </w:tc>
        <w:tc>
          <w:tcPr>
            <w:tcW w:w="1568" w:type="dxa"/>
          </w:tcPr>
          <w:p w:rsidRPr="000879AD" w:rsidR="0098379F" w:rsidP="000879AD" w:rsidRDefault="0098379F" w14:paraId="4CB01067" w14:textId="77777777">
            <w:pPr>
              <w:pStyle w:val="JuParaLast"/>
              <w:ind w:firstLine="0"/>
              <w:jc w:val="left"/>
              <w:rPr>
                <w:rFonts w:ascii="Calibri" w:hAnsi="Calibri" w:cs="Calibri"/>
                <w:sz w:val="18"/>
                <w:szCs w:val="18"/>
              </w:rPr>
            </w:pPr>
            <w:r w:rsidRPr="000879AD">
              <w:rPr>
                <w:rFonts w:ascii="Calibri" w:hAnsi="Calibri" w:cs="Calibri"/>
                <w:sz w:val="18"/>
                <w:szCs w:val="18"/>
              </w:rPr>
              <w:t>EUR 100</w:t>
            </w:r>
          </w:p>
          <w:p w:rsidRPr="000879AD" w:rsidR="0098379F" w:rsidP="000879AD" w:rsidRDefault="0098379F" w14:paraId="19720AF3" w14:textId="77777777">
            <w:pPr>
              <w:pStyle w:val="JuParaLast"/>
              <w:ind w:firstLine="0"/>
              <w:jc w:val="left"/>
              <w:rPr>
                <w:rFonts w:ascii="Calibri" w:hAnsi="Calibri" w:cs="Calibri"/>
                <w:sz w:val="18"/>
                <w:szCs w:val="18"/>
              </w:rPr>
            </w:pPr>
            <w:r w:rsidRPr="000879AD">
              <w:rPr>
                <w:rFonts w:ascii="Calibri" w:hAnsi="Calibri" w:cs="Calibri"/>
                <w:sz w:val="18"/>
                <w:szCs w:val="18"/>
              </w:rPr>
              <w:t>(RUB 4,000)</w:t>
            </w:r>
          </w:p>
        </w:tc>
        <w:tc>
          <w:tcPr>
            <w:tcW w:w="1846" w:type="dxa"/>
          </w:tcPr>
          <w:p w:rsidRPr="000879AD" w:rsidR="0098379F" w:rsidP="000879AD" w:rsidRDefault="0098379F" w14:paraId="471AC359" w14:textId="77777777">
            <w:pPr>
              <w:pStyle w:val="JuParaLast"/>
              <w:ind w:firstLine="0"/>
              <w:jc w:val="left"/>
              <w:rPr>
                <w:rFonts w:ascii="Calibri" w:hAnsi="Calibri" w:cs="Calibri"/>
                <w:sz w:val="18"/>
                <w:szCs w:val="18"/>
              </w:rPr>
            </w:pPr>
            <w:r w:rsidRPr="000879AD">
              <w:rPr>
                <w:rFonts w:ascii="Calibri" w:hAnsi="Calibri" w:cs="Calibri"/>
                <w:sz w:val="18"/>
                <w:szCs w:val="18"/>
              </w:rPr>
              <w:t>EUR 2,326</w:t>
            </w:r>
          </w:p>
        </w:tc>
        <w:tc>
          <w:tcPr>
            <w:tcW w:w="1840" w:type="dxa"/>
          </w:tcPr>
          <w:p w:rsidRPr="000879AD" w:rsidR="0098379F" w:rsidP="000879AD" w:rsidRDefault="0098379F" w14:paraId="68C51A93" w14:textId="77777777">
            <w:pPr>
              <w:pStyle w:val="JuParaLast"/>
              <w:ind w:firstLine="0"/>
              <w:jc w:val="left"/>
              <w:rPr>
                <w:rFonts w:ascii="Calibri" w:hAnsi="Calibri" w:cs="Calibri"/>
                <w:sz w:val="18"/>
                <w:szCs w:val="18"/>
              </w:rPr>
            </w:pPr>
            <w:r w:rsidRPr="000879AD">
              <w:rPr>
                <w:rFonts w:ascii="Calibri" w:hAnsi="Calibri" w:cs="Calibri"/>
                <w:sz w:val="18"/>
                <w:szCs w:val="18"/>
              </w:rPr>
              <w:t>EUR 5,000</w:t>
            </w:r>
          </w:p>
        </w:tc>
        <w:tc>
          <w:tcPr>
            <w:tcW w:w="2070" w:type="dxa"/>
          </w:tcPr>
          <w:p w:rsidRPr="000879AD" w:rsidR="0098379F" w:rsidP="000879AD" w:rsidRDefault="0098379F" w14:paraId="6C997329" w14:textId="77777777">
            <w:pPr>
              <w:pStyle w:val="JuParaLast"/>
              <w:ind w:firstLine="0"/>
              <w:jc w:val="left"/>
              <w:rPr>
                <w:rFonts w:ascii="Calibri" w:hAnsi="Calibri" w:cs="Calibri"/>
                <w:sz w:val="18"/>
                <w:szCs w:val="18"/>
              </w:rPr>
            </w:pPr>
            <w:r w:rsidRPr="000879AD">
              <w:rPr>
                <w:rFonts w:ascii="Calibri" w:hAnsi="Calibri" w:cs="Calibri"/>
                <w:sz w:val="18"/>
                <w:szCs w:val="18"/>
              </w:rPr>
              <w:t>EUR 100</w:t>
            </w:r>
          </w:p>
        </w:tc>
      </w:tr>
    </w:tbl>
    <w:p w:rsidRPr="000879AD" w:rsidR="00182EBA" w:rsidP="000879AD" w:rsidRDefault="00182EBA" w14:paraId="3A2B4FA0" w14:textId="00BEDC4E"/>
    <w:sectPr w:rsidRPr="000879AD" w:rsidR="00182EBA" w:rsidSect="00D61AE0">
      <w:headerReference w:type="even" r:id="rId21"/>
      <w:headerReference w:type="default" r:id="rId22"/>
      <w:footerReference w:type="even" r:id="rId23"/>
      <w:footerReference w:type="default" r:id="rId24"/>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8F63" w14:textId="77777777" w:rsidR="0098379F" w:rsidRPr="00E67565" w:rsidRDefault="0098379F" w:rsidP="0098410D">
      <w:r w:rsidRPr="00E67565">
        <w:separator/>
      </w:r>
    </w:p>
  </w:endnote>
  <w:endnote w:type="continuationSeparator" w:id="0">
    <w:p w14:paraId="378E8344" w14:textId="77777777" w:rsidR="0098379F" w:rsidRPr="00E67565" w:rsidRDefault="0098379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D2AF" w14:textId="0607FBE9" w:rsidR="0098379F" w:rsidRPr="00150BFA" w:rsidRDefault="0098379F" w:rsidP="0020718E">
    <w:pPr>
      <w:jc w:val="center"/>
    </w:pPr>
    <w:r>
      <w:rPr>
        <w:noProof/>
        <w:lang w:val="en-US" w:eastAsia="ja-JP"/>
      </w:rPr>
      <w:drawing>
        <wp:inline distT="0" distB="0" distL="0" distR="0" wp14:anchorId="2791889E" wp14:editId="1532EBB8">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1F2580B" w14:textId="5D89AEE9"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FADE" w14:textId="2E4D9343" w:rsidR="0098379F" w:rsidRPr="00150BFA" w:rsidRDefault="0098379F" w:rsidP="0020718E">
    <w:pPr>
      <w:jc w:val="center"/>
    </w:pPr>
    <w:r>
      <w:rPr>
        <w:noProof/>
        <w:lang w:val="en-US" w:eastAsia="ja-JP"/>
      </w:rPr>
      <w:drawing>
        <wp:inline distT="0" distB="0" distL="0" distR="0" wp14:anchorId="23F99D03" wp14:editId="3A093CE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ACB4C91" w14:textId="0F724855"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6B04" w14:textId="6DE65294" w:rsidR="0098379F" w:rsidRDefault="0098379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9FD8" w14:textId="334DF950" w:rsidR="0098379F" w:rsidRPr="000B7195" w:rsidRDefault="0098379F"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4506" w14:textId="0E25A93B" w:rsidR="00182EBA" w:rsidRDefault="0098379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1BD" w14:textId="2D1CC1A8" w:rsidR="00182EBA" w:rsidRPr="000B7195" w:rsidRDefault="0098379F"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2167" w14:textId="77777777" w:rsidR="0098379F" w:rsidRPr="00E67565" w:rsidRDefault="0098379F" w:rsidP="0098410D">
      <w:r w:rsidRPr="00E67565">
        <w:separator/>
      </w:r>
    </w:p>
  </w:footnote>
  <w:footnote w:type="continuationSeparator" w:id="0">
    <w:p w14:paraId="054F8C60" w14:textId="77777777" w:rsidR="0098379F" w:rsidRPr="00E67565" w:rsidRDefault="0098379F"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F2FC" w14:textId="030F70C0" w:rsidR="0098379F" w:rsidRPr="00A45145" w:rsidRDefault="0098379F" w:rsidP="00A45145">
    <w:pPr>
      <w:jc w:val="center"/>
    </w:pPr>
    <w:r>
      <w:rPr>
        <w:noProof/>
        <w:lang w:val="en-US" w:eastAsia="ja-JP"/>
      </w:rPr>
      <w:drawing>
        <wp:inline distT="0" distB="0" distL="0" distR="0" wp14:anchorId="2EAE4D31" wp14:editId="6FD40FE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B0378B" w14:textId="3572756C"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4A4C" w14:textId="7A9838C1" w:rsidR="0098379F" w:rsidRPr="00A45145" w:rsidRDefault="0098379F" w:rsidP="00A45145">
    <w:pPr>
      <w:jc w:val="center"/>
    </w:pPr>
    <w:r>
      <w:rPr>
        <w:noProof/>
        <w:lang w:val="en-US" w:eastAsia="ja-JP"/>
      </w:rPr>
      <w:drawing>
        <wp:inline distT="0" distB="0" distL="0" distR="0" wp14:anchorId="35578B89" wp14:editId="7A90DD02">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08F6FD" w14:textId="227B988E"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4C1B" w14:textId="36319154" w:rsidR="0098379F" w:rsidRPr="004D0EC7" w:rsidRDefault="0098379F" w:rsidP="004D0EC7">
    <w:pPr>
      <w:pStyle w:val="JuHeader"/>
    </w:pPr>
    <w:r>
      <w:t>NOVAYA GAZETA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8196" w14:textId="523EDEC1" w:rsidR="0098379F" w:rsidRPr="00882CD5" w:rsidRDefault="0098379F" w:rsidP="007D3701">
    <w:pPr>
      <w:pStyle w:val="JuHeader"/>
    </w:pPr>
    <w:r>
      <w:t>NOVAYA GAZETA AND OTHERS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3EAA" w14:textId="6C1C47A1" w:rsidR="00182EBA" w:rsidRPr="004D0EC7" w:rsidRDefault="0098379F" w:rsidP="00C04AB8">
    <w:pPr>
      <w:pStyle w:val="JuHeader"/>
    </w:pPr>
    <w:r>
      <w:t>NOVAYA GAZETA AND OTHERS v. RUSSIA</w:t>
    </w:r>
    <w:r w:rsidR="00182EBA" w:rsidRPr="004D0EC7">
      <w:t xml:space="preserve"> </w:t>
    </w:r>
    <w:r w:rsidR="00182EBA">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EA5A" w14:textId="31B3A562" w:rsidR="00182EBA" w:rsidRPr="00882CD5" w:rsidRDefault="0098379F" w:rsidP="00C04AB8">
    <w:pPr>
      <w:pStyle w:val="JuHeader"/>
      <w:tabs>
        <w:tab w:val="decimal" w:pos="6379"/>
      </w:tabs>
    </w:pPr>
    <w:r>
      <w:t>NOVAYA GAZETA AND OTHERS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4"/>
    <w:docVar w:name="NBEMMDOC" w:val="0"/>
    <w:docVar w:name="Plural" w:val="3"/>
  </w:docVars>
  <w:rsids>
    <w:rsidRoot w:val="0098379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879AD"/>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8537E"/>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5C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D7066"/>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379F"/>
    <w:rsid w:val="0098410D"/>
    <w:rsid w:val="00985BAB"/>
    <w:rsid w:val="00986B3C"/>
    <w:rsid w:val="00990022"/>
    <w:rsid w:val="009A115C"/>
    <w:rsid w:val="009B1606"/>
    <w:rsid w:val="009B1B5F"/>
    <w:rsid w:val="009B6673"/>
    <w:rsid w:val="009C191B"/>
    <w:rsid w:val="009C2BD6"/>
    <w:rsid w:val="009E1F32"/>
    <w:rsid w:val="009E2CC2"/>
    <w:rsid w:val="009E47A2"/>
    <w:rsid w:val="009E776C"/>
    <w:rsid w:val="009E7A6F"/>
    <w:rsid w:val="009F4C8F"/>
    <w:rsid w:val="00A0032D"/>
    <w:rsid w:val="00A02836"/>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1F2E"/>
    <w:rsid w:val="00B52BE0"/>
    <w:rsid w:val="00B54133"/>
    <w:rsid w:val="00B701ED"/>
    <w:rsid w:val="00B748F7"/>
    <w:rsid w:val="00B8086C"/>
    <w:rsid w:val="00B81C58"/>
    <w:rsid w:val="00B861B4"/>
    <w:rsid w:val="00B86DFE"/>
    <w:rsid w:val="00B90990"/>
    <w:rsid w:val="00B91AD3"/>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4AB8"/>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1AE0"/>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5B8C"/>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3FD4"/>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E1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04AB8"/>
    <w:rPr>
      <w:sz w:val="24"/>
      <w:szCs w:val="24"/>
      <w:lang w:val="en-GB"/>
    </w:rPr>
  </w:style>
  <w:style w:type="paragraph" w:styleId="Heading1">
    <w:name w:val="heading 1"/>
    <w:basedOn w:val="Normal"/>
    <w:next w:val="Normal"/>
    <w:link w:val="Heading1Char"/>
    <w:uiPriority w:val="98"/>
    <w:semiHidden/>
    <w:rsid w:val="00C04AB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04AB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04AB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04AB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04AB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04AB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04AB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04AB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04AB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04AB8"/>
    <w:rPr>
      <w:rFonts w:ascii="Tahoma" w:hAnsi="Tahoma" w:cs="Tahoma"/>
      <w:sz w:val="16"/>
      <w:szCs w:val="16"/>
    </w:rPr>
  </w:style>
  <w:style w:type="character" w:customStyle="1" w:styleId="BalloonTextChar">
    <w:name w:val="Balloon Text Char"/>
    <w:basedOn w:val="DefaultParagraphFont"/>
    <w:link w:val="BalloonText"/>
    <w:uiPriority w:val="98"/>
    <w:semiHidden/>
    <w:rsid w:val="00C04AB8"/>
    <w:rPr>
      <w:rFonts w:ascii="Tahoma" w:hAnsi="Tahoma" w:cs="Tahoma"/>
      <w:sz w:val="16"/>
      <w:szCs w:val="16"/>
      <w:lang w:val="en-GB"/>
    </w:rPr>
  </w:style>
  <w:style w:type="character" w:styleId="BookTitle">
    <w:name w:val="Book Title"/>
    <w:uiPriority w:val="98"/>
    <w:semiHidden/>
    <w:qFormat/>
    <w:rsid w:val="00C04AB8"/>
    <w:rPr>
      <w:i/>
      <w:iCs/>
      <w:smallCaps/>
      <w:spacing w:val="5"/>
    </w:rPr>
  </w:style>
  <w:style w:type="paragraph" w:customStyle="1" w:styleId="JuHeader">
    <w:name w:val="Ju_Header"/>
    <w:aliases w:val="_Header"/>
    <w:basedOn w:val="Header"/>
    <w:uiPriority w:val="29"/>
    <w:qFormat/>
    <w:rsid w:val="00C04AB8"/>
    <w:pPr>
      <w:tabs>
        <w:tab w:val="clear" w:pos="4536"/>
        <w:tab w:val="clear" w:pos="9072"/>
      </w:tabs>
      <w:jc w:val="center"/>
    </w:pPr>
    <w:rPr>
      <w:sz w:val="18"/>
    </w:rPr>
  </w:style>
  <w:style w:type="paragraph" w:customStyle="1" w:styleId="NormalJustified">
    <w:name w:val="Normal_Justified"/>
    <w:basedOn w:val="Normal"/>
    <w:semiHidden/>
    <w:rsid w:val="00C04AB8"/>
    <w:pPr>
      <w:jc w:val="both"/>
    </w:pPr>
  </w:style>
  <w:style w:type="character" w:styleId="Strong">
    <w:name w:val="Strong"/>
    <w:uiPriority w:val="98"/>
    <w:semiHidden/>
    <w:qFormat/>
    <w:rsid w:val="00C04AB8"/>
    <w:rPr>
      <w:b/>
      <w:bCs/>
    </w:rPr>
  </w:style>
  <w:style w:type="paragraph" w:styleId="NoSpacing">
    <w:name w:val="No Spacing"/>
    <w:basedOn w:val="Normal"/>
    <w:link w:val="NoSpacingChar"/>
    <w:uiPriority w:val="98"/>
    <w:semiHidden/>
    <w:qFormat/>
    <w:rsid w:val="00C04AB8"/>
  </w:style>
  <w:style w:type="character" w:customStyle="1" w:styleId="NoSpacingChar">
    <w:name w:val="No Spacing Char"/>
    <w:basedOn w:val="DefaultParagraphFont"/>
    <w:link w:val="NoSpacing"/>
    <w:uiPriority w:val="98"/>
    <w:semiHidden/>
    <w:rsid w:val="00C04AB8"/>
    <w:rPr>
      <w:sz w:val="24"/>
      <w:szCs w:val="24"/>
      <w:lang w:val="en-GB"/>
    </w:rPr>
  </w:style>
  <w:style w:type="paragraph" w:customStyle="1" w:styleId="JuQuot">
    <w:name w:val="Ju_Quot"/>
    <w:aliases w:val="_Quote"/>
    <w:basedOn w:val="NormalJustified"/>
    <w:uiPriority w:val="20"/>
    <w:qFormat/>
    <w:rsid w:val="00C04AB8"/>
    <w:pPr>
      <w:spacing w:before="120" w:after="120"/>
      <w:ind w:left="425" w:firstLine="142"/>
    </w:pPr>
    <w:rPr>
      <w:sz w:val="20"/>
    </w:rPr>
  </w:style>
  <w:style w:type="paragraph" w:customStyle="1" w:styleId="DummyStyle">
    <w:name w:val="Dummy_Style"/>
    <w:aliases w:val="_Dummy"/>
    <w:basedOn w:val="Normal"/>
    <w:semiHidden/>
    <w:qFormat/>
    <w:rsid w:val="00C04AB8"/>
    <w:rPr>
      <w:color w:val="00B050"/>
      <w:sz w:val="22"/>
    </w:rPr>
  </w:style>
  <w:style w:type="paragraph" w:customStyle="1" w:styleId="JuList">
    <w:name w:val="Ju_List"/>
    <w:aliases w:val="_List_1"/>
    <w:basedOn w:val="NormalJustified"/>
    <w:uiPriority w:val="23"/>
    <w:qFormat/>
    <w:rsid w:val="00C04AB8"/>
    <w:pPr>
      <w:numPr>
        <w:numId w:val="9"/>
      </w:numPr>
      <w:spacing w:before="280" w:after="60"/>
    </w:pPr>
  </w:style>
  <w:style w:type="paragraph" w:customStyle="1" w:styleId="JuLista">
    <w:name w:val="Ju_List_a"/>
    <w:aliases w:val="_List_2"/>
    <w:basedOn w:val="NormalJustified"/>
    <w:uiPriority w:val="23"/>
    <w:rsid w:val="00C04AB8"/>
    <w:pPr>
      <w:numPr>
        <w:ilvl w:val="1"/>
        <w:numId w:val="9"/>
      </w:numPr>
    </w:pPr>
  </w:style>
  <w:style w:type="paragraph" w:customStyle="1" w:styleId="JuListi">
    <w:name w:val="Ju_List_i"/>
    <w:aliases w:val="_List_3"/>
    <w:basedOn w:val="NormalJustified"/>
    <w:uiPriority w:val="23"/>
    <w:rsid w:val="00C04AB8"/>
    <w:pPr>
      <w:numPr>
        <w:ilvl w:val="2"/>
        <w:numId w:val="9"/>
      </w:numPr>
    </w:pPr>
  </w:style>
  <w:style w:type="paragraph" w:customStyle="1" w:styleId="JuHArticle">
    <w:name w:val="Ju_H_Article"/>
    <w:aliases w:val="_Title_Quote"/>
    <w:basedOn w:val="Normal"/>
    <w:next w:val="JuQuot"/>
    <w:uiPriority w:val="19"/>
    <w:qFormat/>
    <w:rsid w:val="00C04AB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04AB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04AB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C04AB8"/>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C04AB8"/>
    <w:pPr>
      <w:numPr>
        <w:numId w:val="8"/>
      </w:numPr>
    </w:pPr>
  </w:style>
  <w:style w:type="paragraph" w:customStyle="1" w:styleId="JuSigned">
    <w:name w:val="Ju_Signed"/>
    <w:aliases w:val="_Signature"/>
    <w:basedOn w:val="Normal"/>
    <w:next w:val="JuPara"/>
    <w:uiPriority w:val="31"/>
    <w:qFormat/>
    <w:rsid w:val="00C04AB8"/>
    <w:pPr>
      <w:tabs>
        <w:tab w:val="center" w:pos="851"/>
        <w:tab w:val="center" w:pos="6407"/>
      </w:tabs>
      <w:spacing w:before="720"/>
    </w:pPr>
  </w:style>
  <w:style w:type="paragraph" w:styleId="Title">
    <w:name w:val="Title"/>
    <w:basedOn w:val="Normal"/>
    <w:next w:val="Normal"/>
    <w:link w:val="TitleChar"/>
    <w:uiPriority w:val="98"/>
    <w:semiHidden/>
    <w:qFormat/>
    <w:rsid w:val="00C04AB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04AB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C04AB8"/>
    <w:pPr>
      <w:numPr>
        <w:numId w:val="1"/>
      </w:numPr>
    </w:pPr>
  </w:style>
  <w:style w:type="numbering" w:customStyle="1" w:styleId="ECHRA1StyleNumberedList">
    <w:name w:val="ECHR_A1_Style_Numbered_List"/>
    <w:basedOn w:val="NoList"/>
    <w:rsid w:val="00C04AB8"/>
    <w:pPr>
      <w:numPr>
        <w:numId w:val="10"/>
      </w:numPr>
    </w:pPr>
  </w:style>
  <w:style w:type="table" w:customStyle="1" w:styleId="ECHRTable2019">
    <w:name w:val="ECHR_Table_2019"/>
    <w:basedOn w:val="TableNormal"/>
    <w:uiPriority w:val="99"/>
    <w:rsid w:val="00C04A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C04AB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04AB8"/>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04AB8"/>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04AB8"/>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C04AB8"/>
    <w:pPr>
      <w:tabs>
        <w:tab w:val="center" w:pos="4536"/>
        <w:tab w:val="right" w:pos="9072"/>
      </w:tabs>
    </w:pPr>
  </w:style>
  <w:style w:type="character" w:customStyle="1" w:styleId="HeaderChar">
    <w:name w:val="Header Char"/>
    <w:basedOn w:val="DefaultParagraphFont"/>
    <w:link w:val="Header"/>
    <w:uiPriority w:val="98"/>
    <w:semiHidden/>
    <w:rsid w:val="00C04AB8"/>
    <w:rPr>
      <w:sz w:val="24"/>
      <w:szCs w:val="24"/>
      <w:lang w:val="en-GB"/>
    </w:rPr>
  </w:style>
  <w:style w:type="character" w:customStyle="1" w:styleId="Heading1Char">
    <w:name w:val="Heading 1 Char"/>
    <w:basedOn w:val="DefaultParagraphFont"/>
    <w:link w:val="Heading1"/>
    <w:uiPriority w:val="98"/>
    <w:semiHidden/>
    <w:rsid w:val="00C04AB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04AB8"/>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C04AB8"/>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04AB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04AB8"/>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04AB8"/>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C04AB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04AB8"/>
    <w:pPr>
      <w:keepNext/>
      <w:keepLines/>
      <w:spacing w:before="240" w:after="240"/>
      <w:ind w:firstLine="284"/>
    </w:pPr>
  </w:style>
  <w:style w:type="paragraph" w:customStyle="1" w:styleId="JuJudges">
    <w:name w:val="Ju_Judges"/>
    <w:aliases w:val="_Judges"/>
    <w:basedOn w:val="Normal"/>
    <w:uiPriority w:val="32"/>
    <w:qFormat/>
    <w:rsid w:val="00C04AB8"/>
    <w:pPr>
      <w:tabs>
        <w:tab w:val="left" w:pos="567"/>
        <w:tab w:val="left" w:pos="1134"/>
      </w:tabs>
    </w:pPr>
  </w:style>
  <w:style w:type="character" w:customStyle="1" w:styleId="Heading4Char">
    <w:name w:val="Heading 4 Char"/>
    <w:basedOn w:val="DefaultParagraphFont"/>
    <w:link w:val="Heading4"/>
    <w:uiPriority w:val="98"/>
    <w:semiHidden/>
    <w:rsid w:val="00C04AB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C04AB8"/>
    <w:pPr>
      <w:tabs>
        <w:tab w:val="center" w:pos="6407"/>
      </w:tabs>
      <w:spacing w:before="720"/>
      <w:jc w:val="right"/>
    </w:pPr>
  </w:style>
  <w:style w:type="character" w:customStyle="1" w:styleId="Heading5Char">
    <w:name w:val="Heading 5 Char"/>
    <w:basedOn w:val="DefaultParagraphFont"/>
    <w:link w:val="Heading5"/>
    <w:uiPriority w:val="98"/>
    <w:semiHidden/>
    <w:rsid w:val="00C04AB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C04AB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04AB8"/>
    <w:rPr>
      <w:caps w:val="0"/>
      <w:smallCaps/>
    </w:rPr>
  </w:style>
  <w:style w:type="character" w:styleId="SubtleEmphasis">
    <w:name w:val="Subtle Emphasis"/>
    <w:uiPriority w:val="98"/>
    <w:semiHidden/>
    <w:qFormat/>
    <w:rsid w:val="00C04AB8"/>
    <w:rPr>
      <w:i/>
      <w:iCs/>
    </w:rPr>
  </w:style>
  <w:style w:type="table" w:customStyle="1" w:styleId="ECHRTable">
    <w:name w:val="ECHR_Table"/>
    <w:basedOn w:val="TableNormal"/>
    <w:rsid w:val="00C04A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04A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04AB8"/>
    <w:rPr>
      <w:b/>
      <w:bCs/>
      <w:i/>
      <w:iCs/>
      <w:spacing w:val="10"/>
      <w:bdr w:val="none" w:sz="0" w:space="0" w:color="auto"/>
      <w:shd w:val="clear" w:color="auto" w:fill="auto"/>
    </w:rPr>
  </w:style>
  <w:style w:type="paragraph" w:styleId="Footer0">
    <w:name w:val="footer"/>
    <w:basedOn w:val="Normal"/>
    <w:link w:val="FooterChar"/>
    <w:uiPriority w:val="98"/>
    <w:semiHidden/>
    <w:rsid w:val="00C04AB8"/>
    <w:pPr>
      <w:tabs>
        <w:tab w:val="center" w:pos="3686"/>
        <w:tab w:val="right" w:pos="7371"/>
      </w:tabs>
    </w:pPr>
  </w:style>
  <w:style w:type="character" w:customStyle="1" w:styleId="FooterChar">
    <w:name w:val="Footer Char"/>
    <w:basedOn w:val="DefaultParagraphFont"/>
    <w:link w:val="Footer0"/>
    <w:uiPriority w:val="98"/>
    <w:semiHidden/>
    <w:rsid w:val="00C04AB8"/>
    <w:rPr>
      <w:sz w:val="24"/>
      <w:szCs w:val="24"/>
      <w:lang w:val="en-GB"/>
    </w:rPr>
  </w:style>
  <w:style w:type="character" w:styleId="FootnoteReference">
    <w:name w:val="footnote reference"/>
    <w:basedOn w:val="DefaultParagraphFont"/>
    <w:uiPriority w:val="98"/>
    <w:semiHidden/>
    <w:rsid w:val="00C04AB8"/>
    <w:rPr>
      <w:vertAlign w:val="superscript"/>
    </w:rPr>
  </w:style>
  <w:style w:type="paragraph" w:styleId="FootnoteText">
    <w:name w:val="footnote text"/>
    <w:basedOn w:val="Normal"/>
    <w:link w:val="FootnoteTextChar"/>
    <w:uiPriority w:val="98"/>
    <w:semiHidden/>
    <w:rsid w:val="00C04AB8"/>
    <w:rPr>
      <w:sz w:val="20"/>
      <w:szCs w:val="20"/>
    </w:rPr>
  </w:style>
  <w:style w:type="character" w:customStyle="1" w:styleId="FootnoteTextChar">
    <w:name w:val="Footnote Text Char"/>
    <w:basedOn w:val="DefaultParagraphFont"/>
    <w:link w:val="FootnoteText"/>
    <w:uiPriority w:val="98"/>
    <w:semiHidden/>
    <w:rsid w:val="00C04AB8"/>
    <w:rPr>
      <w:sz w:val="20"/>
      <w:szCs w:val="20"/>
      <w:lang w:val="en-GB"/>
    </w:rPr>
  </w:style>
  <w:style w:type="character" w:customStyle="1" w:styleId="Heading6Char">
    <w:name w:val="Heading 6 Char"/>
    <w:basedOn w:val="DefaultParagraphFont"/>
    <w:link w:val="Heading6"/>
    <w:uiPriority w:val="98"/>
    <w:semiHidden/>
    <w:rsid w:val="00C04AB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04AB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04AB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04AB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04AB8"/>
    <w:rPr>
      <w:color w:val="0072BC" w:themeColor="hyperlink"/>
      <w:u w:val="single"/>
    </w:rPr>
  </w:style>
  <w:style w:type="character" w:styleId="IntenseEmphasis">
    <w:name w:val="Intense Emphasis"/>
    <w:uiPriority w:val="98"/>
    <w:semiHidden/>
    <w:qFormat/>
    <w:rsid w:val="00C04AB8"/>
    <w:rPr>
      <w:b/>
      <w:bCs/>
    </w:rPr>
  </w:style>
  <w:style w:type="paragraph" w:styleId="IntenseQuote">
    <w:name w:val="Intense Quote"/>
    <w:basedOn w:val="Normal"/>
    <w:next w:val="Normal"/>
    <w:link w:val="IntenseQuoteChar"/>
    <w:uiPriority w:val="98"/>
    <w:semiHidden/>
    <w:qFormat/>
    <w:rsid w:val="00C04AB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04AB8"/>
    <w:rPr>
      <w:b/>
      <w:bCs/>
      <w:i/>
      <w:iCs/>
      <w:sz w:val="24"/>
      <w:szCs w:val="24"/>
      <w:lang w:val="en-GB" w:bidi="en-US"/>
    </w:rPr>
  </w:style>
  <w:style w:type="character" w:styleId="IntenseReference">
    <w:name w:val="Intense Reference"/>
    <w:uiPriority w:val="98"/>
    <w:semiHidden/>
    <w:qFormat/>
    <w:rsid w:val="00C04AB8"/>
    <w:rPr>
      <w:smallCaps/>
      <w:spacing w:val="5"/>
      <w:u w:val="single"/>
    </w:rPr>
  </w:style>
  <w:style w:type="paragraph" w:styleId="ListParagraph">
    <w:name w:val="List Paragraph"/>
    <w:basedOn w:val="Normal"/>
    <w:uiPriority w:val="98"/>
    <w:semiHidden/>
    <w:qFormat/>
    <w:rsid w:val="00C04AB8"/>
    <w:pPr>
      <w:ind w:left="720"/>
      <w:contextualSpacing/>
    </w:pPr>
  </w:style>
  <w:style w:type="table" w:customStyle="1" w:styleId="LtrTableAddress">
    <w:name w:val="Ltr_Table_Address"/>
    <w:aliases w:val="ECHR_Ltr_Table_Address"/>
    <w:basedOn w:val="TableNormal"/>
    <w:uiPriority w:val="99"/>
    <w:rsid w:val="00C04AB8"/>
    <w:rPr>
      <w:sz w:val="24"/>
      <w:szCs w:val="24"/>
    </w:rPr>
    <w:tblPr>
      <w:tblInd w:w="5103" w:type="dxa"/>
    </w:tblPr>
  </w:style>
  <w:style w:type="paragraph" w:styleId="Quote">
    <w:name w:val="Quote"/>
    <w:basedOn w:val="Normal"/>
    <w:next w:val="Normal"/>
    <w:link w:val="QuoteChar"/>
    <w:uiPriority w:val="98"/>
    <w:semiHidden/>
    <w:qFormat/>
    <w:rsid w:val="00C04AB8"/>
    <w:pPr>
      <w:spacing w:before="200"/>
      <w:ind w:left="360" w:right="360"/>
    </w:pPr>
    <w:rPr>
      <w:i/>
      <w:iCs/>
      <w:lang w:bidi="en-US"/>
    </w:rPr>
  </w:style>
  <w:style w:type="character" w:customStyle="1" w:styleId="QuoteChar">
    <w:name w:val="Quote Char"/>
    <w:basedOn w:val="DefaultParagraphFont"/>
    <w:link w:val="Quote"/>
    <w:uiPriority w:val="98"/>
    <w:semiHidden/>
    <w:rsid w:val="00C04AB8"/>
    <w:rPr>
      <w:i/>
      <w:iCs/>
      <w:sz w:val="24"/>
      <w:szCs w:val="24"/>
      <w:lang w:val="en-GB" w:bidi="en-US"/>
    </w:rPr>
  </w:style>
  <w:style w:type="character" w:styleId="SubtleReference">
    <w:name w:val="Subtle Reference"/>
    <w:uiPriority w:val="98"/>
    <w:semiHidden/>
    <w:qFormat/>
    <w:rsid w:val="00C04AB8"/>
    <w:rPr>
      <w:smallCaps/>
    </w:rPr>
  </w:style>
  <w:style w:type="table" w:styleId="TableGrid">
    <w:name w:val="Table Grid"/>
    <w:basedOn w:val="TableNormal"/>
    <w:uiPriority w:val="59"/>
    <w:semiHidden/>
    <w:rsid w:val="00C04AB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04AB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04AB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04AB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04AB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04AB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04AB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04AB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04AB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04AB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04AB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04AB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04AB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04AB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04AB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04AB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04AB8"/>
    <w:pPr>
      <w:numPr>
        <w:numId w:val="5"/>
      </w:numPr>
    </w:pPr>
  </w:style>
  <w:style w:type="paragraph" w:customStyle="1" w:styleId="JuPara">
    <w:name w:val="Ju_Para"/>
    <w:aliases w:val="_Para"/>
    <w:basedOn w:val="NormalJustified"/>
    <w:link w:val="JuParaChar"/>
    <w:uiPriority w:val="4"/>
    <w:qFormat/>
    <w:rsid w:val="00C04AB8"/>
    <w:pPr>
      <w:ind w:firstLine="284"/>
    </w:pPr>
  </w:style>
  <w:style w:type="numbering" w:styleId="1ai">
    <w:name w:val="Outline List 1"/>
    <w:basedOn w:val="NoList"/>
    <w:uiPriority w:val="99"/>
    <w:semiHidden/>
    <w:unhideWhenUsed/>
    <w:rsid w:val="00C04AB8"/>
    <w:pPr>
      <w:numPr>
        <w:numId w:val="6"/>
      </w:numPr>
    </w:pPr>
  </w:style>
  <w:style w:type="table" w:customStyle="1" w:styleId="ECHRTableSimpleBox">
    <w:name w:val="ECHR_Table_Simple_Box"/>
    <w:basedOn w:val="TableNormal"/>
    <w:uiPriority w:val="99"/>
    <w:rsid w:val="00C04AB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04AB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04AB8"/>
    <w:pPr>
      <w:numPr>
        <w:numId w:val="7"/>
      </w:numPr>
    </w:pPr>
  </w:style>
  <w:style w:type="table" w:customStyle="1" w:styleId="ECHRTableForInternalUse">
    <w:name w:val="ECHR_Table_For_Internal_Use"/>
    <w:basedOn w:val="TableNormal"/>
    <w:uiPriority w:val="99"/>
    <w:rsid w:val="00C04AB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04AB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04AB8"/>
  </w:style>
  <w:style w:type="paragraph" w:styleId="BlockText">
    <w:name w:val="Block Text"/>
    <w:basedOn w:val="Normal"/>
    <w:uiPriority w:val="98"/>
    <w:semiHidden/>
    <w:rsid w:val="00C04AB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04AB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04AB8"/>
    <w:pPr>
      <w:spacing w:after="120"/>
    </w:pPr>
  </w:style>
  <w:style w:type="character" w:customStyle="1" w:styleId="BodyTextChar">
    <w:name w:val="Body Text Char"/>
    <w:basedOn w:val="DefaultParagraphFont"/>
    <w:link w:val="BodyText"/>
    <w:uiPriority w:val="98"/>
    <w:semiHidden/>
    <w:rsid w:val="00C04AB8"/>
    <w:rPr>
      <w:sz w:val="24"/>
      <w:szCs w:val="24"/>
      <w:lang w:val="en-GB"/>
    </w:rPr>
  </w:style>
  <w:style w:type="table" w:customStyle="1" w:styleId="ECHRTableOddBanded">
    <w:name w:val="ECHR_Table_Odd_Banded"/>
    <w:basedOn w:val="TableNormal"/>
    <w:uiPriority w:val="99"/>
    <w:rsid w:val="00C04A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04AB8"/>
    <w:pPr>
      <w:spacing w:after="120" w:line="480" w:lineRule="auto"/>
    </w:pPr>
  </w:style>
  <w:style w:type="table" w:customStyle="1" w:styleId="ECHRHeaderTableReduced">
    <w:name w:val="ECHR_Header_Table_Reduced"/>
    <w:basedOn w:val="TableNormal"/>
    <w:uiPriority w:val="99"/>
    <w:rsid w:val="00C04AB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C04AB8"/>
    <w:pPr>
      <w:ind w:firstLine="284"/>
    </w:pPr>
    <w:rPr>
      <w:b/>
    </w:rPr>
  </w:style>
  <w:style w:type="character" w:styleId="PageNumber">
    <w:name w:val="page number"/>
    <w:uiPriority w:val="98"/>
    <w:semiHidden/>
    <w:rsid w:val="00C04AB8"/>
    <w:rPr>
      <w:sz w:val="18"/>
    </w:rPr>
  </w:style>
  <w:style w:type="paragraph" w:styleId="ListBullet">
    <w:name w:val="List Bullet"/>
    <w:basedOn w:val="Normal"/>
    <w:uiPriority w:val="98"/>
    <w:semiHidden/>
    <w:rsid w:val="00C04AB8"/>
    <w:pPr>
      <w:numPr>
        <w:numId w:val="11"/>
      </w:numPr>
    </w:pPr>
  </w:style>
  <w:style w:type="paragraph" w:styleId="ListBullet3">
    <w:name w:val="List Bullet 3"/>
    <w:basedOn w:val="Normal"/>
    <w:uiPriority w:val="98"/>
    <w:semiHidden/>
    <w:rsid w:val="00C04AB8"/>
    <w:pPr>
      <w:numPr>
        <w:numId w:val="13"/>
      </w:numPr>
      <w:contextualSpacing/>
    </w:pPr>
  </w:style>
  <w:style w:type="character" w:customStyle="1" w:styleId="BodyText2Char">
    <w:name w:val="Body Text 2 Char"/>
    <w:basedOn w:val="DefaultParagraphFont"/>
    <w:link w:val="BodyText2"/>
    <w:uiPriority w:val="98"/>
    <w:semiHidden/>
    <w:rsid w:val="00C04AB8"/>
    <w:rPr>
      <w:sz w:val="24"/>
      <w:szCs w:val="24"/>
      <w:lang w:val="en-GB"/>
    </w:rPr>
  </w:style>
  <w:style w:type="paragraph" w:styleId="BodyText3">
    <w:name w:val="Body Text 3"/>
    <w:basedOn w:val="Normal"/>
    <w:link w:val="BodyText3Char"/>
    <w:uiPriority w:val="98"/>
    <w:semiHidden/>
    <w:rsid w:val="00C04AB8"/>
    <w:pPr>
      <w:spacing w:after="120"/>
    </w:pPr>
    <w:rPr>
      <w:sz w:val="16"/>
      <w:szCs w:val="16"/>
    </w:rPr>
  </w:style>
  <w:style w:type="character" w:customStyle="1" w:styleId="BodyText3Char">
    <w:name w:val="Body Text 3 Char"/>
    <w:basedOn w:val="DefaultParagraphFont"/>
    <w:link w:val="BodyText3"/>
    <w:uiPriority w:val="98"/>
    <w:semiHidden/>
    <w:rsid w:val="00C04AB8"/>
    <w:rPr>
      <w:sz w:val="16"/>
      <w:szCs w:val="16"/>
      <w:lang w:val="en-GB"/>
    </w:rPr>
  </w:style>
  <w:style w:type="paragraph" w:styleId="BodyTextFirstIndent">
    <w:name w:val="Body Text First Indent"/>
    <w:basedOn w:val="BodyText"/>
    <w:link w:val="BodyTextFirstIndentChar"/>
    <w:uiPriority w:val="98"/>
    <w:semiHidden/>
    <w:rsid w:val="00C04AB8"/>
    <w:pPr>
      <w:spacing w:after="0"/>
      <w:ind w:firstLine="360"/>
    </w:pPr>
  </w:style>
  <w:style w:type="character" w:customStyle="1" w:styleId="BodyTextFirstIndentChar">
    <w:name w:val="Body Text First Indent Char"/>
    <w:basedOn w:val="BodyTextChar"/>
    <w:link w:val="BodyTextFirstIndent"/>
    <w:uiPriority w:val="98"/>
    <w:semiHidden/>
    <w:rsid w:val="00C04AB8"/>
    <w:rPr>
      <w:sz w:val="24"/>
      <w:szCs w:val="24"/>
      <w:lang w:val="en-GB"/>
    </w:rPr>
  </w:style>
  <w:style w:type="paragraph" w:styleId="BodyTextIndent">
    <w:name w:val="Body Text Indent"/>
    <w:basedOn w:val="Normal"/>
    <w:link w:val="BodyTextIndentChar"/>
    <w:uiPriority w:val="98"/>
    <w:semiHidden/>
    <w:rsid w:val="00C04AB8"/>
    <w:pPr>
      <w:spacing w:after="120"/>
      <w:ind w:left="283"/>
    </w:pPr>
  </w:style>
  <w:style w:type="character" w:customStyle="1" w:styleId="BodyTextIndentChar">
    <w:name w:val="Body Text Indent Char"/>
    <w:basedOn w:val="DefaultParagraphFont"/>
    <w:link w:val="BodyTextIndent"/>
    <w:uiPriority w:val="98"/>
    <w:semiHidden/>
    <w:rsid w:val="00C04AB8"/>
    <w:rPr>
      <w:sz w:val="24"/>
      <w:szCs w:val="24"/>
      <w:lang w:val="en-GB"/>
    </w:rPr>
  </w:style>
  <w:style w:type="paragraph" w:styleId="BodyTextFirstIndent2">
    <w:name w:val="Body Text First Indent 2"/>
    <w:basedOn w:val="BodyTextIndent"/>
    <w:link w:val="BodyTextFirstIndent2Char"/>
    <w:uiPriority w:val="98"/>
    <w:semiHidden/>
    <w:rsid w:val="00C04AB8"/>
    <w:pPr>
      <w:spacing w:after="0"/>
      <w:ind w:left="360" w:firstLine="360"/>
    </w:pPr>
  </w:style>
  <w:style w:type="character" w:customStyle="1" w:styleId="BodyTextFirstIndent2Char">
    <w:name w:val="Body Text First Indent 2 Char"/>
    <w:basedOn w:val="BodyTextIndentChar"/>
    <w:link w:val="BodyTextFirstIndent2"/>
    <w:uiPriority w:val="98"/>
    <w:semiHidden/>
    <w:rsid w:val="00C04AB8"/>
    <w:rPr>
      <w:sz w:val="24"/>
      <w:szCs w:val="24"/>
      <w:lang w:val="en-GB"/>
    </w:rPr>
  </w:style>
  <w:style w:type="paragraph" w:styleId="BodyTextIndent2">
    <w:name w:val="Body Text Indent 2"/>
    <w:basedOn w:val="Normal"/>
    <w:link w:val="BodyTextIndent2Char"/>
    <w:uiPriority w:val="98"/>
    <w:semiHidden/>
    <w:rsid w:val="00C04AB8"/>
    <w:pPr>
      <w:spacing w:after="120" w:line="480" w:lineRule="auto"/>
      <w:ind w:left="283"/>
    </w:pPr>
  </w:style>
  <w:style w:type="character" w:customStyle="1" w:styleId="BodyTextIndent2Char">
    <w:name w:val="Body Text Indent 2 Char"/>
    <w:basedOn w:val="DefaultParagraphFont"/>
    <w:link w:val="BodyTextIndent2"/>
    <w:uiPriority w:val="98"/>
    <w:semiHidden/>
    <w:rsid w:val="00C04AB8"/>
    <w:rPr>
      <w:sz w:val="24"/>
      <w:szCs w:val="24"/>
      <w:lang w:val="en-GB"/>
    </w:rPr>
  </w:style>
  <w:style w:type="paragraph" w:styleId="BodyTextIndent3">
    <w:name w:val="Body Text Indent 3"/>
    <w:basedOn w:val="Normal"/>
    <w:link w:val="BodyTextIndent3Char"/>
    <w:uiPriority w:val="98"/>
    <w:semiHidden/>
    <w:rsid w:val="00C04AB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04AB8"/>
    <w:rPr>
      <w:sz w:val="16"/>
      <w:szCs w:val="16"/>
      <w:lang w:val="en-GB"/>
    </w:rPr>
  </w:style>
  <w:style w:type="paragraph" w:styleId="Caption">
    <w:name w:val="caption"/>
    <w:basedOn w:val="Normal"/>
    <w:next w:val="Normal"/>
    <w:uiPriority w:val="98"/>
    <w:semiHidden/>
    <w:qFormat/>
    <w:rsid w:val="00C04AB8"/>
    <w:pPr>
      <w:spacing w:after="200"/>
    </w:pPr>
    <w:rPr>
      <w:b/>
      <w:bCs/>
      <w:color w:val="0072BC" w:themeColor="accent1"/>
      <w:sz w:val="18"/>
      <w:szCs w:val="18"/>
    </w:rPr>
  </w:style>
  <w:style w:type="paragraph" w:styleId="Closing">
    <w:name w:val="Closing"/>
    <w:basedOn w:val="Normal"/>
    <w:link w:val="ClosingChar"/>
    <w:uiPriority w:val="98"/>
    <w:semiHidden/>
    <w:rsid w:val="00C04AB8"/>
    <w:pPr>
      <w:ind w:left="4252"/>
    </w:pPr>
  </w:style>
  <w:style w:type="character" w:customStyle="1" w:styleId="ClosingChar">
    <w:name w:val="Closing Char"/>
    <w:basedOn w:val="DefaultParagraphFont"/>
    <w:link w:val="Closing"/>
    <w:uiPriority w:val="98"/>
    <w:semiHidden/>
    <w:rsid w:val="00C04AB8"/>
    <w:rPr>
      <w:sz w:val="24"/>
      <w:szCs w:val="24"/>
      <w:lang w:val="en-GB"/>
    </w:rPr>
  </w:style>
  <w:style w:type="table" w:styleId="ColorfulGrid">
    <w:name w:val="Colorful Grid"/>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04AB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04AB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04AB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04AB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04AB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04AB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04AB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04AB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04AB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04AB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04AB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04AB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04AB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04AB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04AB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04AB8"/>
    <w:rPr>
      <w:sz w:val="16"/>
      <w:szCs w:val="16"/>
    </w:rPr>
  </w:style>
  <w:style w:type="paragraph" w:styleId="CommentText">
    <w:name w:val="annotation text"/>
    <w:basedOn w:val="Normal"/>
    <w:link w:val="CommentTextChar"/>
    <w:uiPriority w:val="98"/>
    <w:semiHidden/>
    <w:rsid w:val="00C04AB8"/>
    <w:rPr>
      <w:sz w:val="20"/>
      <w:szCs w:val="20"/>
    </w:rPr>
  </w:style>
  <w:style w:type="character" w:customStyle="1" w:styleId="CommentTextChar">
    <w:name w:val="Comment Text Char"/>
    <w:basedOn w:val="DefaultParagraphFont"/>
    <w:link w:val="CommentText"/>
    <w:uiPriority w:val="98"/>
    <w:semiHidden/>
    <w:rsid w:val="00C04AB8"/>
    <w:rPr>
      <w:sz w:val="20"/>
      <w:szCs w:val="20"/>
      <w:lang w:val="en-GB"/>
    </w:rPr>
  </w:style>
  <w:style w:type="paragraph" w:styleId="CommentSubject">
    <w:name w:val="annotation subject"/>
    <w:basedOn w:val="CommentText"/>
    <w:next w:val="CommentText"/>
    <w:link w:val="CommentSubjectChar"/>
    <w:uiPriority w:val="98"/>
    <w:semiHidden/>
    <w:rsid w:val="00C04AB8"/>
    <w:rPr>
      <w:b/>
      <w:bCs/>
    </w:rPr>
  </w:style>
  <w:style w:type="character" w:customStyle="1" w:styleId="CommentSubjectChar">
    <w:name w:val="Comment Subject Char"/>
    <w:basedOn w:val="CommentTextChar"/>
    <w:link w:val="CommentSubject"/>
    <w:uiPriority w:val="98"/>
    <w:semiHidden/>
    <w:rsid w:val="00C04AB8"/>
    <w:rPr>
      <w:b/>
      <w:bCs/>
      <w:sz w:val="20"/>
      <w:szCs w:val="20"/>
      <w:lang w:val="en-GB"/>
    </w:rPr>
  </w:style>
  <w:style w:type="table" w:styleId="DarkList">
    <w:name w:val="Dark List"/>
    <w:basedOn w:val="TableNormal"/>
    <w:uiPriority w:val="70"/>
    <w:semiHidden/>
    <w:rsid w:val="00C04AB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04AB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04AB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04AB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04AB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04AB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04AB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04AB8"/>
  </w:style>
  <w:style w:type="character" w:customStyle="1" w:styleId="DateChar">
    <w:name w:val="Date Char"/>
    <w:basedOn w:val="DefaultParagraphFont"/>
    <w:link w:val="Date"/>
    <w:uiPriority w:val="98"/>
    <w:semiHidden/>
    <w:rsid w:val="00C04AB8"/>
    <w:rPr>
      <w:sz w:val="24"/>
      <w:szCs w:val="24"/>
      <w:lang w:val="en-GB"/>
    </w:rPr>
  </w:style>
  <w:style w:type="paragraph" w:styleId="DocumentMap">
    <w:name w:val="Document Map"/>
    <w:basedOn w:val="Normal"/>
    <w:link w:val="DocumentMapChar"/>
    <w:uiPriority w:val="98"/>
    <w:semiHidden/>
    <w:rsid w:val="00C04AB8"/>
    <w:rPr>
      <w:rFonts w:ascii="Tahoma" w:hAnsi="Tahoma" w:cs="Tahoma"/>
      <w:sz w:val="16"/>
      <w:szCs w:val="16"/>
    </w:rPr>
  </w:style>
  <w:style w:type="character" w:customStyle="1" w:styleId="DocumentMapChar">
    <w:name w:val="Document Map Char"/>
    <w:basedOn w:val="DefaultParagraphFont"/>
    <w:link w:val="DocumentMap"/>
    <w:uiPriority w:val="98"/>
    <w:semiHidden/>
    <w:rsid w:val="00C04AB8"/>
    <w:rPr>
      <w:rFonts w:ascii="Tahoma" w:hAnsi="Tahoma" w:cs="Tahoma"/>
      <w:sz w:val="16"/>
      <w:szCs w:val="16"/>
      <w:lang w:val="en-GB"/>
    </w:rPr>
  </w:style>
  <w:style w:type="paragraph" w:styleId="E-mailSignature">
    <w:name w:val="E-mail Signature"/>
    <w:basedOn w:val="Normal"/>
    <w:link w:val="E-mailSignatureChar"/>
    <w:uiPriority w:val="98"/>
    <w:semiHidden/>
    <w:rsid w:val="00C04AB8"/>
  </w:style>
  <w:style w:type="character" w:customStyle="1" w:styleId="E-mailSignatureChar">
    <w:name w:val="E-mail Signature Char"/>
    <w:basedOn w:val="DefaultParagraphFont"/>
    <w:link w:val="E-mailSignature"/>
    <w:uiPriority w:val="98"/>
    <w:semiHidden/>
    <w:rsid w:val="00C04AB8"/>
    <w:rPr>
      <w:sz w:val="24"/>
      <w:szCs w:val="24"/>
      <w:lang w:val="en-GB"/>
    </w:rPr>
  </w:style>
  <w:style w:type="character" w:styleId="EndnoteReference">
    <w:name w:val="endnote reference"/>
    <w:basedOn w:val="DefaultParagraphFont"/>
    <w:uiPriority w:val="98"/>
    <w:semiHidden/>
    <w:rsid w:val="00C04AB8"/>
    <w:rPr>
      <w:vertAlign w:val="superscript"/>
    </w:rPr>
  </w:style>
  <w:style w:type="paragraph" w:styleId="EndnoteText">
    <w:name w:val="endnote text"/>
    <w:basedOn w:val="Normal"/>
    <w:link w:val="EndnoteTextChar"/>
    <w:uiPriority w:val="98"/>
    <w:semiHidden/>
    <w:rsid w:val="00C04AB8"/>
    <w:rPr>
      <w:sz w:val="20"/>
      <w:szCs w:val="20"/>
    </w:rPr>
  </w:style>
  <w:style w:type="character" w:customStyle="1" w:styleId="EndnoteTextChar">
    <w:name w:val="Endnote Text Char"/>
    <w:basedOn w:val="DefaultParagraphFont"/>
    <w:link w:val="EndnoteText"/>
    <w:uiPriority w:val="98"/>
    <w:semiHidden/>
    <w:rsid w:val="00C04AB8"/>
    <w:rPr>
      <w:sz w:val="20"/>
      <w:szCs w:val="20"/>
      <w:lang w:val="en-GB"/>
    </w:rPr>
  </w:style>
  <w:style w:type="paragraph" w:styleId="EnvelopeAddress">
    <w:name w:val="envelope address"/>
    <w:basedOn w:val="Normal"/>
    <w:uiPriority w:val="98"/>
    <w:semiHidden/>
    <w:rsid w:val="00C04AB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04AB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04AB8"/>
    <w:rPr>
      <w:color w:val="7030A0" w:themeColor="followedHyperlink"/>
      <w:u w:val="single"/>
    </w:rPr>
  </w:style>
  <w:style w:type="character" w:styleId="HTMLAcronym">
    <w:name w:val="HTML Acronym"/>
    <w:basedOn w:val="DefaultParagraphFont"/>
    <w:uiPriority w:val="98"/>
    <w:semiHidden/>
    <w:rsid w:val="00C04AB8"/>
  </w:style>
  <w:style w:type="paragraph" w:styleId="HTMLAddress">
    <w:name w:val="HTML Address"/>
    <w:basedOn w:val="Normal"/>
    <w:link w:val="HTMLAddressChar"/>
    <w:uiPriority w:val="98"/>
    <w:semiHidden/>
    <w:rsid w:val="00C04AB8"/>
    <w:rPr>
      <w:i/>
      <w:iCs/>
    </w:rPr>
  </w:style>
  <w:style w:type="character" w:customStyle="1" w:styleId="HTMLAddressChar">
    <w:name w:val="HTML Address Char"/>
    <w:basedOn w:val="DefaultParagraphFont"/>
    <w:link w:val="HTMLAddress"/>
    <w:uiPriority w:val="98"/>
    <w:semiHidden/>
    <w:rsid w:val="00C04AB8"/>
    <w:rPr>
      <w:i/>
      <w:iCs/>
      <w:sz w:val="24"/>
      <w:szCs w:val="24"/>
      <w:lang w:val="en-GB"/>
    </w:rPr>
  </w:style>
  <w:style w:type="character" w:styleId="HTMLCite">
    <w:name w:val="HTML Cite"/>
    <w:basedOn w:val="DefaultParagraphFont"/>
    <w:uiPriority w:val="98"/>
    <w:semiHidden/>
    <w:rsid w:val="00C04AB8"/>
    <w:rPr>
      <w:i/>
      <w:iCs/>
    </w:rPr>
  </w:style>
  <w:style w:type="character" w:styleId="HTMLCode">
    <w:name w:val="HTML Code"/>
    <w:basedOn w:val="DefaultParagraphFont"/>
    <w:uiPriority w:val="98"/>
    <w:semiHidden/>
    <w:rsid w:val="00C04AB8"/>
    <w:rPr>
      <w:rFonts w:ascii="Consolas" w:hAnsi="Consolas" w:cs="Consolas"/>
      <w:sz w:val="20"/>
      <w:szCs w:val="20"/>
    </w:rPr>
  </w:style>
  <w:style w:type="character" w:styleId="HTMLDefinition">
    <w:name w:val="HTML Definition"/>
    <w:basedOn w:val="DefaultParagraphFont"/>
    <w:uiPriority w:val="98"/>
    <w:semiHidden/>
    <w:rsid w:val="00C04AB8"/>
    <w:rPr>
      <w:i/>
      <w:iCs/>
    </w:rPr>
  </w:style>
  <w:style w:type="character" w:styleId="HTMLKeyboard">
    <w:name w:val="HTML Keyboard"/>
    <w:basedOn w:val="DefaultParagraphFont"/>
    <w:uiPriority w:val="98"/>
    <w:semiHidden/>
    <w:rsid w:val="00C04AB8"/>
    <w:rPr>
      <w:rFonts w:ascii="Consolas" w:hAnsi="Consolas" w:cs="Consolas"/>
      <w:sz w:val="20"/>
      <w:szCs w:val="20"/>
    </w:rPr>
  </w:style>
  <w:style w:type="paragraph" w:styleId="HTMLPreformatted">
    <w:name w:val="HTML Preformatted"/>
    <w:basedOn w:val="Normal"/>
    <w:link w:val="HTMLPreformattedChar"/>
    <w:uiPriority w:val="98"/>
    <w:semiHidden/>
    <w:rsid w:val="00C04AB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04AB8"/>
    <w:rPr>
      <w:rFonts w:ascii="Consolas" w:hAnsi="Consolas" w:cs="Consolas"/>
      <w:sz w:val="20"/>
      <w:szCs w:val="20"/>
      <w:lang w:val="en-GB"/>
    </w:rPr>
  </w:style>
  <w:style w:type="character" w:styleId="HTMLSample">
    <w:name w:val="HTML Sample"/>
    <w:basedOn w:val="DefaultParagraphFont"/>
    <w:uiPriority w:val="98"/>
    <w:semiHidden/>
    <w:rsid w:val="00C04AB8"/>
    <w:rPr>
      <w:rFonts w:ascii="Consolas" w:hAnsi="Consolas" w:cs="Consolas"/>
      <w:sz w:val="24"/>
      <w:szCs w:val="24"/>
    </w:rPr>
  </w:style>
  <w:style w:type="character" w:styleId="HTMLTypewriter">
    <w:name w:val="HTML Typewriter"/>
    <w:basedOn w:val="DefaultParagraphFont"/>
    <w:uiPriority w:val="98"/>
    <w:semiHidden/>
    <w:rsid w:val="00C04AB8"/>
    <w:rPr>
      <w:rFonts w:ascii="Consolas" w:hAnsi="Consolas" w:cs="Consolas"/>
      <w:sz w:val="20"/>
      <w:szCs w:val="20"/>
    </w:rPr>
  </w:style>
  <w:style w:type="character" w:styleId="HTMLVariable">
    <w:name w:val="HTML Variable"/>
    <w:basedOn w:val="DefaultParagraphFont"/>
    <w:uiPriority w:val="98"/>
    <w:semiHidden/>
    <w:rsid w:val="00C04AB8"/>
    <w:rPr>
      <w:i/>
      <w:iCs/>
    </w:rPr>
  </w:style>
  <w:style w:type="paragraph" w:styleId="Index1">
    <w:name w:val="index 1"/>
    <w:basedOn w:val="Normal"/>
    <w:next w:val="Normal"/>
    <w:autoRedefine/>
    <w:uiPriority w:val="98"/>
    <w:semiHidden/>
    <w:rsid w:val="00C04AB8"/>
    <w:pPr>
      <w:ind w:left="240" w:hanging="240"/>
    </w:pPr>
  </w:style>
  <w:style w:type="paragraph" w:styleId="Index2">
    <w:name w:val="index 2"/>
    <w:basedOn w:val="Normal"/>
    <w:next w:val="Normal"/>
    <w:autoRedefine/>
    <w:uiPriority w:val="98"/>
    <w:semiHidden/>
    <w:rsid w:val="00C04AB8"/>
    <w:pPr>
      <w:ind w:left="480" w:hanging="240"/>
    </w:pPr>
  </w:style>
  <w:style w:type="paragraph" w:styleId="Index3">
    <w:name w:val="index 3"/>
    <w:basedOn w:val="Normal"/>
    <w:next w:val="Normal"/>
    <w:autoRedefine/>
    <w:uiPriority w:val="98"/>
    <w:semiHidden/>
    <w:rsid w:val="00C04AB8"/>
    <w:pPr>
      <w:ind w:left="720" w:hanging="240"/>
    </w:pPr>
  </w:style>
  <w:style w:type="paragraph" w:styleId="Index4">
    <w:name w:val="index 4"/>
    <w:basedOn w:val="Normal"/>
    <w:next w:val="Normal"/>
    <w:autoRedefine/>
    <w:uiPriority w:val="98"/>
    <w:semiHidden/>
    <w:rsid w:val="00C04AB8"/>
    <w:pPr>
      <w:ind w:left="960" w:hanging="240"/>
    </w:pPr>
  </w:style>
  <w:style w:type="paragraph" w:styleId="Index5">
    <w:name w:val="index 5"/>
    <w:basedOn w:val="Normal"/>
    <w:next w:val="Normal"/>
    <w:autoRedefine/>
    <w:uiPriority w:val="98"/>
    <w:semiHidden/>
    <w:rsid w:val="00C04AB8"/>
    <w:pPr>
      <w:ind w:left="1200" w:hanging="240"/>
    </w:pPr>
  </w:style>
  <w:style w:type="paragraph" w:styleId="Index6">
    <w:name w:val="index 6"/>
    <w:basedOn w:val="Normal"/>
    <w:next w:val="Normal"/>
    <w:autoRedefine/>
    <w:uiPriority w:val="98"/>
    <w:semiHidden/>
    <w:rsid w:val="00C04AB8"/>
    <w:pPr>
      <w:ind w:left="1440" w:hanging="240"/>
    </w:pPr>
  </w:style>
  <w:style w:type="paragraph" w:styleId="Index7">
    <w:name w:val="index 7"/>
    <w:basedOn w:val="Normal"/>
    <w:next w:val="Normal"/>
    <w:autoRedefine/>
    <w:uiPriority w:val="98"/>
    <w:semiHidden/>
    <w:rsid w:val="00C04AB8"/>
    <w:pPr>
      <w:ind w:left="1680" w:hanging="240"/>
    </w:pPr>
  </w:style>
  <w:style w:type="paragraph" w:styleId="Index8">
    <w:name w:val="index 8"/>
    <w:basedOn w:val="Normal"/>
    <w:next w:val="Normal"/>
    <w:autoRedefine/>
    <w:uiPriority w:val="98"/>
    <w:semiHidden/>
    <w:rsid w:val="00C04AB8"/>
    <w:pPr>
      <w:ind w:left="1920" w:hanging="240"/>
    </w:pPr>
  </w:style>
  <w:style w:type="paragraph" w:styleId="Index9">
    <w:name w:val="index 9"/>
    <w:basedOn w:val="Normal"/>
    <w:next w:val="Normal"/>
    <w:autoRedefine/>
    <w:uiPriority w:val="98"/>
    <w:semiHidden/>
    <w:rsid w:val="00C04AB8"/>
    <w:pPr>
      <w:ind w:left="2160" w:hanging="240"/>
    </w:pPr>
  </w:style>
  <w:style w:type="paragraph" w:styleId="IndexHeading">
    <w:name w:val="index heading"/>
    <w:basedOn w:val="Normal"/>
    <w:next w:val="Index1"/>
    <w:uiPriority w:val="98"/>
    <w:semiHidden/>
    <w:rsid w:val="00C04AB8"/>
    <w:rPr>
      <w:rFonts w:asciiTheme="majorHAnsi" w:eastAsiaTheme="majorEastAsia" w:hAnsiTheme="majorHAnsi" w:cstheme="majorBidi"/>
      <w:b/>
      <w:bCs/>
    </w:rPr>
  </w:style>
  <w:style w:type="table" w:styleId="LightGrid">
    <w:name w:val="Light Grid"/>
    <w:basedOn w:val="TableNormal"/>
    <w:uiPriority w:val="62"/>
    <w:semiHidden/>
    <w:rsid w:val="00C04A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04A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04A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04A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04A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04A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04A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04A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04A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04A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04A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04A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04A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04A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04AB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04AB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04AB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04AB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04AB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04AB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04AB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04AB8"/>
  </w:style>
  <w:style w:type="paragraph" w:styleId="List">
    <w:name w:val="List"/>
    <w:basedOn w:val="Normal"/>
    <w:uiPriority w:val="98"/>
    <w:semiHidden/>
    <w:rsid w:val="00C04AB8"/>
    <w:pPr>
      <w:ind w:left="283" w:hanging="283"/>
      <w:contextualSpacing/>
    </w:pPr>
  </w:style>
  <w:style w:type="paragraph" w:styleId="List2">
    <w:name w:val="List 2"/>
    <w:basedOn w:val="Normal"/>
    <w:uiPriority w:val="98"/>
    <w:semiHidden/>
    <w:rsid w:val="00C04AB8"/>
    <w:pPr>
      <w:ind w:left="566" w:hanging="283"/>
      <w:contextualSpacing/>
    </w:pPr>
  </w:style>
  <w:style w:type="paragraph" w:styleId="List3">
    <w:name w:val="List 3"/>
    <w:basedOn w:val="Normal"/>
    <w:uiPriority w:val="98"/>
    <w:semiHidden/>
    <w:rsid w:val="00C04AB8"/>
    <w:pPr>
      <w:ind w:left="849" w:hanging="283"/>
      <w:contextualSpacing/>
    </w:pPr>
  </w:style>
  <w:style w:type="paragraph" w:styleId="List4">
    <w:name w:val="List 4"/>
    <w:basedOn w:val="Normal"/>
    <w:uiPriority w:val="98"/>
    <w:semiHidden/>
    <w:rsid w:val="00C04AB8"/>
    <w:pPr>
      <w:ind w:left="1132" w:hanging="283"/>
      <w:contextualSpacing/>
    </w:pPr>
  </w:style>
  <w:style w:type="paragraph" w:styleId="List5">
    <w:name w:val="List 5"/>
    <w:basedOn w:val="Normal"/>
    <w:uiPriority w:val="98"/>
    <w:semiHidden/>
    <w:rsid w:val="00C04AB8"/>
    <w:pPr>
      <w:ind w:left="1415" w:hanging="283"/>
      <w:contextualSpacing/>
    </w:pPr>
  </w:style>
  <w:style w:type="paragraph" w:styleId="ListBullet2">
    <w:name w:val="List Bullet 2"/>
    <w:basedOn w:val="Normal"/>
    <w:uiPriority w:val="98"/>
    <w:semiHidden/>
    <w:rsid w:val="00C04AB8"/>
    <w:pPr>
      <w:numPr>
        <w:numId w:val="12"/>
      </w:numPr>
      <w:contextualSpacing/>
    </w:pPr>
  </w:style>
  <w:style w:type="paragraph" w:styleId="ListBullet4">
    <w:name w:val="List Bullet 4"/>
    <w:basedOn w:val="Normal"/>
    <w:uiPriority w:val="98"/>
    <w:semiHidden/>
    <w:rsid w:val="00C04AB8"/>
    <w:pPr>
      <w:numPr>
        <w:numId w:val="14"/>
      </w:numPr>
      <w:contextualSpacing/>
    </w:pPr>
  </w:style>
  <w:style w:type="paragraph" w:styleId="ListBullet5">
    <w:name w:val="List Bullet 5"/>
    <w:basedOn w:val="Normal"/>
    <w:uiPriority w:val="98"/>
    <w:semiHidden/>
    <w:rsid w:val="00C04AB8"/>
    <w:pPr>
      <w:numPr>
        <w:numId w:val="15"/>
      </w:numPr>
      <w:contextualSpacing/>
    </w:pPr>
  </w:style>
  <w:style w:type="paragraph" w:styleId="ListContinue">
    <w:name w:val="List Continue"/>
    <w:basedOn w:val="Normal"/>
    <w:uiPriority w:val="98"/>
    <w:semiHidden/>
    <w:rsid w:val="00C04AB8"/>
    <w:pPr>
      <w:spacing w:after="120"/>
      <w:ind w:left="283"/>
      <w:contextualSpacing/>
    </w:pPr>
  </w:style>
  <w:style w:type="paragraph" w:styleId="ListContinue2">
    <w:name w:val="List Continue 2"/>
    <w:basedOn w:val="Normal"/>
    <w:uiPriority w:val="98"/>
    <w:semiHidden/>
    <w:rsid w:val="00C04AB8"/>
    <w:pPr>
      <w:spacing w:after="120"/>
      <w:ind w:left="566"/>
      <w:contextualSpacing/>
    </w:pPr>
  </w:style>
  <w:style w:type="paragraph" w:styleId="ListContinue3">
    <w:name w:val="List Continue 3"/>
    <w:basedOn w:val="Normal"/>
    <w:uiPriority w:val="98"/>
    <w:semiHidden/>
    <w:rsid w:val="00C04AB8"/>
    <w:pPr>
      <w:spacing w:after="120"/>
      <w:ind w:left="849"/>
      <w:contextualSpacing/>
    </w:pPr>
  </w:style>
  <w:style w:type="paragraph" w:styleId="ListContinue4">
    <w:name w:val="List Continue 4"/>
    <w:basedOn w:val="Normal"/>
    <w:uiPriority w:val="98"/>
    <w:semiHidden/>
    <w:rsid w:val="00C04AB8"/>
    <w:pPr>
      <w:spacing w:after="120"/>
      <w:ind w:left="1132"/>
      <w:contextualSpacing/>
    </w:pPr>
  </w:style>
  <w:style w:type="paragraph" w:styleId="ListContinue5">
    <w:name w:val="List Continue 5"/>
    <w:basedOn w:val="Normal"/>
    <w:uiPriority w:val="98"/>
    <w:semiHidden/>
    <w:rsid w:val="00C04AB8"/>
    <w:pPr>
      <w:spacing w:after="120"/>
      <w:ind w:left="1415"/>
      <w:contextualSpacing/>
    </w:pPr>
  </w:style>
  <w:style w:type="paragraph" w:styleId="ListNumber">
    <w:name w:val="List Number"/>
    <w:basedOn w:val="Normal"/>
    <w:uiPriority w:val="98"/>
    <w:semiHidden/>
    <w:rsid w:val="00C04AB8"/>
    <w:pPr>
      <w:numPr>
        <w:numId w:val="16"/>
      </w:numPr>
      <w:contextualSpacing/>
    </w:pPr>
  </w:style>
  <w:style w:type="paragraph" w:styleId="ListNumber2">
    <w:name w:val="List Number 2"/>
    <w:basedOn w:val="Normal"/>
    <w:uiPriority w:val="98"/>
    <w:semiHidden/>
    <w:rsid w:val="00C04AB8"/>
    <w:pPr>
      <w:numPr>
        <w:numId w:val="17"/>
      </w:numPr>
      <w:contextualSpacing/>
    </w:pPr>
  </w:style>
  <w:style w:type="paragraph" w:styleId="ListNumber3">
    <w:name w:val="List Number 3"/>
    <w:basedOn w:val="Normal"/>
    <w:uiPriority w:val="98"/>
    <w:semiHidden/>
    <w:rsid w:val="00C04AB8"/>
    <w:pPr>
      <w:numPr>
        <w:numId w:val="18"/>
      </w:numPr>
      <w:contextualSpacing/>
    </w:pPr>
  </w:style>
  <w:style w:type="paragraph" w:styleId="ListNumber4">
    <w:name w:val="List Number 4"/>
    <w:basedOn w:val="Normal"/>
    <w:uiPriority w:val="98"/>
    <w:semiHidden/>
    <w:rsid w:val="00C04AB8"/>
    <w:pPr>
      <w:numPr>
        <w:numId w:val="19"/>
      </w:numPr>
      <w:contextualSpacing/>
    </w:pPr>
  </w:style>
  <w:style w:type="paragraph" w:styleId="ListNumber5">
    <w:name w:val="List Number 5"/>
    <w:basedOn w:val="Normal"/>
    <w:uiPriority w:val="98"/>
    <w:semiHidden/>
    <w:rsid w:val="00C04AB8"/>
    <w:pPr>
      <w:numPr>
        <w:numId w:val="20"/>
      </w:numPr>
      <w:contextualSpacing/>
    </w:pPr>
  </w:style>
  <w:style w:type="paragraph" w:styleId="MacroText">
    <w:name w:val="macro"/>
    <w:link w:val="MacroTextChar"/>
    <w:uiPriority w:val="98"/>
    <w:semiHidden/>
    <w:rsid w:val="00C04A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04AB8"/>
    <w:rPr>
      <w:rFonts w:ascii="Consolas" w:eastAsiaTheme="minorEastAsia" w:hAnsi="Consolas" w:cs="Consolas"/>
      <w:sz w:val="20"/>
      <w:szCs w:val="20"/>
    </w:rPr>
  </w:style>
  <w:style w:type="table" w:styleId="MediumGrid1">
    <w:name w:val="Medium Grid 1"/>
    <w:basedOn w:val="TableNormal"/>
    <w:uiPriority w:val="67"/>
    <w:semiHidden/>
    <w:rsid w:val="00C04A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04A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04A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04A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04A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04A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04A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04A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04AB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04AB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04AB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04AB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04AB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04AB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04AB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04A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04A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04A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04A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04A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04A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04A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04A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04A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04A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04AB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04AB8"/>
    <w:rPr>
      <w:rFonts w:ascii="Times New Roman" w:hAnsi="Times New Roman" w:cs="Times New Roman"/>
    </w:rPr>
  </w:style>
  <w:style w:type="paragraph" w:styleId="NormalIndent">
    <w:name w:val="Normal Indent"/>
    <w:basedOn w:val="Normal"/>
    <w:uiPriority w:val="98"/>
    <w:semiHidden/>
    <w:rsid w:val="00C04AB8"/>
    <w:pPr>
      <w:ind w:left="720"/>
    </w:pPr>
  </w:style>
  <w:style w:type="paragraph" w:styleId="NoteHeading">
    <w:name w:val="Note Heading"/>
    <w:basedOn w:val="Normal"/>
    <w:next w:val="Normal"/>
    <w:link w:val="NoteHeadingChar"/>
    <w:uiPriority w:val="98"/>
    <w:semiHidden/>
    <w:rsid w:val="00C04AB8"/>
  </w:style>
  <w:style w:type="character" w:customStyle="1" w:styleId="NoteHeadingChar">
    <w:name w:val="Note Heading Char"/>
    <w:basedOn w:val="DefaultParagraphFont"/>
    <w:link w:val="NoteHeading"/>
    <w:uiPriority w:val="98"/>
    <w:semiHidden/>
    <w:rsid w:val="00C04AB8"/>
    <w:rPr>
      <w:sz w:val="24"/>
      <w:szCs w:val="24"/>
      <w:lang w:val="en-GB"/>
    </w:rPr>
  </w:style>
  <w:style w:type="character" w:styleId="PlaceholderText">
    <w:name w:val="Placeholder Text"/>
    <w:basedOn w:val="DefaultParagraphFont"/>
    <w:uiPriority w:val="98"/>
    <w:semiHidden/>
    <w:rsid w:val="00C04AB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04AB8"/>
    <w:rPr>
      <w:rFonts w:ascii="Consolas" w:hAnsi="Consolas" w:cs="Consolas"/>
      <w:sz w:val="21"/>
      <w:szCs w:val="21"/>
    </w:rPr>
  </w:style>
  <w:style w:type="character" w:customStyle="1" w:styleId="PlainTextChar">
    <w:name w:val="Plain Text Char"/>
    <w:basedOn w:val="DefaultParagraphFont"/>
    <w:link w:val="PlainText"/>
    <w:uiPriority w:val="98"/>
    <w:semiHidden/>
    <w:rsid w:val="00C04AB8"/>
    <w:rPr>
      <w:rFonts w:ascii="Consolas" w:hAnsi="Consolas" w:cs="Consolas"/>
      <w:sz w:val="21"/>
      <w:szCs w:val="21"/>
      <w:lang w:val="en-GB"/>
    </w:rPr>
  </w:style>
  <w:style w:type="paragraph" w:styleId="Salutation">
    <w:name w:val="Salutation"/>
    <w:basedOn w:val="Normal"/>
    <w:next w:val="Normal"/>
    <w:link w:val="SalutationChar"/>
    <w:uiPriority w:val="98"/>
    <w:semiHidden/>
    <w:rsid w:val="00C04AB8"/>
  </w:style>
  <w:style w:type="character" w:customStyle="1" w:styleId="SalutationChar">
    <w:name w:val="Salutation Char"/>
    <w:basedOn w:val="DefaultParagraphFont"/>
    <w:link w:val="Salutation"/>
    <w:uiPriority w:val="98"/>
    <w:semiHidden/>
    <w:rsid w:val="00C04AB8"/>
    <w:rPr>
      <w:sz w:val="24"/>
      <w:szCs w:val="24"/>
      <w:lang w:val="en-GB"/>
    </w:rPr>
  </w:style>
  <w:style w:type="paragraph" w:styleId="Signature">
    <w:name w:val="Signature"/>
    <w:basedOn w:val="Normal"/>
    <w:link w:val="SignatureChar"/>
    <w:uiPriority w:val="98"/>
    <w:semiHidden/>
    <w:rsid w:val="00C04AB8"/>
    <w:pPr>
      <w:ind w:left="4252"/>
    </w:pPr>
  </w:style>
  <w:style w:type="character" w:customStyle="1" w:styleId="SignatureChar">
    <w:name w:val="Signature Char"/>
    <w:basedOn w:val="DefaultParagraphFont"/>
    <w:link w:val="Signature"/>
    <w:uiPriority w:val="98"/>
    <w:semiHidden/>
    <w:rsid w:val="00C04AB8"/>
    <w:rPr>
      <w:sz w:val="24"/>
      <w:szCs w:val="24"/>
      <w:lang w:val="en-GB"/>
    </w:rPr>
  </w:style>
  <w:style w:type="table" w:styleId="Table3Deffects1">
    <w:name w:val="Table 3D effects 1"/>
    <w:basedOn w:val="TableNormal"/>
    <w:uiPriority w:val="99"/>
    <w:semiHidden/>
    <w:unhideWhenUsed/>
    <w:rsid w:val="00C04AB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4AB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4AB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4AB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4AB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4AB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4AB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4AB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4AB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4AB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4AB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4AB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4AB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4AB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4AB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4AB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4AB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4A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4AB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4AB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4AB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4A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4AB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4AB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4AB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4AB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4AB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4AB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4A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4A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4A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4AB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4A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04AB8"/>
    <w:pPr>
      <w:ind w:left="240" w:hanging="240"/>
    </w:pPr>
  </w:style>
  <w:style w:type="paragraph" w:styleId="TableofFigures">
    <w:name w:val="table of figures"/>
    <w:basedOn w:val="Normal"/>
    <w:next w:val="Normal"/>
    <w:uiPriority w:val="98"/>
    <w:semiHidden/>
    <w:rsid w:val="00C04AB8"/>
  </w:style>
  <w:style w:type="table" w:styleId="TableProfessional">
    <w:name w:val="Table Professional"/>
    <w:basedOn w:val="TableNormal"/>
    <w:uiPriority w:val="99"/>
    <w:semiHidden/>
    <w:unhideWhenUsed/>
    <w:rsid w:val="00C04A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4AB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4AB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4AB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4AB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4AB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4AB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4AB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4AB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4AB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04AB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04AB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04AB8"/>
    <w:pPr>
      <w:spacing w:after="100"/>
      <w:ind w:left="1680"/>
    </w:pPr>
  </w:style>
  <w:style w:type="paragraph" w:styleId="TOC9">
    <w:name w:val="toc 9"/>
    <w:basedOn w:val="Normal"/>
    <w:next w:val="Normal"/>
    <w:autoRedefine/>
    <w:uiPriority w:val="98"/>
    <w:semiHidden/>
    <w:rsid w:val="00C04AB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C04AB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04AB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04AB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04AB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04AB8"/>
    <w:pPr>
      <w:numPr>
        <w:numId w:val="8"/>
      </w:numPr>
      <w:spacing w:before="60" w:after="60"/>
    </w:pPr>
  </w:style>
  <w:style w:type="paragraph" w:customStyle="1" w:styleId="ECHRBullet2">
    <w:name w:val="ECHR_Bullet_2"/>
    <w:aliases w:val="_Bul_2"/>
    <w:basedOn w:val="ECHRBullet1"/>
    <w:uiPriority w:val="23"/>
    <w:semiHidden/>
    <w:rsid w:val="00C04AB8"/>
    <w:pPr>
      <w:numPr>
        <w:ilvl w:val="1"/>
      </w:numPr>
    </w:pPr>
  </w:style>
  <w:style w:type="paragraph" w:customStyle="1" w:styleId="ECHRBullet3">
    <w:name w:val="ECHR_Bullet_3"/>
    <w:aliases w:val="_Bul_3"/>
    <w:basedOn w:val="ECHRBullet2"/>
    <w:uiPriority w:val="23"/>
    <w:semiHidden/>
    <w:rsid w:val="00C04AB8"/>
    <w:pPr>
      <w:numPr>
        <w:ilvl w:val="2"/>
      </w:numPr>
    </w:pPr>
  </w:style>
  <w:style w:type="paragraph" w:customStyle="1" w:styleId="ECHRBullet4">
    <w:name w:val="ECHR_Bullet_4"/>
    <w:aliases w:val="_Bul_4"/>
    <w:basedOn w:val="ECHRBullet3"/>
    <w:uiPriority w:val="23"/>
    <w:semiHidden/>
    <w:rsid w:val="00C04AB8"/>
    <w:pPr>
      <w:numPr>
        <w:ilvl w:val="3"/>
      </w:numPr>
    </w:pPr>
  </w:style>
  <w:style w:type="paragraph" w:customStyle="1" w:styleId="ECHRConfidential">
    <w:name w:val="ECHR_Confidential"/>
    <w:aliases w:val="_Confidential"/>
    <w:basedOn w:val="Normal"/>
    <w:next w:val="Normal"/>
    <w:uiPriority w:val="42"/>
    <w:semiHidden/>
    <w:qFormat/>
    <w:rsid w:val="00C04AB8"/>
    <w:pPr>
      <w:jc w:val="right"/>
    </w:pPr>
    <w:rPr>
      <w:color w:val="C00000"/>
      <w:sz w:val="20"/>
    </w:rPr>
  </w:style>
  <w:style w:type="paragraph" w:customStyle="1" w:styleId="ECHRDecisionBody">
    <w:name w:val="ECHR_Decision_Body"/>
    <w:aliases w:val="_Decision_Body"/>
    <w:basedOn w:val="NormalJustified"/>
    <w:uiPriority w:val="54"/>
    <w:semiHidden/>
    <w:rsid w:val="00C04AB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04AB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04AB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04AB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04AB8"/>
    <w:pPr>
      <w:jc w:val="right"/>
    </w:pPr>
    <w:rPr>
      <w:sz w:val="20"/>
    </w:rPr>
  </w:style>
  <w:style w:type="paragraph" w:customStyle="1" w:styleId="ECHRHeaderRefIt">
    <w:name w:val="ECHR_Header_Ref_It"/>
    <w:aliases w:val="_Ref_Ital"/>
    <w:basedOn w:val="Normal"/>
    <w:next w:val="ECHRHeaderDate"/>
    <w:uiPriority w:val="43"/>
    <w:semiHidden/>
    <w:qFormat/>
    <w:rsid w:val="00C04AB8"/>
    <w:pPr>
      <w:jc w:val="right"/>
    </w:pPr>
    <w:rPr>
      <w:i/>
      <w:sz w:val="20"/>
    </w:rPr>
  </w:style>
  <w:style w:type="paragraph" w:customStyle="1" w:styleId="ECHRHeading9">
    <w:name w:val="ECHR_Heading_9"/>
    <w:aliases w:val="_Head_9"/>
    <w:basedOn w:val="Heading9"/>
    <w:uiPriority w:val="17"/>
    <w:semiHidden/>
    <w:rsid w:val="00C04AB8"/>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04AB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C04AB8"/>
    <w:pPr>
      <w:numPr>
        <w:numId w:val="10"/>
      </w:numPr>
      <w:spacing w:before="60" w:after="60"/>
    </w:pPr>
  </w:style>
  <w:style w:type="paragraph" w:customStyle="1" w:styleId="ECHRNumberedList2">
    <w:name w:val="ECHR_Numbered_List_2"/>
    <w:aliases w:val="_Num_2"/>
    <w:basedOn w:val="ECHRNumberedList1"/>
    <w:uiPriority w:val="23"/>
    <w:semiHidden/>
    <w:rsid w:val="00C04AB8"/>
    <w:pPr>
      <w:numPr>
        <w:ilvl w:val="1"/>
      </w:numPr>
    </w:pPr>
  </w:style>
  <w:style w:type="paragraph" w:customStyle="1" w:styleId="ECHRNumberedList3">
    <w:name w:val="ECHR_Numbered_List_3"/>
    <w:aliases w:val="_Num_3"/>
    <w:basedOn w:val="ECHRNumberedList2"/>
    <w:uiPriority w:val="23"/>
    <w:semiHidden/>
    <w:rsid w:val="00C04AB8"/>
    <w:pPr>
      <w:numPr>
        <w:ilvl w:val="2"/>
      </w:numPr>
    </w:pPr>
  </w:style>
  <w:style w:type="paragraph" w:customStyle="1" w:styleId="ECHRParaHanging">
    <w:name w:val="ECHR_Para_Hanging"/>
    <w:aliases w:val="_Hanging"/>
    <w:basedOn w:val="Normal"/>
    <w:uiPriority w:val="8"/>
    <w:semiHidden/>
    <w:qFormat/>
    <w:rsid w:val="00C04AB8"/>
    <w:pPr>
      <w:ind w:left="567" w:hanging="567"/>
      <w:jc w:val="both"/>
    </w:pPr>
  </w:style>
  <w:style w:type="paragraph" w:customStyle="1" w:styleId="ECHRParaIndent">
    <w:name w:val="ECHR_Para_Indent"/>
    <w:aliases w:val="_Indent"/>
    <w:basedOn w:val="Normal"/>
    <w:uiPriority w:val="7"/>
    <w:semiHidden/>
    <w:qFormat/>
    <w:rsid w:val="00C04AB8"/>
    <w:pPr>
      <w:spacing w:before="120" w:after="120"/>
      <w:ind w:left="284"/>
      <w:jc w:val="both"/>
    </w:pPr>
  </w:style>
  <w:style w:type="character" w:customStyle="1" w:styleId="ECHRRed">
    <w:name w:val="ECHR_Red"/>
    <w:aliases w:val="_Red"/>
    <w:basedOn w:val="DefaultParagraphFont"/>
    <w:uiPriority w:val="15"/>
    <w:semiHidden/>
    <w:qFormat/>
    <w:rsid w:val="00C04AB8"/>
    <w:rPr>
      <w:color w:val="C00000" w:themeColor="accent2"/>
    </w:rPr>
  </w:style>
  <w:style w:type="paragraph" w:customStyle="1" w:styleId="DecList">
    <w:name w:val="Dec_List"/>
    <w:aliases w:val="_List"/>
    <w:basedOn w:val="JuList"/>
    <w:uiPriority w:val="22"/>
    <w:rsid w:val="00C04AB8"/>
    <w:pPr>
      <w:numPr>
        <w:numId w:val="0"/>
      </w:numPr>
      <w:ind w:left="284"/>
    </w:pPr>
  </w:style>
  <w:style w:type="table" w:customStyle="1" w:styleId="ECHRTable2">
    <w:name w:val="ECHR_Table_2"/>
    <w:basedOn w:val="TableNormal"/>
    <w:uiPriority w:val="99"/>
    <w:rsid w:val="00C04AB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04A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04AB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04AB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04AB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04AB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04AB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04AB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04AB8"/>
    <w:pPr>
      <w:outlineLvl w:val="0"/>
    </w:pPr>
  </w:style>
  <w:style w:type="paragraph" w:customStyle="1" w:styleId="ECHRTitleTOC1">
    <w:name w:val="ECHR_Title_TOC_1"/>
    <w:aliases w:val="_Title_L_TOC"/>
    <w:basedOn w:val="ECHRTitle1"/>
    <w:next w:val="Normal"/>
    <w:uiPriority w:val="27"/>
    <w:semiHidden/>
    <w:qFormat/>
    <w:rsid w:val="00C04AB8"/>
    <w:pPr>
      <w:outlineLvl w:val="0"/>
    </w:pPr>
  </w:style>
  <w:style w:type="paragraph" w:customStyle="1" w:styleId="ECHRPlaceholder">
    <w:name w:val="ECHR_Placeholder"/>
    <w:aliases w:val="_Placeholder"/>
    <w:basedOn w:val="JuSigned"/>
    <w:uiPriority w:val="31"/>
    <w:rsid w:val="00C04AB8"/>
    <w:rPr>
      <w:color w:val="FFFFFF"/>
    </w:rPr>
  </w:style>
  <w:style w:type="paragraph" w:customStyle="1" w:styleId="ECHRSpacer">
    <w:name w:val="ECHR_Spacer"/>
    <w:aliases w:val="_Spacer"/>
    <w:basedOn w:val="Normal"/>
    <w:uiPriority w:val="45"/>
    <w:semiHidden/>
    <w:rsid w:val="00C04AB8"/>
    <w:rPr>
      <w:sz w:val="4"/>
    </w:rPr>
  </w:style>
  <w:style w:type="table" w:customStyle="1" w:styleId="ECHRTableGrey">
    <w:name w:val="ECHR_Table_Grey"/>
    <w:basedOn w:val="TableNormal"/>
    <w:uiPriority w:val="99"/>
    <w:rsid w:val="00C04AB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C04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98379F"/>
    <w:rPr>
      <w:sz w:val="24"/>
      <w:szCs w:val="24"/>
      <w:lang w:val="en-GB"/>
    </w:rPr>
  </w:style>
  <w:style w:type="character" w:customStyle="1" w:styleId="JuParaCar">
    <w:name w:val="Ju_Para Car"/>
    <w:rsid w:val="0098379F"/>
    <w:rPr>
      <w:rFonts w:eastAsiaTheme="minorEastAsia"/>
      <w:sz w:val="24"/>
    </w:rPr>
  </w:style>
  <w:style w:type="table" w:styleId="GridTable1Light-Accent1">
    <w:name w:val="Grid Table 1 Light Accent 1"/>
    <w:basedOn w:val="TableNormal"/>
    <w:uiPriority w:val="46"/>
    <w:semiHidden/>
    <w:rsid w:val="00C04AB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04AB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04AB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04AB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04AB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04AB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04AB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04AB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04AB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04AB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04AB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04AB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04AB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04A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04A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04A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04A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04A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04A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04A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04A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04A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04A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04A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04A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04A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04A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04A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04A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04AB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04AB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04AB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04AB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04AB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04AB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04A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04AB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04AB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04AB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04AB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04AB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04AB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04AB8"/>
    <w:rPr>
      <w:color w:val="2B579A"/>
      <w:shd w:val="clear" w:color="auto" w:fill="E1DFDD"/>
    </w:rPr>
  </w:style>
  <w:style w:type="table" w:styleId="ListTable1Light">
    <w:name w:val="List Table 1 Light"/>
    <w:basedOn w:val="TableNormal"/>
    <w:uiPriority w:val="46"/>
    <w:semiHidden/>
    <w:rsid w:val="00C04A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04AB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04AB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04AB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04AB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04AB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04AB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04AB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04AB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04AB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04AB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04AB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04AB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04AB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04A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04AB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04AB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04AB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04AB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04AB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04AB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04A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04A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04A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04A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04A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04A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04A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04AB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04AB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04AB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04AB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04AB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04AB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04AB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04A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04AB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04AB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04AB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04AB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04AB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04AB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04AB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04AB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04AB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04AB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04AB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04AB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04AB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C04AB8"/>
    <w:rPr>
      <w:color w:val="2B579A"/>
      <w:shd w:val="clear" w:color="auto" w:fill="E1DFDD"/>
    </w:rPr>
  </w:style>
  <w:style w:type="table" w:styleId="PlainTable1">
    <w:name w:val="Plain Table 1"/>
    <w:basedOn w:val="TableNormal"/>
    <w:uiPriority w:val="41"/>
    <w:semiHidden/>
    <w:rsid w:val="00C04AB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04A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04A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04A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04A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C04AB8"/>
    <w:rPr>
      <w:u w:val="dotted"/>
    </w:rPr>
  </w:style>
  <w:style w:type="character" w:customStyle="1" w:styleId="SmartLink">
    <w:name w:val="Smart Link"/>
    <w:basedOn w:val="DefaultParagraphFont"/>
    <w:uiPriority w:val="99"/>
    <w:semiHidden/>
    <w:unhideWhenUsed/>
    <w:rsid w:val="00C04AB8"/>
    <w:rPr>
      <w:color w:val="0000FF"/>
      <w:u w:val="single"/>
      <w:shd w:val="clear" w:color="auto" w:fill="F3F2F1"/>
    </w:rPr>
  </w:style>
  <w:style w:type="table" w:styleId="TableGridLight">
    <w:name w:val="Grid Table Light"/>
    <w:basedOn w:val="TableNormal"/>
    <w:uiPriority w:val="40"/>
    <w:semiHidden/>
    <w:rsid w:val="00C04AB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C0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93566896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oter" Target="foot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header" Target="header6.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2CAFB-AF8B-444C-AA90-EFF1BA9A4C3C}">
  <ds:schemaRefs>
    <ds:schemaRef ds:uri="http://schemas.openxmlformats.org/officeDocument/2006/bibliography"/>
  </ds:schemaRefs>
</ds:datastoreItem>
</file>

<file path=customXml/itemProps2.xml><?xml version="1.0" encoding="utf-8"?>
<ds:datastoreItem xmlns:ds="http://schemas.openxmlformats.org/officeDocument/2006/customXml" ds:itemID="{20D81491-591B-4DEF-A79E-4DB24DFD2635}"/>
</file>

<file path=customXml/itemProps3.xml><?xml version="1.0" encoding="utf-8"?>
<ds:datastoreItem xmlns:ds="http://schemas.openxmlformats.org/officeDocument/2006/customXml" ds:itemID="{2AFD2D4F-1C19-4CB0-B1F3-1A9686C8CC87}"/>
</file>

<file path=customXml/itemProps4.xml><?xml version="1.0" encoding="utf-8"?>
<ds:datastoreItem xmlns:ds="http://schemas.openxmlformats.org/officeDocument/2006/customXml" ds:itemID="{39AEB2FA-E346-463A-B049-C754F9195ECE}"/>
</file>

<file path=docProps/app.xml><?xml version="1.0" encoding="utf-8"?>
<Properties xmlns="http://schemas.openxmlformats.org/officeDocument/2006/extended-properties" xmlns:vt="http://schemas.openxmlformats.org/officeDocument/2006/docPropsVTypes">
  <Template>Normal.dotm</Template>
  <TotalTime>0</TotalTime>
  <Pages>1</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12996/12</vt:lpwstr>
  </property>
  <property fmtid="{D5CDD505-2E9C-101B-9397-08002B2CF9AE}" pid="4" name="CASEID">
    <vt:lpwstr>781512</vt:lpwstr>
  </property>
  <property fmtid="{D5CDD505-2E9C-101B-9397-08002B2CF9AE}" pid="5" name="ContentTypeId">
    <vt:lpwstr>0x010100558EB02BDB9E204AB350EDD385B68E10</vt:lpwstr>
  </property>
</Properties>
</file>