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4291" w:rsidR="00004089" w:rsidP="00F94291" w:rsidRDefault="00004089" w14:paraId="3EF256B5" w14:textId="77777777">
      <w:pPr>
        <w:jc w:val="center"/>
        <w:rPr>
          <w:rFonts w:ascii="Times New Roman" w:hAnsi="Times New Roman" w:cs="Times New Roman"/>
        </w:rPr>
      </w:pPr>
    </w:p>
    <w:p w:rsidRPr="00F94291" w:rsidR="0098410D" w:rsidP="00F94291" w:rsidRDefault="0098410D" w14:paraId="71F53A96" w14:textId="77777777">
      <w:pPr>
        <w:jc w:val="center"/>
      </w:pPr>
    </w:p>
    <w:p w:rsidRPr="00F94291" w:rsidR="0098410D" w:rsidP="00F94291" w:rsidRDefault="00004089" w14:paraId="67D58EB7" w14:textId="77777777">
      <w:pPr>
        <w:pStyle w:val="DecHCase"/>
      </w:pPr>
      <w:r w:rsidRPr="00F94291">
        <w:t>FIRST SECTION</w:t>
      </w:r>
    </w:p>
    <w:p w:rsidRPr="00F94291" w:rsidR="008E6217" w:rsidP="00F94291" w:rsidRDefault="008E6217" w14:paraId="06D0F6FF" w14:textId="77777777">
      <w:pPr>
        <w:pStyle w:val="JuTitle"/>
      </w:pPr>
      <w:bookmarkStart w:name="To" w:id="0"/>
      <w:r w:rsidRPr="00F94291">
        <w:rPr>
          <w:color w:val="000000" w:themeColor="text1"/>
        </w:rPr>
        <w:t xml:space="preserve">CASE OF </w:t>
      </w:r>
      <w:bookmarkEnd w:id="0"/>
      <w:r w:rsidRPr="00F94291" w:rsidR="00004089">
        <w:t>VIDAK v. CROATIA</w:t>
      </w:r>
    </w:p>
    <w:p w:rsidRPr="00F94291" w:rsidR="00D74888" w:rsidP="00F94291" w:rsidRDefault="008E6217" w14:paraId="19A0596C" w14:textId="77777777">
      <w:pPr>
        <w:pStyle w:val="ECHRCoverTitle4"/>
      </w:pPr>
      <w:r w:rsidRPr="00F94291">
        <w:t>(</w:t>
      </w:r>
      <w:r w:rsidRPr="00F94291" w:rsidR="00004089">
        <w:t>Application no.</w:t>
      </w:r>
      <w:r w:rsidRPr="00F94291">
        <w:t xml:space="preserve"> </w:t>
      </w:r>
      <w:r w:rsidRPr="00F94291" w:rsidR="00004089">
        <w:t>67141/14</w:t>
      </w:r>
      <w:r w:rsidRPr="00F94291">
        <w:t>)</w:t>
      </w:r>
    </w:p>
    <w:p w:rsidRPr="00F94291" w:rsidR="0098410D" w:rsidP="00F94291" w:rsidRDefault="0098410D" w14:paraId="37935455" w14:textId="77777777">
      <w:pPr>
        <w:pStyle w:val="DecHCase"/>
      </w:pPr>
    </w:p>
    <w:p w:rsidRPr="00F94291" w:rsidR="0098410D" w:rsidP="00F94291" w:rsidRDefault="0098410D" w14:paraId="2A172163" w14:textId="77777777">
      <w:pPr>
        <w:pStyle w:val="DecHCase"/>
      </w:pPr>
    </w:p>
    <w:p w:rsidRPr="00F94291" w:rsidR="00AC4CD4" w:rsidP="00F94291" w:rsidRDefault="00AC4CD4" w14:paraId="5468AB01" w14:textId="77777777">
      <w:pPr>
        <w:pStyle w:val="DecHCase"/>
      </w:pPr>
    </w:p>
    <w:p w:rsidRPr="00F94291" w:rsidR="0098410D" w:rsidP="00F94291" w:rsidRDefault="0098410D" w14:paraId="4E752F9C" w14:textId="77777777">
      <w:pPr>
        <w:pStyle w:val="DecHCase"/>
      </w:pPr>
    </w:p>
    <w:p w:rsidRPr="00F94291" w:rsidR="00F94291" w:rsidP="00F94291" w:rsidRDefault="00F94291" w14:paraId="67619461" w14:textId="77777777">
      <w:pPr>
        <w:pStyle w:val="DecHCase"/>
      </w:pPr>
    </w:p>
    <w:p w:rsidRPr="00F94291" w:rsidR="00F94291" w:rsidP="00F94291" w:rsidRDefault="00F94291" w14:paraId="285387E5" w14:textId="77777777">
      <w:pPr>
        <w:pStyle w:val="DecHCase"/>
      </w:pPr>
    </w:p>
    <w:p w:rsidRPr="00F94291" w:rsidR="0098410D" w:rsidP="00F94291" w:rsidRDefault="0098410D" w14:paraId="00B0633F" w14:textId="258632B1">
      <w:pPr>
        <w:pStyle w:val="DecHCase"/>
      </w:pPr>
      <w:r w:rsidRPr="00F94291">
        <w:t>JUDGMENT</w:t>
      </w:r>
      <w:r w:rsidRPr="00F94291" w:rsidR="00AC4CD4">
        <w:br/>
      </w:r>
    </w:p>
    <w:p w:rsidRPr="00F94291" w:rsidR="0098410D" w:rsidP="00F94291" w:rsidRDefault="0098410D" w14:paraId="09DC06C3" w14:textId="77777777">
      <w:pPr>
        <w:pStyle w:val="DecHCase"/>
      </w:pPr>
      <w:r w:rsidRPr="00F94291">
        <w:t>STRASBOURG</w:t>
      </w:r>
    </w:p>
    <w:p w:rsidRPr="00F94291" w:rsidR="0098410D" w:rsidP="00F94291" w:rsidRDefault="00004089" w14:paraId="58FC1406" w14:textId="77777777">
      <w:pPr>
        <w:pStyle w:val="DecHCase"/>
      </w:pPr>
      <w:r w:rsidRPr="00F94291">
        <w:rPr>
          <w:rFonts w:ascii="Times New Roman" w:hAnsi="Times New Roman" w:cs="Times New Roman"/>
        </w:rPr>
        <w:t>23 September 2021</w:t>
      </w:r>
    </w:p>
    <w:p w:rsidRPr="00F94291" w:rsidR="00AC4CD4" w:rsidP="00F94291" w:rsidRDefault="00AC4CD4" w14:paraId="5998FD76" w14:textId="77777777">
      <w:pPr>
        <w:pStyle w:val="JuPara"/>
      </w:pPr>
    </w:p>
    <w:p w:rsidRPr="00F94291" w:rsidR="002422B6" w:rsidP="00F94291" w:rsidRDefault="0098410D" w14:paraId="5D4080C4" w14:textId="77777777">
      <w:pPr>
        <w:rPr>
          <w:i/>
          <w:sz w:val="22"/>
        </w:rPr>
      </w:pPr>
      <w:r w:rsidRPr="00F94291">
        <w:rPr>
          <w:i/>
          <w:sz w:val="22"/>
        </w:rPr>
        <w:t xml:space="preserve">This judgment </w:t>
      </w:r>
      <w:r w:rsidRPr="00F94291" w:rsidR="00004089">
        <w:rPr>
          <w:i/>
          <w:sz w:val="22"/>
        </w:rPr>
        <w:t>is final but it</w:t>
      </w:r>
      <w:r w:rsidRPr="00F94291">
        <w:rPr>
          <w:i/>
          <w:sz w:val="22"/>
        </w:rPr>
        <w:t xml:space="preserve"> may be subject to editorial revision.</w:t>
      </w:r>
    </w:p>
    <w:p w:rsidRPr="00F94291" w:rsidR="0098410D" w:rsidP="00F94291" w:rsidRDefault="0098410D" w14:paraId="0E98C46F" w14:textId="77777777">
      <w:pPr>
        <w:sectPr w:rsidRPr="00F94291"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94291" w:rsidR="0098410D" w:rsidP="00F94291" w:rsidRDefault="0098410D" w14:paraId="15B49903" w14:textId="77777777">
      <w:pPr>
        <w:pStyle w:val="JuCase"/>
      </w:pPr>
      <w:r w:rsidRPr="00F94291">
        <w:t xml:space="preserve">In the case of </w:t>
      </w:r>
      <w:r w:rsidRPr="00F94291" w:rsidR="00004089">
        <w:t>Vidak v. Croatia</w:t>
      </w:r>
      <w:r w:rsidRPr="00F94291">
        <w:t>,</w:t>
      </w:r>
    </w:p>
    <w:p w:rsidRPr="00F94291" w:rsidR="009F4C8F" w:rsidP="00F94291" w:rsidRDefault="009F4C8F" w14:paraId="4C5ED4E4" w14:textId="77777777">
      <w:pPr>
        <w:pStyle w:val="JuPara"/>
      </w:pPr>
      <w:r w:rsidRPr="00F94291">
        <w:t>The European Court of Human Rights (</w:t>
      </w:r>
      <w:r w:rsidRPr="00F94291" w:rsidR="00004089">
        <w:t>First Section</w:t>
      </w:r>
      <w:r w:rsidRPr="00F94291">
        <w:t xml:space="preserve">), sitting as a </w:t>
      </w:r>
      <w:r w:rsidRPr="00F94291" w:rsidR="00004089">
        <w:t>Committee</w:t>
      </w:r>
      <w:r w:rsidRPr="00F94291">
        <w:t xml:space="preserve"> composed of:</w:t>
      </w:r>
    </w:p>
    <w:p w:rsidRPr="00F94291" w:rsidR="009F4C8F" w:rsidP="00F94291" w:rsidRDefault="001C6352" w14:paraId="6D1A0FA2" w14:textId="77777777">
      <w:pPr>
        <w:pStyle w:val="JuJudges"/>
      </w:pPr>
      <w:r w:rsidRPr="00F94291">
        <w:tab/>
        <w:t>Péter Paczolay,</w:t>
      </w:r>
      <w:r w:rsidRPr="00F94291">
        <w:rPr>
          <w:i/>
        </w:rPr>
        <w:t xml:space="preserve"> President,</w:t>
      </w:r>
      <w:r w:rsidRPr="00F94291">
        <w:rPr>
          <w:i/>
        </w:rPr>
        <w:br/>
      </w:r>
      <w:r w:rsidRPr="00F94291">
        <w:tab/>
        <w:t>Alena Poláčková,</w:t>
      </w:r>
      <w:r w:rsidRPr="00F94291">
        <w:rPr>
          <w:i/>
        </w:rPr>
        <w:br/>
      </w:r>
      <w:r w:rsidRPr="00F94291">
        <w:tab/>
        <w:t>Gilberto Felici,</w:t>
      </w:r>
      <w:r w:rsidRPr="00F94291">
        <w:rPr>
          <w:i/>
        </w:rPr>
        <w:t xml:space="preserve"> judges,</w:t>
      </w:r>
      <w:r w:rsidRPr="00F94291" w:rsidR="009F4C8F">
        <w:br/>
        <w:t xml:space="preserve">and </w:t>
      </w:r>
      <w:r w:rsidRPr="00F94291" w:rsidR="002939AC">
        <w:t>Attila Teplán</w:t>
      </w:r>
      <w:r w:rsidRPr="00F94291" w:rsidR="009F4C8F">
        <w:t xml:space="preserve">, </w:t>
      </w:r>
      <w:r w:rsidRPr="00F94291" w:rsidR="002939AC">
        <w:rPr>
          <w:i/>
          <w:iCs/>
        </w:rPr>
        <w:t>Acting</w:t>
      </w:r>
      <w:r w:rsidRPr="00F94291" w:rsidR="002939AC">
        <w:t xml:space="preserve"> </w:t>
      </w:r>
      <w:r w:rsidRPr="00F94291" w:rsidR="00004089">
        <w:rPr>
          <w:i/>
        </w:rPr>
        <w:t xml:space="preserve">Deputy Section </w:t>
      </w:r>
      <w:r w:rsidRPr="00F94291" w:rsidR="00004089">
        <w:rPr>
          <w:i/>
          <w:iCs/>
        </w:rPr>
        <w:t>Registrar</w:t>
      </w:r>
      <w:r w:rsidRPr="00F94291" w:rsidR="009F4C8F">
        <w:rPr>
          <w:i/>
        </w:rPr>
        <w:t>,</w:t>
      </w:r>
    </w:p>
    <w:p w:rsidRPr="00F94291" w:rsidR="00004089" w:rsidP="00F94291" w:rsidRDefault="00004089" w14:paraId="1BD6ADC5" w14:textId="77777777">
      <w:pPr>
        <w:pStyle w:val="JuPara"/>
      </w:pPr>
      <w:bookmarkStart w:name="_Hlk81405933" w:id="1"/>
      <w:r w:rsidRPr="00F94291">
        <w:t>Having regard to:</w:t>
      </w:r>
    </w:p>
    <w:p w:rsidRPr="00F94291" w:rsidR="00004089" w:rsidP="00F94291" w:rsidRDefault="00004089" w14:paraId="15D5120C" w14:textId="77777777">
      <w:pPr>
        <w:pStyle w:val="JuPara"/>
      </w:pPr>
      <w:r w:rsidRPr="00F94291">
        <w:t>the application (no. 67141/14) against the Republic of Croatia lodged with the Court under Article 34 of the Convention for the Protection of Human Rights and Fundamental Freedoms (“the Convention”) by a Croatian and Serbian national, Mr Milenko Vidak (“the applicant”), on 6 October 2014;</w:t>
      </w:r>
    </w:p>
    <w:p w:rsidRPr="00F94291" w:rsidR="00004089" w:rsidP="00F94291" w:rsidRDefault="00004089" w14:paraId="2A2201AB" w14:textId="05042E6C">
      <w:pPr>
        <w:pStyle w:val="JuPara"/>
      </w:pPr>
      <w:r w:rsidRPr="00F94291">
        <w:t>the decision to give notice to the Croatian Government (“the</w:t>
      </w:r>
      <w:r w:rsidRPr="00F94291" w:rsidR="00F94291">
        <w:t xml:space="preserve"> </w:t>
      </w:r>
      <w:r w:rsidRPr="00F94291">
        <w:t>Government”) of the complaint concerning the excessive length of criminal proceedings, and to declare the remainder of the application inadmissible;</w:t>
      </w:r>
    </w:p>
    <w:p w:rsidRPr="00F94291" w:rsidR="00004089" w:rsidP="00F94291" w:rsidRDefault="00004089" w14:paraId="75A6D682" w14:textId="15DAC033">
      <w:pPr>
        <w:pStyle w:val="JuPara"/>
      </w:pPr>
      <w:r w:rsidRPr="00F94291">
        <w:t>the parties</w:t>
      </w:r>
      <w:r w:rsidRPr="00F94291" w:rsidR="00F94291">
        <w:t>’</w:t>
      </w:r>
      <w:r w:rsidRPr="00F94291">
        <w:t xml:space="preserve"> observations;</w:t>
      </w:r>
      <w:bookmarkEnd w:id="1"/>
    </w:p>
    <w:p w:rsidRPr="00F94291" w:rsidR="009F4C8F" w:rsidP="00F94291" w:rsidRDefault="009F4C8F" w14:paraId="1C802DD1" w14:textId="77777777">
      <w:pPr>
        <w:pStyle w:val="JuPara"/>
      </w:pPr>
      <w:r w:rsidRPr="00F94291">
        <w:t xml:space="preserve">Having deliberated in private on </w:t>
      </w:r>
      <w:r w:rsidRPr="00F94291" w:rsidR="00004089">
        <w:t>31 August 2021</w:t>
      </w:r>
      <w:r w:rsidRPr="00F94291">
        <w:t>,</w:t>
      </w:r>
    </w:p>
    <w:p w:rsidRPr="00F94291" w:rsidR="009F4C8F" w:rsidP="00F94291" w:rsidRDefault="009F4C8F" w14:paraId="7C6A76AD" w14:textId="77777777">
      <w:pPr>
        <w:pStyle w:val="JuPara"/>
      </w:pPr>
      <w:r w:rsidRPr="00F94291">
        <w:t>Delivers the following judgment, which was adopted on that date:</w:t>
      </w:r>
    </w:p>
    <w:p w:rsidRPr="00F94291" w:rsidR="00004089" w:rsidP="00F94291" w:rsidRDefault="00004089" w14:paraId="1B57BD31" w14:textId="77777777">
      <w:pPr>
        <w:pStyle w:val="JuHHead"/>
        <w:numPr>
          <w:ilvl w:val="0"/>
          <w:numId w:val="0"/>
        </w:numPr>
      </w:pPr>
      <w:bookmarkStart w:name="_Hlk81405947" w:id="2"/>
      <w:r w:rsidRPr="00F94291">
        <w:t>INTRODUCTION</w:t>
      </w:r>
    </w:p>
    <w:p w:rsidRPr="00F94291" w:rsidR="00004089" w:rsidP="00F94291" w:rsidRDefault="00004089" w14:paraId="1001BB79" w14:textId="3A12FD75">
      <w:pPr>
        <w:pStyle w:val="JuPara"/>
        <w:rPr>
          <w:rFonts w:eastAsiaTheme="minorEastAsia"/>
        </w:rPr>
      </w:pPr>
      <w:r w:rsidRPr="00F94291">
        <w:fldChar w:fldCharType="begin"/>
      </w:r>
      <w:r w:rsidRPr="00F94291">
        <w:instrText xml:space="preserve"> SEQ level0 \*arabic </w:instrText>
      </w:r>
      <w:r w:rsidRPr="00F94291">
        <w:fldChar w:fldCharType="separate"/>
      </w:r>
      <w:r w:rsidRPr="00F94291" w:rsidR="00F94291">
        <w:rPr>
          <w:noProof/>
        </w:rPr>
        <w:t>1</w:t>
      </w:r>
      <w:r w:rsidRPr="00F94291">
        <w:fldChar w:fldCharType="end"/>
      </w:r>
      <w:r w:rsidRPr="00F94291">
        <w:t>.  </w:t>
      </w:r>
      <w:r w:rsidRPr="00F94291">
        <w:rPr>
          <w:rFonts w:eastAsiaTheme="minorEastAsia"/>
        </w:rPr>
        <w:t>The case concerns the length of ongoing criminal proceedings in which the applicant was accused of a war crime. The proceedings have so far lasted for more than eleven years, at two levels of jurisdiction</w:t>
      </w:r>
      <w:r w:rsidRPr="00F94291">
        <w:t>.</w:t>
      </w:r>
    </w:p>
    <w:p w:rsidRPr="00F94291" w:rsidR="00004089" w:rsidP="00F94291" w:rsidRDefault="00004089" w14:paraId="2D81CD0D" w14:textId="77777777">
      <w:pPr>
        <w:pStyle w:val="JuHHead"/>
      </w:pPr>
      <w:r w:rsidRPr="00F94291">
        <w:t>THE FACTS</w:t>
      </w:r>
    </w:p>
    <w:p w:rsidRPr="00F94291" w:rsidR="00004089" w:rsidP="00F94291" w:rsidRDefault="00004089" w14:paraId="67A4391F" w14:textId="1512EF62">
      <w:pPr>
        <w:pStyle w:val="JuPara"/>
      </w:pPr>
      <w:r w:rsidRPr="00F94291">
        <w:fldChar w:fldCharType="begin"/>
      </w:r>
      <w:r w:rsidRPr="00F94291">
        <w:instrText xml:space="preserve"> SEQ level0 \*arabic </w:instrText>
      </w:r>
      <w:r w:rsidRPr="00F94291">
        <w:fldChar w:fldCharType="separate"/>
      </w:r>
      <w:r w:rsidRPr="00F94291" w:rsidR="00F94291">
        <w:rPr>
          <w:noProof/>
        </w:rPr>
        <w:t>2</w:t>
      </w:r>
      <w:r w:rsidRPr="00F94291">
        <w:fldChar w:fldCharType="end"/>
      </w:r>
      <w:r w:rsidRPr="00F94291">
        <w:t>.  The applicant was born in 1959 and lives in Greda Sunjska. He was represented by Mr D. Rupčić, a lawyer practising in Sisak.</w:t>
      </w:r>
    </w:p>
    <w:p w:rsidRPr="00F94291" w:rsidR="00004089" w:rsidP="00F94291" w:rsidRDefault="00004089" w14:paraId="22304C74" w14:textId="075ED9C6">
      <w:pPr>
        <w:pStyle w:val="JuPara"/>
      </w:pPr>
      <w:r w:rsidRPr="00F94291">
        <w:fldChar w:fldCharType="begin"/>
      </w:r>
      <w:r w:rsidRPr="00F94291">
        <w:instrText xml:space="preserve"> SEQ level0 \*arabic </w:instrText>
      </w:r>
      <w:r w:rsidRPr="00F94291">
        <w:fldChar w:fldCharType="separate"/>
      </w:r>
      <w:r w:rsidRPr="00F94291" w:rsidR="00F94291">
        <w:rPr>
          <w:noProof/>
        </w:rPr>
        <w:t>3</w:t>
      </w:r>
      <w:r w:rsidRPr="00F94291">
        <w:fldChar w:fldCharType="end"/>
      </w:r>
      <w:r w:rsidRPr="00F94291">
        <w:t xml:space="preserve">.  The Croatian Government (“the Government”) were represented by their Agent, Ms </w:t>
      </w:r>
      <w:r w:rsidRPr="00F94291">
        <w:rPr>
          <w:lang w:val="hr-HR"/>
        </w:rPr>
        <w:t>Š. Stažnik</w:t>
      </w:r>
      <w:r w:rsidRPr="00F94291">
        <w:t>.</w:t>
      </w:r>
    </w:p>
    <w:p w:rsidRPr="00F94291" w:rsidR="00004089" w:rsidP="00F94291" w:rsidRDefault="00004089" w14:paraId="31F1D116" w14:textId="216CBF46">
      <w:pPr>
        <w:pStyle w:val="JuPara"/>
      </w:pPr>
      <w:r w:rsidRPr="00F94291">
        <w:fldChar w:fldCharType="begin"/>
      </w:r>
      <w:r w:rsidRPr="00F94291">
        <w:instrText xml:space="preserve"> SEQ level0 \*arabic </w:instrText>
      </w:r>
      <w:r w:rsidRPr="00F94291">
        <w:fldChar w:fldCharType="separate"/>
      </w:r>
      <w:r w:rsidRPr="00F94291" w:rsidR="00F94291">
        <w:rPr>
          <w:noProof/>
        </w:rPr>
        <w:t>4</w:t>
      </w:r>
      <w:r w:rsidRPr="00F94291">
        <w:fldChar w:fldCharType="end"/>
      </w:r>
      <w:r w:rsidRPr="00F94291">
        <w:t>.  The Government of Serbia, having been informed of their right to intervene (Article 36 § 1 of the Convention and Rule 44 § 1 (a) of the Rules of Court), did not avail themselves of this right.</w:t>
      </w:r>
    </w:p>
    <w:p w:rsidRPr="00F94291" w:rsidR="00004089" w:rsidP="00F94291" w:rsidRDefault="00004089" w14:paraId="24EF15C1" w14:textId="207E4E62">
      <w:pPr>
        <w:pStyle w:val="JuPara"/>
      </w:pPr>
      <w:r w:rsidRPr="00F94291">
        <w:fldChar w:fldCharType="begin"/>
      </w:r>
      <w:r w:rsidRPr="00F94291">
        <w:instrText xml:space="preserve"> SEQ level0 \*arabic </w:instrText>
      </w:r>
      <w:r w:rsidRPr="00F94291">
        <w:fldChar w:fldCharType="separate"/>
      </w:r>
      <w:r w:rsidRPr="00F94291" w:rsidR="00F94291">
        <w:rPr>
          <w:noProof/>
        </w:rPr>
        <w:t>5</w:t>
      </w:r>
      <w:r w:rsidRPr="00F94291">
        <w:fldChar w:fldCharType="end"/>
      </w:r>
      <w:r w:rsidRPr="00F94291">
        <w:t>.  The facts of the case, as submitted by the parties, may be summarised as follows.</w:t>
      </w:r>
    </w:p>
    <w:p w:rsidRPr="00F94291" w:rsidR="00004089" w:rsidP="00F94291" w:rsidRDefault="00004089" w14:paraId="03226203" w14:textId="77777777">
      <w:pPr>
        <w:pStyle w:val="JuHIRoman"/>
      </w:pPr>
      <w:r w:rsidRPr="00F94291">
        <w:t>Criminal proceedings</w:t>
      </w:r>
    </w:p>
    <w:p w:rsidRPr="00F94291" w:rsidR="00004089" w:rsidP="00F94291" w:rsidRDefault="00004089" w14:paraId="5916B8D9" w14:textId="1574631D">
      <w:pPr>
        <w:pStyle w:val="JuPara"/>
        <w:rPr>
          <w:rFonts w:eastAsiaTheme="minorEastAsia"/>
        </w:rPr>
      </w:pPr>
      <w:r w:rsidRPr="00F94291">
        <w:rPr>
          <w:rFonts w:eastAsiaTheme="minorEastAsia"/>
        </w:rPr>
        <w:fldChar w:fldCharType="begin"/>
      </w:r>
      <w:r w:rsidRPr="00F94291">
        <w:rPr>
          <w:rFonts w:eastAsiaTheme="minorEastAsia"/>
        </w:rPr>
        <w:instrText xml:space="preserve"> SEQ level0 \*arabic </w:instrText>
      </w:r>
      <w:r w:rsidRPr="00F94291">
        <w:rPr>
          <w:rFonts w:eastAsiaTheme="minorEastAsia"/>
        </w:rPr>
        <w:fldChar w:fldCharType="separate"/>
      </w:r>
      <w:r w:rsidRPr="00F94291" w:rsidR="00F94291">
        <w:rPr>
          <w:rFonts w:eastAsiaTheme="minorEastAsia"/>
          <w:noProof/>
        </w:rPr>
        <w:t>6</w:t>
      </w:r>
      <w:r w:rsidRPr="00F94291">
        <w:rPr>
          <w:rFonts w:eastAsiaTheme="minorEastAsia"/>
        </w:rPr>
        <w:fldChar w:fldCharType="end"/>
      </w:r>
      <w:r w:rsidRPr="00F94291">
        <w:rPr>
          <w:rFonts w:eastAsiaTheme="minorEastAsia"/>
        </w:rPr>
        <w:t>.  On 19 May 1999 an investigating judge of the Sisak County Court (</w:t>
      </w:r>
      <w:r w:rsidRPr="00F94291">
        <w:rPr>
          <w:rFonts w:eastAsiaTheme="minorEastAsia"/>
          <w:i/>
        </w:rPr>
        <w:t>Županijski sud u Sisku</w:t>
      </w:r>
      <w:r w:rsidRPr="00F94291">
        <w:rPr>
          <w:rFonts w:eastAsiaTheme="minorEastAsia"/>
        </w:rPr>
        <w:t>) opened an investigation in respect of the applicant on suspicion of murder. On 30 March 2009 the judge opened an investigation against the applicant on suspicion of a war crime against the civilian population and ordered his detention.</w:t>
      </w:r>
    </w:p>
    <w:bookmarkStart w:name="para0007" w:id="3"/>
    <w:bookmarkStart w:name="para7" w:id="4"/>
    <w:p w:rsidRPr="00F94291" w:rsidR="00004089" w:rsidP="00F94291" w:rsidRDefault="00004089" w14:paraId="57BE39AB" w14:textId="02DEBDA1">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7</w:t>
      </w:r>
      <w:r w:rsidRPr="00F94291">
        <w:rPr>
          <w:rFonts w:eastAsiaTheme="minorEastAsia"/>
          <w:szCs w:val="22"/>
        </w:rPr>
        <w:fldChar w:fldCharType="end"/>
      </w:r>
      <w:bookmarkEnd w:id="3"/>
      <w:bookmarkEnd w:id="4"/>
      <w:r w:rsidRPr="00F94291">
        <w:rPr>
          <w:rFonts w:eastAsiaTheme="minorEastAsia"/>
          <w:szCs w:val="22"/>
        </w:rPr>
        <w:t>.  On 12 July 2009 the applicant was arrested in Turkey on the basis of an international arrest warrant issued by the Croatian authorities. On 15</w:t>
      </w:r>
      <w:r w:rsidRPr="00F94291" w:rsidR="000D00DE">
        <w:rPr>
          <w:rFonts w:eastAsiaTheme="minorEastAsia"/>
          <w:szCs w:val="22"/>
        </w:rPr>
        <w:t> </w:t>
      </w:r>
      <w:r w:rsidRPr="00F94291">
        <w:rPr>
          <w:rFonts w:eastAsiaTheme="minorEastAsia"/>
          <w:szCs w:val="22"/>
        </w:rPr>
        <w:t>July 2009 the Turkish authorities informed their Croatian counterparts of the applicant</w:t>
      </w:r>
      <w:r w:rsidRPr="00F94291" w:rsidR="00F94291">
        <w:rPr>
          <w:rFonts w:eastAsiaTheme="minorEastAsia"/>
          <w:szCs w:val="22"/>
        </w:rPr>
        <w:t>’</w:t>
      </w:r>
      <w:r w:rsidRPr="00F94291">
        <w:rPr>
          <w:rFonts w:eastAsiaTheme="minorEastAsia"/>
          <w:szCs w:val="22"/>
        </w:rPr>
        <w:t>s arrest, by a diplomatic note indicating that he had been arrested for murder.</w:t>
      </w:r>
    </w:p>
    <w:bookmarkStart w:name="paragraph8" w:id="5"/>
    <w:p w:rsidRPr="00F94291" w:rsidR="00004089" w:rsidP="00F94291" w:rsidRDefault="00004089" w14:paraId="37B747FD" w14:textId="33E202B1">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8</w:t>
      </w:r>
      <w:r w:rsidRPr="00F94291">
        <w:rPr>
          <w:rFonts w:eastAsiaTheme="minorEastAsia"/>
          <w:szCs w:val="22"/>
        </w:rPr>
        <w:fldChar w:fldCharType="end"/>
      </w:r>
      <w:bookmarkEnd w:id="5"/>
      <w:r w:rsidRPr="00F94291">
        <w:rPr>
          <w:rFonts w:eastAsiaTheme="minorEastAsia"/>
          <w:szCs w:val="22"/>
        </w:rPr>
        <w:t>.  On 20 July 2009 the Ministry of Justice requested the Turkish authorities to extradite the applicant to Croatia for the offences of murder and a war crime against the civilian population.</w:t>
      </w:r>
    </w:p>
    <w:bookmarkStart w:name="paragraph9" w:id="6"/>
    <w:p w:rsidRPr="00F94291" w:rsidR="00004089" w:rsidP="00F94291" w:rsidRDefault="00004089" w14:paraId="0D5179D9" w14:textId="7FE998F7">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9</w:t>
      </w:r>
      <w:r w:rsidRPr="00F94291">
        <w:rPr>
          <w:rFonts w:eastAsiaTheme="minorEastAsia"/>
          <w:szCs w:val="22"/>
        </w:rPr>
        <w:fldChar w:fldCharType="end"/>
      </w:r>
      <w:bookmarkEnd w:id="6"/>
      <w:r w:rsidRPr="00F94291">
        <w:rPr>
          <w:rFonts w:eastAsiaTheme="minorEastAsia"/>
          <w:szCs w:val="22"/>
        </w:rPr>
        <w:t>.  On 18 February 2010 the applicant was extradited to Croatia where he was immediately placed in detention in connection with both offences. The next day he was brought before the investigating judge where he was informed of the charges against him.</w:t>
      </w:r>
    </w:p>
    <w:p w:rsidRPr="00F94291" w:rsidR="00004089" w:rsidP="00F94291" w:rsidRDefault="00004089" w14:paraId="09BC3182" w14:textId="3B2616F2">
      <w:pPr>
        <w:pStyle w:val="JuPara"/>
        <w:rPr>
          <w:rFonts w:eastAsia="Times New Roman"/>
          <w:lang w:eastAsia="en-GB"/>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10</w:t>
      </w:r>
      <w:r w:rsidRPr="00F94291">
        <w:rPr>
          <w:rFonts w:eastAsiaTheme="minorEastAsia"/>
          <w:szCs w:val="22"/>
        </w:rPr>
        <w:fldChar w:fldCharType="end"/>
      </w:r>
      <w:r w:rsidRPr="00F94291">
        <w:rPr>
          <w:rFonts w:eastAsiaTheme="minorEastAsia"/>
          <w:szCs w:val="22"/>
        </w:rPr>
        <w:t xml:space="preserve">.  As regards the murder charge, </w:t>
      </w:r>
      <w:r w:rsidRPr="00F94291">
        <w:rPr>
          <w:rFonts w:eastAsia="Times New Roman"/>
          <w:lang w:eastAsia="en-GB"/>
        </w:rPr>
        <w:t>the applicant was eventually found guilty of that criminal offence and sentenced to five years</w:t>
      </w:r>
      <w:r w:rsidRPr="00F94291" w:rsidR="00F94291">
        <w:rPr>
          <w:rFonts w:eastAsia="Times New Roman"/>
          <w:lang w:eastAsia="en-GB"/>
        </w:rPr>
        <w:t>’</w:t>
      </w:r>
      <w:r w:rsidRPr="00F94291">
        <w:rPr>
          <w:rFonts w:eastAsia="Times New Roman"/>
          <w:lang w:eastAsia="en-GB"/>
        </w:rPr>
        <w:t xml:space="preserve"> imprisonment by </w:t>
      </w:r>
      <w:r w:rsidRPr="00F94291">
        <w:rPr>
          <w:rFonts w:eastAsiaTheme="minorEastAsia"/>
        </w:rPr>
        <w:t>the Sisak County Court</w:t>
      </w:r>
      <w:r w:rsidRPr="00F94291" w:rsidR="00F94291">
        <w:rPr>
          <w:rFonts w:eastAsiaTheme="minorEastAsia"/>
        </w:rPr>
        <w:t>’</w:t>
      </w:r>
      <w:r w:rsidRPr="00F94291">
        <w:rPr>
          <w:rFonts w:eastAsiaTheme="minorEastAsia"/>
        </w:rPr>
        <w:t>s</w:t>
      </w:r>
      <w:r w:rsidRPr="00F94291">
        <w:rPr>
          <w:rFonts w:eastAsia="Times New Roman"/>
          <w:lang w:eastAsia="en-GB"/>
        </w:rPr>
        <w:t xml:space="preserve"> judgment of 12 November 2010 and the Supreme Court</w:t>
      </w:r>
      <w:r w:rsidRPr="00F94291" w:rsidR="00F94291">
        <w:rPr>
          <w:rFonts w:eastAsia="Times New Roman"/>
          <w:lang w:eastAsia="en-GB"/>
        </w:rPr>
        <w:t>’</w:t>
      </w:r>
      <w:r w:rsidRPr="00F94291">
        <w:rPr>
          <w:rFonts w:eastAsia="Times New Roman"/>
          <w:lang w:eastAsia="en-GB"/>
        </w:rPr>
        <w:t xml:space="preserve">s judgment of </w:t>
      </w:r>
      <w:r w:rsidRPr="00F94291">
        <w:rPr>
          <w:rFonts w:eastAsiaTheme="minorEastAsia"/>
        </w:rPr>
        <w:t xml:space="preserve">7 April 2011. </w:t>
      </w:r>
      <w:r w:rsidRPr="00F94291">
        <w:rPr>
          <w:rFonts w:eastAsia="Times New Roman"/>
          <w:lang w:eastAsia="en-GB"/>
        </w:rPr>
        <w:t>He was conditionally released on 26</w:t>
      </w:r>
      <w:r w:rsidRPr="00F94291" w:rsidR="000D00DE">
        <w:rPr>
          <w:rFonts w:eastAsia="Times New Roman"/>
          <w:lang w:eastAsia="en-GB"/>
        </w:rPr>
        <w:t> </w:t>
      </w:r>
      <w:r w:rsidRPr="00F94291">
        <w:rPr>
          <w:rFonts w:eastAsia="Times New Roman"/>
          <w:lang w:eastAsia="en-GB"/>
        </w:rPr>
        <w:t>June 2015.</w:t>
      </w:r>
    </w:p>
    <w:bookmarkStart w:name="paragraph11" w:id="7"/>
    <w:p w:rsidRPr="00F94291" w:rsidR="00004089" w:rsidP="00F94291" w:rsidRDefault="00004089" w14:paraId="13C3FA22" w14:textId="3C5570BD">
      <w:pPr>
        <w:pStyle w:val="JuPara"/>
        <w:rPr>
          <w:rFonts w:eastAsiaTheme="minorEastAsia"/>
          <w:szCs w:val="22"/>
        </w:rPr>
      </w:pPr>
      <w:r w:rsidRPr="00F94291">
        <w:rPr>
          <w:rFonts w:eastAsia="Times New Roman"/>
          <w:lang w:eastAsia="en-GB"/>
        </w:rPr>
        <w:fldChar w:fldCharType="begin"/>
      </w:r>
      <w:r w:rsidRPr="00F94291">
        <w:rPr>
          <w:rFonts w:eastAsia="Times New Roman"/>
          <w:lang w:eastAsia="en-GB"/>
        </w:rPr>
        <w:instrText xml:space="preserve"> SEQ level0 \*arabic </w:instrText>
      </w:r>
      <w:r w:rsidRPr="00F94291">
        <w:rPr>
          <w:rFonts w:eastAsia="Times New Roman"/>
          <w:lang w:eastAsia="en-GB"/>
        </w:rPr>
        <w:fldChar w:fldCharType="separate"/>
      </w:r>
      <w:r w:rsidRPr="00F94291" w:rsidR="00F94291">
        <w:rPr>
          <w:rFonts w:eastAsia="Times New Roman"/>
          <w:noProof/>
          <w:lang w:eastAsia="en-GB"/>
        </w:rPr>
        <w:t>11</w:t>
      </w:r>
      <w:r w:rsidRPr="00F94291">
        <w:rPr>
          <w:rFonts w:eastAsia="Times New Roman"/>
          <w:lang w:eastAsia="en-GB"/>
        </w:rPr>
        <w:fldChar w:fldCharType="end"/>
      </w:r>
      <w:bookmarkEnd w:id="7"/>
      <w:r w:rsidRPr="00F94291">
        <w:rPr>
          <w:rFonts w:eastAsia="Times New Roman"/>
          <w:lang w:eastAsia="en-GB"/>
        </w:rPr>
        <w:t>.  As regards the charge of a war crime against the civilian population,</w:t>
      </w:r>
      <w:r w:rsidRPr="00F94291">
        <w:rPr>
          <w:rFonts w:eastAsiaTheme="minorEastAsia"/>
          <w:szCs w:val="22"/>
        </w:rPr>
        <w:t xml:space="preserve"> the Sisak County Court asked the Ministry of Justice on 17 March, 6</w:t>
      </w:r>
      <w:r w:rsidRPr="00F94291" w:rsidR="000D00DE">
        <w:rPr>
          <w:rFonts w:eastAsiaTheme="minorEastAsia"/>
          <w:szCs w:val="22"/>
        </w:rPr>
        <w:t> </w:t>
      </w:r>
      <w:r w:rsidRPr="00F94291">
        <w:rPr>
          <w:rFonts w:eastAsiaTheme="minorEastAsia"/>
          <w:szCs w:val="22"/>
        </w:rPr>
        <w:t>May and 7 June 2010 to obtain a copy of the decision by the Turkish authorities concerning the applicant</w:t>
      </w:r>
      <w:r w:rsidRPr="00F94291" w:rsidR="00F94291">
        <w:rPr>
          <w:rFonts w:eastAsiaTheme="minorEastAsia"/>
          <w:szCs w:val="22"/>
        </w:rPr>
        <w:t>’</w:t>
      </w:r>
      <w:r w:rsidRPr="00F94291">
        <w:rPr>
          <w:rFonts w:eastAsiaTheme="minorEastAsia"/>
          <w:szCs w:val="22"/>
        </w:rPr>
        <w:t>s extradition. Without that decision it could not be established whether he had been extradited for both murder and a war crime, it being understood that he could be tried only for the offence or offences in respect of which he had been extradited (</w:t>
      </w:r>
      <w:r w:rsidRPr="00F94291" w:rsidR="00F94291">
        <w:rPr>
          <w:rFonts w:eastAsiaTheme="minorEastAsia"/>
          <w:szCs w:val="22"/>
        </w:rPr>
        <w:t xml:space="preserve">see </w:t>
      </w:r>
      <w:r w:rsidRPr="00F94291">
        <w:rPr>
          <w:rFonts w:eastAsiaTheme="minorEastAsia"/>
          <w:szCs w:val="22"/>
        </w:rPr>
        <w:t xml:space="preserve">Article 14 </w:t>
      </w:r>
      <w:r w:rsidRPr="00F94291">
        <w:rPr>
          <w:rFonts w:eastAsiaTheme="minorEastAsia" w:cstheme="minorHAnsi"/>
          <w:szCs w:val="22"/>
        </w:rPr>
        <w:t>§</w:t>
      </w:r>
      <w:r w:rsidRPr="00F94291">
        <w:rPr>
          <w:rFonts w:eastAsiaTheme="minorEastAsia"/>
          <w:szCs w:val="22"/>
        </w:rPr>
        <w:t xml:space="preserve"> 1 of the European Convention on Extradition in paragraph </w:t>
      </w:r>
      <w:r w:rsidRPr="00F94291">
        <w:rPr>
          <w:rFonts w:eastAsiaTheme="minorEastAsia"/>
          <w:szCs w:val="22"/>
        </w:rPr>
        <w:fldChar w:fldCharType="begin"/>
      </w:r>
      <w:r w:rsidRPr="00F94291">
        <w:rPr>
          <w:rFonts w:eastAsiaTheme="minorEastAsia"/>
          <w:szCs w:val="22"/>
        </w:rPr>
        <w:instrText xml:space="preserve"> REF para0042 \h </w:instrText>
      </w:r>
      <w:r w:rsidRPr="00F94291">
        <w:rPr>
          <w:rFonts w:eastAsiaTheme="minorEastAsia"/>
          <w:szCs w:val="22"/>
        </w:rPr>
      </w:r>
      <w:r w:rsidRPr="00F94291">
        <w:rPr>
          <w:rFonts w:eastAsiaTheme="minorEastAsia"/>
          <w:szCs w:val="22"/>
        </w:rPr>
        <w:fldChar w:fldCharType="separate"/>
      </w:r>
      <w:r w:rsidRPr="00F94291" w:rsidR="00F94291">
        <w:rPr>
          <w:noProof/>
        </w:rPr>
        <w:t>42</w:t>
      </w:r>
      <w:r w:rsidRPr="00F94291">
        <w:rPr>
          <w:rFonts w:eastAsiaTheme="minorEastAsia"/>
          <w:szCs w:val="22"/>
        </w:rPr>
        <w:fldChar w:fldCharType="end"/>
      </w:r>
      <w:r w:rsidRPr="00F94291">
        <w:rPr>
          <w:rFonts w:eastAsiaTheme="minorEastAsia"/>
          <w:szCs w:val="22"/>
        </w:rPr>
        <w:t xml:space="preserve"> below).</w:t>
      </w:r>
    </w:p>
    <w:p w:rsidRPr="00F94291" w:rsidR="00004089" w:rsidP="00F94291" w:rsidRDefault="00004089" w14:paraId="605F9CC7" w14:textId="17877601">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12</w:t>
      </w:r>
      <w:r w:rsidRPr="00F94291">
        <w:rPr>
          <w:rFonts w:eastAsiaTheme="minorEastAsia"/>
          <w:szCs w:val="22"/>
        </w:rPr>
        <w:fldChar w:fldCharType="end"/>
      </w:r>
      <w:r w:rsidRPr="00F94291">
        <w:rPr>
          <w:rFonts w:eastAsiaTheme="minorEastAsia"/>
          <w:szCs w:val="22"/>
        </w:rPr>
        <w:t>.  On 17 May 2010 the Sisak County State Attorney</w:t>
      </w:r>
      <w:r w:rsidRPr="00F94291" w:rsidR="00F94291">
        <w:rPr>
          <w:rFonts w:eastAsiaTheme="minorEastAsia"/>
          <w:szCs w:val="22"/>
        </w:rPr>
        <w:t>’</w:t>
      </w:r>
      <w:r w:rsidRPr="00F94291">
        <w:rPr>
          <w:rFonts w:eastAsiaTheme="minorEastAsia"/>
          <w:szCs w:val="22"/>
        </w:rPr>
        <w:t>s Office (</w:t>
      </w:r>
      <w:r w:rsidRPr="00F94291">
        <w:rPr>
          <w:rFonts w:eastAsiaTheme="minorEastAsia"/>
          <w:i/>
          <w:szCs w:val="22"/>
        </w:rPr>
        <w:t>Županijsko državno odvjetništvo u Sisku</w:t>
      </w:r>
      <w:r w:rsidRPr="00F94291">
        <w:rPr>
          <w:rFonts w:eastAsiaTheme="minorEastAsia"/>
          <w:szCs w:val="22"/>
        </w:rPr>
        <w:t>) indicted the applicant before the Sisak County Court for a war crime. The applicant lodged an objection against the indictment arguing that he had been extradited to Croatia only for murder and not for a war crime.</w:t>
      </w:r>
    </w:p>
    <w:bookmarkStart w:name="paragraph13" w:id="8"/>
    <w:p w:rsidRPr="00F94291" w:rsidR="00004089" w:rsidP="00F94291" w:rsidRDefault="00004089" w14:paraId="4F0E617F" w14:textId="38A62D91">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13</w:t>
      </w:r>
      <w:r w:rsidRPr="00F94291">
        <w:rPr>
          <w:rFonts w:eastAsiaTheme="minorEastAsia"/>
          <w:szCs w:val="22"/>
        </w:rPr>
        <w:fldChar w:fldCharType="end"/>
      </w:r>
      <w:bookmarkEnd w:id="8"/>
      <w:r w:rsidRPr="00F94291">
        <w:rPr>
          <w:rFonts w:eastAsiaTheme="minorEastAsia"/>
          <w:szCs w:val="22"/>
        </w:rPr>
        <w:t xml:space="preserve">.  On 1 June 2010 </w:t>
      </w:r>
      <w:bookmarkStart w:name="_Hlk67071619" w:id="9"/>
      <w:r w:rsidRPr="00F94291">
        <w:rPr>
          <w:rFonts w:eastAsiaTheme="minorEastAsia"/>
          <w:szCs w:val="22"/>
        </w:rPr>
        <w:t>the Sisak County State Attorney</w:t>
      </w:r>
      <w:r w:rsidRPr="00F94291" w:rsidR="00F94291">
        <w:rPr>
          <w:rFonts w:eastAsiaTheme="minorEastAsia"/>
          <w:szCs w:val="22"/>
        </w:rPr>
        <w:t>’</w:t>
      </w:r>
      <w:r w:rsidRPr="00F94291">
        <w:rPr>
          <w:rFonts w:eastAsiaTheme="minorEastAsia"/>
          <w:szCs w:val="22"/>
        </w:rPr>
        <w:t xml:space="preserve">s Office requested the Sisak County Court to supplement the investigation </w:t>
      </w:r>
      <w:bookmarkEnd w:id="9"/>
      <w:r w:rsidRPr="00F94291">
        <w:rPr>
          <w:rFonts w:eastAsiaTheme="minorEastAsia"/>
          <w:szCs w:val="22"/>
        </w:rPr>
        <w:t>with a view to establishing the offence or offences for which the applicant had been extradited. It noted that the Turkish authorities</w:t>
      </w:r>
      <w:r w:rsidRPr="00F94291" w:rsidR="00F94291">
        <w:rPr>
          <w:rFonts w:eastAsiaTheme="minorEastAsia"/>
          <w:szCs w:val="22"/>
        </w:rPr>
        <w:t>’</w:t>
      </w:r>
      <w:r w:rsidRPr="00F94291">
        <w:rPr>
          <w:rFonts w:eastAsiaTheme="minorEastAsia"/>
          <w:szCs w:val="22"/>
        </w:rPr>
        <w:t xml:space="preserve"> diplomatic note of 15</w:t>
      </w:r>
      <w:r w:rsidRPr="00F94291" w:rsidR="000D00DE">
        <w:rPr>
          <w:rFonts w:eastAsiaTheme="minorEastAsia"/>
          <w:szCs w:val="22"/>
        </w:rPr>
        <w:t> </w:t>
      </w:r>
      <w:r w:rsidRPr="00F94291">
        <w:rPr>
          <w:rFonts w:eastAsiaTheme="minorEastAsia"/>
          <w:szCs w:val="22"/>
        </w:rPr>
        <w:t>July 2009 only indicated that the applicant had been arrested on the basis of the Croatian authorities</w:t>
      </w:r>
      <w:r w:rsidRPr="00F94291" w:rsidR="00F94291">
        <w:rPr>
          <w:rFonts w:eastAsiaTheme="minorEastAsia"/>
          <w:szCs w:val="22"/>
        </w:rPr>
        <w:t>’</w:t>
      </w:r>
      <w:r w:rsidRPr="00F94291">
        <w:rPr>
          <w:rFonts w:eastAsiaTheme="minorEastAsia"/>
          <w:szCs w:val="22"/>
        </w:rPr>
        <w:t xml:space="preserve"> international arrest warrant for murder (</w:t>
      </w:r>
      <w:r w:rsidRPr="00F94291" w:rsidR="00F94291">
        <w:rPr>
          <w:rFonts w:eastAsiaTheme="minorEastAsia"/>
          <w:szCs w:val="22"/>
        </w:rPr>
        <w:t xml:space="preserve">see </w:t>
      </w:r>
      <w:r w:rsidRPr="00F94291">
        <w:rPr>
          <w:rFonts w:eastAsiaTheme="minorEastAsia"/>
          <w:szCs w:val="22"/>
        </w:rPr>
        <w:t>paragraph</w:t>
      </w:r>
      <w:r w:rsidRPr="00F94291" w:rsidR="006C2F53">
        <w:rPr>
          <w:rFonts w:eastAsiaTheme="minorEastAsia"/>
          <w:szCs w:val="22"/>
        </w:rPr>
        <w:t> </w:t>
      </w:r>
      <w:r w:rsidRPr="00F94291">
        <w:rPr>
          <w:rFonts w:eastAsiaTheme="minorEastAsia"/>
          <w:szCs w:val="22"/>
        </w:rPr>
        <w:fldChar w:fldCharType="begin"/>
      </w:r>
      <w:r w:rsidRPr="00F94291">
        <w:rPr>
          <w:rFonts w:eastAsiaTheme="minorEastAsia"/>
          <w:szCs w:val="22"/>
        </w:rPr>
        <w:instrText xml:space="preserve"> REF para0007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7</w:t>
      </w:r>
      <w:r w:rsidRPr="00F94291">
        <w:rPr>
          <w:rFonts w:eastAsiaTheme="minorEastAsia"/>
          <w:szCs w:val="22"/>
        </w:rPr>
        <w:fldChar w:fldCharType="end"/>
      </w:r>
      <w:r w:rsidRPr="00F94291">
        <w:rPr>
          <w:rFonts w:eastAsiaTheme="minorEastAsia"/>
          <w:szCs w:val="22"/>
        </w:rPr>
        <w:t xml:space="preserve"> above). </w:t>
      </w:r>
      <w:bookmarkStart w:name="_Hlk67071737" w:id="10"/>
      <w:r w:rsidRPr="00F94291">
        <w:rPr>
          <w:rFonts w:eastAsiaTheme="minorEastAsia"/>
          <w:szCs w:val="22"/>
        </w:rPr>
        <w:t>The County Court granted the request on the same day whereupon it asked the Ministry of Justice</w:t>
      </w:r>
      <w:bookmarkEnd w:id="10"/>
      <w:r w:rsidRPr="00F94291">
        <w:rPr>
          <w:rFonts w:eastAsiaTheme="minorEastAsia"/>
          <w:szCs w:val="22"/>
        </w:rPr>
        <w:t xml:space="preserve"> to enquire with the Turkish authorities which offence or offences the applicant had been extradited for.</w:t>
      </w:r>
    </w:p>
    <w:bookmarkStart w:name="paragraph14" w:id="11"/>
    <w:p w:rsidRPr="00F94291" w:rsidR="00004089" w:rsidP="00F94291" w:rsidRDefault="00004089" w14:paraId="75BF31DB" w14:textId="551E5557">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14</w:t>
      </w:r>
      <w:r w:rsidRPr="00F94291">
        <w:rPr>
          <w:rFonts w:eastAsiaTheme="minorEastAsia"/>
          <w:szCs w:val="22"/>
        </w:rPr>
        <w:fldChar w:fldCharType="end"/>
      </w:r>
      <w:bookmarkEnd w:id="11"/>
      <w:r w:rsidRPr="00F94291">
        <w:rPr>
          <w:rFonts w:eastAsiaTheme="minorEastAsia"/>
          <w:szCs w:val="22"/>
        </w:rPr>
        <w:t>.  On 31 August 2010 the Ministry of Justice received from the Turkish authorities two decisions concerning the applicant</w:t>
      </w:r>
      <w:r w:rsidRPr="00F94291" w:rsidR="00F94291">
        <w:rPr>
          <w:rFonts w:eastAsiaTheme="minorEastAsia"/>
          <w:szCs w:val="22"/>
        </w:rPr>
        <w:t>’</w:t>
      </w:r>
      <w:r w:rsidRPr="00F94291">
        <w:rPr>
          <w:rFonts w:eastAsiaTheme="minorEastAsia"/>
          <w:szCs w:val="22"/>
        </w:rPr>
        <w:t>s extradition: (a)</w:t>
      </w:r>
      <w:r w:rsidRPr="00F94291" w:rsidR="006C2F53">
        <w:rPr>
          <w:rFonts w:eastAsiaTheme="minorEastAsia"/>
          <w:szCs w:val="22"/>
        </w:rPr>
        <w:t> </w:t>
      </w:r>
      <w:r w:rsidRPr="00F94291">
        <w:rPr>
          <w:rFonts w:eastAsiaTheme="minorEastAsia"/>
          <w:szCs w:val="22"/>
        </w:rPr>
        <w:t xml:space="preserve">a decision of the Trabzon Assize Court of 14 September 2009, which indicated that the applicant had been extradited to Croatia on suspicion of having committed a murder, and (b) a decision of the Government of Turkey of 19 October 2009 which indicated that his extradition had been granted </w:t>
      </w:r>
      <w:r w:rsidRPr="00F94291">
        <w:rPr>
          <w:rFonts w:eastAsia="Calibri" w:cs="Calibri"/>
          <w:bCs/>
          <w:iCs/>
        </w:rPr>
        <w:t>for “having committed a war crime</w:t>
      </w:r>
      <w:r w:rsidRPr="00F94291">
        <w:rPr>
          <w:rFonts w:cs="Calibri"/>
          <w:bCs/>
          <w:iCs/>
        </w:rPr>
        <w:t xml:space="preserve"> against the civilian population</w:t>
      </w:r>
      <w:r w:rsidRPr="00F94291">
        <w:rPr>
          <w:rFonts w:eastAsia="Calibri" w:cs="Calibri"/>
        </w:rPr>
        <w:t xml:space="preserve"> by murder”</w:t>
      </w:r>
      <w:r w:rsidRPr="00F94291">
        <w:rPr>
          <w:rFonts w:ascii="Times New Roman" w:hAnsi="Times New Roman" w:cs="Calibri"/>
          <w:bCs/>
          <w:iCs/>
          <w:color w:val="000000"/>
        </w:rPr>
        <w:t xml:space="preserve">. </w:t>
      </w:r>
      <w:r w:rsidRPr="00F94291">
        <w:rPr>
          <w:rFonts w:eastAsiaTheme="minorEastAsia"/>
          <w:szCs w:val="22"/>
        </w:rPr>
        <w:t>The Ministry forwarded the two decisions to the Sisak County Court on 3 September 2010.</w:t>
      </w:r>
    </w:p>
    <w:p w:rsidRPr="00F94291" w:rsidR="00004089" w:rsidP="00F94291" w:rsidRDefault="00004089" w14:paraId="42E88DE7" w14:textId="548F4B52">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15</w:t>
      </w:r>
      <w:r w:rsidRPr="00F94291">
        <w:rPr>
          <w:rFonts w:eastAsiaTheme="minorEastAsia"/>
          <w:szCs w:val="22"/>
        </w:rPr>
        <w:fldChar w:fldCharType="end"/>
      </w:r>
      <w:r w:rsidRPr="00F94291">
        <w:rPr>
          <w:rFonts w:eastAsiaTheme="minorEastAsia"/>
          <w:szCs w:val="22"/>
        </w:rPr>
        <w:t>.  On 20 September 2010 the Sisak County State Attorney</w:t>
      </w:r>
      <w:r w:rsidRPr="00F94291" w:rsidR="00F94291">
        <w:rPr>
          <w:rFonts w:eastAsiaTheme="minorEastAsia"/>
          <w:szCs w:val="22"/>
        </w:rPr>
        <w:t>’</w:t>
      </w:r>
      <w:r w:rsidRPr="00F94291">
        <w:rPr>
          <w:rFonts w:eastAsiaTheme="minorEastAsia"/>
          <w:szCs w:val="22"/>
        </w:rPr>
        <w:t>s Office again indicted the applicant before the Sisak County Court for a war crime against the civilian population. That time the Sisak County Court rejected the applicant</w:t>
      </w:r>
      <w:r w:rsidRPr="00F94291" w:rsidR="00F94291">
        <w:rPr>
          <w:rFonts w:eastAsiaTheme="minorEastAsia"/>
          <w:szCs w:val="22"/>
        </w:rPr>
        <w:t>’</w:t>
      </w:r>
      <w:r w:rsidRPr="00F94291">
        <w:rPr>
          <w:rFonts w:eastAsiaTheme="minorEastAsia"/>
          <w:szCs w:val="22"/>
        </w:rPr>
        <w:t>s argument that he had not been extradited for a war crime and, on 30 September 2010, dismissed his objection against the indictment.</w:t>
      </w:r>
    </w:p>
    <w:bookmarkStart w:name="para0016" w:id="12"/>
    <w:p w:rsidRPr="00F94291" w:rsidR="00004089" w:rsidP="00F94291" w:rsidRDefault="00004089" w14:paraId="6E98ADC2" w14:textId="555909A1">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16</w:t>
      </w:r>
      <w:r w:rsidRPr="00F94291">
        <w:rPr>
          <w:rFonts w:eastAsiaTheme="minorEastAsia"/>
          <w:szCs w:val="22"/>
        </w:rPr>
        <w:fldChar w:fldCharType="end"/>
      </w:r>
      <w:bookmarkEnd w:id="12"/>
      <w:r w:rsidRPr="00F94291">
        <w:rPr>
          <w:rFonts w:eastAsiaTheme="minorEastAsia"/>
          <w:i/>
          <w:szCs w:val="22"/>
        </w:rPr>
        <w:t>.  </w:t>
      </w:r>
      <w:r w:rsidRPr="00F94291">
        <w:rPr>
          <w:rFonts w:eastAsiaTheme="minorEastAsia"/>
          <w:szCs w:val="22"/>
        </w:rPr>
        <w:t>By a judgment of 20 December 2010, the same court found the applicant guilty as charged and sentenced him to eight years</w:t>
      </w:r>
      <w:r w:rsidRPr="00F94291" w:rsidR="00F94291">
        <w:rPr>
          <w:rFonts w:eastAsiaTheme="minorEastAsia"/>
          <w:szCs w:val="22"/>
        </w:rPr>
        <w:t>’</w:t>
      </w:r>
      <w:r w:rsidRPr="00F94291">
        <w:rPr>
          <w:rFonts w:eastAsiaTheme="minorEastAsia"/>
          <w:szCs w:val="22"/>
        </w:rPr>
        <w:t xml:space="preserve"> imprisonment.</w:t>
      </w:r>
    </w:p>
    <w:p w:rsidRPr="00F94291" w:rsidR="00004089" w:rsidP="00F94291" w:rsidRDefault="00004089" w14:paraId="724ED952" w14:textId="4AF99A83">
      <w:pPr>
        <w:pStyle w:val="JuPara"/>
        <w:rPr>
          <w:rFonts w:eastAsiaTheme="minorEastAsia"/>
          <w:szCs w:val="22"/>
          <w:lang w:val="en-US"/>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17</w:t>
      </w:r>
      <w:r w:rsidRPr="00F94291">
        <w:rPr>
          <w:rFonts w:eastAsiaTheme="minorEastAsia"/>
          <w:szCs w:val="22"/>
        </w:rPr>
        <w:fldChar w:fldCharType="end"/>
      </w:r>
      <w:r w:rsidRPr="00F94291">
        <w:rPr>
          <w:rFonts w:eastAsiaTheme="minorEastAsia"/>
          <w:szCs w:val="22"/>
        </w:rPr>
        <w:t>.  The applicant appealed, complaining that he had been extradited from Turkey for murder and not for a war crime.</w:t>
      </w:r>
    </w:p>
    <w:bookmarkStart w:name="paragraph18" w:id="13"/>
    <w:p w:rsidRPr="00F94291" w:rsidR="00004089" w:rsidP="00F94291" w:rsidRDefault="00004089" w14:paraId="55F403B7" w14:textId="483DC2A7">
      <w:pPr>
        <w:pStyle w:val="JuPara"/>
        <w:rPr>
          <w:rFonts w:eastAsiaTheme="minorEastAsia"/>
          <w:szCs w:val="22"/>
          <w:lang w:val="en-US"/>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18</w:t>
      </w:r>
      <w:r w:rsidRPr="00F94291">
        <w:rPr>
          <w:rFonts w:eastAsiaTheme="minorEastAsia"/>
          <w:szCs w:val="22"/>
        </w:rPr>
        <w:fldChar w:fldCharType="end"/>
      </w:r>
      <w:bookmarkEnd w:id="13"/>
      <w:r w:rsidRPr="00F94291">
        <w:rPr>
          <w:rFonts w:eastAsiaTheme="minorEastAsia"/>
          <w:i/>
          <w:szCs w:val="22"/>
        </w:rPr>
        <w:t>.  </w:t>
      </w:r>
      <w:r w:rsidRPr="00F94291">
        <w:rPr>
          <w:rFonts w:eastAsiaTheme="minorEastAsia"/>
          <w:szCs w:val="22"/>
        </w:rPr>
        <w:t xml:space="preserve">On 12 July 2011 the Supreme Court </w:t>
      </w:r>
      <w:r w:rsidRPr="00F94291">
        <w:rPr>
          <w:rFonts w:eastAsiaTheme="minorEastAsia"/>
          <w:szCs w:val="22"/>
          <w:lang w:val="en-US"/>
        </w:rPr>
        <w:t>(</w:t>
      </w:r>
      <w:r w:rsidRPr="00F94291">
        <w:rPr>
          <w:rFonts w:eastAsiaTheme="minorEastAsia"/>
          <w:i/>
          <w:szCs w:val="22"/>
          <w:lang w:val="en-US"/>
        </w:rPr>
        <w:t>Vrhovni sud Republike Hrvatske</w:t>
      </w:r>
      <w:r w:rsidRPr="00F94291">
        <w:rPr>
          <w:rFonts w:eastAsiaTheme="minorEastAsia"/>
          <w:szCs w:val="22"/>
          <w:lang w:val="en-US"/>
        </w:rPr>
        <w:t>)</w:t>
      </w:r>
      <w:r w:rsidRPr="00F94291">
        <w:rPr>
          <w:rFonts w:eastAsiaTheme="minorEastAsia"/>
          <w:szCs w:val="22"/>
        </w:rPr>
        <w:t xml:space="preserve"> </w:t>
      </w:r>
      <w:r w:rsidRPr="00F94291">
        <w:rPr>
          <w:rFonts w:eastAsiaTheme="minorEastAsia"/>
          <w:szCs w:val="22"/>
          <w:lang w:val="en-US"/>
        </w:rPr>
        <w:t>allowed his appeal, quashed the first-instance judgment of 20 December 2010 (</w:t>
      </w:r>
      <w:r w:rsidRPr="00F94291" w:rsidR="00F94291">
        <w:rPr>
          <w:rFonts w:eastAsiaTheme="minorEastAsia"/>
          <w:szCs w:val="22"/>
          <w:lang w:val="en-US"/>
        </w:rPr>
        <w:t xml:space="preserve">see </w:t>
      </w:r>
      <w:r w:rsidRPr="00F94291">
        <w:rPr>
          <w:rFonts w:eastAsiaTheme="minorEastAsia"/>
          <w:szCs w:val="22"/>
          <w:lang w:val="en-US"/>
        </w:rPr>
        <w:t xml:space="preserve">paragraph </w:t>
      </w:r>
      <w:r w:rsidRPr="00F94291">
        <w:rPr>
          <w:rFonts w:eastAsiaTheme="minorEastAsia"/>
          <w:szCs w:val="22"/>
          <w:lang w:val="en-US"/>
        </w:rPr>
        <w:fldChar w:fldCharType="begin"/>
      </w:r>
      <w:r w:rsidRPr="00F94291">
        <w:rPr>
          <w:rFonts w:eastAsiaTheme="minorEastAsia"/>
          <w:szCs w:val="22"/>
          <w:lang w:val="en-US"/>
        </w:rPr>
        <w:instrText xml:space="preserve"> REF para0016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rPr>
        <w:t>16</w:t>
      </w:r>
      <w:r w:rsidRPr="00F94291">
        <w:rPr>
          <w:rFonts w:eastAsiaTheme="minorEastAsia"/>
          <w:szCs w:val="22"/>
          <w:lang w:val="en-US"/>
        </w:rPr>
        <w:fldChar w:fldCharType="end"/>
      </w:r>
      <w:r w:rsidRPr="00F94291">
        <w:rPr>
          <w:rFonts w:eastAsiaTheme="minorEastAsia"/>
          <w:szCs w:val="22"/>
          <w:lang w:val="en-US"/>
        </w:rPr>
        <w:t xml:space="preserve"> above), and remitted the case for a retrial on the grounds that the first-instance court should have established for which offence or offences exactly the applicant had been extradited from Turkey.</w:t>
      </w:r>
    </w:p>
    <w:bookmarkStart w:name="paragraph19" w:id="14"/>
    <w:p w:rsidRPr="00F94291" w:rsidR="00004089" w:rsidP="00F94291" w:rsidRDefault="00004089" w14:paraId="0D3F7719" w14:textId="2AD0483A">
      <w:pPr>
        <w:pStyle w:val="JuPara"/>
        <w:rPr>
          <w:rFonts w:eastAsiaTheme="minorEastAsia"/>
          <w:szCs w:val="22"/>
          <w:lang w:val="en-US"/>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19</w:t>
      </w:r>
      <w:r w:rsidRPr="00F94291">
        <w:rPr>
          <w:rFonts w:eastAsiaTheme="minorEastAsia"/>
          <w:szCs w:val="22"/>
          <w:lang w:val="en-US"/>
        </w:rPr>
        <w:fldChar w:fldCharType="end"/>
      </w:r>
      <w:bookmarkEnd w:id="14"/>
      <w:r w:rsidRPr="00F94291">
        <w:rPr>
          <w:rFonts w:eastAsiaTheme="minorEastAsia"/>
          <w:szCs w:val="22"/>
          <w:lang w:val="en-US"/>
        </w:rPr>
        <w:t>.  In particular, the Supreme Court noted that there were two different decisions of the Turkish authorities concerning the applicant</w:t>
      </w:r>
      <w:r w:rsidRPr="00F94291" w:rsidR="00F94291">
        <w:rPr>
          <w:rFonts w:eastAsiaTheme="minorEastAsia"/>
          <w:szCs w:val="22"/>
          <w:lang w:val="en-US"/>
        </w:rPr>
        <w:t>’</w:t>
      </w:r>
      <w:r w:rsidRPr="00F94291">
        <w:rPr>
          <w:rFonts w:eastAsiaTheme="minorEastAsia"/>
          <w:szCs w:val="22"/>
          <w:lang w:val="en-US"/>
        </w:rPr>
        <w:t>s extradition: one decision of the Trabzon Assize Court allowing his extradition for murder, and another of the Turkish Government allowing his extradition for a war crime (</w:t>
      </w:r>
      <w:r w:rsidRPr="00F94291" w:rsidR="00F94291">
        <w:rPr>
          <w:rFonts w:eastAsiaTheme="minorEastAsia"/>
          <w:szCs w:val="22"/>
          <w:lang w:val="en-US"/>
        </w:rPr>
        <w:t xml:space="preserve">see </w:t>
      </w:r>
      <w:r w:rsidRPr="00F94291">
        <w:rPr>
          <w:rFonts w:eastAsiaTheme="minorEastAsia"/>
          <w:szCs w:val="22"/>
          <w:lang w:val="en-US"/>
        </w:rPr>
        <w:t xml:space="preserve">paragraph </w:t>
      </w:r>
      <w:r w:rsidRPr="00F94291">
        <w:rPr>
          <w:rFonts w:eastAsiaTheme="minorEastAsia"/>
          <w:szCs w:val="22"/>
          <w:lang w:val="en-US"/>
        </w:rPr>
        <w:fldChar w:fldCharType="begin"/>
      </w:r>
      <w:r w:rsidRPr="00F94291">
        <w:rPr>
          <w:rFonts w:eastAsiaTheme="minorEastAsia"/>
          <w:szCs w:val="22"/>
          <w:lang w:val="en-US"/>
        </w:rPr>
        <w:instrText xml:space="preserve"> REF paragraph14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rPr>
        <w:t>14</w:t>
      </w:r>
      <w:r w:rsidRPr="00F94291">
        <w:rPr>
          <w:rFonts w:eastAsiaTheme="minorEastAsia"/>
          <w:szCs w:val="22"/>
          <w:lang w:val="en-US"/>
        </w:rPr>
        <w:fldChar w:fldCharType="end"/>
      </w:r>
      <w:r w:rsidRPr="00F94291">
        <w:rPr>
          <w:rFonts w:eastAsiaTheme="minorEastAsia"/>
          <w:szCs w:val="22"/>
          <w:lang w:val="en-US"/>
        </w:rPr>
        <w:t xml:space="preserve"> above). In accordance with the relevant provisions of the Turkish Criminal Code, decisions on extradition were to be given by the relevant court, whereas the execution of such court decisions came within the jurisdiction of the Turkish Government. Thus, it remained unclear whether the relevant authority in Turkey had approved the applicant</w:t>
      </w:r>
      <w:r w:rsidRPr="00F94291" w:rsidR="00F94291">
        <w:rPr>
          <w:rFonts w:eastAsiaTheme="minorEastAsia"/>
          <w:szCs w:val="22"/>
          <w:lang w:val="en-US"/>
        </w:rPr>
        <w:t>’</w:t>
      </w:r>
      <w:r w:rsidRPr="00F94291">
        <w:rPr>
          <w:rFonts w:eastAsiaTheme="minorEastAsia"/>
          <w:szCs w:val="22"/>
          <w:lang w:val="en-US"/>
        </w:rPr>
        <w:t>s extradition for a war crime.</w:t>
      </w:r>
      <w:r w:rsidRPr="00F94291">
        <w:rPr>
          <w:rFonts w:eastAsiaTheme="minorEastAsia"/>
          <w:i/>
          <w:szCs w:val="22"/>
          <w:lang w:val="en-US"/>
        </w:rPr>
        <w:t xml:space="preserve"> </w:t>
      </w:r>
      <w:bookmarkStart w:name="_Hlk67072071" w:id="15"/>
      <w:r w:rsidRPr="00F94291">
        <w:rPr>
          <w:rFonts w:eastAsiaTheme="minorEastAsia"/>
          <w:szCs w:val="22"/>
          <w:lang w:val="en-US"/>
        </w:rPr>
        <w:t>The Supreme Court therefore instructed the County Court to clarify whether the applicant had been extradited for a war crime</w:t>
      </w:r>
      <w:bookmarkEnd w:id="15"/>
      <w:r w:rsidRPr="00F94291">
        <w:rPr>
          <w:rFonts w:eastAsiaTheme="minorEastAsia"/>
          <w:szCs w:val="22"/>
          <w:lang w:val="en-US"/>
        </w:rPr>
        <w:t xml:space="preserve"> and, if this was not the case, to obtain consent from the Turkish authorities that he be tried for that offence as well </w:t>
      </w:r>
      <w:r w:rsidRPr="00F94291">
        <w:rPr>
          <w:rFonts w:eastAsiaTheme="minorEastAsia"/>
          <w:szCs w:val="22"/>
        </w:rPr>
        <w:t>(</w:t>
      </w:r>
      <w:r w:rsidRPr="00F94291" w:rsidR="00F94291">
        <w:rPr>
          <w:rFonts w:eastAsiaTheme="minorEastAsia"/>
          <w:szCs w:val="22"/>
        </w:rPr>
        <w:t xml:space="preserve">see </w:t>
      </w:r>
      <w:r w:rsidRPr="00F94291">
        <w:rPr>
          <w:rFonts w:eastAsiaTheme="minorEastAsia"/>
          <w:szCs w:val="22"/>
        </w:rPr>
        <w:t xml:space="preserve">Article 14 </w:t>
      </w:r>
      <w:r w:rsidRPr="00F94291">
        <w:rPr>
          <w:rFonts w:eastAsiaTheme="minorEastAsia" w:cstheme="minorHAnsi"/>
          <w:szCs w:val="22"/>
        </w:rPr>
        <w:t>§</w:t>
      </w:r>
      <w:r w:rsidRPr="00F94291">
        <w:rPr>
          <w:rFonts w:eastAsiaTheme="minorEastAsia"/>
          <w:szCs w:val="22"/>
        </w:rPr>
        <w:t xml:space="preserve"> 1 (a) of the European Convention on Extradition in paragraph</w:t>
      </w:r>
      <w:r w:rsidRPr="00F94291" w:rsidR="00F94291">
        <w:rPr>
          <w:rFonts w:eastAsiaTheme="minorEastAsia"/>
          <w:szCs w:val="22"/>
        </w:rPr>
        <w:t> </w:t>
      </w:r>
      <w:r w:rsidRPr="00F94291">
        <w:rPr>
          <w:rFonts w:eastAsiaTheme="minorEastAsia"/>
          <w:szCs w:val="22"/>
        </w:rPr>
        <w:fldChar w:fldCharType="begin"/>
      </w:r>
      <w:r w:rsidRPr="00F94291">
        <w:rPr>
          <w:rFonts w:eastAsiaTheme="minorEastAsia"/>
          <w:szCs w:val="22"/>
        </w:rPr>
        <w:instrText xml:space="preserve"> REF para42 \h </w:instrText>
      </w:r>
      <w:r w:rsidRPr="00F94291">
        <w:rPr>
          <w:rFonts w:eastAsiaTheme="minorEastAsia"/>
          <w:szCs w:val="22"/>
        </w:rPr>
      </w:r>
      <w:r w:rsidRPr="00F94291">
        <w:rPr>
          <w:rFonts w:eastAsiaTheme="minorEastAsia"/>
          <w:szCs w:val="22"/>
        </w:rPr>
        <w:fldChar w:fldCharType="separate"/>
      </w:r>
      <w:r w:rsidRPr="00F94291" w:rsidR="00F94291">
        <w:rPr>
          <w:noProof/>
        </w:rPr>
        <w:t>42</w:t>
      </w:r>
      <w:r w:rsidRPr="00F94291">
        <w:rPr>
          <w:rFonts w:eastAsiaTheme="minorEastAsia"/>
          <w:szCs w:val="22"/>
        </w:rPr>
        <w:fldChar w:fldCharType="end"/>
      </w:r>
      <w:r w:rsidRPr="00F94291">
        <w:rPr>
          <w:rFonts w:eastAsiaTheme="minorEastAsia"/>
          <w:szCs w:val="22"/>
        </w:rPr>
        <w:t xml:space="preserve"> below).</w:t>
      </w:r>
    </w:p>
    <w:p w:rsidRPr="00F94291" w:rsidR="00004089" w:rsidP="00F94291" w:rsidRDefault="00004089" w14:paraId="56C8B7F9" w14:textId="61DDEDD9">
      <w:pPr>
        <w:pStyle w:val="JuPara"/>
        <w:rPr>
          <w:rFonts w:eastAsiaTheme="minorEastAsia"/>
          <w:szCs w:val="22"/>
          <w:lang w:val="en-US"/>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20</w:t>
      </w:r>
      <w:r w:rsidRPr="00F94291">
        <w:rPr>
          <w:rFonts w:eastAsiaTheme="minorEastAsia"/>
          <w:szCs w:val="22"/>
          <w:lang w:val="en-US"/>
        </w:rPr>
        <w:fldChar w:fldCharType="end"/>
      </w:r>
      <w:r w:rsidRPr="00F94291">
        <w:rPr>
          <w:rFonts w:eastAsiaTheme="minorEastAsia"/>
          <w:szCs w:val="22"/>
          <w:lang w:val="en-US"/>
        </w:rPr>
        <w:t>.  Because of a change in the relevant legislation, on 7 December 2011 the case was transferred from the Sisak County Court to the Zagreb County Court (</w:t>
      </w:r>
      <w:r w:rsidRPr="00F94291">
        <w:rPr>
          <w:rFonts w:eastAsiaTheme="minorEastAsia"/>
          <w:i/>
          <w:szCs w:val="22"/>
          <w:lang w:val="en-US"/>
        </w:rPr>
        <w:t>Županijski sud u Zagrebu</w:t>
      </w:r>
      <w:r w:rsidRPr="00F94291">
        <w:rPr>
          <w:rFonts w:eastAsiaTheme="minorEastAsia"/>
          <w:szCs w:val="22"/>
          <w:lang w:val="en-US"/>
        </w:rPr>
        <w:t>) as the first-instance court.</w:t>
      </w:r>
    </w:p>
    <w:bookmarkStart w:name="paragraph21" w:id="16"/>
    <w:p w:rsidRPr="00F94291" w:rsidR="00004089" w:rsidP="00F94291" w:rsidRDefault="00004089" w14:paraId="6D46A6A4" w14:textId="1EAE06F7">
      <w:pPr>
        <w:pStyle w:val="JuPara"/>
        <w:rPr>
          <w:rFonts w:eastAsiaTheme="minorEastAsia"/>
          <w:szCs w:val="22"/>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21</w:t>
      </w:r>
      <w:r w:rsidRPr="00F94291">
        <w:rPr>
          <w:rFonts w:eastAsiaTheme="minorEastAsia"/>
          <w:szCs w:val="22"/>
          <w:lang w:val="en-US"/>
        </w:rPr>
        <w:fldChar w:fldCharType="end"/>
      </w:r>
      <w:bookmarkEnd w:id="16"/>
      <w:r w:rsidRPr="00F94291">
        <w:rPr>
          <w:rFonts w:eastAsiaTheme="minorEastAsia"/>
          <w:szCs w:val="22"/>
          <w:lang w:val="en-US"/>
        </w:rPr>
        <w:t xml:space="preserve">.  By a judgment of 17 April 2012, </w:t>
      </w:r>
      <w:r w:rsidRPr="00F94291">
        <w:rPr>
          <w:rFonts w:eastAsiaTheme="minorEastAsia"/>
          <w:szCs w:val="22"/>
        </w:rPr>
        <w:t>the Zagreb County Court found the applicant guilty as charged and sentenced him to six years</w:t>
      </w:r>
      <w:r w:rsidRPr="00F94291" w:rsidR="00F94291">
        <w:rPr>
          <w:rFonts w:eastAsiaTheme="minorEastAsia"/>
          <w:szCs w:val="22"/>
        </w:rPr>
        <w:t>’</w:t>
      </w:r>
      <w:r w:rsidRPr="00F94291">
        <w:rPr>
          <w:rFonts w:eastAsiaTheme="minorEastAsia"/>
          <w:szCs w:val="22"/>
        </w:rPr>
        <w:t xml:space="preserve"> imprisonment. The court held that it was evident from the decision of the Turkish Government (</w:t>
      </w:r>
      <w:r w:rsidRPr="00F94291" w:rsidR="00F94291">
        <w:rPr>
          <w:rFonts w:eastAsiaTheme="minorEastAsia"/>
          <w:szCs w:val="22"/>
        </w:rPr>
        <w:t xml:space="preserve">see </w:t>
      </w:r>
      <w:r w:rsidRPr="00F94291">
        <w:rPr>
          <w:rFonts w:eastAsiaTheme="minorEastAsia"/>
          <w:szCs w:val="22"/>
        </w:rPr>
        <w:t xml:space="preserve">paragraph </w:t>
      </w:r>
      <w:r w:rsidRPr="00F94291">
        <w:rPr>
          <w:rFonts w:eastAsiaTheme="minorEastAsia"/>
          <w:szCs w:val="22"/>
        </w:rPr>
        <w:fldChar w:fldCharType="begin"/>
      </w:r>
      <w:r w:rsidRPr="00F94291">
        <w:rPr>
          <w:rFonts w:eastAsiaTheme="minorEastAsia"/>
          <w:szCs w:val="22"/>
        </w:rPr>
        <w:instrText xml:space="preserve"> REF paragraph14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14</w:t>
      </w:r>
      <w:r w:rsidRPr="00F94291">
        <w:rPr>
          <w:rFonts w:eastAsiaTheme="minorEastAsia"/>
          <w:szCs w:val="22"/>
        </w:rPr>
        <w:fldChar w:fldCharType="end"/>
      </w:r>
      <w:r w:rsidRPr="00F94291">
        <w:rPr>
          <w:rFonts w:eastAsiaTheme="minorEastAsia"/>
          <w:szCs w:val="22"/>
        </w:rPr>
        <w:t xml:space="preserve"> above) that the applicant had been extradited for a war crime as well. Moreover, there was nothing in the decisions of the Turkish authorities to suggest that the extradition request had been rejected in part. It was therefore evident that the applicant</w:t>
      </w:r>
      <w:r w:rsidRPr="00F94291" w:rsidR="00F94291">
        <w:rPr>
          <w:rFonts w:eastAsiaTheme="minorEastAsia"/>
          <w:szCs w:val="22"/>
        </w:rPr>
        <w:t>’</w:t>
      </w:r>
      <w:r w:rsidRPr="00F94291">
        <w:rPr>
          <w:rFonts w:eastAsiaTheme="minorEastAsia"/>
          <w:szCs w:val="22"/>
        </w:rPr>
        <w:t>s extradition had been granted for both criminal offences in respect of which it had been requested.</w:t>
      </w:r>
    </w:p>
    <w:p w:rsidRPr="00F94291" w:rsidR="00004089" w:rsidP="00F94291" w:rsidRDefault="00004089" w14:paraId="4A73E3F4" w14:textId="0B7DCBA3">
      <w:pPr>
        <w:pStyle w:val="JuPara"/>
        <w:rPr>
          <w:rFonts w:eastAsiaTheme="minorEastAsia"/>
          <w:szCs w:val="22"/>
          <w:lang w:val="en-US"/>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22</w:t>
      </w:r>
      <w:r w:rsidRPr="00F94291">
        <w:rPr>
          <w:rFonts w:eastAsiaTheme="minorEastAsia"/>
          <w:szCs w:val="22"/>
        </w:rPr>
        <w:fldChar w:fldCharType="end"/>
      </w:r>
      <w:r w:rsidRPr="00F94291">
        <w:rPr>
          <w:rFonts w:eastAsiaTheme="minorEastAsia"/>
          <w:szCs w:val="22"/>
        </w:rPr>
        <w:t>.  The applicant appealed against that judgment, complaining again that he had not been extradited for a war crime.</w:t>
      </w:r>
    </w:p>
    <w:bookmarkStart w:name="paragraph23" w:id="17"/>
    <w:p w:rsidRPr="00F94291" w:rsidR="00004089" w:rsidP="00F94291" w:rsidRDefault="00004089" w14:paraId="5AFCE394" w14:textId="697007A3">
      <w:pPr>
        <w:pStyle w:val="JuPara"/>
        <w:rPr>
          <w:rFonts w:eastAsiaTheme="minorEastAsia"/>
          <w:szCs w:val="22"/>
          <w:lang w:val="en-US"/>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23</w:t>
      </w:r>
      <w:r w:rsidRPr="00F94291">
        <w:rPr>
          <w:rFonts w:eastAsiaTheme="minorEastAsia"/>
          <w:szCs w:val="22"/>
        </w:rPr>
        <w:fldChar w:fldCharType="end"/>
      </w:r>
      <w:bookmarkEnd w:id="17"/>
      <w:r w:rsidRPr="00F94291">
        <w:rPr>
          <w:rFonts w:eastAsiaTheme="minorEastAsia"/>
          <w:szCs w:val="22"/>
        </w:rPr>
        <w:t xml:space="preserve">.  On 12 November 2013 the Supreme Court </w:t>
      </w:r>
      <w:r w:rsidRPr="00F94291">
        <w:rPr>
          <w:rFonts w:eastAsiaTheme="minorEastAsia"/>
          <w:szCs w:val="22"/>
          <w:lang w:val="en-US"/>
        </w:rPr>
        <w:t>allowed the appeal, quashed the first-instance judgment of 17 April 2012 (</w:t>
      </w:r>
      <w:r w:rsidRPr="00F94291" w:rsidR="00F94291">
        <w:rPr>
          <w:rFonts w:eastAsiaTheme="minorEastAsia"/>
          <w:szCs w:val="22"/>
          <w:lang w:val="en-US"/>
        </w:rPr>
        <w:t xml:space="preserve">see </w:t>
      </w:r>
      <w:r w:rsidRPr="00F94291">
        <w:rPr>
          <w:rFonts w:eastAsiaTheme="minorEastAsia"/>
          <w:szCs w:val="22"/>
          <w:lang w:val="en-US"/>
        </w:rPr>
        <w:t xml:space="preserve">paragraph </w:t>
      </w:r>
      <w:r w:rsidRPr="00F94291">
        <w:rPr>
          <w:rFonts w:eastAsiaTheme="minorEastAsia"/>
          <w:szCs w:val="22"/>
          <w:lang w:val="en-US"/>
        </w:rPr>
        <w:fldChar w:fldCharType="begin"/>
      </w:r>
      <w:r w:rsidRPr="00F94291">
        <w:rPr>
          <w:rFonts w:eastAsiaTheme="minorEastAsia"/>
          <w:szCs w:val="22"/>
          <w:lang w:val="en-US"/>
        </w:rPr>
        <w:instrText xml:space="preserve"> REF paragraph21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lang w:val="en-US"/>
        </w:rPr>
        <w:t>21</w:t>
      </w:r>
      <w:r w:rsidRPr="00F94291">
        <w:rPr>
          <w:rFonts w:eastAsiaTheme="minorEastAsia"/>
          <w:szCs w:val="22"/>
          <w:lang w:val="en-US"/>
        </w:rPr>
        <w:fldChar w:fldCharType="end"/>
      </w:r>
      <w:r w:rsidRPr="00F94291">
        <w:rPr>
          <w:rFonts w:eastAsiaTheme="minorEastAsia"/>
          <w:szCs w:val="22"/>
          <w:lang w:val="en-US"/>
        </w:rPr>
        <w:t xml:space="preserve"> above) and remitted the case for a retrial. It held that the first-instance court had failed to comply with the Supreme Court</w:t>
      </w:r>
      <w:r w:rsidRPr="00F94291" w:rsidR="00F94291">
        <w:rPr>
          <w:rFonts w:eastAsiaTheme="minorEastAsia"/>
          <w:szCs w:val="22"/>
          <w:lang w:val="en-US"/>
        </w:rPr>
        <w:t>’</w:t>
      </w:r>
      <w:r w:rsidRPr="00F94291">
        <w:rPr>
          <w:rFonts w:eastAsiaTheme="minorEastAsia"/>
          <w:szCs w:val="22"/>
          <w:lang w:val="en-US"/>
        </w:rPr>
        <w:t>s instruction and had not clarified whether the applicant had been extradited for a war crime (</w:t>
      </w:r>
      <w:r w:rsidRPr="00F94291" w:rsidR="00F94291">
        <w:rPr>
          <w:rFonts w:eastAsiaTheme="minorEastAsia"/>
          <w:szCs w:val="22"/>
          <w:lang w:val="en-US"/>
        </w:rPr>
        <w:t xml:space="preserve">see </w:t>
      </w:r>
      <w:r w:rsidRPr="00F94291">
        <w:rPr>
          <w:rFonts w:eastAsiaTheme="minorEastAsia"/>
          <w:szCs w:val="22"/>
          <w:lang w:val="en-US"/>
        </w:rPr>
        <w:t xml:space="preserve">paragraphs </w:t>
      </w:r>
      <w:r w:rsidRPr="00F94291">
        <w:rPr>
          <w:rFonts w:eastAsiaTheme="minorEastAsia"/>
          <w:szCs w:val="22"/>
          <w:lang w:val="en-US"/>
        </w:rPr>
        <w:fldChar w:fldCharType="begin"/>
      </w:r>
      <w:r w:rsidRPr="00F94291">
        <w:rPr>
          <w:rFonts w:eastAsiaTheme="minorEastAsia"/>
          <w:szCs w:val="22"/>
          <w:lang w:val="en-US"/>
        </w:rPr>
        <w:instrText xml:space="preserve"> REF paragraph18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rPr>
        <w:t>18</w:t>
      </w:r>
      <w:r w:rsidRPr="00F94291">
        <w:rPr>
          <w:rFonts w:eastAsiaTheme="minorEastAsia"/>
          <w:szCs w:val="22"/>
          <w:lang w:val="en-US"/>
        </w:rPr>
        <w:fldChar w:fldCharType="end"/>
      </w:r>
      <w:r w:rsidRPr="00F94291">
        <w:rPr>
          <w:rFonts w:eastAsiaTheme="minorEastAsia"/>
          <w:szCs w:val="22"/>
          <w:lang w:val="en-US"/>
        </w:rPr>
        <w:t>-</w:t>
      </w:r>
      <w:r w:rsidRPr="00F94291">
        <w:rPr>
          <w:rFonts w:eastAsiaTheme="minorEastAsia"/>
          <w:szCs w:val="22"/>
          <w:lang w:val="en-US"/>
        </w:rPr>
        <w:fldChar w:fldCharType="begin"/>
      </w:r>
      <w:r w:rsidRPr="00F94291">
        <w:rPr>
          <w:rFonts w:eastAsiaTheme="minorEastAsia"/>
          <w:szCs w:val="22"/>
          <w:lang w:val="en-US"/>
        </w:rPr>
        <w:instrText xml:space="preserve"> REF paragraph19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lang w:val="en-US"/>
        </w:rPr>
        <w:t>19</w:t>
      </w:r>
      <w:r w:rsidRPr="00F94291">
        <w:rPr>
          <w:rFonts w:eastAsiaTheme="minorEastAsia"/>
          <w:szCs w:val="22"/>
          <w:lang w:val="en-US"/>
        </w:rPr>
        <w:fldChar w:fldCharType="end"/>
      </w:r>
      <w:r w:rsidRPr="00F94291">
        <w:rPr>
          <w:rFonts w:eastAsiaTheme="minorEastAsia"/>
          <w:szCs w:val="22"/>
          <w:lang w:val="en-US"/>
        </w:rPr>
        <w:t xml:space="preserve"> above)</w:t>
      </w:r>
    </w:p>
    <w:bookmarkStart w:name="paragraph24" w:id="18"/>
    <w:p w:rsidRPr="00F94291" w:rsidR="00004089" w:rsidP="00F94291" w:rsidRDefault="00004089" w14:paraId="32B379BC" w14:textId="03690BA2">
      <w:pPr>
        <w:pStyle w:val="JuPara"/>
        <w:rPr>
          <w:rFonts w:eastAsiaTheme="minorEastAsia"/>
          <w:szCs w:val="22"/>
          <w:lang w:val="en-US"/>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24</w:t>
      </w:r>
      <w:r w:rsidRPr="00F94291">
        <w:rPr>
          <w:rFonts w:eastAsiaTheme="minorEastAsia"/>
          <w:szCs w:val="22"/>
          <w:lang w:val="en-US"/>
        </w:rPr>
        <w:fldChar w:fldCharType="end"/>
      </w:r>
      <w:bookmarkEnd w:id="18"/>
      <w:r w:rsidRPr="00F94291">
        <w:rPr>
          <w:rFonts w:eastAsiaTheme="minorEastAsia"/>
          <w:szCs w:val="22"/>
          <w:lang w:val="en-US"/>
        </w:rPr>
        <w:t>.  On 18 February 2014 the president of the trial bench of the Zagreb County Court prepared a request to the Turkish authorities asking them to give consent for the applicant to be tried for the war crime in question (</w:t>
      </w:r>
      <w:r w:rsidRPr="00F94291" w:rsidR="00F94291">
        <w:rPr>
          <w:rFonts w:eastAsiaTheme="minorEastAsia"/>
          <w:szCs w:val="22"/>
          <w:lang w:val="en-US"/>
        </w:rPr>
        <w:t xml:space="preserve">see </w:t>
      </w:r>
      <w:r w:rsidRPr="00F94291">
        <w:rPr>
          <w:rFonts w:eastAsiaTheme="minorEastAsia"/>
          <w:szCs w:val="22"/>
        </w:rPr>
        <w:t xml:space="preserve">Article 14 </w:t>
      </w:r>
      <w:r w:rsidRPr="00F94291">
        <w:rPr>
          <w:rFonts w:eastAsiaTheme="minorEastAsia" w:cstheme="minorHAnsi"/>
          <w:szCs w:val="22"/>
        </w:rPr>
        <w:t>§</w:t>
      </w:r>
      <w:r w:rsidRPr="00F94291">
        <w:rPr>
          <w:rFonts w:eastAsiaTheme="minorEastAsia"/>
          <w:szCs w:val="22"/>
        </w:rPr>
        <w:t xml:space="preserve"> 1 (a) of the European Convention on Extradition in paragraph </w:t>
      </w:r>
      <w:r w:rsidRPr="00F94291">
        <w:rPr>
          <w:rFonts w:eastAsiaTheme="minorEastAsia"/>
          <w:szCs w:val="22"/>
        </w:rPr>
        <w:fldChar w:fldCharType="begin"/>
      </w:r>
      <w:r w:rsidRPr="00F94291">
        <w:rPr>
          <w:rFonts w:eastAsiaTheme="minorEastAsia"/>
          <w:szCs w:val="22"/>
        </w:rPr>
        <w:instrText xml:space="preserve"> REF para42 \h </w:instrText>
      </w:r>
      <w:r w:rsidRPr="00F94291">
        <w:rPr>
          <w:rFonts w:eastAsiaTheme="minorEastAsia"/>
          <w:szCs w:val="22"/>
        </w:rPr>
      </w:r>
      <w:r w:rsidRPr="00F94291">
        <w:rPr>
          <w:rFonts w:eastAsiaTheme="minorEastAsia"/>
          <w:szCs w:val="22"/>
        </w:rPr>
        <w:fldChar w:fldCharType="separate"/>
      </w:r>
      <w:r w:rsidRPr="00F94291" w:rsidR="00F94291">
        <w:rPr>
          <w:noProof/>
        </w:rPr>
        <w:t>42</w:t>
      </w:r>
      <w:r w:rsidRPr="00F94291">
        <w:rPr>
          <w:rFonts w:eastAsiaTheme="minorEastAsia"/>
          <w:szCs w:val="22"/>
        </w:rPr>
        <w:fldChar w:fldCharType="end"/>
      </w:r>
      <w:r w:rsidRPr="00F94291">
        <w:rPr>
          <w:rFonts w:eastAsiaTheme="minorEastAsia"/>
          <w:szCs w:val="22"/>
        </w:rPr>
        <w:t xml:space="preserve"> below</w:t>
      </w:r>
      <w:r w:rsidRPr="00F94291">
        <w:rPr>
          <w:rFonts w:eastAsiaTheme="minorEastAsia"/>
          <w:szCs w:val="22"/>
          <w:lang w:val="en-US"/>
        </w:rPr>
        <w:t>). The request, together with the supporting documents, was translated into Turkish on 25 July 2014 and was forwarded to the Ministry of Justice on 15 September 2014.</w:t>
      </w:r>
    </w:p>
    <w:bookmarkStart w:name="paragraph25" w:id="19"/>
    <w:p w:rsidRPr="00F94291" w:rsidR="00004089" w:rsidP="00F94291" w:rsidRDefault="00004089" w14:paraId="2A51FA63" w14:textId="7C64BC77">
      <w:pPr>
        <w:pStyle w:val="JuPara"/>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25</w:t>
      </w:r>
      <w:r w:rsidRPr="00F94291">
        <w:rPr>
          <w:lang w:eastAsia="fr-FR"/>
        </w:rPr>
        <w:fldChar w:fldCharType="end"/>
      </w:r>
      <w:bookmarkEnd w:id="19"/>
      <w:r w:rsidRPr="00F94291">
        <w:rPr>
          <w:lang w:eastAsia="fr-FR"/>
        </w:rPr>
        <w:t>.  On 11 July 2017 the Ministry of Justice asked the Ministry of Foreign and European Affairs to enquire with the Turkish authorities</w:t>
      </w:r>
      <w:r w:rsidRPr="00F94291">
        <w:t xml:space="preserve"> why the extradition request from the Ministry of Justice of </w:t>
      </w:r>
      <w:r w:rsidRPr="00F94291">
        <w:rPr>
          <w:rFonts w:eastAsiaTheme="minorEastAsia"/>
          <w:szCs w:val="22"/>
        </w:rPr>
        <w:t>20 July 2009 (</w:t>
      </w:r>
      <w:r w:rsidRPr="00F94291" w:rsidR="00F94291">
        <w:rPr>
          <w:rFonts w:eastAsiaTheme="minorEastAsia"/>
          <w:szCs w:val="22"/>
        </w:rPr>
        <w:t xml:space="preserve">see </w:t>
      </w:r>
      <w:r w:rsidRPr="00F94291">
        <w:rPr>
          <w:rFonts w:eastAsiaTheme="minorEastAsia"/>
          <w:szCs w:val="22"/>
        </w:rPr>
        <w:t xml:space="preserve">paragraph </w:t>
      </w:r>
      <w:r w:rsidRPr="00F94291">
        <w:rPr>
          <w:rFonts w:eastAsiaTheme="minorEastAsia"/>
          <w:szCs w:val="22"/>
        </w:rPr>
        <w:fldChar w:fldCharType="begin"/>
      </w:r>
      <w:r w:rsidRPr="00F94291">
        <w:rPr>
          <w:rFonts w:eastAsiaTheme="minorEastAsia"/>
          <w:szCs w:val="22"/>
        </w:rPr>
        <w:instrText xml:space="preserve"> REF paragraph8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8</w:t>
      </w:r>
      <w:r w:rsidRPr="00F94291">
        <w:rPr>
          <w:rFonts w:eastAsiaTheme="minorEastAsia"/>
          <w:szCs w:val="22"/>
        </w:rPr>
        <w:fldChar w:fldCharType="end"/>
      </w:r>
      <w:r w:rsidRPr="00F94291">
        <w:rPr>
          <w:rFonts w:eastAsiaTheme="minorEastAsia"/>
          <w:szCs w:val="22"/>
        </w:rPr>
        <w:t xml:space="preserve"> above) had been granted only in part. They referred to the </w:t>
      </w:r>
      <w:r w:rsidRPr="00F94291">
        <w:rPr>
          <w:rFonts w:eastAsiaTheme="minorEastAsia"/>
          <w:szCs w:val="22"/>
          <w:lang w:val="en-US"/>
        </w:rPr>
        <w:t>decision of the Trabzon Assize Court of 4 August 2009 which suggested that the applicant had been extradited only for murder (</w:t>
      </w:r>
      <w:r w:rsidRPr="00F94291" w:rsidR="00F94291">
        <w:rPr>
          <w:rFonts w:eastAsiaTheme="minorEastAsia"/>
          <w:szCs w:val="22"/>
          <w:lang w:val="en-US"/>
        </w:rPr>
        <w:t xml:space="preserve">see </w:t>
      </w:r>
      <w:r w:rsidRPr="00F94291">
        <w:rPr>
          <w:rFonts w:eastAsiaTheme="minorEastAsia"/>
          <w:szCs w:val="22"/>
          <w:lang w:val="en-US"/>
        </w:rPr>
        <w:t xml:space="preserve">paragraph </w:t>
      </w:r>
      <w:r w:rsidRPr="00F94291">
        <w:rPr>
          <w:rFonts w:eastAsiaTheme="minorEastAsia"/>
          <w:szCs w:val="22"/>
          <w:lang w:val="en-US"/>
        </w:rPr>
        <w:fldChar w:fldCharType="begin"/>
      </w:r>
      <w:r w:rsidRPr="00F94291">
        <w:rPr>
          <w:rFonts w:eastAsiaTheme="minorEastAsia"/>
          <w:szCs w:val="22"/>
          <w:lang w:val="en-US"/>
        </w:rPr>
        <w:instrText xml:space="preserve"> REF paragraph14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rPr>
        <w:t>14</w:t>
      </w:r>
      <w:r w:rsidRPr="00F94291">
        <w:rPr>
          <w:rFonts w:eastAsiaTheme="minorEastAsia"/>
          <w:szCs w:val="22"/>
          <w:lang w:val="en-US"/>
        </w:rPr>
        <w:fldChar w:fldCharType="end"/>
      </w:r>
      <w:r w:rsidRPr="00F94291">
        <w:rPr>
          <w:rFonts w:eastAsiaTheme="minorEastAsia"/>
          <w:szCs w:val="22"/>
          <w:lang w:val="en-US"/>
        </w:rPr>
        <w:t xml:space="preserve"> above).</w:t>
      </w:r>
    </w:p>
    <w:p w:rsidRPr="00F94291" w:rsidR="00004089" w:rsidP="00F94291" w:rsidRDefault="00004089" w14:paraId="25FF80AF" w14:textId="39C1728D">
      <w:pPr>
        <w:pStyle w:val="JuPara"/>
        <w:rPr>
          <w:lang w:eastAsia="fr-FR"/>
        </w:rPr>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26</w:t>
      </w:r>
      <w:r w:rsidRPr="00F94291">
        <w:rPr>
          <w:lang w:eastAsia="fr-FR"/>
        </w:rPr>
        <w:fldChar w:fldCharType="end"/>
      </w:r>
      <w:r w:rsidRPr="00F94291">
        <w:rPr>
          <w:lang w:eastAsia="fr-FR"/>
        </w:rPr>
        <w:t>.  On 23 August 2017 the Turkish Ministry of Foreign Affairs replied with a diplomatic note, from the text of which it remained unclear whether the Turkish authorities had extradited the applicant for a war crime.</w:t>
      </w:r>
    </w:p>
    <w:bookmarkStart w:name="paragraph27" w:id="20"/>
    <w:p w:rsidRPr="00F94291" w:rsidR="00004089" w:rsidP="00F94291" w:rsidRDefault="00004089" w14:paraId="55F86F72" w14:textId="01AF1883">
      <w:pPr>
        <w:pStyle w:val="JuPara"/>
        <w:rPr>
          <w:lang w:eastAsia="fr-FR"/>
        </w:rPr>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27</w:t>
      </w:r>
      <w:r w:rsidRPr="00F94291">
        <w:rPr>
          <w:lang w:eastAsia="fr-FR"/>
        </w:rPr>
        <w:fldChar w:fldCharType="end"/>
      </w:r>
      <w:bookmarkEnd w:id="20"/>
      <w:r w:rsidRPr="00F94291">
        <w:rPr>
          <w:lang w:eastAsia="fr-FR"/>
        </w:rPr>
        <w:t>.  In January 2018 the Ministry of Justice contacted the Turkish Embassy in Zagreb directly and provided additional information and clarification as to what was expected from the Turkish authorities.</w:t>
      </w:r>
    </w:p>
    <w:p w:rsidRPr="00F94291" w:rsidR="00004089" w:rsidP="00F94291" w:rsidRDefault="00004089" w14:paraId="36D85942" w14:textId="3BC4E0E6">
      <w:pPr>
        <w:pStyle w:val="JuPara"/>
        <w:rPr>
          <w:lang w:eastAsia="fr-FR"/>
        </w:rPr>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28</w:t>
      </w:r>
      <w:r w:rsidRPr="00F94291">
        <w:rPr>
          <w:lang w:eastAsia="fr-FR"/>
        </w:rPr>
        <w:fldChar w:fldCharType="end"/>
      </w:r>
      <w:r w:rsidRPr="00F94291">
        <w:rPr>
          <w:lang w:eastAsia="fr-FR"/>
        </w:rPr>
        <w:t>.  On 12 March 2018 the Zagreb County Court enquired with the Ministry of Justice as to why the court</w:t>
      </w:r>
      <w:r w:rsidRPr="00F94291" w:rsidR="00F94291">
        <w:rPr>
          <w:lang w:eastAsia="fr-FR"/>
        </w:rPr>
        <w:t>’</w:t>
      </w:r>
      <w:r w:rsidRPr="00F94291">
        <w:rPr>
          <w:lang w:eastAsia="fr-FR"/>
        </w:rPr>
        <w:t>s request of 18 February 2014 (</w:t>
      </w:r>
      <w:r w:rsidRPr="00F94291" w:rsidR="00F94291">
        <w:rPr>
          <w:lang w:eastAsia="fr-FR"/>
        </w:rPr>
        <w:t xml:space="preserve">see </w:t>
      </w:r>
      <w:r w:rsidRPr="00F94291">
        <w:rPr>
          <w:lang w:eastAsia="fr-FR"/>
        </w:rPr>
        <w:t xml:space="preserve">paragraph </w:t>
      </w:r>
      <w:r w:rsidRPr="00F94291">
        <w:rPr>
          <w:lang w:eastAsia="fr-FR"/>
        </w:rPr>
        <w:fldChar w:fldCharType="begin"/>
      </w:r>
      <w:r w:rsidRPr="00F94291">
        <w:rPr>
          <w:lang w:eastAsia="fr-FR"/>
        </w:rPr>
        <w:instrText xml:space="preserve"> REF paragraph24 \h </w:instrText>
      </w:r>
      <w:r w:rsidRPr="00F94291">
        <w:rPr>
          <w:lang w:eastAsia="fr-FR"/>
        </w:rPr>
      </w:r>
      <w:r w:rsidRPr="00F94291">
        <w:rPr>
          <w:lang w:eastAsia="fr-FR"/>
        </w:rPr>
        <w:fldChar w:fldCharType="separate"/>
      </w:r>
      <w:r w:rsidRPr="00F94291" w:rsidR="00F94291">
        <w:rPr>
          <w:rFonts w:eastAsiaTheme="minorEastAsia"/>
          <w:noProof/>
          <w:szCs w:val="22"/>
          <w:lang w:val="en-US"/>
        </w:rPr>
        <w:t>24</w:t>
      </w:r>
      <w:r w:rsidRPr="00F94291">
        <w:rPr>
          <w:lang w:eastAsia="fr-FR"/>
        </w:rPr>
        <w:fldChar w:fldCharType="end"/>
      </w:r>
      <w:r w:rsidRPr="00F94291">
        <w:rPr>
          <w:lang w:eastAsia="fr-FR"/>
        </w:rPr>
        <w:t xml:space="preserve"> above) had not been dealt with.</w:t>
      </w:r>
    </w:p>
    <w:bookmarkStart w:name="paragraph29" w:id="21"/>
    <w:p w:rsidRPr="00F94291" w:rsidR="00004089" w:rsidP="00F94291" w:rsidRDefault="00004089" w14:paraId="24E50196" w14:textId="15608174">
      <w:pPr>
        <w:pStyle w:val="JuPara"/>
        <w:rPr>
          <w:lang w:eastAsia="fr-FR"/>
        </w:rPr>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29</w:t>
      </w:r>
      <w:r w:rsidRPr="00F94291">
        <w:rPr>
          <w:lang w:eastAsia="fr-FR"/>
        </w:rPr>
        <w:fldChar w:fldCharType="end"/>
      </w:r>
      <w:bookmarkEnd w:id="21"/>
      <w:r w:rsidRPr="00F94291">
        <w:rPr>
          <w:lang w:eastAsia="fr-FR"/>
        </w:rPr>
        <w:t>.  On 26 October 2018 the Turkish authorities, in reply to the Ministry of Justice</w:t>
      </w:r>
      <w:r w:rsidRPr="00F94291" w:rsidR="00F94291">
        <w:rPr>
          <w:lang w:eastAsia="fr-FR"/>
        </w:rPr>
        <w:t>’</w:t>
      </w:r>
      <w:r w:rsidRPr="00F94291">
        <w:rPr>
          <w:lang w:eastAsia="fr-FR"/>
        </w:rPr>
        <w:t>s request of 11 July 2017 (</w:t>
      </w:r>
      <w:r w:rsidRPr="00F94291" w:rsidR="00F94291">
        <w:rPr>
          <w:lang w:eastAsia="fr-FR"/>
        </w:rPr>
        <w:t xml:space="preserve">see </w:t>
      </w:r>
      <w:r w:rsidRPr="00F94291">
        <w:rPr>
          <w:lang w:eastAsia="fr-FR"/>
        </w:rPr>
        <w:t xml:space="preserve">paragraph </w:t>
      </w:r>
      <w:r w:rsidRPr="00F94291">
        <w:rPr>
          <w:lang w:eastAsia="fr-FR"/>
        </w:rPr>
        <w:fldChar w:fldCharType="begin"/>
      </w:r>
      <w:r w:rsidRPr="00F94291">
        <w:rPr>
          <w:lang w:eastAsia="fr-FR"/>
        </w:rPr>
        <w:instrText xml:space="preserve"> REF paragraph25 \h </w:instrText>
      </w:r>
      <w:r w:rsidRPr="00F94291">
        <w:rPr>
          <w:lang w:eastAsia="fr-FR"/>
        </w:rPr>
      </w:r>
      <w:r w:rsidRPr="00F94291">
        <w:rPr>
          <w:lang w:eastAsia="fr-FR"/>
        </w:rPr>
        <w:fldChar w:fldCharType="separate"/>
      </w:r>
      <w:r w:rsidRPr="00F94291" w:rsidR="00F94291">
        <w:rPr>
          <w:noProof/>
          <w:lang w:eastAsia="fr-FR"/>
        </w:rPr>
        <w:t>25</w:t>
      </w:r>
      <w:r w:rsidRPr="00F94291">
        <w:rPr>
          <w:lang w:eastAsia="fr-FR"/>
        </w:rPr>
        <w:fldChar w:fldCharType="end"/>
      </w:r>
      <w:r w:rsidRPr="00F94291">
        <w:rPr>
          <w:lang w:eastAsia="fr-FR"/>
        </w:rPr>
        <w:t xml:space="preserve"> above), submitted a decision of the Trabzon Assize Court of 25 April 2018. In that decision the Trabzon Assize Court clarified that its previous decision of</w:t>
      </w:r>
      <w:r w:rsidRPr="00F94291">
        <w:t xml:space="preserve"> </w:t>
      </w:r>
      <w:r w:rsidRPr="00F94291">
        <w:rPr>
          <w:lang w:eastAsia="fr-FR"/>
        </w:rPr>
        <w:t>4 August 2009 and the Turkish Government</w:t>
      </w:r>
      <w:r w:rsidRPr="00F94291" w:rsidR="00F94291">
        <w:rPr>
          <w:lang w:eastAsia="fr-FR"/>
        </w:rPr>
        <w:t>’</w:t>
      </w:r>
      <w:r w:rsidRPr="00F94291">
        <w:rPr>
          <w:lang w:eastAsia="fr-FR"/>
        </w:rPr>
        <w:t>s decision of 19</w:t>
      </w:r>
      <w:r w:rsidRPr="00F94291" w:rsidR="000D00DE">
        <w:rPr>
          <w:lang w:eastAsia="fr-FR"/>
        </w:rPr>
        <w:t> </w:t>
      </w:r>
      <w:r w:rsidRPr="00F94291">
        <w:rPr>
          <w:lang w:eastAsia="fr-FR"/>
        </w:rPr>
        <w:t>October 2009 (</w:t>
      </w:r>
      <w:r w:rsidRPr="00F94291" w:rsidR="00F94291">
        <w:rPr>
          <w:lang w:eastAsia="fr-FR"/>
        </w:rPr>
        <w:t xml:space="preserve">see </w:t>
      </w:r>
      <w:r w:rsidRPr="00F94291">
        <w:rPr>
          <w:lang w:eastAsia="fr-FR"/>
        </w:rPr>
        <w:t>paragraph</w:t>
      </w:r>
      <w:r w:rsidRPr="00F94291" w:rsidR="006C2F53">
        <w:rPr>
          <w:lang w:eastAsia="fr-FR"/>
        </w:rPr>
        <w:t> </w:t>
      </w:r>
      <w:r w:rsidRPr="00F94291">
        <w:rPr>
          <w:lang w:eastAsia="fr-FR"/>
        </w:rPr>
        <w:fldChar w:fldCharType="begin"/>
      </w:r>
      <w:r w:rsidRPr="00F94291">
        <w:rPr>
          <w:lang w:eastAsia="fr-FR"/>
        </w:rPr>
        <w:instrText xml:space="preserve"> REF paragraph14 \h </w:instrText>
      </w:r>
      <w:r w:rsidRPr="00F94291">
        <w:rPr>
          <w:lang w:eastAsia="fr-FR"/>
        </w:rPr>
      </w:r>
      <w:r w:rsidRPr="00F94291">
        <w:rPr>
          <w:lang w:eastAsia="fr-FR"/>
        </w:rPr>
        <w:fldChar w:fldCharType="separate"/>
      </w:r>
      <w:r w:rsidRPr="00F94291" w:rsidR="00F94291">
        <w:rPr>
          <w:rFonts w:eastAsiaTheme="minorEastAsia"/>
          <w:noProof/>
          <w:szCs w:val="22"/>
        </w:rPr>
        <w:t>14</w:t>
      </w:r>
      <w:r w:rsidRPr="00F94291">
        <w:rPr>
          <w:lang w:eastAsia="fr-FR"/>
        </w:rPr>
        <w:fldChar w:fldCharType="end"/>
      </w:r>
      <w:r w:rsidRPr="00F94291">
        <w:rPr>
          <w:lang w:eastAsia="fr-FR"/>
        </w:rPr>
        <w:t xml:space="preserve"> above) related both to murder and to a war crime against the civilian population, and that the extradition had therefore been granted for both offences. That reply and the decision were forwarded to the Zagreb County Court on 11 April 2019.</w:t>
      </w:r>
    </w:p>
    <w:p w:rsidRPr="00F94291" w:rsidR="00004089" w:rsidP="00F94291" w:rsidRDefault="00004089" w14:paraId="007A8B59" w14:textId="54AC1CBF">
      <w:pPr>
        <w:pStyle w:val="JuPara"/>
        <w:rPr>
          <w:lang w:eastAsia="fr-FR"/>
        </w:rPr>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30</w:t>
      </w:r>
      <w:r w:rsidRPr="00F94291">
        <w:rPr>
          <w:lang w:eastAsia="fr-FR"/>
        </w:rPr>
        <w:fldChar w:fldCharType="end"/>
      </w:r>
      <w:r w:rsidRPr="00F94291">
        <w:rPr>
          <w:lang w:eastAsia="fr-FR"/>
        </w:rPr>
        <w:t>.  The court held hearings on 8 May, 10 June, 16 July and 3 September 2019.</w:t>
      </w:r>
    </w:p>
    <w:bookmarkStart w:name="paragraph31" w:id="22"/>
    <w:p w:rsidRPr="00F94291" w:rsidR="00004089" w:rsidP="00F94291" w:rsidRDefault="00004089" w14:paraId="78407D1E" w14:textId="43CF3CDE">
      <w:pPr>
        <w:pStyle w:val="JuPara"/>
        <w:rPr>
          <w:rFonts w:cs="Arial"/>
          <w:szCs w:val="22"/>
          <w:lang w:val="en-US"/>
        </w:rPr>
      </w:pPr>
      <w:r w:rsidRPr="00F94291">
        <w:rPr>
          <w:rFonts w:cs="Arial"/>
          <w:szCs w:val="22"/>
          <w:lang w:val="en-US"/>
        </w:rPr>
        <w:fldChar w:fldCharType="begin"/>
      </w:r>
      <w:r w:rsidRPr="00F94291">
        <w:rPr>
          <w:rFonts w:cs="Arial"/>
          <w:szCs w:val="22"/>
          <w:lang w:val="en-US"/>
        </w:rPr>
        <w:instrText xml:space="preserve"> SEQ level0 \*arabic </w:instrText>
      </w:r>
      <w:r w:rsidRPr="00F94291">
        <w:rPr>
          <w:rFonts w:cs="Arial"/>
          <w:szCs w:val="22"/>
          <w:lang w:val="en-US"/>
        </w:rPr>
        <w:fldChar w:fldCharType="separate"/>
      </w:r>
      <w:r w:rsidRPr="00F94291" w:rsidR="00F94291">
        <w:rPr>
          <w:rFonts w:cs="Arial"/>
          <w:noProof/>
          <w:szCs w:val="22"/>
          <w:lang w:val="en-US"/>
        </w:rPr>
        <w:t>31</w:t>
      </w:r>
      <w:r w:rsidRPr="00F94291">
        <w:rPr>
          <w:rFonts w:cs="Arial"/>
          <w:szCs w:val="22"/>
          <w:lang w:val="en-US"/>
        </w:rPr>
        <w:fldChar w:fldCharType="end"/>
      </w:r>
      <w:bookmarkEnd w:id="22"/>
      <w:r w:rsidRPr="00F94291">
        <w:rPr>
          <w:rFonts w:cs="Arial"/>
          <w:szCs w:val="22"/>
          <w:lang w:val="en-US"/>
        </w:rPr>
        <w:t>.  The hearing scheduled for 27 October 2019 was adjourned because certain witnesses had not been duly summoned. In that connection the trial court asked for legal assistance from the relevant Serbian authorities, with a view to serving a summons on those witnesses. It also asked the relevant authorities in the United States to locate and serve a summons on another witness. The U.S. Department of Justice informed the Croatian authorities that it could not locate that witness. The trial court also determined the address of one witness who resided in Norway.</w:t>
      </w:r>
    </w:p>
    <w:p w:rsidRPr="00F94291" w:rsidR="00004089" w:rsidP="00F94291" w:rsidRDefault="00004089" w14:paraId="5D0CD30C" w14:textId="126F0DB6">
      <w:pPr>
        <w:pStyle w:val="JuPara"/>
        <w:rPr>
          <w:rFonts w:cs="Arial"/>
          <w:szCs w:val="22"/>
        </w:rPr>
      </w:pPr>
      <w:r w:rsidRPr="00F94291">
        <w:rPr>
          <w:rFonts w:cs="Arial"/>
          <w:szCs w:val="22"/>
          <w:lang w:val="en-US"/>
        </w:rPr>
        <w:fldChar w:fldCharType="begin"/>
      </w:r>
      <w:r w:rsidRPr="00F94291">
        <w:rPr>
          <w:rFonts w:cs="Arial"/>
          <w:szCs w:val="22"/>
          <w:lang w:val="en-US"/>
        </w:rPr>
        <w:instrText xml:space="preserve"> SEQ level0 \*arabic </w:instrText>
      </w:r>
      <w:r w:rsidRPr="00F94291">
        <w:rPr>
          <w:rFonts w:cs="Arial"/>
          <w:szCs w:val="22"/>
          <w:lang w:val="en-US"/>
        </w:rPr>
        <w:fldChar w:fldCharType="separate"/>
      </w:r>
      <w:r w:rsidRPr="00F94291" w:rsidR="00F94291">
        <w:rPr>
          <w:rFonts w:cs="Arial"/>
          <w:noProof/>
          <w:szCs w:val="22"/>
          <w:lang w:val="en-US"/>
        </w:rPr>
        <w:t>32</w:t>
      </w:r>
      <w:r w:rsidRPr="00F94291">
        <w:rPr>
          <w:rFonts w:cs="Arial"/>
          <w:szCs w:val="22"/>
          <w:lang w:val="en-US"/>
        </w:rPr>
        <w:fldChar w:fldCharType="end"/>
      </w:r>
      <w:r w:rsidRPr="00F94291">
        <w:rPr>
          <w:rFonts w:cs="Arial"/>
          <w:szCs w:val="22"/>
          <w:lang w:val="en-US"/>
        </w:rPr>
        <w:t>. </w:t>
      </w:r>
      <w:r w:rsidRPr="00F94291" w:rsidR="006F5D3E">
        <w:rPr>
          <w:rFonts w:cs="Arial"/>
          <w:szCs w:val="22"/>
          <w:lang w:val="en-US"/>
        </w:rPr>
        <w:t> </w:t>
      </w:r>
      <w:r w:rsidRPr="00F94291">
        <w:rPr>
          <w:rFonts w:cs="Arial"/>
          <w:szCs w:val="22"/>
          <w:lang w:val="en-US"/>
        </w:rPr>
        <w:t xml:space="preserve"> The hearing scheduled for 18 February 2020 was adjourned because two witnesses who resided in Serbia failed to attend, although they had been duly summoned. The trial court therefore accepted a proposal by the applicant that those witnesses be examined via a video link from the relevant court in Serbia. In that regard, the court scheduled hearings for 9, 14 and 21 April 2020. However, those hearings were adjourned owing to the COVID-19 sanitary crisis, and because the court building had been heavily damaged in the earthquake that hit Zagreb on 22 March 2020. Furthermore, the next hearing, scheduled for 17</w:t>
      </w:r>
      <w:r w:rsidRPr="00F94291" w:rsidR="000D00DE">
        <w:rPr>
          <w:rFonts w:cs="Arial"/>
          <w:szCs w:val="22"/>
          <w:lang w:val="en-US"/>
        </w:rPr>
        <w:t xml:space="preserve"> </w:t>
      </w:r>
      <w:r w:rsidRPr="00F94291">
        <w:rPr>
          <w:rFonts w:cs="Arial"/>
          <w:szCs w:val="22"/>
          <w:lang w:val="en-US"/>
        </w:rPr>
        <w:t>September 2020, was also adjourned because the two witnesses in question had not been duly summoned in Serbia.</w:t>
      </w:r>
    </w:p>
    <w:bookmarkStart w:name="paragraph33" w:id="23"/>
    <w:p w:rsidRPr="00F94291" w:rsidR="00004089" w:rsidP="00F94291" w:rsidRDefault="00004089" w14:paraId="50094EFF" w14:textId="4C9577D0">
      <w:pPr>
        <w:pStyle w:val="JuPara"/>
        <w:rPr>
          <w:rFonts w:cs="Arial"/>
          <w:szCs w:val="22"/>
          <w:lang w:val="en-US"/>
        </w:rPr>
      </w:pPr>
      <w:r w:rsidRPr="00F94291">
        <w:rPr>
          <w:rFonts w:cs="Arial"/>
          <w:szCs w:val="22"/>
          <w:lang w:val="en-US"/>
        </w:rPr>
        <w:fldChar w:fldCharType="begin"/>
      </w:r>
      <w:r w:rsidRPr="00F94291">
        <w:rPr>
          <w:rFonts w:cs="Arial"/>
          <w:szCs w:val="22"/>
          <w:lang w:val="en-US"/>
        </w:rPr>
        <w:instrText xml:space="preserve"> SEQ level0 \*arabic </w:instrText>
      </w:r>
      <w:r w:rsidRPr="00F94291">
        <w:rPr>
          <w:rFonts w:cs="Arial"/>
          <w:szCs w:val="22"/>
          <w:lang w:val="en-US"/>
        </w:rPr>
        <w:fldChar w:fldCharType="separate"/>
      </w:r>
      <w:r w:rsidRPr="00F94291" w:rsidR="00F94291">
        <w:rPr>
          <w:rFonts w:cs="Arial"/>
          <w:noProof/>
          <w:szCs w:val="22"/>
          <w:lang w:val="en-US"/>
        </w:rPr>
        <w:t>33</w:t>
      </w:r>
      <w:r w:rsidRPr="00F94291">
        <w:rPr>
          <w:rFonts w:cs="Arial"/>
          <w:szCs w:val="22"/>
          <w:lang w:val="en-US"/>
        </w:rPr>
        <w:fldChar w:fldCharType="end"/>
      </w:r>
      <w:bookmarkEnd w:id="23"/>
      <w:r w:rsidRPr="00F94291">
        <w:rPr>
          <w:rFonts w:cs="Arial"/>
          <w:szCs w:val="22"/>
          <w:lang w:val="en-US"/>
        </w:rPr>
        <w:t>.  On 5 November 2020 the Zagreb County Court examined two witnesses via a video link fro</w:t>
      </w:r>
      <w:r w:rsidRPr="00F94291">
        <w:rPr>
          <w:rFonts w:cs="Arial"/>
          <w:szCs w:val="22"/>
        </w:rPr>
        <w:t>m</w:t>
      </w:r>
      <w:r w:rsidRPr="00F94291">
        <w:rPr>
          <w:rFonts w:cs="Arial"/>
          <w:szCs w:val="22"/>
          <w:lang w:val="en-US"/>
        </w:rPr>
        <w:t xml:space="preserve"> the Belgrade Higher Court in Serbia.</w:t>
      </w:r>
    </w:p>
    <w:p w:rsidRPr="00F94291" w:rsidR="00004089" w:rsidP="00F94291" w:rsidRDefault="00004089" w14:paraId="10286C19" w14:textId="2F511EF6">
      <w:pPr>
        <w:pStyle w:val="JuPara"/>
        <w:rPr>
          <w:rFonts w:cs="Arial"/>
          <w:szCs w:val="22"/>
          <w:lang w:val="en-US"/>
        </w:rPr>
      </w:pPr>
      <w:r w:rsidRPr="00F94291">
        <w:rPr>
          <w:rFonts w:cs="Arial"/>
          <w:szCs w:val="22"/>
          <w:lang w:val="en-US"/>
        </w:rPr>
        <w:fldChar w:fldCharType="begin"/>
      </w:r>
      <w:r w:rsidRPr="00F94291">
        <w:rPr>
          <w:rFonts w:cs="Arial"/>
          <w:szCs w:val="22"/>
          <w:lang w:val="en-US"/>
        </w:rPr>
        <w:instrText xml:space="preserve"> SEQ level0 \*arabic </w:instrText>
      </w:r>
      <w:r w:rsidRPr="00F94291">
        <w:rPr>
          <w:rFonts w:cs="Arial"/>
          <w:szCs w:val="22"/>
          <w:lang w:val="en-US"/>
        </w:rPr>
        <w:fldChar w:fldCharType="separate"/>
      </w:r>
      <w:r w:rsidRPr="00F94291" w:rsidR="00F94291">
        <w:rPr>
          <w:rFonts w:cs="Arial"/>
          <w:noProof/>
          <w:szCs w:val="22"/>
          <w:lang w:val="en-US"/>
        </w:rPr>
        <w:t>34</w:t>
      </w:r>
      <w:r w:rsidRPr="00F94291">
        <w:rPr>
          <w:rFonts w:cs="Arial"/>
          <w:szCs w:val="22"/>
          <w:lang w:val="en-US"/>
        </w:rPr>
        <w:fldChar w:fldCharType="end"/>
      </w:r>
      <w:r w:rsidRPr="00F94291">
        <w:rPr>
          <w:rFonts w:cs="Arial"/>
          <w:szCs w:val="22"/>
          <w:lang w:val="en-US"/>
        </w:rPr>
        <w:t>.  At a hearing held on 10 November 2020 the State Attorney partly amended the factual basis of the indictment.</w:t>
      </w:r>
    </w:p>
    <w:p w:rsidRPr="00F94291" w:rsidR="00004089" w:rsidP="00F94291" w:rsidRDefault="00004089" w14:paraId="79C7BE4A" w14:textId="31D698B8">
      <w:pPr>
        <w:pStyle w:val="JuPara"/>
        <w:rPr>
          <w:rFonts w:cs="Arial"/>
          <w:szCs w:val="22"/>
          <w:lang w:val="en-US"/>
        </w:rPr>
      </w:pPr>
      <w:r w:rsidRPr="00F94291">
        <w:rPr>
          <w:rFonts w:cs="Arial"/>
          <w:szCs w:val="22"/>
          <w:lang w:val="en-US"/>
        </w:rPr>
        <w:fldChar w:fldCharType="begin"/>
      </w:r>
      <w:r w:rsidRPr="00F94291">
        <w:rPr>
          <w:rFonts w:cs="Arial"/>
          <w:szCs w:val="22"/>
          <w:lang w:val="en-US"/>
        </w:rPr>
        <w:instrText xml:space="preserve"> SEQ level0 \*arabic </w:instrText>
      </w:r>
      <w:r w:rsidRPr="00F94291">
        <w:rPr>
          <w:rFonts w:cs="Arial"/>
          <w:szCs w:val="22"/>
          <w:lang w:val="en-US"/>
        </w:rPr>
        <w:fldChar w:fldCharType="separate"/>
      </w:r>
      <w:r w:rsidRPr="00F94291" w:rsidR="00F94291">
        <w:rPr>
          <w:rFonts w:cs="Arial"/>
          <w:noProof/>
          <w:szCs w:val="22"/>
          <w:lang w:val="en-US"/>
        </w:rPr>
        <w:t>35</w:t>
      </w:r>
      <w:r w:rsidRPr="00F94291">
        <w:rPr>
          <w:rFonts w:cs="Arial"/>
          <w:szCs w:val="22"/>
          <w:lang w:val="en-US"/>
        </w:rPr>
        <w:fldChar w:fldCharType="end"/>
      </w:r>
      <w:r w:rsidRPr="00F94291">
        <w:rPr>
          <w:rFonts w:cs="Arial"/>
          <w:szCs w:val="22"/>
          <w:lang w:val="en-US"/>
        </w:rPr>
        <w:t>.  At a hearing held on 4 December 2020 the County Court adopted a judgment whereby it found the applicant guilty of having committed a war crime against the civilian population and sentenced him to seven years</w:t>
      </w:r>
      <w:r w:rsidRPr="00F94291" w:rsidR="00F94291">
        <w:rPr>
          <w:rFonts w:cs="Arial"/>
          <w:szCs w:val="22"/>
          <w:lang w:val="en-US"/>
        </w:rPr>
        <w:t>’</w:t>
      </w:r>
      <w:r w:rsidRPr="00F94291">
        <w:rPr>
          <w:rFonts w:cs="Arial"/>
          <w:szCs w:val="22"/>
          <w:lang w:val="en-US"/>
        </w:rPr>
        <w:t xml:space="preserve"> imprisonment.</w:t>
      </w:r>
    </w:p>
    <w:bookmarkStart w:name="paragraph36" w:id="24"/>
    <w:p w:rsidRPr="00F94291" w:rsidR="00004089" w:rsidP="00F94291" w:rsidRDefault="00004089" w14:paraId="7EDC1A76" w14:textId="49499C19">
      <w:pPr>
        <w:pStyle w:val="JuPara"/>
        <w:rPr>
          <w:rFonts w:cs="Arial"/>
          <w:szCs w:val="22"/>
          <w:lang w:val="en-US"/>
        </w:rPr>
      </w:pPr>
      <w:r w:rsidRPr="00F94291">
        <w:rPr>
          <w:rFonts w:cs="Arial"/>
          <w:szCs w:val="22"/>
          <w:lang w:val="en-US"/>
        </w:rPr>
        <w:fldChar w:fldCharType="begin"/>
      </w:r>
      <w:r w:rsidRPr="00F94291">
        <w:rPr>
          <w:rFonts w:cs="Arial"/>
          <w:szCs w:val="22"/>
          <w:lang w:val="en-US"/>
        </w:rPr>
        <w:instrText xml:space="preserve"> SEQ level0 \*arabic </w:instrText>
      </w:r>
      <w:r w:rsidRPr="00F94291">
        <w:rPr>
          <w:rFonts w:cs="Arial"/>
          <w:szCs w:val="22"/>
          <w:lang w:val="en-US"/>
        </w:rPr>
        <w:fldChar w:fldCharType="separate"/>
      </w:r>
      <w:r w:rsidRPr="00F94291" w:rsidR="00F94291">
        <w:rPr>
          <w:rFonts w:cs="Arial"/>
          <w:noProof/>
          <w:szCs w:val="22"/>
          <w:lang w:val="en-US"/>
        </w:rPr>
        <w:t>36</w:t>
      </w:r>
      <w:r w:rsidRPr="00F94291">
        <w:rPr>
          <w:rFonts w:cs="Arial"/>
          <w:szCs w:val="22"/>
          <w:lang w:val="en-US"/>
        </w:rPr>
        <w:fldChar w:fldCharType="end"/>
      </w:r>
      <w:bookmarkEnd w:id="24"/>
      <w:r w:rsidRPr="00F94291">
        <w:rPr>
          <w:rFonts w:cs="Arial"/>
          <w:szCs w:val="22"/>
          <w:lang w:val="en-US"/>
        </w:rPr>
        <w:t>.  The applicant appealed and those proceedings are currently pending before the Supreme Court.</w:t>
      </w:r>
    </w:p>
    <w:p w:rsidRPr="00F94291" w:rsidR="00004089" w:rsidP="00F94291" w:rsidRDefault="00004089" w14:paraId="5CF00B30" w14:textId="77777777">
      <w:pPr>
        <w:pStyle w:val="JuHIRoman"/>
        <w:rPr>
          <w:szCs w:val="28"/>
        </w:rPr>
      </w:pPr>
      <w:r w:rsidRPr="00F94291">
        <w:t>Proceedings following the use of remedies for THE protection of the right to a hearing within a reasonable time</w:t>
      </w:r>
    </w:p>
    <w:p w:rsidRPr="00F94291" w:rsidR="00004089" w:rsidP="00F94291" w:rsidRDefault="00004089" w14:paraId="7FEA270C" w14:textId="297C3031">
      <w:pPr>
        <w:pStyle w:val="JuPara"/>
        <w:rPr>
          <w:rFonts w:eastAsiaTheme="minorEastAsia"/>
          <w:szCs w:val="22"/>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37</w:t>
      </w:r>
      <w:r w:rsidRPr="00F94291">
        <w:rPr>
          <w:rFonts w:eastAsiaTheme="minorEastAsia"/>
          <w:szCs w:val="22"/>
          <w:lang w:val="en-US"/>
        </w:rPr>
        <w:fldChar w:fldCharType="end"/>
      </w:r>
      <w:r w:rsidRPr="00F94291">
        <w:rPr>
          <w:rFonts w:eastAsiaTheme="minorEastAsia"/>
          <w:szCs w:val="22"/>
          <w:lang w:val="en-US"/>
        </w:rPr>
        <w:t>.  Meanwhile, on 31 March 2014, the applicant</w:t>
      </w:r>
      <w:r w:rsidRPr="00F94291">
        <w:t xml:space="preserve"> </w:t>
      </w:r>
      <w:r w:rsidRPr="00F94291">
        <w:rPr>
          <w:rFonts w:eastAsiaTheme="minorEastAsia"/>
          <w:szCs w:val="22"/>
          <w:lang w:val="en-US"/>
        </w:rPr>
        <w:t xml:space="preserve">lodged a request for the protection of the right to a hearing within a reasonable time with the President of </w:t>
      </w:r>
      <w:r w:rsidRPr="00F94291">
        <w:rPr>
          <w:rFonts w:eastAsiaTheme="minorEastAsia"/>
          <w:szCs w:val="22"/>
        </w:rPr>
        <w:t>the Zagreb County Court</w:t>
      </w:r>
      <w:r w:rsidRPr="00F94291">
        <w:rPr>
          <w:rFonts w:eastAsiaTheme="minorEastAsia"/>
          <w:szCs w:val="22"/>
          <w:lang w:val="en-US"/>
        </w:rPr>
        <w:t xml:space="preserve"> – a purely acceleratory remedy under the 2013 Courts Act. His request was dismissed on 2 June 2014.</w:t>
      </w:r>
    </w:p>
    <w:p w:rsidRPr="00F94291" w:rsidR="00004089" w:rsidP="00F94291" w:rsidRDefault="00004089" w14:paraId="54E8E5CE" w14:textId="707F8026">
      <w:pPr>
        <w:pStyle w:val="JuPara"/>
        <w:rPr>
          <w:rFonts w:eastAsiaTheme="minorEastAsia"/>
          <w:lang w:val="en-US"/>
        </w:rPr>
      </w:pPr>
      <w:r w:rsidRPr="00F94291">
        <w:rPr>
          <w:rFonts w:eastAsiaTheme="minorEastAsia"/>
          <w:lang w:val="en-US"/>
        </w:rPr>
        <w:fldChar w:fldCharType="begin"/>
      </w:r>
      <w:r w:rsidRPr="00F94291">
        <w:rPr>
          <w:rFonts w:eastAsiaTheme="minorEastAsia"/>
          <w:lang w:val="en-US"/>
        </w:rPr>
        <w:instrText xml:space="preserve"> SEQ level0 \*arabic </w:instrText>
      </w:r>
      <w:r w:rsidRPr="00F94291">
        <w:rPr>
          <w:rFonts w:eastAsiaTheme="minorEastAsia"/>
          <w:lang w:val="en-US"/>
        </w:rPr>
        <w:fldChar w:fldCharType="separate"/>
      </w:r>
      <w:r w:rsidRPr="00F94291" w:rsidR="00F94291">
        <w:rPr>
          <w:rFonts w:eastAsiaTheme="minorEastAsia"/>
          <w:noProof/>
          <w:lang w:val="en-US"/>
        </w:rPr>
        <w:t>38</w:t>
      </w:r>
      <w:r w:rsidRPr="00F94291">
        <w:rPr>
          <w:rFonts w:eastAsiaTheme="minorEastAsia"/>
          <w:lang w:val="en-US"/>
        </w:rPr>
        <w:fldChar w:fldCharType="end"/>
      </w:r>
      <w:r w:rsidRPr="00F94291">
        <w:rPr>
          <w:rFonts w:eastAsiaTheme="minorEastAsia"/>
          <w:lang w:val="en-US"/>
        </w:rPr>
        <w:t>.  The applicant</w:t>
      </w:r>
      <w:r w:rsidRPr="00F94291" w:rsidR="00F94291">
        <w:rPr>
          <w:rFonts w:eastAsiaTheme="minorEastAsia"/>
          <w:lang w:val="en-US"/>
        </w:rPr>
        <w:t>’</w:t>
      </w:r>
      <w:r w:rsidRPr="00F94291">
        <w:rPr>
          <w:rFonts w:eastAsiaTheme="minorEastAsia"/>
          <w:lang w:val="en-US"/>
        </w:rPr>
        <w:t>s appeal against that decision was also dismissed by a decision of the President of the Supreme Court on 6 August 2014.</w:t>
      </w:r>
    </w:p>
    <w:bookmarkStart w:name="paragraph39" w:id="25"/>
    <w:p w:rsidRPr="00F94291" w:rsidR="00004089" w:rsidP="00F94291" w:rsidRDefault="00004089" w14:paraId="05C4DFCA" w14:textId="1A7F8B25">
      <w:pPr>
        <w:pStyle w:val="JuPara"/>
        <w:rPr>
          <w:rFonts w:eastAsiaTheme="minorEastAsia"/>
          <w:lang w:val="en-US"/>
        </w:rPr>
      </w:pPr>
      <w:r w:rsidRPr="00F94291">
        <w:rPr>
          <w:rFonts w:eastAsiaTheme="minorEastAsia"/>
          <w:lang w:val="en-US"/>
        </w:rPr>
        <w:fldChar w:fldCharType="begin"/>
      </w:r>
      <w:r w:rsidRPr="00F94291">
        <w:rPr>
          <w:rFonts w:eastAsiaTheme="minorEastAsia"/>
          <w:lang w:val="en-US"/>
        </w:rPr>
        <w:instrText xml:space="preserve"> SEQ level0 \*arabic </w:instrText>
      </w:r>
      <w:r w:rsidRPr="00F94291">
        <w:rPr>
          <w:rFonts w:eastAsiaTheme="minorEastAsia"/>
          <w:lang w:val="en-US"/>
        </w:rPr>
        <w:fldChar w:fldCharType="separate"/>
      </w:r>
      <w:r w:rsidRPr="00F94291" w:rsidR="00F94291">
        <w:rPr>
          <w:rFonts w:eastAsiaTheme="minorEastAsia"/>
          <w:noProof/>
          <w:lang w:val="en-US"/>
        </w:rPr>
        <w:t>39</w:t>
      </w:r>
      <w:r w:rsidRPr="00F94291">
        <w:rPr>
          <w:rFonts w:eastAsiaTheme="minorEastAsia"/>
          <w:lang w:val="en-US"/>
        </w:rPr>
        <w:fldChar w:fldCharType="end"/>
      </w:r>
      <w:bookmarkEnd w:id="25"/>
      <w:r w:rsidRPr="00F94291">
        <w:rPr>
          <w:rFonts w:eastAsiaTheme="minorEastAsia"/>
          <w:lang w:val="en-US"/>
        </w:rPr>
        <w:t>.  On 23 September 2009 the applicant lodged a constitutional complaint against the decision of the President of the Supreme Court.</w:t>
      </w:r>
    </w:p>
    <w:bookmarkStart w:name="paragraph40" w:id="26"/>
    <w:p w:rsidRPr="00F94291" w:rsidR="00004089" w:rsidP="00F94291" w:rsidRDefault="00004089" w14:paraId="6CC9F497" w14:textId="2B60F9C0">
      <w:pPr>
        <w:pStyle w:val="JuPara"/>
        <w:rPr>
          <w:rFonts w:eastAsiaTheme="minorEastAsia"/>
          <w:lang w:val="en-US"/>
        </w:rPr>
      </w:pPr>
      <w:r w:rsidRPr="00F94291">
        <w:rPr>
          <w:rFonts w:cs="Arial"/>
        </w:rPr>
        <w:fldChar w:fldCharType="begin"/>
      </w:r>
      <w:r w:rsidRPr="00F94291">
        <w:rPr>
          <w:rFonts w:cs="Arial"/>
        </w:rPr>
        <w:instrText xml:space="preserve"> SEQ level0 \*arabic </w:instrText>
      </w:r>
      <w:r w:rsidRPr="00F94291">
        <w:rPr>
          <w:rFonts w:cs="Arial"/>
        </w:rPr>
        <w:fldChar w:fldCharType="separate"/>
      </w:r>
      <w:r w:rsidRPr="00F94291" w:rsidR="00F94291">
        <w:rPr>
          <w:rFonts w:cs="Arial"/>
          <w:noProof/>
        </w:rPr>
        <w:t>40</w:t>
      </w:r>
      <w:r w:rsidRPr="00F94291">
        <w:rPr>
          <w:rFonts w:cs="Arial"/>
        </w:rPr>
        <w:fldChar w:fldCharType="end"/>
      </w:r>
      <w:bookmarkEnd w:id="26"/>
      <w:r w:rsidRPr="00F94291">
        <w:rPr>
          <w:rFonts w:cs="Arial"/>
        </w:rPr>
        <w:t>.  By a decision of 24 December 2014, the Constitutional Court (</w:t>
      </w:r>
      <w:r w:rsidRPr="00F94291">
        <w:rPr>
          <w:rFonts w:cs="Arial"/>
          <w:i/>
          <w:iCs/>
        </w:rPr>
        <w:t>Ustavni sud Republike Hrvatske</w:t>
      </w:r>
      <w:r w:rsidRPr="00F94291">
        <w:rPr>
          <w:rFonts w:cs="Arial"/>
        </w:rPr>
        <w:t>) declared the applicant</w:t>
      </w:r>
      <w:r w:rsidRPr="00F94291" w:rsidR="00F94291">
        <w:rPr>
          <w:rFonts w:cs="Arial"/>
        </w:rPr>
        <w:t>’</w:t>
      </w:r>
      <w:r w:rsidRPr="00F94291">
        <w:rPr>
          <w:rFonts w:cs="Arial"/>
        </w:rPr>
        <w:t>s constitutional complaint inadmissible on the grounds that the contested decision was not amenable to constitutional review.</w:t>
      </w:r>
    </w:p>
    <w:p w:rsidRPr="00F94291" w:rsidR="00004089" w:rsidP="00F94291" w:rsidRDefault="00004089" w14:paraId="1AB92524" w14:textId="77777777">
      <w:pPr>
        <w:pStyle w:val="JuHHead"/>
      </w:pPr>
      <w:r w:rsidRPr="00F94291">
        <w:t>RELEVANT LEGAL FRAMEWORK</w:t>
      </w:r>
    </w:p>
    <w:bookmarkStart w:name="paragraph41" w:id="27"/>
    <w:p w:rsidRPr="00F94291" w:rsidR="00004089" w:rsidP="00F94291" w:rsidRDefault="00004089" w14:paraId="4BD2994A" w14:textId="74460124">
      <w:pPr>
        <w:pStyle w:val="JuPara"/>
      </w:pPr>
      <w:r w:rsidRPr="00F94291">
        <w:fldChar w:fldCharType="begin"/>
      </w:r>
      <w:r w:rsidRPr="00F94291">
        <w:instrText xml:space="preserve"> SEQ level0 \*arabic </w:instrText>
      </w:r>
      <w:r w:rsidRPr="00F94291">
        <w:fldChar w:fldCharType="separate"/>
      </w:r>
      <w:r w:rsidRPr="00F94291" w:rsidR="00F94291">
        <w:rPr>
          <w:noProof/>
        </w:rPr>
        <w:t>41</w:t>
      </w:r>
      <w:r w:rsidRPr="00F94291">
        <w:fldChar w:fldCharType="end"/>
      </w:r>
      <w:bookmarkEnd w:id="27"/>
      <w:r w:rsidRPr="00F94291">
        <w:t>.  The relevant domestic law and practice concerning length-of-proceedings remedies in Croatia is set out in</w:t>
      </w:r>
      <w:r w:rsidRPr="00F94291">
        <w:rPr>
          <w:i/>
          <w:iCs/>
        </w:rPr>
        <w:t xml:space="preserve"> Mirjana </w:t>
      </w:r>
      <w:r w:rsidRPr="00F94291">
        <w:rPr>
          <w:i/>
        </w:rPr>
        <w:t>Marić v. Croatia</w:t>
      </w:r>
      <w:r w:rsidRPr="00F94291">
        <w:t xml:space="preserve"> (no.</w:t>
      </w:r>
      <w:r w:rsidRPr="00F94291" w:rsidR="006C2F53">
        <w:t> </w:t>
      </w:r>
      <w:r w:rsidRPr="00F94291">
        <w:t>9849/15, §</w:t>
      </w:r>
      <w:r w:rsidRPr="00F94291">
        <w:rPr>
          <w:rFonts w:cstheme="minorHAnsi"/>
        </w:rPr>
        <w:t>§</w:t>
      </w:r>
      <w:r w:rsidRPr="00F94291">
        <w:t xml:space="preserve"> 29-41, 30 July 2020), and </w:t>
      </w:r>
      <w:r w:rsidRPr="00F94291">
        <w:rPr>
          <w:i/>
        </w:rPr>
        <w:t>Vrtar v. Croatia</w:t>
      </w:r>
      <w:r w:rsidRPr="00F94291">
        <w:t xml:space="preserve"> (no.</w:t>
      </w:r>
      <w:r w:rsidRPr="00F94291" w:rsidR="000D00DE">
        <w:t> </w:t>
      </w:r>
      <w:r w:rsidRPr="00F94291">
        <w:t>39380/13, §</w:t>
      </w:r>
      <w:r w:rsidRPr="00F94291" w:rsidR="000D00DE">
        <w:t> </w:t>
      </w:r>
      <w:r w:rsidRPr="00F94291">
        <w:t>51-56 and 61-64, 7 January 2016).</w:t>
      </w:r>
    </w:p>
    <w:bookmarkStart w:name="para0042" w:id="28"/>
    <w:bookmarkStart w:name="para42" w:id="29"/>
    <w:p w:rsidRPr="00F94291" w:rsidR="00004089" w:rsidP="00F94291" w:rsidRDefault="00004089" w14:paraId="694F8319" w14:textId="5933DFD3">
      <w:pPr>
        <w:pStyle w:val="JuPara"/>
      </w:pPr>
      <w:r w:rsidRPr="00F94291">
        <w:fldChar w:fldCharType="begin"/>
      </w:r>
      <w:r w:rsidRPr="00F94291">
        <w:instrText xml:space="preserve"> SEQ level0 \*arabic </w:instrText>
      </w:r>
      <w:r w:rsidRPr="00F94291">
        <w:fldChar w:fldCharType="separate"/>
      </w:r>
      <w:r w:rsidRPr="00F94291" w:rsidR="00F94291">
        <w:rPr>
          <w:noProof/>
        </w:rPr>
        <w:t>42</w:t>
      </w:r>
      <w:r w:rsidRPr="00F94291">
        <w:fldChar w:fldCharType="end"/>
      </w:r>
      <w:bookmarkEnd w:id="28"/>
      <w:bookmarkEnd w:id="29"/>
      <w:r w:rsidRPr="00F94291">
        <w:t>.  The relevant provision of the European Convention on Extradition, which entered into force in respect of Croatia on 25 April 1995, reads as follows:</w:t>
      </w:r>
    </w:p>
    <w:p w:rsidRPr="00F94291" w:rsidR="00004089" w:rsidP="00F94291" w:rsidRDefault="00004089" w14:paraId="2A654068" w14:textId="77777777">
      <w:pPr>
        <w:pStyle w:val="JuHArticle"/>
      </w:pPr>
      <w:r w:rsidRPr="00F94291">
        <w:t>Article 14 – Rule of speciality</w:t>
      </w:r>
    </w:p>
    <w:p w:rsidRPr="00F94291" w:rsidR="00004089" w:rsidP="00F94291" w:rsidRDefault="00004089" w14:paraId="0964A5F5" w14:textId="77777777">
      <w:pPr>
        <w:pStyle w:val="JuQuot"/>
      </w:pPr>
      <w:r w:rsidRPr="00F94291">
        <w:t>“(1)  A person who has been extradited shall not be proceeded against ... for any offence ... other than that for which he was extradited ... except in the following cases:</w:t>
      </w:r>
    </w:p>
    <w:p w:rsidRPr="00F94291" w:rsidR="00004089" w:rsidP="00F94291" w:rsidRDefault="00004089" w14:paraId="753F691D" w14:textId="77777777">
      <w:pPr>
        <w:pStyle w:val="JuQuot"/>
      </w:pPr>
      <w:r w:rsidRPr="00F94291">
        <w:t>(a)  when the Party which surrendered him consents. A request for consent shall be submitted, accompanied by the documents mentioned in Article 12 and a legal record of any statement made by the extradited person in respect of the offence concerned. Consent shall be given when the offence for which it is requested is itself subject to extradition in accordance with the provisions of this Convention;</w:t>
      </w:r>
    </w:p>
    <w:p w:rsidRPr="00F94291" w:rsidR="00004089" w:rsidP="00F94291" w:rsidRDefault="00004089" w14:paraId="1CB077D2" w14:textId="77777777">
      <w:pPr>
        <w:pStyle w:val="JuQuot"/>
      </w:pPr>
      <w:r w:rsidRPr="00F94291">
        <w:t>(b)  ...”</w:t>
      </w:r>
    </w:p>
    <w:p w:rsidRPr="00F94291" w:rsidR="00004089" w:rsidP="00F94291" w:rsidRDefault="00004089" w14:paraId="38F1778D" w14:textId="77777777">
      <w:pPr>
        <w:pStyle w:val="JuHHead"/>
        <w:numPr>
          <w:ilvl w:val="0"/>
          <w:numId w:val="2"/>
        </w:numPr>
      </w:pPr>
      <w:r w:rsidRPr="00F94291">
        <w:t>THE LAW</w:t>
      </w:r>
    </w:p>
    <w:p w:rsidRPr="00F94291" w:rsidR="00004089" w:rsidP="00F94291" w:rsidRDefault="00004089" w14:paraId="228421E8" w14:textId="77777777">
      <w:pPr>
        <w:pStyle w:val="JuHIRoman"/>
      </w:pPr>
      <w:r w:rsidRPr="00F94291">
        <w:t xml:space="preserve">ALLEGED VIOLATION OF ARTICLE 6 </w:t>
      </w:r>
      <w:r w:rsidRPr="00F94291">
        <w:rPr>
          <w:rFonts w:cstheme="majorHAnsi"/>
        </w:rPr>
        <w:t>§</w:t>
      </w:r>
      <w:r w:rsidRPr="00F94291">
        <w:t xml:space="preserve"> 1 OF THE CONVENTION</w:t>
      </w:r>
    </w:p>
    <w:p w:rsidRPr="00F94291" w:rsidR="00004089" w:rsidP="00F94291" w:rsidRDefault="00004089" w14:paraId="42159846" w14:textId="665A76EC">
      <w:pPr>
        <w:pStyle w:val="JuPara"/>
      </w:pPr>
      <w:r w:rsidRPr="00F94291">
        <w:fldChar w:fldCharType="begin"/>
      </w:r>
      <w:r w:rsidRPr="00F94291">
        <w:instrText xml:space="preserve"> SEQ level0 \*arabic </w:instrText>
      </w:r>
      <w:r w:rsidRPr="00F94291">
        <w:fldChar w:fldCharType="separate"/>
      </w:r>
      <w:r w:rsidRPr="00F94291" w:rsidR="00F94291">
        <w:rPr>
          <w:noProof/>
        </w:rPr>
        <w:t>43</w:t>
      </w:r>
      <w:r w:rsidRPr="00F94291">
        <w:fldChar w:fldCharType="end"/>
      </w:r>
      <w:r w:rsidRPr="00F94291">
        <w:t>.  The applicant complained that the length of the proceedings had been incompatible with the “reasonable time” requirement, laid down in Article 6 § 1 of the Convention, which reads as follows:</w:t>
      </w:r>
    </w:p>
    <w:p w:rsidRPr="00F94291" w:rsidR="00004089" w:rsidP="00F94291" w:rsidRDefault="00004089" w14:paraId="517F8AD9" w14:textId="77777777">
      <w:pPr>
        <w:pStyle w:val="JuQuot"/>
      </w:pPr>
      <w:r w:rsidRPr="00F94291">
        <w:t>“In the determination of ... any criminal charge against him, everyone is entitled to a ... hearing within a reasonable time by [a] ... tribunal ...”</w:t>
      </w:r>
    </w:p>
    <w:p w:rsidRPr="00F94291" w:rsidR="00004089" w:rsidP="00F94291" w:rsidRDefault="00004089" w14:paraId="24FE835F" w14:textId="7028CEB4">
      <w:pPr>
        <w:pStyle w:val="JuPara"/>
      </w:pPr>
      <w:r w:rsidRPr="00F94291">
        <w:rPr>
          <w:rFonts w:cs="Arial"/>
        </w:rPr>
        <w:fldChar w:fldCharType="begin"/>
      </w:r>
      <w:r w:rsidRPr="00F94291">
        <w:rPr>
          <w:rFonts w:cs="Arial"/>
        </w:rPr>
        <w:instrText xml:space="preserve"> SEQ level0 \*arabic </w:instrText>
      </w:r>
      <w:r w:rsidRPr="00F94291">
        <w:rPr>
          <w:rFonts w:cs="Arial"/>
        </w:rPr>
        <w:fldChar w:fldCharType="separate"/>
      </w:r>
      <w:r w:rsidRPr="00F94291" w:rsidR="00F94291">
        <w:rPr>
          <w:rFonts w:cs="Arial"/>
          <w:noProof/>
        </w:rPr>
        <w:t>44</w:t>
      </w:r>
      <w:r w:rsidRPr="00F94291">
        <w:rPr>
          <w:rFonts w:cs="Arial"/>
        </w:rPr>
        <w:fldChar w:fldCharType="end"/>
      </w:r>
      <w:r w:rsidRPr="00F94291">
        <w:rPr>
          <w:rFonts w:cs="Arial"/>
        </w:rPr>
        <w:t>.  There was no dispute between the parties that</w:t>
      </w:r>
      <w:r w:rsidRPr="00F94291">
        <w:t xml:space="preserve"> the period to be taken into consideration began on 19 February 2010, when the applicant was brought before the investigating judge and informed of the charges against him, following his extradition from Turkey to Croatia (</w:t>
      </w:r>
      <w:r w:rsidRPr="00F94291" w:rsidR="00F94291">
        <w:t xml:space="preserve">see </w:t>
      </w:r>
      <w:r w:rsidRPr="00F94291">
        <w:t xml:space="preserve">paragraph </w:t>
      </w:r>
      <w:r w:rsidRPr="00F94291">
        <w:fldChar w:fldCharType="begin"/>
      </w:r>
      <w:r w:rsidRPr="00F94291">
        <w:instrText xml:space="preserve"> REF paragraph9 \h </w:instrText>
      </w:r>
      <w:r w:rsidRPr="00F94291">
        <w:fldChar w:fldCharType="separate"/>
      </w:r>
      <w:r w:rsidRPr="00F94291" w:rsidR="00F94291">
        <w:rPr>
          <w:rFonts w:eastAsiaTheme="minorEastAsia"/>
          <w:noProof/>
          <w:szCs w:val="22"/>
        </w:rPr>
        <w:t>9</w:t>
      </w:r>
      <w:r w:rsidRPr="00F94291">
        <w:fldChar w:fldCharType="end"/>
      </w:r>
      <w:r w:rsidRPr="00F94291">
        <w:t xml:space="preserve"> above). The period in question has not yet ended (</w:t>
      </w:r>
      <w:r w:rsidRPr="00F94291" w:rsidR="00F94291">
        <w:t xml:space="preserve">see </w:t>
      </w:r>
      <w:r w:rsidRPr="00F94291">
        <w:t xml:space="preserve">paragraph </w:t>
      </w:r>
      <w:r w:rsidRPr="00F94291">
        <w:fldChar w:fldCharType="begin"/>
      </w:r>
      <w:r w:rsidRPr="00F94291">
        <w:instrText xml:space="preserve"> REF paragraph36 \h </w:instrText>
      </w:r>
      <w:r w:rsidRPr="00F94291">
        <w:fldChar w:fldCharType="separate"/>
      </w:r>
      <w:r w:rsidRPr="00F94291" w:rsidR="00F94291">
        <w:rPr>
          <w:rFonts w:cs="Arial"/>
          <w:noProof/>
          <w:szCs w:val="22"/>
          <w:lang w:val="en-US"/>
        </w:rPr>
        <w:t>36</w:t>
      </w:r>
      <w:r w:rsidRPr="00F94291">
        <w:fldChar w:fldCharType="end"/>
      </w:r>
      <w:r w:rsidRPr="00F94291">
        <w:t xml:space="preserve"> above). It has so far lasted for more than eleven years, at two levels of jurisdiction.</w:t>
      </w:r>
    </w:p>
    <w:p w:rsidRPr="00F94291" w:rsidR="00004089" w:rsidP="00F94291" w:rsidRDefault="00004089" w14:paraId="53029380" w14:textId="77777777">
      <w:pPr>
        <w:pStyle w:val="JuHA"/>
      </w:pPr>
      <w:r w:rsidRPr="00F94291">
        <w:t>Admissibility</w:t>
      </w:r>
    </w:p>
    <w:p w:rsidRPr="00F94291" w:rsidR="00004089" w:rsidP="00F94291" w:rsidRDefault="00004089" w14:paraId="24E173FD" w14:textId="12C0EE75">
      <w:pPr>
        <w:pStyle w:val="JuH1"/>
        <w:rPr>
          <w:rFonts w:eastAsiaTheme="minorEastAsia"/>
        </w:rPr>
      </w:pPr>
      <w:r w:rsidRPr="00F94291">
        <w:rPr>
          <w:rFonts w:eastAsiaTheme="minorEastAsia"/>
        </w:rPr>
        <w:t>The parties</w:t>
      </w:r>
      <w:r w:rsidRPr="00F94291" w:rsidR="00F94291">
        <w:rPr>
          <w:rFonts w:eastAsiaTheme="minorEastAsia"/>
        </w:rPr>
        <w:t>’</w:t>
      </w:r>
      <w:r w:rsidRPr="00F94291">
        <w:rPr>
          <w:rFonts w:eastAsiaTheme="minorEastAsia"/>
        </w:rPr>
        <w:t xml:space="preserve"> arguments</w:t>
      </w:r>
    </w:p>
    <w:bookmarkStart w:name="paragraph45" w:id="30"/>
    <w:p w:rsidRPr="00F94291" w:rsidR="00004089" w:rsidP="00F94291" w:rsidRDefault="00004089" w14:paraId="782B6642" w14:textId="1EDF5957">
      <w:pPr>
        <w:pStyle w:val="JuPara"/>
        <w:rPr>
          <w:lang w:bidi="en-US"/>
        </w:rPr>
      </w:pPr>
      <w:r w:rsidRPr="00F94291">
        <w:rPr>
          <w:rFonts w:eastAsiaTheme="minorEastAsia"/>
        </w:rPr>
        <w:fldChar w:fldCharType="begin"/>
      </w:r>
      <w:r w:rsidRPr="00F94291">
        <w:rPr>
          <w:rFonts w:eastAsiaTheme="minorEastAsia"/>
        </w:rPr>
        <w:instrText xml:space="preserve"> SEQ level0 \*arabic </w:instrText>
      </w:r>
      <w:r w:rsidRPr="00F94291">
        <w:rPr>
          <w:rFonts w:eastAsiaTheme="minorEastAsia"/>
        </w:rPr>
        <w:fldChar w:fldCharType="separate"/>
      </w:r>
      <w:r w:rsidRPr="00F94291" w:rsidR="00F94291">
        <w:rPr>
          <w:rFonts w:eastAsiaTheme="minorEastAsia"/>
          <w:noProof/>
        </w:rPr>
        <w:t>45</w:t>
      </w:r>
      <w:r w:rsidRPr="00F94291">
        <w:rPr>
          <w:rFonts w:eastAsiaTheme="minorEastAsia"/>
        </w:rPr>
        <w:fldChar w:fldCharType="end"/>
      </w:r>
      <w:bookmarkEnd w:id="30"/>
      <w:r w:rsidRPr="00F94291">
        <w:rPr>
          <w:rFonts w:eastAsiaTheme="minorEastAsia"/>
        </w:rPr>
        <w:t>.  </w:t>
      </w:r>
      <w:r w:rsidRPr="00F94291">
        <w:rPr>
          <w:rFonts w:cs="Arial"/>
        </w:rPr>
        <w:t xml:space="preserve">The Government disputed the admissibility of the application on two grounds. In particular, they argued that the application was premature because the applicant had lodged it with the Court on </w:t>
      </w:r>
      <w:r w:rsidRPr="00F94291">
        <w:t xml:space="preserve">6 October 2014, </w:t>
      </w:r>
      <w:r w:rsidRPr="00F94291">
        <w:rPr>
          <w:rFonts w:cs="Arial"/>
        </w:rPr>
        <w:t xml:space="preserve">while the proceedings before the Constitutional Court, in connection with his </w:t>
      </w:r>
      <w:r w:rsidRPr="00F94291">
        <w:rPr>
          <w:rFonts w:eastAsiaTheme="minorEastAsia"/>
          <w:szCs w:val="22"/>
          <w:lang w:val="en-US"/>
        </w:rPr>
        <w:t>request for the protection of the right to a hearing within a reasonable time, had still been pending (</w:t>
      </w:r>
      <w:r w:rsidRPr="00F94291" w:rsidR="00F94291">
        <w:rPr>
          <w:rFonts w:eastAsiaTheme="minorEastAsia"/>
          <w:szCs w:val="22"/>
          <w:lang w:val="en-US"/>
        </w:rPr>
        <w:t xml:space="preserve">see </w:t>
      </w:r>
      <w:r w:rsidRPr="00F94291">
        <w:rPr>
          <w:rFonts w:eastAsiaTheme="minorEastAsia"/>
          <w:szCs w:val="22"/>
          <w:lang w:val="en-US"/>
        </w:rPr>
        <w:t xml:space="preserve">paragraphs </w:t>
      </w:r>
      <w:r w:rsidRPr="00F94291">
        <w:rPr>
          <w:rFonts w:eastAsiaTheme="minorEastAsia"/>
          <w:szCs w:val="22"/>
          <w:lang w:val="en-US"/>
        </w:rPr>
        <w:fldChar w:fldCharType="begin"/>
      </w:r>
      <w:r w:rsidRPr="00F94291">
        <w:rPr>
          <w:rFonts w:eastAsiaTheme="minorEastAsia"/>
          <w:szCs w:val="22"/>
          <w:lang w:val="en-US"/>
        </w:rPr>
        <w:instrText xml:space="preserve"> REF paragraph39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lang w:val="en-US"/>
        </w:rPr>
        <w:t>39</w:t>
      </w:r>
      <w:r w:rsidRPr="00F94291">
        <w:rPr>
          <w:rFonts w:eastAsiaTheme="minorEastAsia"/>
          <w:szCs w:val="22"/>
          <w:lang w:val="en-US"/>
        </w:rPr>
        <w:fldChar w:fldCharType="end"/>
      </w:r>
      <w:r w:rsidRPr="00F94291">
        <w:rPr>
          <w:rFonts w:eastAsiaTheme="minorEastAsia"/>
          <w:szCs w:val="22"/>
          <w:lang w:val="en-US"/>
        </w:rPr>
        <w:t>-</w:t>
      </w:r>
      <w:r w:rsidRPr="00F94291">
        <w:rPr>
          <w:rFonts w:eastAsiaTheme="minorEastAsia"/>
          <w:szCs w:val="22"/>
          <w:lang w:val="en-US"/>
        </w:rPr>
        <w:fldChar w:fldCharType="begin"/>
      </w:r>
      <w:r w:rsidRPr="00F94291">
        <w:rPr>
          <w:rFonts w:eastAsiaTheme="minorEastAsia"/>
          <w:szCs w:val="22"/>
          <w:lang w:val="en-US"/>
        </w:rPr>
        <w:instrText xml:space="preserve"> REF paragraph40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cs="Arial"/>
          <w:noProof/>
        </w:rPr>
        <w:t>40</w:t>
      </w:r>
      <w:r w:rsidRPr="00F94291">
        <w:rPr>
          <w:rFonts w:eastAsiaTheme="minorEastAsia"/>
          <w:szCs w:val="22"/>
          <w:lang w:val="en-US"/>
        </w:rPr>
        <w:fldChar w:fldCharType="end"/>
      </w:r>
      <w:r w:rsidRPr="00F94291">
        <w:rPr>
          <w:rFonts w:eastAsiaTheme="minorEastAsia"/>
          <w:szCs w:val="22"/>
          <w:lang w:val="en-US"/>
        </w:rPr>
        <w:t xml:space="preserve"> above). In that way the applicant </w:t>
      </w:r>
      <w:r w:rsidRPr="00F94291">
        <w:rPr>
          <w:rFonts w:eastAsia="Calibri" w:cs="Calibri"/>
          <w:bCs/>
          <w:iCs/>
        </w:rPr>
        <w:t xml:space="preserve">had not </w:t>
      </w:r>
      <w:r w:rsidRPr="00F94291">
        <w:rPr>
          <w:lang w:bidi="en-US"/>
        </w:rPr>
        <w:t>afforded the Constitutional Court an opportunity to decide his complaint and remedy the alleged violation. Thus, the Government argued that the applicant had not properly exhausted domestic remedies.</w:t>
      </w:r>
    </w:p>
    <w:bookmarkStart w:name="paragraph46" w:id="31"/>
    <w:p w:rsidRPr="00F94291" w:rsidR="00004089" w:rsidP="00F94291" w:rsidRDefault="00004089" w14:paraId="33FED868" w14:textId="2C54A50A">
      <w:pPr>
        <w:pStyle w:val="JuPara"/>
        <w:rPr>
          <w:rFonts w:eastAsiaTheme="minorEastAsia"/>
          <w:lang w:val="en-US"/>
        </w:rPr>
      </w:pPr>
      <w:r w:rsidRPr="00F94291">
        <w:rPr>
          <w:rFonts w:eastAsiaTheme="minorEastAsia"/>
          <w:lang w:val="en-US"/>
        </w:rPr>
        <w:fldChar w:fldCharType="begin"/>
      </w:r>
      <w:r w:rsidRPr="00F94291">
        <w:rPr>
          <w:rFonts w:eastAsiaTheme="minorEastAsia"/>
          <w:lang w:val="en-US"/>
        </w:rPr>
        <w:instrText xml:space="preserve"> SEQ level0 \*arabic </w:instrText>
      </w:r>
      <w:r w:rsidRPr="00F94291">
        <w:rPr>
          <w:rFonts w:eastAsiaTheme="minorEastAsia"/>
          <w:lang w:val="en-US"/>
        </w:rPr>
        <w:fldChar w:fldCharType="separate"/>
      </w:r>
      <w:r w:rsidRPr="00F94291" w:rsidR="00F94291">
        <w:rPr>
          <w:rFonts w:eastAsiaTheme="minorEastAsia"/>
          <w:noProof/>
          <w:lang w:val="en-US"/>
        </w:rPr>
        <w:t>46</w:t>
      </w:r>
      <w:r w:rsidRPr="00F94291">
        <w:rPr>
          <w:rFonts w:eastAsiaTheme="minorEastAsia"/>
          <w:lang w:val="en-US"/>
        </w:rPr>
        <w:fldChar w:fldCharType="end"/>
      </w:r>
      <w:bookmarkEnd w:id="31"/>
      <w:r w:rsidRPr="00F94291">
        <w:rPr>
          <w:rFonts w:eastAsiaTheme="minorEastAsia"/>
          <w:lang w:val="en-US"/>
        </w:rPr>
        <w:t>.  The Government further submitted that the applicant</w:t>
      </w:r>
      <w:r w:rsidRPr="00F94291" w:rsidR="00F94291">
        <w:rPr>
          <w:rFonts w:eastAsiaTheme="minorEastAsia"/>
          <w:lang w:val="en-US"/>
        </w:rPr>
        <w:t>’</w:t>
      </w:r>
      <w:r w:rsidRPr="00F94291">
        <w:rPr>
          <w:rFonts w:eastAsiaTheme="minorEastAsia"/>
          <w:lang w:val="en-US"/>
        </w:rPr>
        <w:t>s length complaint was of a fourth-instance nature as, by requesting the protection of his right to a hearing within a reasonable time, he had actually requested the Court to rule that he had not been extradited for a war crime and that the criminal proceedings against him for that offence had therefore been unlawful.</w:t>
      </w:r>
    </w:p>
    <w:p w:rsidRPr="00F94291" w:rsidR="00004089" w:rsidP="00F94291" w:rsidRDefault="00004089" w14:paraId="52C0CCF2" w14:textId="53DA8004">
      <w:pPr>
        <w:pStyle w:val="JuPara"/>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47</w:t>
      </w:r>
      <w:r w:rsidRPr="00F94291">
        <w:rPr>
          <w:rFonts w:eastAsiaTheme="minorEastAsia"/>
          <w:szCs w:val="22"/>
          <w:lang w:val="en-US"/>
        </w:rPr>
        <w:fldChar w:fldCharType="end"/>
      </w:r>
      <w:r w:rsidRPr="00F94291">
        <w:rPr>
          <w:rFonts w:eastAsiaTheme="minorEastAsia"/>
          <w:szCs w:val="22"/>
          <w:lang w:val="en-US"/>
        </w:rPr>
        <w:t>.  The applicant disputed the Government</w:t>
      </w:r>
      <w:r w:rsidRPr="00F94291" w:rsidR="00F94291">
        <w:rPr>
          <w:rFonts w:eastAsiaTheme="minorEastAsia"/>
          <w:szCs w:val="22"/>
          <w:lang w:val="en-US"/>
        </w:rPr>
        <w:t>’</w:t>
      </w:r>
      <w:r w:rsidRPr="00F94291">
        <w:rPr>
          <w:rFonts w:eastAsiaTheme="minorEastAsia"/>
          <w:szCs w:val="22"/>
          <w:lang w:val="en-US"/>
        </w:rPr>
        <w:t>s arguments. He contended</w:t>
      </w:r>
      <w:r w:rsidRPr="00F94291">
        <w:t xml:space="preserve"> that pursuant to the Constitutional Court</w:t>
      </w:r>
      <w:r w:rsidRPr="00F94291" w:rsidR="00F94291">
        <w:t>’</w:t>
      </w:r>
      <w:r w:rsidRPr="00F94291">
        <w:t>s case-law, the decisions of the president of the court, in the context of proceedings instituted by a request for the protection of the right to a hearing within a reasonable time, were not decisions amenable to review by the Constitutional Court, and that had also been confirmed in his case (</w:t>
      </w:r>
      <w:r w:rsidRPr="00F94291" w:rsidR="00F94291">
        <w:t xml:space="preserve">see </w:t>
      </w:r>
      <w:r w:rsidRPr="00F94291">
        <w:t xml:space="preserve">paragraph </w:t>
      </w:r>
      <w:r w:rsidRPr="00F94291">
        <w:fldChar w:fldCharType="begin"/>
      </w:r>
      <w:r w:rsidRPr="00F94291">
        <w:instrText xml:space="preserve"> REF paragraph41 \h </w:instrText>
      </w:r>
      <w:r w:rsidRPr="00F94291">
        <w:fldChar w:fldCharType="separate"/>
      </w:r>
      <w:r w:rsidRPr="00F94291" w:rsidR="00F94291">
        <w:rPr>
          <w:noProof/>
        </w:rPr>
        <w:t>41</w:t>
      </w:r>
      <w:r w:rsidRPr="00F94291">
        <w:fldChar w:fldCharType="end"/>
      </w:r>
      <w:r w:rsidRPr="00F94291">
        <w:t xml:space="preserve"> above).</w:t>
      </w:r>
    </w:p>
    <w:p w:rsidRPr="00F94291" w:rsidR="00004089" w:rsidP="00F94291" w:rsidRDefault="00004089" w14:paraId="49833E79" w14:textId="18B5813F">
      <w:pPr>
        <w:pStyle w:val="JuPara"/>
        <w:rPr>
          <w:rFonts w:eastAsiaTheme="minorEastAsia"/>
          <w:szCs w:val="22"/>
          <w:lang w:val="en-US"/>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48</w:t>
      </w:r>
      <w:r w:rsidRPr="00F94291">
        <w:rPr>
          <w:rFonts w:eastAsiaTheme="minorEastAsia"/>
          <w:szCs w:val="22"/>
          <w:lang w:val="en-US"/>
        </w:rPr>
        <w:fldChar w:fldCharType="end"/>
      </w:r>
      <w:r w:rsidRPr="00F94291">
        <w:rPr>
          <w:rFonts w:eastAsiaTheme="minorEastAsia"/>
          <w:szCs w:val="22"/>
          <w:lang w:val="en-US"/>
        </w:rPr>
        <w:t>.  The applicant further argued that his complaint regarding the length of the criminal proceedings could not be considered as being of a fourth</w:t>
      </w:r>
      <w:r w:rsidRPr="00F94291" w:rsidR="006C2F53">
        <w:rPr>
          <w:rFonts w:eastAsiaTheme="minorEastAsia"/>
          <w:szCs w:val="22"/>
          <w:lang w:val="en-US"/>
        </w:rPr>
        <w:noBreakHyphen/>
      </w:r>
      <w:r w:rsidRPr="00F94291">
        <w:rPr>
          <w:rFonts w:eastAsiaTheme="minorEastAsia"/>
          <w:szCs w:val="22"/>
          <w:lang w:val="en-US"/>
        </w:rPr>
        <w:t>instance nature, given that the Court had, when giving notice to the Government of the complaint concerning the excessive length of criminal proceedings, declared the remainder of his application inadmissible, including the complaint that his detention for a war crime against the civilian population had been unlawful because he had not been extradited for that offence.</w:t>
      </w:r>
    </w:p>
    <w:p w:rsidRPr="00F94291" w:rsidR="00004089" w:rsidP="00F94291" w:rsidRDefault="00004089" w14:paraId="4B008AA3" w14:textId="193D2654">
      <w:pPr>
        <w:pStyle w:val="JuH1"/>
        <w:rPr>
          <w:rFonts w:eastAsiaTheme="minorEastAsia"/>
        </w:rPr>
      </w:pPr>
      <w:r w:rsidRPr="00F94291">
        <w:rPr>
          <w:rFonts w:eastAsiaTheme="minorEastAsia"/>
        </w:rPr>
        <w:t>The Court</w:t>
      </w:r>
      <w:r w:rsidRPr="00F94291" w:rsidR="00F94291">
        <w:rPr>
          <w:rFonts w:eastAsiaTheme="minorEastAsia"/>
        </w:rPr>
        <w:t>’</w:t>
      </w:r>
      <w:r w:rsidRPr="00F94291">
        <w:rPr>
          <w:rFonts w:eastAsiaTheme="minorEastAsia"/>
        </w:rPr>
        <w:t>s assessment</w:t>
      </w:r>
    </w:p>
    <w:bookmarkStart w:name="paragraph49" w:id="32"/>
    <w:p w:rsidRPr="00F94291" w:rsidR="00004089" w:rsidP="00F94291" w:rsidRDefault="00004089" w14:paraId="6ED37185" w14:textId="06E9EA30">
      <w:pPr>
        <w:pStyle w:val="JuPara"/>
      </w:pPr>
      <w:r w:rsidRPr="00F94291">
        <w:fldChar w:fldCharType="begin"/>
      </w:r>
      <w:r w:rsidRPr="00F94291">
        <w:instrText xml:space="preserve"> SEQ level0 \*arabic </w:instrText>
      </w:r>
      <w:r w:rsidRPr="00F94291">
        <w:fldChar w:fldCharType="separate"/>
      </w:r>
      <w:r w:rsidRPr="00F94291" w:rsidR="00F94291">
        <w:rPr>
          <w:noProof/>
        </w:rPr>
        <w:t>49</w:t>
      </w:r>
      <w:r w:rsidRPr="00F94291">
        <w:fldChar w:fldCharType="end"/>
      </w:r>
      <w:bookmarkEnd w:id="32"/>
      <w:r w:rsidRPr="00F94291">
        <w:t>.  As regards the Government</w:t>
      </w:r>
      <w:r w:rsidRPr="00F94291" w:rsidR="00F94291">
        <w:t>’</w:t>
      </w:r>
      <w:r w:rsidRPr="00F94291">
        <w:t>s inadmissibility objection based on non-exhaustion of domestic remedies (</w:t>
      </w:r>
      <w:r w:rsidRPr="00F94291" w:rsidR="00F94291">
        <w:t xml:space="preserve">see </w:t>
      </w:r>
      <w:r w:rsidRPr="00F94291">
        <w:t xml:space="preserve">paragraph </w:t>
      </w:r>
      <w:r w:rsidRPr="00F94291">
        <w:fldChar w:fldCharType="begin"/>
      </w:r>
      <w:r w:rsidRPr="00F94291">
        <w:instrText xml:space="preserve"> REF paragraph45 \h </w:instrText>
      </w:r>
      <w:r w:rsidRPr="00F94291">
        <w:fldChar w:fldCharType="separate"/>
      </w:r>
      <w:r w:rsidRPr="00F94291" w:rsidR="00F94291">
        <w:rPr>
          <w:rFonts w:eastAsiaTheme="minorEastAsia"/>
          <w:noProof/>
        </w:rPr>
        <w:t>45</w:t>
      </w:r>
      <w:r w:rsidRPr="00F94291">
        <w:fldChar w:fldCharType="end"/>
      </w:r>
      <w:r w:rsidRPr="00F94291">
        <w:t xml:space="preserve"> above), the Court first reiterates that the application cannot be declared inadmissible on that ground if the last stage of such remedies is reached before the Court determines the issue of admissibility (see, for example, </w:t>
      </w:r>
      <w:r w:rsidRPr="00F94291">
        <w:rPr>
          <w:i/>
          <w:iCs/>
        </w:rPr>
        <w:t>Molla Sali v. Greece</w:t>
      </w:r>
      <w:r w:rsidRPr="00F94291">
        <w:t xml:space="preserve"> [GC], no.</w:t>
      </w:r>
      <w:r w:rsidRPr="00F94291">
        <w:rPr>
          <w:lang w:eastAsia="en-GB"/>
        </w:rPr>
        <w:t xml:space="preserve"> </w:t>
      </w:r>
      <w:r w:rsidRPr="00F94291">
        <w:t>20452/14, § 90, 19 December 2018).</w:t>
      </w:r>
    </w:p>
    <w:p w:rsidRPr="00F94291" w:rsidR="00004089" w:rsidP="00F94291" w:rsidRDefault="00004089" w14:paraId="40B6E125" w14:textId="1C02814B">
      <w:pPr>
        <w:pStyle w:val="JuPara"/>
      </w:pPr>
      <w:r w:rsidRPr="00F94291">
        <w:fldChar w:fldCharType="begin"/>
      </w:r>
      <w:r w:rsidRPr="00F94291">
        <w:instrText xml:space="preserve"> SEQ level0 \*arabic </w:instrText>
      </w:r>
      <w:r w:rsidRPr="00F94291">
        <w:fldChar w:fldCharType="separate"/>
      </w:r>
      <w:r w:rsidRPr="00F94291" w:rsidR="00F94291">
        <w:rPr>
          <w:noProof/>
        </w:rPr>
        <w:t>50</w:t>
      </w:r>
      <w:r w:rsidRPr="00F94291">
        <w:fldChar w:fldCharType="end"/>
      </w:r>
      <w:r w:rsidRPr="00F94291">
        <w:t xml:space="preserve">.  It further reiterates that applicants are only required to exhaust domestic remedies which are available in theory and in practice at the relevant time and which are accessible, capable of providing redress in respect of their complaints and offering reasonable prospects of success (see, among many other authorities, </w:t>
      </w:r>
      <w:r w:rsidRPr="00F94291">
        <w:rPr>
          <w:i/>
        </w:rPr>
        <w:t>Glavinić and Marković v. Croatia</w:t>
      </w:r>
      <w:r w:rsidRPr="00F94291">
        <w:t>, nos.</w:t>
      </w:r>
      <w:r w:rsidRPr="00F94291" w:rsidR="006C2F53">
        <w:t> </w:t>
      </w:r>
      <w:r w:rsidRPr="00F94291">
        <w:t xml:space="preserve">11388/15 and 25605/15, § 61, 30 July 2020). In this connection it observes that in a similar case the Government expressly submitted that in order to exhaust domestic remedies, applicants had not been required to lodge constitutional complaints against Supreme Court decisions given on length remedies, as such decisions were not amenable to constitutional review (ibid., </w:t>
      </w:r>
      <w:r w:rsidRPr="00F94291">
        <w:rPr>
          <w:rFonts w:cstheme="minorHAnsi"/>
        </w:rPr>
        <w:t>§</w:t>
      </w:r>
      <w:r w:rsidRPr="00F94291">
        <w:t xml:space="preserve"> 51). It is therefore unclear why the applicant in the present case should, before lodging his application with the Court, have waited for the outcome of a remedy which even in the Government</w:t>
      </w:r>
      <w:r w:rsidRPr="00F94291" w:rsidR="00F94291">
        <w:t>’</w:t>
      </w:r>
      <w:r w:rsidRPr="00F94291">
        <w:t>s own admission was not available to him.</w:t>
      </w:r>
    </w:p>
    <w:bookmarkStart w:name="paragraph51" w:id="33"/>
    <w:p w:rsidRPr="00F94291" w:rsidR="00004089" w:rsidP="00F94291" w:rsidRDefault="00004089" w14:paraId="42E81C96" w14:textId="17DCD64D">
      <w:pPr>
        <w:pStyle w:val="JuPara"/>
        <w:rPr>
          <w:lang w:val="hr-HR"/>
        </w:rPr>
      </w:pPr>
      <w:r w:rsidRPr="00F94291">
        <w:fldChar w:fldCharType="begin"/>
      </w:r>
      <w:r w:rsidRPr="00F94291">
        <w:instrText xml:space="preserve"> SEQ level0 \*arabic </w:instrText>
      </w:r>
      <w:r w:rsidRPr="00F94291">
        <w:fldChar w:fldCharType="separate"/>
      </w:r>
      <w:r w:rsidRPr="00F94291" w:rsidR="00F94291">
        <w:rPr>
          <w:noProof/>
        </w:rPr>
        <w:t>51</w:t>
      </w:r>
      <w:r w:rsidRPr="00F94291">
        <w:fldChar w:fldCharType="end"/>
      </w:r>
      <w:bookmarkEnd w:id="33"/>
      <w:r w:rsidRPr="00F94291">
        <w:t>.  As regards the Government</w:t>
      </w:r>
      <w:r w:rsidRPr="00F94291" w:rsidR="00F94291">
        <w:t>’</w:t>
      </w:r>
      <w:r w:rsidRPr="00F94291">
        <w:t>s remaining inadmissibility objection (</w:t>
      </w:r>
      <w:r w:rsidRPr="00F94291" w:rsidR="00F94291">
        <w:t xml:space="preserve">see </w:t>
      </w:r>
      <w:r w:rsidRPr="00F94291">
        <w:t xml:space="preserve">paragraph </w:t>
      </w:r>
      <w:r w:rsidRPr="00F94291">
        <w:fldChar w:fldCharType="begin"/>
      </w:r>
      <w:r w:rsidRPr="00F94291">
        <w:instrText xml:space="preserve"> REF paragraph46 \h </w:instrText>
      </w:r>
      <w:r w:rsidRPr="00F94291">
        <w:fldChar w:fldCharType="separate"/>
      </w:r>
      <w:r w:rsidRPr="00F94291" w:rsidR="00F94291">
        <w:rPr>
          <w:rFonts w:eastAsiaTheme="minorEastAsia"/>
          <w:noProof/>
          <w:lang w:val="en-US"/>
        </w:rPr>
        <w:t>46</w:t>
      </w:r>
      <w:r w:rsidRPr="00F94291">
        <w:fldChar w:fldCharType="end"/>
      </w:r>
      <w:r w:rsidRPr="00F94291">
        <w:t xml:space="preserve"> above), the Court does not </w:t>
      </w:r>
      <w:r w:rsidRPr="00F94291" w:rsidR="00F94291">
        <w:t xml:space="preserve">see </w:t>
      </w:r>
      <w:r w:rsidRPr="00F94291">
        <w:t>how a finding that the criminal proceedings in question exceeded a reasonable time could in any way be relevant to the issue of whether the applicant was (properly) extradited for a war crime or not, or to the related issue of whether he could have been tried for that offence.</w:t>
      </w:r>
    </w:p>
    <w:p w:rsidRPr="00F94291" w:rsidR="00004089" w:rsidP="00F94291" w:rsidRDefault="00004089" w14:paraId="5D9D7FA8" w14:textId="006FAD82">
      <w:pPr>
        <w:pStyle w:val="JuPara"/>
      </w:pPr>
      <w:r w:rsidRPr="00F94291">
        <w:fldChar w:fldCharType="begin"/>
      </w:r>
      <w:r w:rsidRPr="00F94291">
        <w:instrText xml:space="preserve"> SEQ level0 \*arabic </w:instrText>
      </w:r>
      <w:r w:rsidRPr="00F94291">
        <w:fldChar w:fldCharType="separate"/>
      </w:r>
      <w:r w:rsidRPr="00F94291" w:rsidR="00F94291">
        <w:rPr>
          <w:noProof/>
        </w:rPr>
        <w:t>52</w:t>
      </w:r>
      <w:r w:rsidRPr="00F94291">
        <w:fldChar w:fldCharType="end"/>
      </w:r>
      <w:r w:rsidRPr="00F94291">
        <w:t>.  In view of the foregoing (</w:t>
      </w:r>
      <w:r w:rsidRPr="00F94291" w:rsidR="00F94291">
        <w:t xml:space="preserve">see </w:t>
      </w:r>
      <w:r w:rsidRPr="00F94291">
        <w:t xml:space="preserve">paragraphs </w:t>
      </w:r>
      <w:r w:rsidRPr="00F94291">
        <w:fldChar w:fldCharType="begin"/>
      </w:r>
      <w:r w:rsidRPr="00F94291">
        <w:instrText xml:space="preserve"> REF paragraph49 \h </w:instrText>
      </w:r>
      <w:r w:rsidRPr="00F94291">
        <w:fldChar w:fldCharType="separate"/>
      </w:r>
      <w:r w:rsidRPr="00F94291" w:rsidR="00F94291">
        <w:rPr>
          <w:noProof/>
        </w:rPr>
        <w:t>49</w:t>
      </w:r>
      <w:r w:rsidRPr="00F94291">
        <w:fldChar w:fldCharType="end"/>
      </w:r>
      <w:r w:rsidRPr="00F94291">
        <w:t>-</w:t>
      </w:r>
      <w:r w:rsidRPr="00F94291">
        <w:fldChar w:fldCharType="begin"/>
      </w:r>
      <w:r w:rsidRPr="00F94291">
        <w:instrText xml:space="preserve"> REF paragraph51 \h </w:instrText>
      </w:r>
      <w:r w:rsidRPr="00F94291">
        <w:fldChar w:fldCharType="separate"/>
      </w:r>
      <w:r w:rsidRPr="00F94291" w:rsidR="00F94291">
        <w:rPr>
          <w:noProof/>
        </w:rPr>
        <w:t>51</w:t>
      </w:r>
      <w:r w:rsidRPr="00F94291">
        <w:fldChar w:fldCharType="end"/>
      </w:r>
      <w:r w:rsidRPr="00F94291">
        <w:t xml:space="preserve"> above), the Court finds that both of the Government</w:t>
      </w:r>
      <w:r w:rsidRPr="00F94291" w:rsidR="00F94291">
        <w:t>’</w:t>
      </w:r>
      <w:r w:rsidRPr="00F94291">
        <w:t>s inadmissibility objections must be dismissed.</w:t>
      </w:r>
    </w:p>
    <w:p w:rsidRPr="00F94291" w:rsidR="00004089" w:rsidP="00F94291" w:rsidRDefault="00004089" w14:paraId="7E372FB6" w14:textId="56798DF0">
      <w:pPr>
        <w:pStyle w:val="JuPara"/>
      </w:pPr>
      <w:r w:rsidRPr="00F94291">
        <w:fldChar w:fldCharType="begin"/>
      </w:r>
      <w:r w:rsidRPr="00F94291">
        <w:instrText xml:space="preserve"> SEQ level0 \*arabic </w:instrText>
      </w:r>
      <w:r w:rsidRPr="00F94291">
        <w:fldChar w:fldCharType="separate"/>
      </w:r>
      <w:r w:rsidRPr="00F94291" w:rsidR="00F94291">
        <w:rPr>
          <w:noProof/>
        </w:rPr>
        <w:t>53</w:t>
      </w:r>
      <w:r w:rsidRPr="00F94291">
        <w:fldChar w:fldCharType="end"/>
      </w:r>
      <w:r w:rsidRPr="00F94291">
        <w:t>.  </w:t>
      </w:r>
      <w:bookmarkStart w:name="_Hlk58171264" w:id="34"/>
      <w:r w:rsidRPr="00F94291">
        <w:t>The Court further notes that the present application is neither manifestly ill-founded nor inadmissible on any other grounds listed in Article 35 of the Convention. It must therefore be declared admissible.</w:t>
      </w:r>
      <w:bookmarkEnd w:id="34"/>
    </w:p>
    <w:p w:rsidRPr="00F94291" w:rsidR="00004089" w:rsidP="00F94291" w:rsidRDefault="00004089" w14:paraId="262E5799" w14:textId="77777777">
      <w:pPr>
        <w:pStyle w:val="JuHA"/>
      </w:pPr>
      <w:r w:rsidRPr="00F94291">
        <w:t>Merits</w:t>
      </w:r>
    </w:p>
    <w:p w:rsidRPr="00F94291" w:rsidR="00004089" w:rsidP="00F94291" w:rsidRDefault="00004089" w14:paraId="5AE3536F" w14:textId="1A0BB674">
      <w:pPr>
        <w:pStyle w:val="JuH1"/>
        <w:rPr>
          <w:rFonts w:eastAsiaTheme="minorEastAsia"/>
        </w:rPr>
      </w:pPr>
      <w:r w:rsidRPr="00F94291">
        <w:rPr>
          <w:rFonts w:eastAsiaTheme="minorEastAsia"/>
        </w:rPr>
        <w:t>The parties</w:t>
      </w:r>
      <w:r w:rsidRPr="00F94291" w:rsidR="00F94291">
        <w:rPr>
          <w:rFonts w:eastAsiaTheme="minorEastAsia"/>
        </w:rPr>
        <w:t>’</w:t>
      </w:r>
      <w:r w:rsidRPr="00F94291">
        <w:rPr>
          <w:rFonts w:eastAsiaTheme="minorEastAsia"/>
        </w:rPr>
        <w:t xml:space="preserve"> arguments</w:t>
      </w:r>
    </w:p>
    <w:p w:rsidRPr="00F94291" w:rsidR="00004089" w:rsidP="00F94291" w:rsidRDefault="00004089" w14:paraId="5E04B4C5" w14:textId="5240DDB8">
      <w:pPr>
        <w:pStyle w:val="JuPara"/>
      </w:pPr>
      <w:r w:rsidRPr="00F94291">
        <w:fldChar w:fldCharType="begin"/>
      </w:r>
      <w:r w:rsidRPr="00F94291">
        <w:instrText xml:space="preserve"> SEQ level0 \*arabic </w:instrText>
      </w:r>
      <w:r w:rsidRPr="00F94291">
        <w:fldChar w:fldCharType="separate"/>
      </w:r>
      <w:r w:rsidRPr="00F94291" w:rsidR="00F94291">
        <w:rPr>
          <w:noProof/>
        </w:rPr>
        <w:t>54</w:t>
      </w:r>
      <w:r w:rsidRPr="00F94291">
        <w:fldChar w:fldCharType="end"/>
      </w:r>
      <w:r w:rsidRPr="00F94291">
        <w:t>.  The Government argued that the length of the proceedings in the applicant</w:t>
      </w:r>
      <w:r w:rsidRPr="00F94291" w:rsidR="00F94291">
        <w:t>’</w:t>
      </w:r>
      <w:r w:rsidRPr="00F94291">
        <w:t>s case had not been excessive. Those proceedings were complex not only on the facts but involved complex international law issues.</w:t>
      </w:r>
    </w:p>
    <w:p w:rsidRPr="00F94291" w:rsidR="00004089" w:rsidP="00F94291" w:rsidRDefault="00004089" w14:paraId="7597D589" w14:textId="56AC6CF3">
      <w:pPr>
        <w:pStyle w:val="JuPara"/>
        <w:rPr>
          <w:lang w:eastAsia="fr-FR"/>
        </w:rPr>
      </w:pPr>
      <w:r w:rsidRPr="00F94291">
        <w:fldChar w:fldCharType="begin"/>
      </w:r>
      <w:r w:rsidRPr="00F94291">
        <w:instrText xml:space="preserve"> SEQ level0 \*arabic </w:instrText>
      </w:r>
      <w:r w:rsidRPr="00F94291">
        <w:fldChar w:fldCharType="separate"/>
      </w:r>
      <w:r w:rsidRPr="00F94291" w:rsidR="00F94291">
        <w:rPr>
          <w:noProof/>
        </w:rPr>
        <w:t>55</w:t>
      </w:r>
      <w:r w:rsidRPr="00F94291">
        <w:fldChar w:fldCharType="end"/>
      </w:r>
      <w:r w:rsidRPr="00F94291">
        <w:t>.  In the Government</w:t>
      </w:r>
      <w:r w:rsidRPr="00F94291" w:rsidR="00F94291">
        <w:t>’</w:t>
      </w:r>
      <w:r w:rsidRPr="00F94291">
        <w:t>s view, the actions of the domestic courts were timely from the outset and there had been no unnecessary delays. In that connection, they pointed out that the domestic authorities had taken a number of measures and actions in order to obtain from the Turkish authorities the authorisation to try the applicant for a war crime, which had been a formal requirement for the conduct of the proceedings. That had required constant efforts in communication with the Turkish authorities, with a view to obtaining the authorisation in question. However, despite persistent and constant requests by the domestic authorities, the Turkish authorities had failed on many occasions to deliver the requested authorisation</w:t>
      </w:r>
      <w:r w:rsidRPr="00F94291">
        <w:rPr>
          <w:lang w:eastAsia="fr-FR"/>
        </w:rPr>
        <w:t>, which omission could not be attributed to executive or judicial authorities of the respondent State.</w:t>
      </w:r>
    </w:p>
    <w:p w:rsidRPr="00F94291" w:rsidR="00004089" w:rsidP="00F94291" w:rsidRDefault="00004089" w14:paraId="5CE7DF28" w14:textId="62B51C12">
      <w:pPr>
        <w:pStyle w:val="JuPara"/>
        <w:rPr>
          <w:rFonts w:ascii="Arial" w:hAnsi="Arial" w:cs="Arial"/>
          <w:sz w:val="22"/>
          <w:lang w:val="en-US"/>
        </w:rPr>
      </w:pPr>
      <w:r w:rsidRPr="00F94291">
        <w:rPr>
          <w:lang w:eastAsia="fr-FR"/>
        </w:rPr>
        <w:fldChar w:fldCharType="begin"/>
      </w:r>
      <w:r w:rsidRPr="00F94291">
        <w:rPr>
          <w:lang w:eastAsia="fr-FR"/>
        </w:rPr>
        <w:instrText xml:space="preserve"> SEQ level0 \*arabic </w:instrText>
      </w:r>
      <w:r w:rsidRPr="00F94291">
        <w:rPr>
          <w:lang w:eastAsia="fr-FR"/>
        </w:rPr>
        <w:fldChar w:fldCharType="separate"/>
      </w:r>
      <w:r w:rsidRPr="00F94291" w:rsidR="00F94291">
        <w:rPr>
          <w:noProof/>
          <w:lang w:eastAsia="fr-FR"/>
        </w:rPr>
        <w:t>56</w:t>
      </w:r>
      <w:r w:rsidRPr="00F94291">
        <w:rPr>
          <w:lang w:eastAsia="fr-FR"/>
        </w:rPr>
        <w:fldChar w:fldCharType="end"/>
      </w:r>
      <w:r w:rsidRPr="00F94291">
        <w:rPr>
          <w:lang w:eastAsia="fr-FR"/>
        </w:rPr>
        <w:t>.  Lastly, the Government argued that the domestic authorities had taken adequate steps in corresponding with foreign authorities with a view to questioning the witnesses who did not reside in Croatia (</w:t>
      </w:r>
      <w:r w:rsidRPr="00F94291" w:rsidR="00F94291">
        <w:rPr>
          <w:lang w:eastAsia="fr-FR"/>
        </w:rPr>
        <w:t xml:space="preserve">see </w:t>
      </w:r>
      <w:r w:rsidRPr="00F94291">
        <w:rPr>
          <w:lang w:eastAsia="fr-FR"/>
        </w:rPr>
        <w:t xml:space="preserve">paragraphs </w:t>
      </w:r>
      <w:r w:rsidRPr="00F94291">
        <w:rPr>
          <w:lang w:eastAsia="fr-FR"/>
        </w:rPr>
        <w:fldChar w:fldCharType="begin"/>
      </w:r>
      <w:r w:rsidRPr="00F94291">
        <w:rPr>
          <w:lang w:eastAsia="fr-FR"/>
        </w:rPr>
        <w:instrText xml:space="preserve"> REF paragraph31 \h </w:instrText>
      </w:r>
      <w:r w:rsidRPr="00F94291">
        <w:rPr>
          <w:lang w:eastAsia="fr-FR"/>
        </w:rPr>
      </w:r>
      <w:r w:rsidRPr="00F94291">
        <w:rPr>
          <w:lang w:eastAsia="fr-FR"/>
        </w:rPr>
        <w:fldChar w:fldCharType="separate"/>
      </w:r>
      <w:r w:rsidRPr="00F94291" w:rsidR="00F94291">
        <w:rPr>
          <w:rFonts w:cs="Arial"/>
          <w:noProof/>
          <w:szCs w:val="22"/>
          <w:lang w:val="en-US"/>
        </w:rPr>
        <w:t>31</w:t>
      </w:r>
      <w:r w:rsidRPr="00F94291">
        <w:rPr>
          <w:lang w:eastAsia="fr-FR"/>
        </w:rPr>
        <w:fldChar w:fldCharType="end"/>
      </w:r>
      <w:r w:rsidRPr="00F94291">
        <w:rPr>
          <w:lang w:eastAsia="fr-FR"/>
        </w:rPr>
        <w:t>-</w:t>
      </w:r>
      <w:r w:rsidRPr="00F94291">
        <w:rPr>
          <w:lang w:eastAsia="fr-FR"/>
        </w:rPr>
        <w:fldChar w:fldCharType="begin"/>
      </w:r>
      <w:r w:rsidRPr="00F94291">
        <w:rPr>
          <w:lang w:eastAsia="fr-FR"/>
        </w:rPr>
        <w:instrText xml:space="preserve"> REF paragraph33 \h </w:instrText>
      </w:r>
      <w:r w:rsidRPr="00F94291">
        <w:rPr>
          <w:lang w:eastAsia="fr-FR"/>
        </w:rPr>
      </w:r>
      <w:r w:rsidRPr="00F94291">
        <w:rPr>
          <w:lang w:eastAsia="fr-FR"/>
        </w:rPr>
        <w:fldChar w:fldCharType="separate"/>
      </w:r>
      <w:r w:rsidRPr="00F94291" w:rsidR="00F94291">
        <w:rPr>
          <w:rFonts w:cs="Arial"/>
          <w:noProof/>
          <w:szCs w:val="22"/>
          <w:lang w:val="en-US"/>
        </w:rPr>
        <w:t>33</w:t>
      </w:r>
      <w:r w:rsidRPr="00F94291">
        <w:rPr>
          <w:lang w:eastAsia="fr-FR"/>
        </w:rPr>
        <w:fldChar w:fldCharType="end"/>
      </w:r>
      <w:r w:rsidRPr="00F94291">
        <w:rPr>
          <w:lang w:eastAsia="fr-FR"/>
        </w:rPr>
        <w:t xml:space="preserve"> above).</w:t>
      </w:r>
    </w:p>
    <w:p w:rsidRPr="00F94291" w:rsidR="00004089" w:rsidP="00F94291" w:rsidRDefault="00004089" w14:paraId="4668DB12" w14:textId="39205117">
      <w:pPr>
        <w:pStyle w:val="JuPara"/>
        <w:rPr>
          <w:rFonts w:eastAsiaTheme="minorEastAsia"/>
          <w:szCs w:val="22"/>
        </w:rPr>
      </w:pPr>
      <w:r w:rsidRPr="00F94291">
        <w:rPr>
          <w:rFonts w:eastAsiaTheme="minorEastAsia"/>
          <w:szCs w:val="22"/>
          <w:lang w:val="en-US"/>
        </w:rPr>
        <w:fldChar w:fldCharType="begin"/>
      </w:r>
      <w:r w:rsidRPr="00F94291">
        <w:rPr>
          <w:rFonts w:eastAsiaTheme="minorEastAsia"/>
          <w:szCs w:val="22"/>
          <w:lang w:val="en-US"/>
        </w:rPr>
        <w:instrText xml:space="preserve"> SEQ level0 \*arabic </w:instrText>
      </w:r>
      <w:r w:rsidRPr="00F94291">
        <w:rPr>
          <w:rFonts w:eastAsiaTheme="minorEastAsia"/>
          <w:szCs w:val="22"/>
          <w:lang w:val="en-US"/>
        </w:rPr>
        <w:fldChar w:fldCharType="separate"/>
      </w:r>
      <w:r w:rsidRPr="00F94291" w:rsidR="00F94291">
        <w:rPr>
          <w:rFonts w:eastAsiaTheme="minorEastAsia"/>
          <w:noProof/>
          <w:szCs w:val="22"/>
          <w:lang w:val="en-US"/>
        </w:rPr>
        <w:t>57</w:t>
      </w:r>
      <w:r w:rsidRPr="00F94291">
        <w:rPr>
          <w:rFonts w:eastAsiaTheme="minorEastAsia"/>
          <w:szCs w:val="22"/>
          <w:lang w:val="en-US"/>
        </w:rPr>
        <w:fldChar w:fldCharType="end"/>
      </w:r>
      <w:r w:rsidRPr="00F94291">
        <w:rPr>
          <w:rFonts w:eastAsiaTheme="minorEastAsia"/>
          <w:szCs w:val="22"/>
          <w:lang w:val="en-US"/>
        </w:rPr>
        <w:t>.  </w:t>
      </w:r>
      <w:r w:rsidRPr="00F94291">
        <w:t xml:space="preserve">The applicant submitted that the length of the proceedings had been excessive. He particularly pointed out that, following his extradition to Croatia, he had objected </w:t>
      </w:r>
      <w:r w:rsidRPr="00F94291">
        <w:rPr>
          <w:rFonts w:eastAsiaTheme="minorEastAsia"/>
          <w:szCs w:val="22"/>
        </w:rPr>
        <w:t>that he had not been extradited for a war crime (</w:t>
      </w:r>
      <w:r w:rsidRPr="00F94291" w:rsidR="00F94291">
        <w:rPr>
          <w:rFonts w:eastAsiaTheme="minorEastAsia"/>
          <w:szCs w:val="22"/>
        </w:rPr>
        <w:t xml:space="preserve">see </w:t>
      </w:r>
      <w:r w:rsidRPr="00F94291">
        <w:rPr>
          <w:rFonts w:eastAsiaTheme="minorEastAsia"/>
          <w:szCs w:val="22"/>
        </w:rPr>
        <w:t xml:space="preserve">paragraph </w:t>
      </w:r>
      <w:r w:rsidRPr="00F94291">
        <w:rPr>
          <w:rFonts w:eastAsiaTheme="minorEastAsia"/>
          <w:szCs w:val="22"/>
        </w:rPr>
        <w:fldChar w:fldCharType="begin"/>
      </w:r>
      <w:r w:rsidRPr="00F94291">
        <w:rPr>
          <w:rFonts w:eastAsiaTheme="minorEastAsia"/>
          <w:szCs w:val="22"/>
        </w:rPr>
        <w:instrText xml:space="preserve"> REF paragraph11 \h </w:instrText>
      </w:r>
      <w:r w:rsidRPr="00F94291">
        <w:rPr>
          <w:rFonts w:eastAsiaTheme="minorEastAsia"/>
          <w:szCs w:val="22"/>
        </w:rPr>
      </w:r>
      <w:r w:rsidRPr="00F94291">
        <w:rPr>
          <w:rFonts w:eastAsiaTheme="minorEastAsia"/>
          <w:szCs w:val="22"/>
        </w:rPr>
        <w:fldChar w:fldCharType="separate"/>
      </w:r>
      <w:r w:rsidRPr="00F94291" w:rsidR="00F94291">
        <w:rPr>
          <w:rFonts w:eastAsia="Times New Roman"/>
          <w:noProof/>
          <w:lang w:eastAsia="en-GB"/>
        </w:rPr>
        <w:t>11</w:t>
      </w:r>
      <w:r w:rsidRPr="00F94291">
        <w:rPr>
          <w:rFonts w:eastAsiaTheme="minorEastAsia"/>
          <w:szCs w:val="22"/>
        </w:rPr>
        <w:fldChar w:fldCharType="end"/>
      </w:r>
      <w:r w:rsidRPr="00F94291">
        <w:rPr>
          <w:rFonts w:eastAsiaTheme="minorEastAsia"/>
          <w:szCs w:val="22"/>
        </w:rPr>
        <w:t xml:space="preserve"> above). In that regard, the consent for him to be tried for a war crime which had not been requested from the Turkish authorities until 2014 (</w:t>
      </w:r>
      <w:r w:rsidRPr="00F94291" w:rsidR="00F94291">
        <w:rPr>
          <w:rFonts w:eastAsiaTheme="minorEastAsia"/>
          <w:szCs w:val="22"/>
        </w:rPr>
        <w:t xml:space="preserve">see </w:t>
      </w:r>
      <w:r w:rsidRPr="00F94291">
        <w:rPr>
          <w:rFonts w:eastAsiaTheme="minorEastAsia"/>
          <w:szCs w:val="22"/>
        </w:rPr>
        <w:t xml:space="preserve">paragraph </w:t>
      </w:r>
      <w:r w:rsidRPr="00F94291">
        <w:rPr>
          <w:rFonts w:eastAsiaTheme="minorEastAsia"/>
          <w:szCs w:val="22"/>
        </w:rPr>
        <w:fldChar w:fldCharType="begin"/>
      </w:r>
      <w:r w:rsidRPr="00F94291">
        <w:rPr>
          <w:rFonts w:eastAsiaTheme="minorEastAsia"/>
          <w:szCs w:val="22"/>
        </w:rPr>
        <w:instrText xml:space="preserve"> REF paragraph24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lang w:val="en-US"/>
        </w:rPr>
        <w:t>24</w:t>
      </w:r>
      <w:r w:rsidRPr="00F94291">
        <w:rPr>
          <w:rFonts w:eastAsiaTheme="minorEastAsia"/>
          <w:szCs w:val="22"/>
        </w:rPr>
        <w:fldChar w:fldCharType="end"/>
      </w:r>
      <w:r w:rsidRPr="00F94291">
        <w:rPr>
          <w:rFonts w:eastAsiaTheme="minorEastAsia"/>
          <w:szCs w:val="22"/>
        </w:rPr>
        <w:t xml:space="preserve"> above), should have been requested immediately after his extradition in 2010 or at the latest after the Supreme Court</w:t>
      </w:r>
      <w:r w:rsidRPr="00F94291" w:rsidR="00F94291">
        <w:rPr>
          <w:rFonts w:eastAsiaTheme="minorEastAsia"/>
          <w:szCs w:val="22"/>
        </w:rPr>
        <w:t>’</w:t>
      </w:r>
      <w:r w:rsidRPr="00F94291">
        <w:rPr>
          <w:rFonts w:eastAsiaTheme="minorEastAsia"/>
          <w:szCs w:val="22"/>
        </w:rPr>
        <w:t>s decision of 12 July 2011 (</w:t>
      </w:r>
      <w:r w:rsidRPr="00F94291" w:rsidR="00F94291">
        <w:rPr>
          <w:rFonts w:eastAsiaTheme="minorEastAsia"/>
          <w:szCs w:val="22"/>
        </w:rPr>
        <w:t xml:space="preserve">see </w:t>
      </w:r>
      <w:r w:rsidRPr="00F94291">
        <w:rPr>
          <w:rFonts w:eastAsiaTheme="minorEastAsia"/>
          <w:szCs w:val="22"/>
        </w:rPr>
        <w:t xml:space="preserve">paragraphs </w:t>
      </w:r>
      <w:r w:rsidRPr="00F94291">
        <w:rPr>
          <w:rFonts w:eastAsiaTheme="minorEastAsia"/>
          <w:szCs w:val="22"/>
        </w:rPr>
        <w:fldChar w:fldCharType="begin"/>
      </w:r>
      <w:r w:rsidRPr="00F94291">
        <w:rPr>
          <w:rFonts w:eastAsiaTheme="minorEastAsia"/>
          <w:szCs w:val="22"/>
        </w:rPr>
        <w:instrText xml:space="preserve"> REF para7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7</w:t>
      </w:r>
      <w:r w:rsidRPr="00F94291">
        <w:rPr>
          <w:rFonts w:eastAsiaTheme="minorEastAsia"/>
          <w:szCs w:val="22"/>
        </w:rPr>
        <w:fldChar w:fldCharType="end"/>
      </w:r>
      <w:r w:rsidRPr="00F94291">
        <w:rPr>
          <w:rFonts w:eastAsiaTheme="minorEastAsia"/>
          <w:szCs w:val="22"/>
        </w:rPr>
        <w:t xml:space="preserve"> and </w:t>
      </w:r>
      <w:r w:rsidRPr="00F94291">
        <w:rPr>
          <w:rFonts w:eastAsiaTheme="minorEastAsia"/>
          <w:szCs w:val="22"/>
        </w:rPr>
        <w:fldChar w:fldCharType="begin"/>
      </w:r>
      <w:r w:rsidRPr="00F94291">
        <w:rPr>
          <w:rFonts w:eastAsiaTheme="minorEastAsia"/>
          <w:szCs w:val="22"/>
        </w:rPr>
        <w:instrText xml:space="preserve"> REF paragraph18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18</w:t>
      </w:r>
      <w:r w:rsidRPr="00F94291">
        <w:rPr>
          <w:rFonts w:eastAsiaTheme="minorEastAsia"/>
          <w:szCs w:val="22"/>
        </w:rPr>
        <w:fldChar w:fldCharType="end"/>
      </w:r>
      <w:r w:rsidRPr="00F94291">
        <w:rPr>
          <w:rFonts w:eastAsiaTheme="minorEastAsia"/>
          <w:szCs w:val="22"/>
        </w:rPr>
        <w:t>-</w:t>
      </w:r>
      <w:r w:rsidRPr="00F94291">
        <w:rPr>
          <w:rFonts w:eastAsiaTheme="minorEastAsia"/>
          <w:szCs w:val="22"/>
        </w:rPr>
        <w:fldChar w:fldCharType="begin"/>
      </w:r>
      <w:r w:rsidRPr="00F94291">
        <w:rPr>
          <w:rFonts w:eastAsiaTheme="minorEastAsia"/>
          <w:szCs w:val="22"/>
        </w:rPr>
        <w:instrText xml:space="preserve"> REF paragraph19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lang w:val="en-US"/>
        </w:rPr>
        <w:t>19</w:t>
      </w:r>
      <w:r w:rsidRPr="00F94291">
        <w:rPr>
          <w:rFonts w:eastAsiaTheme="minorEastAsia"/>
          <w:szCs w:val="22"/>
        </w:rPr>
        <w:fldChar w:fldCharType="end"/>
      </w:r>
      <w:r w:rsidRPr="00F94291">
        <w:rPr>
          <w:rFonts w:eastAsiaTheme="minorEastAsia"/>
          <w:szCs w:val="22"/>
        </w:rPr>
        <w:t xml:space="preserve"> above). Considering that the Supreme Court had twice remitted the case to the first-instance court on the same grounds (</w:t>
      </w:r>
      <w:r w:rsidRPr="00F94291" w:rsidR="00F94291">
        <w:rPr>
          <w:rFonts w:eastAsiaTheme="minorEastAsia"/>
          <w:szCs w:val="22"/>
        </w:rPr>
        <w:t xml:space="preserve">see </w:t>
      </w:r>
      <w:r w:rsidRPr="00F94291">
        <w:rPr>
          <w:rFonts w:eastAsiaTheme="minorEastAsia"/>
          <w:szCs w:val="22"/>
        </w:rPr>
        <w:t xml:space="preserve">paragraphs </w:t>
      </w:r>
      <w:r w:rsidRPr="00F94291">
        <w:rPr>
          <w:rFonts w:eastAsiaTheme="minorEastAsia"/>
          <w:szCs w:val="22"/>
        </w:rPr>
        <w:fldChar w:fldCharType="begin"/>
      </w:r>
      <w:r w:rsidRPr="00F94291">
        <w:rPr>
          <w:rFonts w:eastAsiaTheme="minorEastAsia"/>
          <w:szCs w:val="22"/>
        </w:rPr>
        <w:instrText xml:space="preserve"> REF paragraph18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18</w:t>
      </w:r>
      <w:r w:rsidRPr="00F94291">
        <w:rPr>
          <w:rFonts w:eastAsiaTheme="minorEastAsia"/>
          <w:szCs w:val="22"/>
        </w:rPr>
        <w:fldChar w:fldCharType="end"/>
      </w:r>
      <w:r w:rsidRPr="00F94291">
        <w:rPr>
          <w:rFonts w:eastAsiaTheme="minorEastAsia"/>
          <w:szCs w:val="22"/>
        </w:rPr>
        <w:t>-</w:t>
      </w:r>
      <w:r w:rsidRPr="00F94291">
        <w:rPr>
          <w:rFonts w:eastAsiaTheme="minorEastAsia"/>
          <w:szCs w:val="22"/>
        </w:rPr>
        <w:fldChar w:fldCharType="begin"/>
      </w:r>
      <w:r w:rsidRPr="00F94291">
        <w:rPr>
          <w:rFonts w:eastAsiaTheme="minorEastAsia"/>
          <w:szCs w:val="22"/>
        </w:rPr>
        <w:instrText xml:space="preserve"> REF paragraph19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lang w:val="en-US"/>
        </w:rPr>
        <w:t>19</w:t>
      </w:r>
      <w:r w:rsidRPr="00F94291">
        <w:rPr>
          <w:rFonts w:eastAsiaTheme="minorEastAsia"/>
          <w:szCs w:val="22"/>
        </w:rPr>
        <w:fldChar w:fldCharType="end"/>
      </w:r>
      <w:r w:rsidRPr="00F94291">
        <w:rPr>
          <w:rFonts w:eastAsiaTheme="minorEastAsia"/>
          <w:szCs w:val="22"/>
        </w:rPr>
        <w:t xml:space="preserve"> and </w:t>
      </w:r>
      <w:r w:rsidRPr="00F94291">
        <w:rPr>
          <w:rFonts w:eastAsiaTheme="minorEastAsia"/>
          <w:szCs w:val="22"/>
        </w:rPr>
        <w:fldChar w:fldCharType="begin"/>
      </w:r>
      <w:r w:rsidRPr="00F94291">
        <w:rPr>
          <w:rFonts w:eastAsiaTheme="minorEastAsia"/>
          <w:szCs w:val="22"/>
        </w:rPr>
        <w:instrText xml:space="preserve"> REF paragraph24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lang w:val="en-US"/>
        </w:rPr>
        <w:t>24</w:t>
      </w:r>
      <w:r w:rsidRPr="00F94291">
        <w:rPr>
          <w:rFonts w:eastAsiaTheme="minorEastAsia"/>
          <w:szCs w:val="22"/>
        </w:rPr>
        <w:fldChar w:fldCharType="end"/>
      </w:r>
      <w:r w:rsidRPr="00F94291">
        <w:rPr>
          <w:rFonts w:eastAsiaTheme="minorEastAsia"/>
          <w:szCs w:val="22"/>
        </w:rPr>
        <w:t xml:space="preserve"> above), and that it took almost seven months to translate and send the request for the consent in question to the Ministry of Justice (</w:t>
      </w:r>
      <w:r w:rsidRPr="00F94291" w:rsidR="00F94291">
        <w:rPr>
          <w:rFonts w:eastAsiaTheme="minorEastAsia"/>
          <w:szCs w:val="22"/>
        </w:rPr>
        <w:t xml:space="preserve">see </w:t>
      </w:r>
      <w:r w:rsidRPr="00F94291">
        <w:rPr>
          <w:rFonts w:eastAsiaTheme="minorEastAsia"/>
          <w:szCs w:val="22"/>
        </w:rPr>
        <w:t xml:space="preserve">paragraph </w:t>
      </w:r>
      <w:r w:rsidRPr="00F94291">
        <w:rPr>
          <w:rFonts w:eastAsiaTheme="minorEastAsia"/>
          <w:szCs w:val="22"/>
        </w:rPr>
        <w:fldChar w:fldCharType="begin"/>
      </w:r>
      <w:r w:rsidRPr="00F94291">
        <w:rPr>
          <w:rFonts w:eastAsiaTheme="minorEastAsia"/>
          <w:szCs w:val="22"/>
        </w:rPr>
        <w:instrText xml:space="preserve"> REF paragraph24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lang w:val="en-US"/>
        </w:rPr>
        <w:t>24</w:t>
      </w:r>
      <w:r w:rsidRPr="00F94291">
        <w:rPr>
          <w:rFonts w:eastAsiaTheme="minorEastAsia"/>
          <w:szCs w:val="22"/>
        </w:rPr>
        <w:fldChar w:fldCharType="end"/>
      </w:r>
      <w:r w:rsidRPr="00F94291">
        <w:rPr>
          <w:rFonts w:eastAsiaTheme="minorEastAsia"/>
          <w:szCs w:val="22"/>
        </w:rPr>
        <w:t xml:space="preserve"> above), there had been delays which were solely attributable to the domestic authorities.</w:t>
      </w:r>
    </w:p>
    <w:p w:rsidRPr="00F94291" w:rsidR="00004089" w:rsidP="00F94291" w:rsidRDefault="00004089" w14:paraId="3FA91DB4" w14:textId="7D1BEB5F">
      <w:pPr>
        <w:pStyle w:val="JuH1"/>
        <w:rPr>
          <w:rFonts w:eastAsiaTheme="minorEastAsia"/>
        </w:rPr>
      </w:pPr>
      <w:r w:rsidRPr="00F94291">
        <w:rPr>
          <w:rFonts w:eastAsiaTheme="minorEastAsia"/>
        </w:rPr>
        <w:t>The Court</w:t>
      </w:r>
      <w:r w:rsidRPr="00F94291" w:rsidR="00F94291">
        <w:rPr>
          <w:rFonts w:eastAsiaTheme="minorEastAsia"/>
        </w:rPr>
        <w:t>’</w:t>
      </w:r>
      <w:r w:rsidRPr="00F94291">
        <w:rPr>
          <w:rFonts w:eastAsiaTheme="minorEastAsia"/>
        </w:rPr>
        <w:t>s assessment</w:t>
      </w:r>
    </w:p>
    <w:p w:rsidRPr="00F94291" w:rsidR="00004089" w:rsidP="00F94291" w:rsidRDefault="00004089" w14:paraId="55E545E6" w14:textId="235E863D">
      <w:pPr>
        <w:pStyle w:val="JuPara"/>
      </w:pPr>
      <w:r w:rsidRPr="00F94291">
        <w:fldChar w:fldCharType="begin"/>
      </w:r>
      <w:r w:rsidRPr="00F94291">
        <w:instrText xml:space="preserve"> SEQ level0 \*arabic </w:instrText>
      </w:r>
      <w:r w:rsidRPr="00F94291">
        <w:fldChar w:fldCharType="separate"/>
      </w:r>
      <w:r w:rsidRPr="00F94291" w:rsidR="00F94291">
        <w:rPr>
          <w:noProof/>
        </w:rPr>
        <w:t>58</w:t>
      </w:r>
      <w:r w:rsidRPr="00F94291">
        <w:fldChar w:fldCharType="end"/>
      </w:r>
      <w:r w:rsidRPr="00F94291">
        <w:t xml:space="preserve">.  The Court reiterates that the reasonableness of the length of proceedings must be assessed in the light of the circumstances of the case and with reference to the following criteria: the complexity of the case, the conduct of the applicant, and the relevant authorities (see, among many other authorities, </w:t>
      </w:r>
      <w:r w:rsidRPr="00F94291">
        <w:rPr>
          <w:i/>
        </w:rPr>
        <w:t>Pélissier and Sassi v. France</w:t>
      </w:r>
      <w:r w:rsidRPr="00F94291">
        <w:t xml:space="preserve"> [GC], no. 25444/94, § 67, ECHR 1999-II).</w:t>
      </w:r>
    </w:p>
    <w:p w:rsidRPr="00F94291" w:rsidR="00004089" w:rsidP="00F94291" w:rsidRDefault="00004089" w14:paraId="57B77BA5" w14:textId="797277A2">
      <w:pPr>
        <w:pStyle w:val="JuPara"/>
      </w:pPr>
      <w:r w:rsidRPr="00F94291">
        <w:fldChar w:fldCharType="begin"/>
      </w:r>
      <w:r w:rsidRPr="00F94291">
        <w:instrText xml:space="preserve"> SEQ level0 \*arabic </w:instrText>
      </w:r>
      <w:r w:rsidRPr="00F94291">
        <w:fldChar w:fldCharType="separate"/>
      </w:r>
      <w:r w:rsidRPr="00F94291" w:rsidR="00F94291">
        <w:rPr>
          <w:noProof/>
        </w:rPr>
        <w:t>59</w:t>
      </w:r>
      <w:r w:rsidRPr="00F94291">
        <w:fldChar w:fldCharType="end"/>
      </w:r>
      <w:r w:rsidRPr="00F94291">
        <w:t>.  However, these criteria are inapplicable to proceedings concerning war crimes, which are considered to be of an exceptional character and whose length must therefore be measured in the light of considerations such as the non-applicability of rules of prescription to such crimes and the long time that may have elapsed since their commission (</w:t>
      </w:r>
      <w:r w:rsidRPr="00F94291" w:rsidR="00F94291">
        <w:t xml:space="preserve">see </w:t>
      </w:r>
      <w:r w:rsidRPr="00F94291">
        <w:rPr>
          <w:i/>
        </w:rPr>
        <w:t>Gröning v.</w:t>
      </w:r>
      <w:r w:rsidRPr="00F94291" w:rsidR="006C2F53">
        <w:rPr>
          <w:i/>
        </w:rPr>
        <w:t> </w:t>
      </w:r>
      <w:r w:rsidRPr="00F94291">
        <w:rPr>
          <w:i/>
        </w:rPr>
        <w:t>Germany</w:t>
      </w:r>
      <w:r w:rsidRPr="00F94291">
        <w:t xml:space="preserve"> (dec.), no. 71591/17, </w:t>
      </w:r>
      <w:r w:rsidRPr="00F94291">
        <w:rPr>
          <w:rFonts w:cstheme="minorHAnsi"/>
        </w:rPr>
        <w:t>§</w:t>
      </w:r>
      <w:r w:rsidRPr="00F94291">
        <w:t xml:space="preserve"> 60, 20 October 2020, and </w:t>
      </w:r>
      <w:r w:rsidRPr="00F94291">
        <w:rPr>
          <w:i/>
          <w:iCs/>
        </w:rPr>
        <w:t>X. v.</w:t>
      </w:r>
      <w:r w:rsidRPr="00F94291" w:rsidR="006C2F53">
        <w:rPr>
          <w:i/>
          <w:iCs/>
        </w:rPr>
        <w:t> </w:t>
      </w:r>
      <w:r w:rsidRPr="00F94291">
        <w:rPr>
          <w:i/>
          <w:iCs/>
        </w:rPr>
        <w:t>Germany</w:t>
      </w:r>
      <w:r w:rsidRPr="00F94291">
        <w:t>, no. 6946/75, Commission decision of 6 July 1976, Decisions and Reports 6, pp. 115-116).</w:t>
      </w:r>
    </w:p>
    <w:bookmarkStart w:name="paragraph60" w:id="35"/>
    <w:p w:rsidRPr="00F94291" w:rsidR="00004089" w:rsidP="00F94291" w:rsidRDefault="00004089" w14:paraId="350F42C8" w14:textId="2B5F8D3B">
      <w:pPr>
        <w:pStyle w:val="JuPara"/>
      </w:pPr>
      <w:r w:rsidRPr="00F94291">
        <w:fldChar w:fldCharType="begin"/>
      </w:r>
      <w:r w:rsidRPr="00F94291">
        <w:instrText xml:space="preserve"> SEQ level0 \*arabic </w:instrText>
      </w:r>
      <w:r w:rsidRPr="00F94291">
        <w:fldChar w:fldCharType="separate"/>
      </w:r>
      <w:r w:rsidRPr="00F94291" w:rsidR="00F94291">
        <w:rPr>
          <w:noProof/>
        </w:rPr>
        <w:t>60</w:t>
      </w:r>
      <w:r w:rsidRPr="00F94291">
        <w:fldChar w:fldCharType="end"/>
      </w:r>
      <w:bookmarkEnd w:id="35"/>
      <w:r w:rsidRPr="00F94291">
        <w:t>.  </w:t>
      </w:r>
      <w:r w:rsidRPr="00F94291" w:rsidR="004523EC">
        <w:t>Nonetheless</w:t>
      </w:r>
      <w:r w:rsidRPr="00F94291">
        <w:t xml:space="preserve">, even though the present case concerns criminal proceedings for a war crime against the civilian population, the Court finds it evident that the length of the proceedings in the period before </w:t>
      </w:r>
      <w:r w:rsidRPr="00F94291">
        <w:rPr>
          <w:lang w:eastAsia="fr-FR"/>
        </w:rPr>
        <w:t>11 April 2019 (</w:t>
      </w:r>
      <w:r w:rsidRPr="00F94291" w:rsidR="00F94291">
        <w:rPr>
          <w:lang w:eastAsia="fr-FR"/>
        </w:rPr>
        <w:t xml:space="preserve">see </w:t>
      </w:r>
      <w:r w:rsidRPr="00F94291">
        <w:rPr>
          <w:lang w:eastAsia="fr-FR"/>
        </w:rPr>
        <w:t xml:space="preserve">paragraphs </w:t>
      </w:r>
      <w:r w:rsidRPr="00F94291">
        <w:rPr>
          <w:lang w:eastAsia="fr-FR"/>
        </w:rPr>
        <w:fldChar w:fldCharType="begin"/>
      </w:r>
      <w:r w:rsidRPr="00F94291">
        <w:rPr>
          <w:lang w:eastAsia="fr-FR"/>
        </w:rPr>
        <w:instrText xml:space="preserve"> REF paragraph9 \h </w:instrText>
      </w:r>
      <w:r w:rsidRPr="00F94291">
        <w:rPr>
          <w:lang w:eastAsia="fr-FR"/>
        </w:rPr>
      </w:r>
      <w:r w:rsidRPr="00F94291">
        <w:rPr>
          <w:lang w:eastAsia="fr-FR"/>
        </w:rPr>
        <w:fldChar w:fldCharType="separate"/>
      </w:r>
      <w:r w:rsidRPr="00F94291" w:rsidR="00F94291">
        <w:rPr>
          <w:rFonts w:eastAsiaTheme="minorEastAsia"/>
          <w:noProof/>
          <w:szCs w:val="22"/>
        </w:rPr>
        <w:t>9</w:t>
      </w:r>
      <w:r w:rsidRPr="00F94291">
        <w:rPr>
          <w:lang w:eastAsia="fr-FR"/>
        </w:rPr>
        <w:fldChar w:fldCharType="end"/>
      </w:r>
      <w:r w:rsidRPr="00F94291">
        <w:rPr>
          <w:lang w:eastAsia="fr-FR"/>
        </w:rPr>
        <w:t xml:space="preserve"> and </w:t>
      </w:r>
      <w:r w:rsidRPr="00F94291">
        <w:rPr>
          <w:lang w:eastAsia="fr-FR"/>
        </w:rPr>
        <w:fldChar w:fldCharType="begin"/>
      </w:r>
      <w:r w:rsidRPr="00F94291">
        <w:rPr>
          <w:lang w:eastAsia="fr-FR"/>
        </w:rPr>
        <w:instrText xml:space="preserve"> REF paragraph11 \h </w:instrText>
      </w:r>
      <w:r w:rsidRPr="00F94291">
        <w:rPr>
          <w:lang w:eastAsia="fr-FR"/>
        </w:rPr>
      </w:r>
      <w:r w:rsidRPr="00F94291">
        <w:rPr>
          <w:lang w:eastAsia="fr-FR"/>
        </w:rPr>
        <w:fldChar w:fldCharType="separate"/>
      </w:r>
      <w:r w:rsidRPr="00F94291" w:rsidR="00F94291">
        <w:rPr>
          <w:rFonts w:eastAsia="Times New Roman"/>
          <w:noProof/>
          <w:lang w:eastAsia="en-GB"/>
        </w:rPr>
        <w:t>11</w:t>
      </w:r>
      <w:r w:rsidRPr="00F94291">
        <w:rPr>
          <w:lang w:eastAsia="fr-FR"/>
        </w:rPr>
        <w:fldChar w:fldCharType="end"/>
      </w:r>
      <w:r w:rsidRPr="00F94291">
        <w:rPr>
          <w:lang w:eastAsia="fr-FR"/>
        </w:rPr>
        <w:t>-</w:t>
      </w:r>
      <w:r w:rsidRPr="00F94291">
        <w:rPr>
          <w:lang w:eastAsia="fr-FR"/>
        </w:rPr>
        <w:fldChar w:fldCharType="begin"/>
      </w:r>
      <w:r w:rsidRPr="00F94291">
        <w:rPr>
          <w:lang w:eastAsia="fr-FR"/>
        </w:rPr>
        <w:instrText xml:space="preserve"> REF paragraph29 \h </w:instrText>
      </w:r>
      <w:r w:rsidRPr="00F94291">
        <w:rPr>
          <w:lang w:eastAsia="fr-FR"/>
        </w:rPr>
      </w:r>
      <w:r w:rsidRPr="00F94291">
        <w:rPr>
          <w:lang w:eastAsia="fr-FR"/>
        </w:rPr>
        <w:fldChar w:fldCharType="separate"/>
      </w:r>
      <w:r w:rsidRPr="00F94291" w:rsidR="00F94291">
        <w:rPr>
          <w:noProof/>
          <w:lang w:eastAsia="fr-FR"/>
        </w:rPr>
        <w:t>29</w:t>
      </w:r>
      <w:r w:rsidRPr="00F94291">
        <w:rPr>
          <w:lang w:eastAsia="fr-FR"/>
        </w:rPr>
        <w:fldChar w:fldCharType="end"/>
      </w:r>
      <w:r w:rsidRPr="00F94291">
        <w:rPr>
          <w:lang w:eastAsia="fr-FR"/>
        </w:rPr>
        <w:t xml:space="preserve"> above) cannot be justified by</w:t>
      </w:r>
      <w:r w:rsidRPr="00F94291">
        <w:t xml:space="preserve"> the exceptional character of war crimes proceedings. Rather, the delays in that period were caused by the need to clarify certain legal issues relating to the applicant</w:t>
      </w:r>
      <w:r w:rsidRPr="00F94291" w:rsidR="00F94291">
        <w:t>’</w:t>
      </w:r>
      <w:r w:rsidRPr="00F94291">
        <w:t>s extradition from Turkey to Croatia.</w:t>
      </w:r>
    </w:p>
    <w:p w:rsidRPr="00F94291" w:rsidR="00004089" w:rsidP="00F94291" w:rsidRDefault="00004089" w14:paraId="2581C454" w14:textId="4899AA2B">
      <w:pPr>
        <w:pStyle w:val="JuPara"/>
        <w:rPr>
          <w:lang w:val="en-US"/>
        </w:rPr>
      </w:pPr>
      <w:r w:rsidRPr="00F94291">
        <w:rPr>
          <w:lang w:val="en-US"/>
        </w:rPr>
        <w:fldChar w:fldCharType="begin"/>
      </w:r>
      <w:r w:rsidRPr="00F94291">
        <w:rPr>
          <w:lang w:val="en-US"/>
        </w:rPr>
        <w:instrText xml:space="preserve"> SEQ level0 \*arabic </w:instrText>
      </w:r>
      <w:r w:rsidRPr="00F94291">
        <w:rPr>
          <w:lang w:val="en-US"/>
        </w:rPr>
        <w:fldChar w:fldCharType="separate"/>
      </w:r>
      <w:r w:rsidRPr="00F94291" w:rsidR="00F94291">
        <w:rPr>
          <w:noProof/>
          <w:lang w:val="en-US"/>
        </w:rPr>
        <w:t>61</w:t>
      </w:r>
      <w:r w:rsidRPr="00F94291">
        <w:rPr>
          <w:lang w:val="en-US"/>
        </w:rPr>
        <w:fldChar w:fldCharType="end"/>
      </w:r>
      <w:r w:rsidRPr="00F94291">
        <w:rPr>
          <w:lang w:val="en-US"/>
        </w:rPr>
        <w:t>.  </w:t>
      </w:r>
      <w:r w:rsidRPr="00F94291">
        <w:rPr>
          <w:szCs w:val="22"/>
          <w:lang w:val="en-US"/>
        </w:rPr>
        <w:t>In that connection, the Court notes that the domestic authorities have taken a number of steps to find out whether the applicant had been extradited for a war crime or only for murder (</w:t>
      </w:r>
      <w:r w:rsidRPr="00F94291" w:rsidR="00F94291">
        <w:rPr>
          <w:szCs w:val="22"/>
          <w:lang w:val="en-US"/>
        </w:rPr>
        <w:t xml:space="preserve">see </w:t>
      </w:r>
      <w:r w:rsidRPr="00F94291">
        <w:rPr>
          <w:szCs w:val="22"/>
          <w:lang w:val="en-US"/>
        </w:rPr>
        <w:t xml:space="preserve">paragraphs </w:t>
      </w:r>
      <w:r w:rsidRPr="00F94291">
        <w:rPr>
          <w:szCs w:val="22"/>
          <w:lang w:val="en-US"/>
        </w:rPr>
        <w:fldChar w:fldCharType="begin"/>
      </w:r>
      <w:r w:rsidRPr="00F94291">
        <w:rPr>
          <w:szCs w:val="22"/>
          <w:lang w:val="en-US"/>
        </w:rPr>
        <w:instrText xml:space="preserve"> REF paragraph13 \h </w:instrText>
      </w:r>
      <w:r w:rsidRPr="00F94291">
        <w:rPr>
          <w:szCs w:val="22"/>
          <w:lang w:val="en-US"/>
        </w:rPr>
      </w:r>
      <w:r w:rsidRPr="00F94291">
        <w:rPr>
          <w:szCs w:val="22"/>
          <w:lang w:val="en-US"/>
        </w:rPr>
        <w:fldChar w:fldCharType="separate"/>
      </w:r>
      <w:r w:rsidRPr="00F94291" w:rsidR="00F94291">
        <w:rPr>
          <w:rFonts w:eastAsiaTheme="minorEastAsia"/>
          <w:noProof/>
          <w:szCs w:val="22"/>
        </w:rPr>
        <w:t>13</w:t>
      </w:r>
      <w:r w:rsidRPr="00F94291">
        <w:rPr>
          <w:szCs w:val="22"/>
          <w:lang w:val="en-US"/>
        </w:rPr>
        <w:fldChar w:fldCharType="end"/>
      </w:r>
      <w:r w:rsidRPr="00F94291">
        <w:rPr>
          <w:szCs w:val="22"/>
          <w:lang w:val="en-US"/>
        </w:rPr>
        <w:t>-</w:t>
      </w:r>
      <w:r w:rsidRPr="00F94291">
        <w:rPr>
          <w:szCs w:val="22"/>
          <w:lang w:val="en-US"/>
        </w:rPr>
        <w:fldChar w:fldCharType="begin"/>
      </w:r>
      <w:r w:rsidRPr="00F94291">
        <w:rPr>
          <w:szCs w:val="22"/>
          <w:lang w:val="en-US"/>
        </w:rPr>
        <w:instrText xml:space="preserve"> REF paragraph14 \h </w:instrText>
      </w:r>
      <w:r w:rsidRPr="00F94291">
        <w:rPr>
          <w:szCs w:val="22"/>
          <w:lang w:val="en-US"/>
        </w:rPr>
      </w:r>
      <w:r w:rsidRPr="00F94291">
        <w:rPr>
          <w:szCs w:val="22"/>
          <w:lang w:val="en-US"/>
        </w:rPr>
        <w:fldChar w:fldCharType="separate"/>
      </w:r>
      <w:r w:rsidRPr="00F94291" w:rsidR="00F94291">
        <w:rPr>
          <w:rFonts w:eastAsiaTheme="minorEastAsia"/>
          <w:noProof/>
          <w:szCs w:val="22"/>
        </w:rPr>
        <w:t>14</w:t>
      </w:r>
      <w:r w:rsidRPr="00F94291">
        <w:rPr>
          <w:szCs w:val="22"/>
          <w:lang w:val="en-US"/>
        </w:rPr>
        <w:fldChar w:fldCharType="end"/>
      </w:r>
      <w:r w:rsidRPr="00F94291">
        <w:rPr>
          <w:szCs w:val="22"/>
          <w:lang w:val="en-US"/>
        </w:rPr>
        <w:t xml:space="preserve">, </w:t>
      </w:r>
      <w:r w:rsidRPr="00F94291">
        <w:rPr>
          <w:szCs w:val="22"/>
          <w:lang w:val="en-US"/>
        </w:rPr>
        <w:fldChar w:fldCharType="begin"/>
      </w:r>
      <w:r w:rsidRPr="00F94291">
        <w:rPr>
          <w:szCs w:val="22"/>
          <w:lang w:val="en-US"/>
        </w:rPr>
        <w:instrText xml:space="preserve"> REF paragraph25 \h </w:instrText>
      </w:r>
      <w:r w:rsidRPr="00F94291">
        <w:rPr>
          <w:szCs w:val="22"/>
          <w:lang w:val="en-US"/>
        </w:rPr>
      </w:r>
      <w:r w:rsidRPr="00F94291">
        <w:rPr>
          <w:szCs w:val="22"/>
          <w:lang w:val="en-US"/>
        </w:rPr>
        <w:fldChar w:fldCharType="separate"/>
      </w:r>
      <w:r w:rsidRPr="00F94291" w:rsidR="00F94291">
        <w:rPr>
          <w:noProof/>
          <w:lang w:eastAsia="fr-FR"/>
        </w:rPr>
        <w:t>25</w:t>
      </w:r>
      <w:r w:rsidRPr="00F94291">
        <w:rPr>
          <w:szCs w:val="22"/>
          <w:lang w:val="en-US"/>
        </w:rPr>
        <w:fldChar w:fldCharType="end"/>
      </w:r>
      <w:r w:rsidRPr="00F94291">
        <w:rPr>
          <w:szCs w:val="22"/>
          <w:lang w:val="en-US"/>
        </w:rPr>
        <w:t>-</w:t>
      </w:r>
      <w:r w:rsidRPr="00F94291">
        <w:rPr>
          <w:szCs w:val="22"/>
          <w:lang w:val="en-US"/>
        </w:rPr>
        <w:fldChar w:fldCharType="begin"/>
      </w:r>
      <w:r w:rsidRPr="00F94291">
        <w:rPr>
          <w:szCs w:val="22"/>
          <w:lang w:val="en-US"/>
        </w:rPr>
        <w:instrText xml:space="preserve"> REF paragraph27 \h </w:instrText>
      </w:r>
      <w:r w:rsidRPr="00F94291">
        <w:rPr>
          <w:szCs w:val="22"/>
          <w:lang w:val="en-US"/>
        </w:rPr>
      </w:r>
      <w:r w:rsidRPr="00F94291">
        <w:rPr>
          <w:szCs w:val="22"/>
          <w:lang w:val="en-US"/>
        </w:rPr>
        <w:fldChar w:fldCharType="separate"/>
      </w:r>
      <w:r w:rsidRPr="00F94291" w:rsidR="00F94291">
        <w:rPr>
          <w:noProof/>
          <w:lang w:eastAsia="fr-FR"/>
        </w:rPr>
        <w:t>27</w:t>
      </w:r>
      <w:r w:rsidRPr="00F94291">
        <w:rPr>
          <w:szCs w:val="22"/>
          <w:lang w:val="en-US"/>
        </w:rPr>
        <w:fldChar w:fldCharType="end"/>
      </w:r>
      <w:r w:rsidRPr="00F94291">
        <w:rPr>
          <w:szCs w:val="22"/>
          <w:lang w:val="en-US"/>
        </w:rPr>
        <w:t xml:space="preserve"> and </w:t>
      </w:r>
      <w:r w:rsidRPr="00F94291">
        <w:rPr>
          <w:szCs w:val="22"/>
          <w:lang w:val="en-US"/>
        </w:rPr>
        <w:fldChar w:fldCharType="begin"/>
      </w:r>
      <w:r w:rsidRPr="00F94291">
        <w:rPr>
          <w:szCs w:val="22"/>
          <w:lang w:val="en-US"/>
        </w:rPr>
        <w:instrText xml:space="preserve"> REF paragraph29 \h </w:instrText>
      </w:r>
      <w:r w:rsidRPr="00F94291">
        <w:rPr>
          <w:szCs w:val="22"/>
          <w:lang w:val="en-US"/>
        </w:rPr>
      </w:r>
      <w:r w:rsidRPr="00F94291">
        <w:rPr>
          <w:szCs w:val="22"/>
          <w:lang w:val="en-US"/>
        </w:rPr>
        <w:fldChar w:fldCharType="separate"/>
      </w:r>
      <w:r w:rsidRPr="00F94291" w:rsidR="00F94291">
        <w:rPr>
          <w:noProof/>
          <w:lang w:eastAsia="fr-FR"/>
        </w:rPr>
        <w:t>29</w:t>
      </w:r>
      <w:r w:rsidRPr="00F94291">
        <w:rPr>
          <w:szCs w:val="22"/>
          <w:lang w:val="en-US"/>
        </w:rPr>
        <w:fldChar w:fldCharType="end"/>
      </w:r>
      <w:r w:rsidRPr="00F94291">
        <w:rPr>
          <w:szCs w:val="22"/>
          <w:lang w:val="en-US"/>
        </w:rPr>
        <w:t xml:space="preserve"> above), and that the delays in the period in question are partly attributable to the Turkish authorities.</w:t>
      </w:r>
    </w:p>
    <w:p w:rsidRPr="00F94291" w:rsidR="00004089" w:rsidP="00F94291" w:rsidRDefault="00004089" w14:paraId="7E55A3E7" w14:textId="6B85C020">
      <w:pPr>
        <w:pStyle w:val="JuPara"/>
        <w:rPr>
          <w:rFonts w:eastAsiaTheme="minorEastAsia"/>
          <w:szCs w:val="22"/>
          <w:lang w:val="en-US"/>
        </w:rPr>
      </w:pPr>
      <w:r w:rsidRPr="00F94291">
        <w:rPr>
          <w:rFonts w:cs="Arial"/>
          <w:lang w:val="en-US"/>
        </w:rPr>
        <w:fldChar w:fldCharType="begin"/>
      </w:r>
      <w:r w:rsidRPr="00F94291">
        <w:rPr>
          <w:rFonts w:cs="Arial"/>
          <w:lang w:val="en-US"/>
        </w:rPr>
        <w:instrText xml:space="preserve"> SEQ level0 \*arabic </w:instrText>
      </w:r>
      <w:r w:rsidRPr="00F94291">
        <w:rPr>
          <w:rFonts w:cs="Arial"/>
          <w:lang w:val="en-US"/>
        </w:rPr>
        <w:fldChar w:fldCharType="separate"/>
      </w:r>
      <w:r w:rsidRPr="00F94291" w:rsidR="00F94291">
        <w:rPr>
          <w:rFonts w:cs="Arial"/>
          <w:noProof/>
          <w:lang w:val="en-US"/>
        </w:rPr>
        <w:t>62</w:t>
      </w:r>
      <w:r w:rsidRPr="00F94291">
        <w:rPr>
          <w:rFonts w:cs="Arial"/>
          <w:lang w:val="en-US"/>
        </w:rPr>
        <w:fldChar w:fldCharType="end"/>
      </w:r>
      <w:r w:rsidRPr="00F94291">
        <w:rPr>
          <w:rFonts w:cs="Arial"/>
          <w:lang w:val="en-US"/>
        </w:rPr>
        <w:t xml:space="preserve">.  However, it cannot be overlooked that the Supreme Court twice remitted the case for a retrial because the first-instance court </w:t>
      </w:r>
      <w:r w:rsidRPr="00F94291">
        <w:rPr>
          <w:rFonts w:eastAsiaTheme="minorEastAsia"/>
          <w:szCs w:val="22"/>
          <w:lang w:val="en-US"/>
        </w:rPr>
        <w:t>had failed to establish the offence or offences for which the applicant had been extradited (</w:t>
      </w:r>
      <w:r w:rsidRPr="00F94291" w:rsidR="00F94291">
        <w:rPr>
          <w:rFonts w:eastAsiaTheme="minorEastAsia"/>
          <w:szCs w:val="22"/>
          <w:lang w:val="en-US"/>
        </w:rPr>
        <w:t xml:space="preserve">see </w:t>
      </w:r>
      <w:r w:rsidRPr="00F94291">
        <w:rPr>
          <w:rFonts w:eastAsiaTheme="minorEastAsia"/>
          <w:szCs w:val="22"/>
          <w:lang w:val="en-US"/>
        </w:rPr>
        <w:t xml:space="preserve">paragraphs </w:t>
      </w:r>
      <w:r w:rsidRPr="00F94291">
        <w:rPr>
          <w:rFonts w:eastAsiaTheme="minorEastAsia"/>
          <w:szCs w:val="22"/>
          <w:lang w:val="en-US"/>
        </w:rPr>
        <w:fldChar w:fldCharType="begin"/>
      </w:r>
      <w:r w:rsidRPr="00F94291">
        <w:rPr>
          <w:rFonts w:eastAsiaTheme="minorEastAsia"/>
          <w:szCs w:val="22"/>
          <w:lang w:val="en-US"/>
        </w:rPr>
        <w:instrText xml:space="preserve"> REF paragraph18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rPr>
        <w:t>18</w:t>
      </w:r>
      <w:r w:rsidRPr="00F94291">
        <w:rPr>
          <w:rFonts w:eastAsiaTheme="minorEastAsia"/>
          <w:szCs w:val="22"/>
          <w:lang w:val="en-US"/>
        </w:rPr>
        <w:fldChar w:fldCharType="end"/>
      </w:r>
      <w:r w:rsidRPr="00F94291">
        <w:rPr>
          <w:rFonts w:eastAsiaTheme="minorEastAsia"/>
          <w:szCs w:val="22"/>
          <w:lang w:val="en-US"/>
        </w:rPr>
        <w:t>-</w:t>
      </w:r>
      <w:r w:rsidRPr="00F94291">
        <w:rPr>
          <w:rFonts w:eastAsiaTheme="minorEastAsia"/>
          <w:szCs w:val="22"/>
          <w:lang w:val="en-US"/>
        </w:rPr>
        <w:fldChar w:fldCharType="begin"/>
      </w:r>
      <w:r w:rsidRPr="00F94291">
        <w:rPr>
          <w:rFonts w:eastAsiaTheme="minorEastAsia"/>
          <w:szCs w:val="22"/>
          <w:lang w:val="en-US"/>
        </w:rPr>
        <w:instrText xml:space="preserve"> REF paragraph19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lang w:val="en-US"/>
        </w:rPr>
        <w:t>19</w:t>
      </w:r>
      <w:r w:rsidRPr="00F94291">
        <w:rPr>
          <w:rFonts w:eastAsiaTheme="minorEastAsia"/>
          <w:szCs w:val="22"/>
          <w:lang w:val="en-US"/>
        </w:rPr>
        <w:fldChar w:fldCharType="end"/>
      </w:r>
      <w:r w:rsidRPr="00F94291">
        <w:rPr>
          <w:rFonts w:eastAsiaTheme="minorEastAsia"/>
          <w:szCs w:val="22"/>
          <w:lang w:val="en-US"/>
        </w:rPr>
        <w:t xml:space="preserve"> and </w:t>
      </w:r>
      <w:r w:rsidRPr="00F94291">
        <w:rPr>
          <w:rFonts w:eastAsiaTheme="minorEastAsia"/>
          <w:szCs w:val="22"/>
          <w:lang w:val="en-US"/>
        </w:rPr>
        <w:fldChar w:fldCharType="begin"/>
      </w:r>
      <w:r w:rsidRPr="00F94291">
        <w:rPr>
          <w:rFonts w:eastAsiaTheme="minorEastAsia"/>
          <w:szCs w:val="22"/>
          <w:lang w:val="en-US"/>
        </w:rPr>
        <w:instrText xml:space="preserve"> REF paragraph23 \h </w:instrText>
      </w:r>
      <w:r w:rsidRPr="00F94291">
        <w:rPr>
          <w:rFonts w:eastAsiaTheme="minorEastAsia"/>
          <w:szCs w:val="22"/>
          <w:lang w:val="en-US"/>
        </w:rPr>
      </w:r>
      <w:r w:rsidRPr="00F94291">
        <w:rPr>
          <w:rFonts w:eastAsiaTheme="minorEastAsia"/>
          <w:szCs w:val="22"/>
          <w:lang w:val="en-US"/>
        </w:rPr>
        <w:fldChar w:fldCharType="separate"/>
      </w:r>
      <w:r w:rsidRPr="00F94291" w:rsidR="00F94291">
        <w:rPr>
          <w:rFonts w:eastAsiaTheme="minorEastAsia"/>
          <w:noProof/>
          <w:szCs w:val="22"/>
        </w:rPr>
        <w:t>23</w:t>
      </w:r>
      <w:r w:rsidRPr="00F94291">
        <w:rPr>
          <w:rFonts w:eastAsiaTheme="minorEastAsia"/>
          <w:szCs w:val="22"/>
          <w:lang w:val="en-US"/>
        </w:rPr>
        <w:fldChar w:fldCharType="end"/>
      </w:r>
      <w:r w:rsidRPr="00F94291">
        <w:rPr>
          <w:rFonts w:eastAsiaTheme="minorEastAsia"/>
          <w:szCs w:val="22"/>
          <w:lang w:val="en-US"/>
        </w:rPr>
        <w:t xml:space="preserve"> above), which caused a delay of some three years.</w:t>
      </w:r>
    </w:p>
    <w:p w:rsidRPr="00F94291" w:rsidR="00004089" w:rsidP="00F94291" w:rsidRDefault="00004089" w14:paraId="367DC982" w14:textId="21CD9F36">
      <w:pPr>
        <w:pStyle w:val="JuPara"/>
        <w:rPr>
          <w:rFonts w:eastAsiaTheme="minorEastAsia"/>
          <w:szCs w:val="22"/>
        </w:rPr>
      </w:pPr>
      <w:r w:rsidRPr="00F94291">
        <w:rPr>
          <w:rFonts w:cs="Arial"/>
        </w:rPr>
        <w:fldChar w:fldCharType="begin"/>
      </w:r>
      <w:r w:rsidRPr="00F94291">
        <w:rPr>
          <w:rFonts w:cs="Arial"/>
        </w:rPr>
        <w:instrText xml:space="preserve"> SEQ level0 \*arabic </w:instrText>
      </w:r>
      <w:r w:rsidRPr="00F94291">
        <w:rPr>
          <w:rFonts w:cs="Arial"/>
        </w:rPr>
        <w:fldChar w:fldCharType="separate"/>
      </w:r>
      <w:r w:rsidRPr="00F94291" w:rsidR="00F94291">
        <w:rPr>
          <w:rFonts w:cs="Arial"/>
          <w:noProof/>
        </w:rPr>
        <w:t>63</w:t>
      </w:r>
      <w:r w:rsidRPr="00F94291">
        <w:rPr>
          <w:rFonts w:cs="Arial"/>
        </w:rPr>
        <w:fldChar w:fldCharType="end"/>
      </w:r>
      <w:r w:rsidRPr="00F94291">
        <w:rPr>
          <w:rFonts w:cs="Arial"/>
        </w:rPr>
        <w:t xml:space="preserve">.  What is more, </w:t>
      </w:r>
      <w:r w:rsidRPr="00F94291">
        <w:rPr>
          <w:rFonts w:eastAsiaTheme="minorEastAsia"/>
          <w:szCs w:val="22"/>
        </w:rPr>
        <w:t xml:space="preserve">after the Supreme Court had on 12 November 2013 remitted the case for the second time, and the trial court had on </w:t>
      </w:r>
      <w:r w:rsidRPr="00F94291">
        <w:rPr>
          <w:rFonts w:eastAsiaTheme="minorEastAsia"/>
          <w:szCs w:val="22"/>
          <w:lang w:val="en-US"/>
        </w:rPr>
        <w:t xml:space="preserve">18 February 2014 </w:t>
      </w:r>
      <w:r w:rsidRPr="00F94291">
        <w:rPr>
          <w:rFonts w:eastAsiaTheme="minorEastAsia"/>
          <w:szCs w:val="22"/>
        </w:rPr>
        <w:t>prepared a request to the Turkish authorities to give consent that the applicant be tried for the war crime in question, it took more than seven months to translate and transmit that request and the supporting documents to the Ministry of Justice on 15 September 2014 (</w:t>
      </w:r>
      <w:r w:rsidRPr="00F94291" w:rsidR="00F94291">
        <w:rPr>
          <w:rFonts w:eastAsiaTheme="minorEastAsia"/>
          <w:szCs w:val="22"/>
        </w:rPr>
        <w:t xml:space="preserve">see </w:t>
      </w:r>
      <w:r w:rsidRPr="00F94291">
        <w:rPr>
          <w:rFonts w:eastAsiaTheme="minorEastAsia"/>
          <w:szCs w:val="22"/>
        </w:rPr>
        <w:t xml:space="preserve">paragraphs </w:t>
      </w:r>
      <w:r w:rsidRPr="00F94291">
        <w:rPr>
          <w:rFonts w:eastAsiaTheme="minorEastAsia"/>
          <w:szCs w:val="22"/>
        </w:rPr>
        <w:fldChar w:fldCharType="begin"/>
      </w:r>
      <w:r w:rsidRPr="00F94291">
        <w:rPr>
          <w:rFonts w:eastAsiaTheme="minorEastAsia"/>
          <w:szCs w:val="22"/>
        </w:rPr>
        <w:instrText xml:space="preserve"> REF paragraph23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rPr>
        <w:t>23</w:t>
      </w:r>
      <w:r w:rsidRPr="00F94291">
        <w:rPr>
          <w:rFonts w:eastAsiaTheme="minorEastAsia"/>
          <w:szCs w:val="22"/>
        </w:rPr>
        <w:fldChar w:fldCharType="end"/>
      </w:r>
      <w:r w:rsidRPr="00F94291">
        <w:rPr>
          <w:rFonts w:eastAsiaTheme="minorEastAsia"/>
          <w:szCs w:val="22"/>
        </w:rPr>
        <w:t>-</w:t>
      </w:r>
      <w:r w:rsidRPr="00F94291">
        <w:rPr>
          <w:rFonts w:eastAsiaTheme="minorEastAsia"/>
          <w:szCs w:val="22"/>
        </w:rPr>
        <w:fldChar w:fldCharType="begin"/>
      </w:r>
      <w:r w:rsidRPr="00F94291">
        <w:rPr>
          <w:rFonts w:eastAsiaTheme="minorEastAsia"/>
          <w:szCs w:val="22"/>
        </w:rPr>
        <w:instrText xml:space="preserve"> REF paragraph24 \h </w:instrText>
      </w:r>
      <w:r w:rsidRPr="00F94291">
        <w:rPr>
          <w:rFonts w:eastAsiaTheme="minorEastAsia"/>
          <w:szCs w:val="22"/>
        </w:rPr>
      </w:r>
      <w:r w:rsidRPr="00F94291">
        <w:rPr>
          <w:rFonts w:eastAsiaTheme="minorEastAsia"/>
          <w:szCs w:val="22"/>
        </w:rPr>
        <w:fldChar w:fldCharType="separate"/>
      </w:r>
      <w:r w:rsidRPr="00F94291" w:rsidR="00F94291">
        <w:rPr>
          <w:rFonts w:eastAsiaTheme="minorEastAsia"/>
          <w:noProof/>
          <w:szCs w:val="22"/>
          <w:lang w:val="en-US"/>
        </w:rPr>
        <w:t>24</w:t>
      </w:r>
      <w:r w:rsidRPr="00F94291">
        <w:rPr>
          <w:rFonts w:eastAsiaTheme="minorEastAsia"/>
          <w:szCs w:val="22"/>
        </w:rPr>
        <w:fldChar w:fldCharType="end"/>
      </w:r>
      <w:r w:rsidRPr="00F94291">
        <w:rPr>
          <w:rFonts w:eastAsiaTheme="minorEastAsia"/>
          <w:szCs w:val="22"/>
        </w:rPr>
        <w:t xml:space="preserve"> above).</w:t>
      </w:r>
    </w:p>
    <w:bookmarkStart w:name="paragraph64" w:id="36"/>
    <w:p w:rsidRPr="00F94291" w:rsidR="00004089" w:rsidP="00F94291" w:rsidRDefault="00004089" w14:paraId="12A84BFB" w14:textId="13E1D8DA">
      <w:pPr>
        <w:pStyle w:val="JuPara"/>
        <w:rPr>
          <w:rFonts w:eastAsiaTheme="minorEastAsia"/>
          <w:szCs w:val="22"/>
        </w:rPr>
      </w:pPr>
      <w:r w:rsidRPr="00F94291">
        <w:rPr>
          <w:rFonts w:eastAsiaTheme="minorEastAsia"/>
          <w:szCs w:val="22"/>
        </w:rPr>
        <w:fldChar w:fldCharType="begin"/>
      </w:r>
      <w:r w:rsidRPr="00F94291">
        <w:rPr>
          <w:rFonts w:eastAsiaTheme="minorEastAsia"/>
          <w:szCs w:val="22"/>
        </w:rPr>
        <w:instrText xml:space="preserve"> SEQ level0 \*arabic </w:instrText>
      </w:r>
      <w:r w:rsidRPr="00F94291">
        <w:rPr>
          <w:rFonts w:eastAsiaTheme="minorEastAsia"/>
          <w:szCs w:val="22"/>
        </w:rPr>
        <w:fldChar w:fldCharType="separate"/>
      </w:r>
      <w:r w:rsidRPr="00F94291" w:rsidR="00F94291">
        <w:rPr>
          <w:rFonts w:eastAsiaTheme="minorEastAsia"/>
          <w:noProof/>
          <w:szCs w:val="22"/>
        </w:rPr>
        <w:t>64</w:t>
      </w:r>
      <w:r w:rsidRPr="00F94291">
        <w:rPr>
          <w:rFonts w:eastAsiaTheme="minorEastAsia"/>
          <w:szCs w:val="22"/>
        </w:rPr>
        <w:fldChar w:fldCharType="end"/>
      </w:r>
      <w:bookmarkEnd w:id="36"/>
      <w:r w:rsidRPr="00F94291">
        <w:rPr>
          <w:rFonts w:eastAsiaTheme="minorEastAsia"/>
          <w:szCs w:val="22"/>
        </w:rPr>
        <w:t xml:space="preserve">.  It would appear that this request was never communicated to the Turkish authorities. Instead, after more than three years, on </w:t>
      </w:r>
      <w:r w:rsidRPr="00F94291">
        <w:rPr>
          <w:lang w:eastAsia="fr-FR"/>
        </w:rPr>
        <w:t xml:space="preserve">11 July 2017 </w:t>
      </w:r>
      <w:r w:rsidRPr="00F94291">
        <w:rPr>
          <w:rFonts w:eastAsiaTheme="minorEastAsia"/>
          <w:szCs w:val="22"/>
        </w:rPr>
        <w:t>the Ministry of Justice made a different type of enquiry which ultimately resulted in the Turkish authorities clarifying the matter (</w:t>
      </w:r>
      <w:r w:rsidRPr="00F94291" w:rsidR="00F94291">
        <w:rPr>
          <w:rFonts w:eastAsiaTheme="minorEastAsia"/>
          <w:szCs w:val="22"/>
        </w:rPr>
        <w:t xml:space="preserve">see </w:t>
      </w:r>
      <w:r w:rsidRPr="00F94291">
        <w:rPr>
          <w:rFonts w:eastAsiaTheme="minorEastAsia"/>
          <w:szCs w:val="22"/>
        </w:rPr>
        <w:t xml:space="preserve">paragraphs </w:t>
      </w:r>
      <w:r w:rsidRPr="00F94291">
        <w:rPr>
          <w:rFonts w:eastAsiaTheme="minorEastAsia"/>
          <w:szCs w:val="22"/>
        </w:rPr>
        <w:fldChar w:fldCharType="begin"/>
      </w:r>
      <w:r w:rsidRPr="00F94291">
        <w:rPr>
          <w:rFonts w:eastAsiaTheme="minorEastAsia"/>
          <w:szCs w:val="22"/>
        </w:rPr>
        <w:instrText xml:space="preserve"> REF paragraph25 \h </w:instrText>
      </w:r>
      <w:r w:rsidRPr="00F94291">
        <w:rPr>
          <w:rFonts w:eastAsiaTheme="minorEastAsia"/>
          <w:szCs w:val="22"/>
        </w:rPr>
      </w:r>
      <w:r w:rsidRPr="00F94291">
        <w:rPr>
          <w:rFonts w:eastAsiaTheme="minorEastAsia"/>
          <w:szCs w:val="22"/>
        </w:rPr>
        <w:fldChar w:fldCharType="separate"/>
      </w:r>
      <w:r w:rsidRPr="00F94291" w:rsidR="00F94291">
        <w:rPr>
          <w:noProof/>
          <w:lang w:eastAsia="fr-FR"/>
        </w:rPr>
        <w:t>25</w:t>
      </w:r>
      <w:r w:rsidRPr="00F94291">
        <w:rPr>
          <w:rFonts w:eastAsiaTheme="minorEastAsia"/>
          <w:szCs w:val="22"/>
        </w:rPr>
        <w:fldChar w:fldCharType="end"/>
      </w:r>
      <w:r w:rsidRPr="00F94291">
        <w:rPr>
          <w:rFonts w:eastAsiaTheme="minorEastAsia"/>
          <w:szCs w:val="22"/>
        </w:rPr>
        <w:t xml:space="preserve"> and </w:t>
      </w:r>
      <w:r w:rsidRPr="00F94291">
        <w:rPr>
          <w:rFonts w:eastAsiaTheme="minorEastAsia"/>
          <w:szCs w:val="22"/>
        </w:rPr>
        <w:fldChar w:fldCharType="begin"/>
      </w:r>
      <w:r w:rsidRPr="00F94291">
        <w:rPr>
          <w:rFonts w:eastAsiaTheme="minorEastAsia"/>
          <w:szCs w:val="22"/>
        </w:rPr>
        <w:instrText xml:space="preserve"> REF paragraph29 \h </w:instrText>
      </w:r>
      <w:r w:rsidRPr="00F94291">
        <w:rPr>
          <w:rFonts w:eastAsiaTheme="minorEastAsia"/>
          <w:szCs w:val="22"/>
        </w:rPr>
      </w:r>
      <w:r w:rsidRPr="00F94291">
        <w:rPr>
          <w:rFonts w:eastAsiaTheme="minorEastAsia"/>
          <w:szCs w:val="22"/>
        </w:rPr>
        <w:fldChar w:fldCharType="separate"/>
      </w:r>
      <w:r w:rsidRPr="00F94291" w:rsidR="00F94291">
        <w:rPr>
          <w:noProof/>
          <w:lang w:eastAsia="fr-FR"/>
        </w:rPr>
        <w:t>29</w:t>
      </w:r>
      <w:r w:rsidRPr="00F94291">
        <w:rPr>
          <w:rFonts w:eastAsiaTheme="minorEastAsia"/>
          <w:szCs w:val="22"/>
        </w:rPr>
        <w:fldChar w:fldCharType="end"/>
      </w:r>
      <w:r w:rsidRPr="00F94291">
        <w:rPr>
          <w:rFonts w:eastAsiaTheme="minorEastAsia"/>
          <w:szCs w:val="22"/>
        </w:rPr>
        <w:t xml:space="preserve"> above).</w:t>
      </w:r>
    </w:p>
    <w:p w:rsidRPr="00F94291" w:rsidR="00004089" w:rsidP="00F94291" w:rsidRDefault="00004089" w14:paraId="5D77A829" w14:textId="40E63EFE">
      <w:pPr>
        <w:pStyle w:val="JuPara"/>
      </w:pPr>
      <w:r w:rsidRPr="00F94291">
        <w:fldChar w:fldCharType="begin"/>
      </w:r>
      <w:r w:rsidRPr="00F94291">
        <w:instrText xml:space="preserve"> SEQ level0 \*arabic </w:instrText>
      </w:r>
      <w:r w:rsidRPr="00F94291">
        <w:fldChar w:fldCharType="separate"/>
      </w:r>
      <w:r w:rsidRPr="00F94291" w:rsidR="00F94291">
        <w:rPr>
          <w:noProof/>
        </w:rPr>
        <w:t>65</w:t>
      </w:r>
      <w:r w:rsidRPr="00F94291">
        <w:fldChar w:fldCharType="end"/>
      </w:r>
      <w:r w:rsidRPr="00F94291">
        <w:t>.  Since the Court has found no delays attributable to the applicant, the foregoing considerations (</w:t>
      </w:r>
      <w:r w:rsidRPr="00F94291" w:rsidR="00F94291">
        <w:t xml:space="preserve">see </w:t>
      </w:r>
      <w:r w:rsidRPr="00F94291">
        <w:t xml:space="preserve">paragraphs </w:t>
      </w:r>
      <w:r w:rsidRPr="00F94291">
        <w:fldChar w:fldCharType="begin"/>
      </w:r>
      <w:r w:rsidRPr="00F94291">
        <w:instrText xml:space="preserve"> REF paragraph60 \h </w:instrText>
      </w:r>
      <w:r w:rsidRPr="00F94291">
        <w:fldChar w:fldCharType="separate"/>
      </w:r>
      <w:r w:rsidRPr="00F94291" w:rsidR="00F94291">
        <w:rPr>
          <w:noProof/>
        </w:rPr>
        <w:t>60</w:t>
      </w:r>
      <w:r w:rsidRPr="00F94291">
        <w:fldChar w:fldCharType="end"/>
      </w:r>
      <w:r w:rsidRPr="00F94291">
        <w:t>-</w:t>
      </w:r>
      <w:r w:rsidRPr="00F94291">
        <w:fldChar w:fldCharType="begin"/>
      </w:r>
      <w:r w:rsidRPr="00F94291">
        <w:instrText xml:space="preserve"> REF paragraph64 \h </w:instrText>
      </w:r>
      <w:r w:rsidRPr="00F94291">
        <w:fldChar w:fldCharType="separate"/>
      </w:r>
      <w:r w:rsidRPr="00F94291" w:rsidR="00F94291">
        <w:rPr>
          <w:rFonts w:eastAsiaTheme="minorEastAsia"/>
          <w:noProof/>
          <w:szCs w:val="22"/>
        </w:rPr>
        <w:t>64</w:t>
      </w:r>
      <w:r w:rsidRPr="00F94291">
        <w:fldChar w:fldCharType="end"/>
      </w:r>
      <w:r w:rsidRPr="00F94291">
        <w:t xml:space="preserve"> above) are sufficient for it to conclude that in the period before </w:t>
      </w:r>
      <w:r w:rsidRPr="00F94291">
        <w:rPr>
          <w:lang w:eastAsia="fr-FR"/>
        </w:rPr>
        <w:t>11 April 2019, the domestic authorities did not proceed with the requisite diligence</w:t>
      </w:r>
      <w:r w:rsidRPr="00F94291">
        <w:t>. Consequently, the Court finds that the length of the proceedings in the present case was excessive and failed to meet the “reasonable time” requirement.</w:t>
      </w:r>
    </w:p>
    <w:p w:rsidRPr="00F94291" w:rsidR="00004089" w:rsidP="00F94291" w:rsidRDefault="00004089" w14:paraId="527B0DC7" w14:textId="654C6E07">
      <w:pPr>
        <w:pStyle w:val="JuPara"/>
      </w:pPr>
      <w:r w:rsidRPr="00F94291">
        <w:fldChar w:fldCharType="begin"/>
      </w:r>
      <w:r w:rsidRPr="00F94291">
        <w:instrText xml:space="preserve"> SEQ level0 \*arabic </w:instrText>
      </w:r>
      <w:r w:rsidRPr="00F94291">
        <w:fldChar w:fldCharType="separate"/>
      </w:r>
      <w:r w:rsidRPr="00F94291" w:rsidR="00F94291">
        <w:rPr>
          <w:noProof/>
        </w:rPr>
        <w:t>66</w:t>
      </w:r>
      <w:r w:rsidRPr="00F94291">
        <w:fldChar w:fldCharType="end"/>
      </w:r>
      <w:r w:rsidRPr="00F94291">
        <w:t>.  There has accordingly been a violation of </w:t>
      </w:r>
      <w:r w:rsidRPr="00F94291">
        <w:rPr>
          <w:rFonts w:cs="Arial"/>
        </w:rPr>
        <w:t xml:space="preserve">Article 6 § 1 </w:t>
      </w:r>
      <w:r w:rsidRPr="00F94291">
        <w:t>of the Convention.</w:t>
      </w:r>
    </w:p>
    <w:p w:rsidRPr="00F94291" w:rsidR="00004089" w:rsidP="00F94291" w:rsidRDefault="00004089" w14:paraId="55CC5FD0" w14:textId="77777777">
      <w:pPr>
        <w:pStyle w:val="JuHIRoman"/>
      </w:pPr>
      <w:r w:rsidRPr="00F94291">
        <w:t>APPLICATION OF ARTICLE 41 OF THE CONVENTION</w:t>
      </w:r>
    </w:p>
    <w:p w:rsidRPr="00F94291" w:rsidR="00004089" w:rsidP="00F94291" w:rsidRDefault="00004089" w14:paraId="1C848435" w14:textId="589FF851">
      <w:pPr>
        <w:pStyle w:val="JuPara"/>
        <w:keepNext/>
        <w:keepLines/>
      </w:pPr>
      <w:r w:rsidRPr="00F94291">
        <w:fldChar w:fldCharType="begin"/>
      </w:r>
      <w:r w:rsidRPr="00F94291">
        <w:instrText xml:space="preserve"> SEQ level0 \*arabic </w:instrText>
      </w:r>
      <w:r w:rsidRPr="00F94291">
        <w:fldChar w:fldCharType="separate"/>
      </w:r>
      <w:r w:rsidRPr="00F94291" w:rsidR="00F94291">
        <w:rPr>
          <w:noProof/>
        </w:rPr>
        <w:t>67</w:t>
      </w:r>
      <w:r w:rsidRPr="00F94291">
        <w:fldChar w:fldCharType="end"/>
      </w:r>
      <w:r w:rsidRPr="00F94291">
        <w:t>.  Article 41 of the Convention provides:</w:t>
      </w:r>
    </w:p>
    <w:p w:rsidRPr="00F94291" w:rsidR="00004089" w:rsidP="00F94291" w:rsidRDefault="00004089" w14:paraId="22D0B056" w14:textId="77777777">
      <w:pPr>
        <w:pStyle w:val="JuQuot"/>
      </w:pPr>
      <w:r w:rsidRPr="00F9429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94291" w:rsidR="00004089" w:rsidP="00F94291" w:rsidRDefault="00004089" w14:paraId="3B0986DE" w14:textId="77777777">
      <w:pPr>
        <w:pStyle w:val="JuHA"/>
      </w:pPr>
      <w:r w:rsidRPr="00F94291">
        <w:t>Damage</w:t>
      </w:r>
    </w:p>
    <w:p w:rsidRPr="00F94291" w:rsidR="00004089" w:rsidP="00F94291" w:rsidRDefault="00004089" w14:paraId="7787D241" w14:textId="19D21F09">
      <w:pPr>
        <w:pStyle w:val="JuPara"/>
      </w:pPr>
      <w:r w:rsidRPr="00F94291">
        <w:fldChar w:fldCharType="begin"/>
      </w:r>
      <w:r w:rsidRPr="00F94291">
        <w:instrText xml:space="preserve"> SEQ level0 \*arabic </w:instrText>
      </w:r>
      <w:r w:rsidRPr="00F94291">
        <w:fldChar w:fldCharType="separate"/>
      </w:r>
      <w:r w:rsidRPr="00F94291" w:rsidR="00F94291">
        <w:rPr>
          <w:noProof/>
        </w:rPr>
        <w:t>68</w:t>
      </w:r>
      <w:r w:rsidRPr="00F94291">
        <w:fldChar w:fldCharType="end"/>
      </w:r>
      <w:r w:rsidRPr="00F94291">
        <w:t xml:space="preserve">.  The applicant claimed </w:t>
      </w:r>
      <w:r w:rsidRPr="00F94291">
        <w:rPr>
          <w:rFonts w:cs="Arial"/>
        </w:rPr>
        <w:t xml:space="preserve">10,000 euros (EUR) </w:t>
      </w:r>
      <w:r w:rsidRPr="00F94291">
        <w:t>in respect of non</w:t>
      </w:r>
      <w:r w:rsidRPr="00F94291" w:rsidR="006C2F53">
        <w:noBreakHyphen/>
      </w:r>
      <w:r w:rsidRPr="00F94291">
        <w:t>pecuniary damage.</w:t>
      </w:r>
    </w:p>
    <w:p w:rsidRPr="00F94291" w:rsidR="00004089" w:rsidP="00F94291" w:rsidRDefault="00004089" w14:paraId="3099FF20" w14:textId="44EAF099">
      <w:pPr>
        <w:pStyle w:val="JuPara"/>
      </w:pPr>
      <w:r w:rsidRPr="00F94291">
        <w:fldChar w:fldCharType="begin"/>
      </w:r>
      <w:r w:rsidRPr="00F94291">
        <w:instrText xml:space="preserve"> SEQ level0 \*arabic </w:instrText>
      </w:r>
      <w:r w:rsidRPr="00F94291">
        <w:fldChar w:fldCharType="separate"/>
      </w:r>
      <w:r w:rsidRPr="00F94291" w:rsidR="00F94291">
        <w:rPr>
          <w:noProof/>
        </w:rPr>
        <w:t>69</w:t>
      </w:r>
      <w:r w:rsidRPr="00F94291">
        <w:fldChar w:fldCharType="end"/>
      </w:r>
      <w:r w:rsidRPr="00F94291">
        <w:t>.  The Government contested the claim.</w:t>
      </w:r>
    </w:p>
    <w:p w:rsidRPr="00F94291" w:rsidR="00004089" w:rsidP="00F94291" w:rsidRDefault="00004089" w14:paraId="1EDD3DAD" w14:textId="5A766564">
      <w:pPr>
        <w:pStyle w:val="JuPara"/>
      </w:pPr>
      <w:r w:rsidRPr="00F94291">
        <w:fldChar w:fldCharType="begin"/>
      </w:r>
      <w:r w:rsidRPr="00F94291">
        <w:instrText xml:space="preserve"> SEQ level0 \*arabic </w:instrText>
      </w:r>
      <w:r w:rsidRPr="00F94291">
        <w:fldChar w:fldCharType="separate"/>
      </w:r>
      <w:r w:rsidRPr="00F94291" w:rsidR="00F94291">
        <w:rPr>
          <w:noProof/>
        </w:rPr>
        <w:t>70</w:t>
      </w:r>
      <w:r w:rsidRPr="00F94291">
        <w:fldChar w:fldCharType="end"/>
      </w:r>
      <w:r w:rsidRPr="00F94291">
        <w:t xml:space="preserve">.  The Court considers that the applicant must have sustained some non-pecuniary damage. Ruling on an equitable basis, it awards him EUR 4,200 </w:t>
      </w:r>
      <w:r w:rsidRPr="00F94291">
        <w:rPr>
          <w:rFonts w:cs="Arial"/>
        </w:rPr>
        <w:t>in respect of non-pecuniary damage, plus any tax that may be chargeable</w:t>
      </w:r>
      <w:r w:rsidRPr="00F94291">
        <w:t>.</w:t>
      </w:r>
    </w:p>
    <w:p w:rsidRPr="00F94291" w:rsidR="00004089" w:rsidP="00F94291" w:rsidRDefault="00004089" w14:paraId="2893E187" w14:textId="77777777">
      <w:pPr>
        <w:pStyle w:val="JuHA"/>
      </w:pPr>
      <w:r w:rsidRPr="00F94291">
        <w:t>Costs and expenses</w:t>
      </w:r>
    </w:p>
    <w:p w:rsidRPr="00F94291" w:rsidR="00004089" w:rsidP="00F94291" w:rsidRDefault="00004089" w14:paraId="4C3FBD0D" w14:textId="0AE9B36D">
      <w:pPr>
        <w:pStyle w:val="JuPara"/>
      </w:pPr>
      <w:r w:rsidRPr="00F94291">
        <w:fldChar w:fldCharType="begin"/>
      </w:r>
      <w:r w:rsidRPr="00F94291">
        <w:instrText xml:space="preserve"> SEQ level0 \*arabic </w:instrText>
      </w:r>
      <w:r w:rsidRPr="00F94291">
        <w:fldChar w:fldCharType="separate"/>
      </w:r>
      <w:r w:rsidRPr="00F94291" w:rsidR="00F94291">
        <w:rPr>
          <w:noProof/>
        </w:rPr>
        <w:t>71</w:t>
      </w:r>
      <w:r w:rsidRPr="00F94291">
        <w:fldChar w:fldCharType="end"/>
      </w:r>
      <w:r w:rsidRPr="00F94291">
        <w:t>.  The applicant also claimed EUR 833 for the costs and expenses incurred before the Court.</w:t>
      </w:r>
    </w:p>
    <w:p w:rsidRPr="00F94291" w:rsidR="00004089" w:rsidP="00F94291" w:rsidRDefault="00004089" w14:paraId="444480BA" w14:textId="7FF0C065">
      <w:pPr>
        <w:pStyle w:val="JuPara"/>
      </w:pPr>
      <w:r w:rsidRPr="00F94291">
        <w:fldChar w:fldCharType="begin"/>
      </w:r>
      <w:r w:rsidRPr="00F94291">
        <w:instrText xml:space="preserve"> SEQ level0 \*arabic </w:instrText>
      </w:r>
      <w:r w:rsidRPr="00F94291">
        <w:fldChar w:fldCharType="separate"/>
      </w:r>
      <w:r w:rsidRPr="00F94291" w:rsidR="00F94291">
        <w:rPr>
          <w:noProof/>
        </w:rPr>
        <w:t>72</w:t>
      </w:r>
      <w:r w:rsidRPr="00F94291">
        <w:fldChar w:fldCharType="end"/>
      </w:r>
      <w:r w:rsidRPr="00F94291">
        <w:t>.  The Government contested the claim.</w:t>
      </w:r>
    </w:p>
    <w:p w:rsidRPr="00F94291" w:rsidR="00004089" w:rsidP="00F94291" w:rsidRDefault="00004089" w14:paraId="130B33B8" w14:textId="7197A810">
      <w:pPr>
        <w:pStyle w:val="JuPara"/>
        <w:rPr>
          <w:rFonts w:eastAsiaTheme="minorEastAsia"/>
          <w:szCs w:val="22"/>
        </w:rPr>
      </w:pPr>
      <w:r w:rsidRPr="00F94291">
        <w:fldChar w:fldCharType="begin"/>
      </w:r>
      <w:r w:rsidRPr="00F94291">
        <w:instrText xml:space="preserve"> SEQ level0 \*arabic </w:instrText>
      </w:r>
      <w:r w:rsidRPr="00F94291">
        <w:fldChar w:fldCharType="separate"/>
      </w:r>
      <w:r w:rsidRPr="00F94291" w:rsidR="00F94291">
        <w:rPr>
          <w:noProof/>
        </w:rPr>
        <w:t>73</w:t>
      </w:r>
      <w:r w:rsidRPr="00F94291">
        <w:fldChar w:fldCharType="end"/>
      </w:r>
      <w:r w:rsidRPr="00F94291">
        <w:t>.  </w:t>
      </w:r>
      <w:r w:rsidRPr="00F94291">
        <w:rPr>
          <w:rFonts w:eastAsiaTheme="minorEastAsia"/>
          <w:szCs w:val="22"/>
        </w:rPr>
        <w:t>According to the Court</w:t>
      </w:r>
      <w:r w:rsidRPr="00F94291" w:rsidR="00F94291">
        <w:rPr>
          <w:rFonts w:eastAsiaTheme="minorEastAsia"/>
          <w:szCs w:val="22"/>
        </w:rPr>
        <w:t>’</w:t>
      </w:r>
      <w:r w:rsidRPr="00F94291">
        <w:rPr>
          <w:rFonts w:eastAsiaTheme="minorEastAsia"/>
          <w:szCs w:val="22"/>
        </w:rPr>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claimed sum in full.</w:t>
      </w:r>
    </w:p>
    <w:p w:rsidRPr="00F94291" w:rsidR="00004089" w:rsidP="00F94291" w:rsidRDefault="00004089" w14:paraId="2FCBCCA5" w14:textId="77777777">
      <w:pPr>
        <w:pStyle w:val="JuHA"/>
      </w:pPr>
      <w:r w:rsidRPr="00F94291">
        <w:t>Default interest</w:t>
      </w:r>
    </w:p>
    <w:p w:rsidRPr="00F94291" w:rsidR="00004089" w:rsidP="00F94291" w:rsidRDefault="00004089" w14:paraId="3876B5A0" w14:textId="2617C9A5">
      <w:pPr>
        <w:pStyle w:val="JuPara"/>
      </w:pPr>
      <w:r w:rsidRPr="00F94291">
        <w:fldChar w:fldCharType="begin"/>
      </w:r>
      <w:r w:rsidRPr="00F94291">
        <w:instrText xml:space="preserve"> SEQ level0 \*arabic </w:instrText>
      </w:r>
      <w:r w:rsidRPr="00F94291">
        <w:fldChar w:fldCharType="separate"/>
      </w:r>
      <w:r w:rsidRPr="00F94291" w:rsidR="00F94291">
        <w:rPr>
          <w:noProof/>
        </w:rPr>
        <w:t>74</w:t>
      </w:r>
      <w:r w:rsidRPr="00F94291">
        <w:fldChar w:fldCharType="end"/>
      </w:r>
      <w:r w:rsidRPr="00F94291">
        <w:t>.  The Court considers it appropriate that the default interest rate should be based on the marginal lending rate of the European Central Bank, to which should be added three percentage points.</w:t>
      </w:r>
    </w:p>
    <w:p w:rsidRPr="00F94291" w:rsidR="00004089" w:rsidP="00F94291" w:rsidRDefault="00004089" w14:paraId="3D22933E" w14:textId="77777777">
      <w:pPr>
        <w:pStyle w:val="JuHHead"/>
        <w:numPr>
          <w:ilvl w:val="0"/>
          <w:numId w:val="3"/>
        </w:numPr>
      </w:pPr>
      <w:r w:rsidRPr="00F94291">
        <w:t>FOR THESE REASONS, THE COURT, UNANIMOUSLY,</w:t>
      </w:r>
    </w:p>
    <w:p w:rsidRPr="00F94291" w:rsidR="00004089" w:rsidP="00F94291" w:rsidRDefault="00004089" w14:paraId="72777C60" w14:textId="77777777">
      <w:pPr>
        <w:pStyle w:val="JuList"/>
        <w:numPr>
          <w:ilvl w:val="0"/>
          <w:numId w:val="1"/>
        </w:numPr>
      </w:pPr>
      <w:r w:rsidRPr="00F94291">
        <w:rPr>
          <w:i/>
        </w:rPr>
        <w:t>Declares</w:t>
      </w:r>
      <w:r w:rsidRPr="00F94291">
        <w:t xml:space="preserve"> the application admissible;</w:t>
      </w:r>
    </w:p>
    <w:p w:rsidRPr="00F94291" w:rsidR="00004089" w:rsidP="00F94291" w:rsidRDefault="00004089" w14:paraId="6CEB5A52" w14:textId="77777777">
      <w:pPr>
        <w:pStyle w:val="JuList"/>
        <w:numPr>
          <w:ilvl w:val="0"/>
          <w:numId w:val="1"/>
        </w:numPr>
      </w:pPr>
      <w:r w:rsidRPr="00F94291">
        <w:rPr>
          <w:i/>
        </w:rPr>
        <w:t>Holds</w:t>
      </w:r>
      <w:r w:rsidRPr="00F94291">
        <w:t xml:space="preserve"> that there has been a violation of </w:t>
      </w:r>
      <w:r w:rsidRPr="00F94291">
        <w:rPr>
          <w:rFonts w:cs="Arial"/>
        </w:rPr>
        <w:t xml:space="preserve">Article 6 § 1 </w:t>
      </w:r>
      <w:r w:rsidRPr="00F94291">
        <w:t>of the Convention;</w:t>
      </w:r>
    </w:p>
    <w:p w:rsidRPr="00F94291" w:rsidR="00004089" w:rsidP="00F94291" w:rsidRDefault="00004089" w14:paraId="1BF4E7EA" w14:textId="77777777">
      <w:pPr>
        <w:pStyle w:val="JuList"/>
        <w:numPr>
          <w:ilvl w:val="0"/>
          <w:numId w:val="1"/>
        </w:numPr>
      </w:pPr>
      <w:r w:rsidRPr="00F94291">
        <w:rPr>
          <w:i/>
        </w:rPr>
        <w:t>Holds</w:t>
      </w:r>
    </w:p>
    <w:p w:rsidRPr="00F94291" w:rsidR="00004089" w:rsidP="00F94291" w:rsidRDefault="00004089" w14:paraId="1D71B3AF" w14:textId="77777777">
      <w:pPr>
        <w:pStyle w:val="JuLista"/>
        <w:numPr>
          <w:ilvl w:val="1"/>
          <w:numId w:val="1"/>
        </w:numPr>
      </w:pPr>
      <w:r w:rsidRPr="00F94291">
        <w:t xml:space="preserve">that the respondent State is to pay the applicant, within three months, the following amounts, to be converted into </w:t>
      </w:r>
      <w:r w:rsidRPr="00F94291">
        <w:rPr>
          <w:color w:val="000000"/>
        </w:rPr>
        <w:t>Croatian kunas</w:t>
      </w:r>
      <w:r w:rsidRPr="00F94291">
        <w:t xml:space="preserve"> at the rate applicable at the date of settlement:</w:t>
      </w:r>
    </w:p>
    <w:p w:rsidRPr="00F94291" w:rsidR="00004089" w:rsidP="00F94291" w:rsidRDefault="00004089" w14:paraId="2E06F27A" w14:textId="77777777">
      <w:pPr>
        <w:pStyle w:val="JuListi"/>
        <w:numPr>
          <w:ilvl w:val="2"/>
          <w:numId w:val="1"/>
        </w:numPr>
      </w:pPr>
      <w:r w:rsidRPr="00F94291">
        <w:t>EUR 4,200 (four thousand two hundred euros), plus any tax that may be chargeable, in respect of non-pecuniary damage;</w:t>
      </w:r>
    </w:p>
    <w:p w:rsidRPr="00F94291" w:rsidR="00004089" w:rsidP="00F94291" w:rsidRDefault="00004089" w14:paraId="5B910B1C" w14:textId="77777777">
      <w:pPr>
        <w:pStyle w:val="JuListi"/>
        <w:numPr>
          <w:ilvl w:val="2"/>
          <w:numId w:val="1"/>
        </w:numPr>
      </w:pPr>
      <w:r w:rsidRPr="00F94291">
        <w:t>EUR 833 (eight hundred and thirty-three euros), plus any tax that may be chargeable to the applicant, in respect of costs and expenses;</w:t>
      </w:r>
    </w:p>
    <w:p w:rsidRPr="00F94291" w:rsidR="00004089" w:rsidP="00F94291" w:rsidRDefault="00004089" w14:paraId="66641460" w14:textId="77777777">
      <w:pPr>
        <w:pStyle w:val="JuLista"/>
        <w:numPr>
          <w:ilvl w:val="1"/>
          <w:numId w:val="1"/>
        </w:numPr>
      </w:pPr>
      <w:r w:rsidRPr="00F94291">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F94291" w:rsidR="004D0EC7" w:rsidP="00F94291" w:rsidRDefault="00004089" w14:paraId="286E9399" w14:textId="35D658CB">
      <w:pPr>
        <w:pStyle w:val="JuList"/>
      </w:pPr>
      <w:r w:rsidRPr="00F94291">
        <w:rPr>
          <w:i/>
        </w:rPr>
        <w:t>Dismisses</w:t>
      </w:r>
      <w:r w:rsidRPr="00F94291">
        <w:t xml:space="preserve"> the remainder of the applicant</w:t>
      </w:r>
      <w:r w:rsidRPr="00F94291" w:rsidR="00F94291">
        <w:t>’</w:t>
      </w:r>
      <w:r w:rsidRPr="00F94291">
        <w:t>s claim for just satisfaction.</w:t>
      </w:r>
      <w:bookmarkEnd w:id="2"/>
    </w:p>
    <w:p w:rsidRPr="00F94291" w:rsidR="008E3A08" w:rsidP="00F94291" w:rsidRDefault="007E2C8C" w14:paraId="35211D90" w14:textId="77777777">
      <w:pPr>
        <w:pStyle w:val="JuParaLast"/>
      </w:pPr>
      <w:r w:rsidRPr="00F94291">
        <w:t xml:space="preserve">Done in English, and notified in writing on </w:t>
      </w:r>
      <w:r w:rsidRPr="00F94291" w:rsidR="00004089">
        <w:rPr>
          <w:rFonts w:ascii="Times New Roman" w:hAnsi="Times New Roman" w:cs="Times New Roman"/>
        </w:rPr>
        <w:t>23 September 2021</w:t>
      </w:r>
      <w:r w:rsidRPr="00F94291">
        <w:t>, pursuant to Rule 77 §§ 2 and 3 of the Rules of Court.</w:t>
      </w:r>
    </w:p>
    <w:p w:rsidRPr="00F94291" w:rsidR="001C055B" w:rsidP="00F94291" w:rsidRDefault="001C6352" w14:paraId="5ED8AA45" w14:textId="5F42540D">
      <w:pPr>
        <w:pStyle w:val="JuSigned"/>
      </w:pPr>
      <w:r w:rsidRPr="00F94291">
        <w:tab/>
      </w:r>
      <w:r w:rsidRPr="00F94291" w:rsidR="002939AC">
        <w:t>Attila Teplán</w:t>
      </w:r>
      <w:r w:rsidRPr="00F94291" w:rsidR="005879A2">
        <w:t xml:space="preserve"> </w:t>
      </w:r>
      <w:r w:rsidRPr="00F94291" w:rsidR="009F4C8F">
        <w:tab/>
      </w:r>
      <w:r w:rsidRPr="00F94291" w:rsidR="00004089">
        <w:t>Péter Paczolay</w:t>
      </w:r>
      <w:r w:rsidRPr="00F94291" w:rsidR="009F4C8F">
        <w:br/>
      </w:r>
      <w:r w:rsidRPr="00F94291" w:rsidR="002939AC">
        <w:t xml:space="preserve">Acting </w:t>
      </w:r>
      <w:r w:rsidRPr="00F94291" w:rsidR="009F4C8F">
        <w:tab/>
      </w:r>
      <w:r w:rsidRPr="00F94291" w:rsidR="00004089">
        <w:t xml:space="preserve">Deputy </w:t>
      </w:r>
      <w:r w:rsidRPr="00F94291" w:rsidR="00004089">
        <w:rPr>
          <w:iCs/>
        </w:rPr>
        <w:t>Registrar</w:t>
      </w:r>
      <w:r w:rsidRPr="00F94291" w:rsidR="009F4C8F">
        <w:tab/>
        <w:t>President</w:t>
      </w:r>
    </w:p>
    <w:sectPr w:rsidRPr="00F94291"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6898" w14:textId="77777777" w:rsidR="006F5D3E" w:rsidRPr="00E67565" w:rsidRDefault="006F5D3E" w:rsidP="0098410D">
      <w:r w:rsidRPr="00E67565">
        <w:separator/>
      </w:r>
    </w:p>
  </w:endnote>
  <w:endnote w:type="continuationSeparator" w:id="0">
    <w:p w14:paraId="1DB9E85C" w14:textId="77777777" w:rsidR="006F5D3E" w:rsidRPr="00E67565" w:rsidRDefault="006F5D3E"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C84" w14:textId="77777777" w:rsidR="006F5D3E" w:rsidRPr="00150BFA" w:rsidRDefault="006F5D3E" w:rsidP="006F5D3E">
    <w:pPr>
      <w:jc w:val="center"/>
    </w:pPr>
    <w:r>
      <w:rPr>
        <w:noProof/>
        <w:lang w:val="en-US" w:eastAsia="ja-JP"/>
      </w:rPr>
      <w:drawing>
        <wp:inline distT="0" distB="0" distL="0" distR="0" wp14:anchorId="6A9ED479" wp14:editId="6A4A1C1E">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750D253" w14:textId="77777777" w:rsidR="006F5D3E" w:rsidRPr="00E67565" w:rsidRDefault="006F5D3E" w:rsidP="006F5D3E">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6140" w14:textId="77777777" w:rsidR="006F5D3E" w:rsidRPr="00150BFA" w:rsidRDefault="006F5D3E" w:rsidP="006F5D3E">
    <w:pPr>
      <w:jc w:val="center"/>
    </w:pPr>
    <w:r>
      <w:rPr>
        <w:noProof/>
        <w:lang w:val="en-US" w:eastAsia="ja-JP"/>
      </w:rPr>
      <w:drawing>
        <wp:inline distT="0" distB="0" distL="0" distR="0" wp14:anchorId="7D49073A" wp14:editId="75A739B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5FDC970" w14:textId="77777777" w:rsidR="006F5D3E" w:rsidRPr="00E67565" w:rsidRDefault="006F5D3E"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B0DF" w14:textId="77777777" w:rsidR="006F5D3E" w:rsidRDefault="006F5D3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0CD7" w14:textId="77777777" w:rsidR="006F5D3E" w:rsidRPr="000B7195" w:rsidRDefault="006F5D3E"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710A" w14:textId="77777777" w:rsidR="006F5D3E" w:rsidRPr="00E67565" w:rsidRDefault="006F5D3E" w:rsidP="0098410D">
      <w:r w:rsidRPr="00E67565">
        <w:separator/>
      </w:r>
    </w:p>
  </w:footnote>
  <w:footnote w:type="continuationSeparator" w:id="0">
    <w:p w14:paraId="7C355490" w14:textId="77777777" w:rsidR="006F5D3E" w:rsidRPr="00E67565" w:rsidRDefault="006F5D3E"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BFF1" w14:textId="77777777" w:rsidR="006F5D3E" w:rsidRPr="00A45145" w:rsidRDefault="006F5D3E" w:rsidP="006F5D3E">
    <w:pPr>
      <w:jc w:val="center"/>
    </w:pPr>
    <w:r>
      <w:rPr>
        <w:noProof/>
        <w:lang w:val="en-US" w:eastAsia="ja-JP"/>
      </w:rPr>
      <w:drawing>
        <wp:inline distT="0" distB="0" distL="0" distR="0" wp14:anchorId="496C6A7D" wp14:editId="5F3E0DA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775CBC" w14:textId="77777777" w:rsidR="006F5D3E" w:rsidRPr="00E67565" w:rsidRDefault="006F5D3E" w:rsidP="006F5D3E">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46FE" w14:textId="77777777" w:rsidR="006F5D3E" w:rsidRPr="00A45145" w:rsidRDefault="006F5D3E" w:rsidP="006F5D3E">
    <w:pPr>
      <w:jc w:val="center"/>
    </w:pPr>
    <w:r>
      <w:rPr>
        <w:noProof/>
        <w:lang w:val="en-US" w:eastAsia="ja-JP"/>
      </w:rPr>
      <w:drawing>
        <wp:inline distT="0" distB="0" distL="0" distR="0" wp14:anchorId="382595E6" wp14:editId="14F45AB8">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1BD398A" w14:textId="77777777" w:rsidR="006F5D3E" w:rsidRPr="00E67565" w:rsidRDefault="006F5D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3206" w14:textId="77777777" w:rsidR="006F5D3E" w:rsidRPr="004D0EC7" w:rsidRDefault="006F5D3E" w:rsidP="004D0EC7">
    <w:pPr>
      <w:pStyle w:val="JuHeader"/>
    </w:pPr>
    <w:r>
      <w:t>VIDAK v. CROATIA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C228" w14:textId="77777777" w:rsidR="006F5D3E" w:rsidRPr="00882CD5" w:rsidRDefault="006F5D3E" w:rsidP="007D3701">
    <w:pPr>
      <w:pStyle w:val="JuHeader"/>
    </w:pPr>
    <w:r>
      <w:t>VIDAK v. CROATIA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004089"/>
    <w:rsid w:val="00004089"/>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00DE"/>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C635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9AC"/>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23EC"/>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128A"/>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2F53"/>
    <w:rsid w:val="006C7BB0"/>
    <w:rsid w:val="006D3237"/>
    <w:rsid w:val="006E2E37"/>
    <w:rsid w:val="006E3CF1"/>
    <w:rsid w:val="006E68A3"/>
    <w:rsid w:val="006E7E80"/>
    <w:rsid w:val="006F1C2D"/>
    <w:rsid w:val="006F48CA"/>
    <w:rsid w:val="006F5D3E"/>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05A4"/>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94291"/>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85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F5D3E"/>
    <w:rPr>
      <w:sz w:val="24"/>
      <w:szCs w:val="24"/>
      <w:lang w:val="en-GB"/>
    </w:rPr>
  </w:style>
  <w:style w:type="paragraph" w:styleId="Heading1">
    <w:name w:val="heading 1"/>
    <w:basedOn w:val="Normal"/>
    <w:next w:val="Normal"/>
    <w:link w:val="Heading1Char"/>
    <w:uiPriority w:val="98"/>
    <w:semiHidden/>
    <w:rsid w:val="006F5D3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F5D3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F5D3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F5D3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F5D3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F5D3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F5D3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F5D3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F5D3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F5D3E"/>
    <w:rPr>
      <w:rFonts w:ascii="Tahoma" w:hAnsi="Tahoma" w:cs="Tahoma"/>
      <w:sz w:val="16"/>
      <w:szCs w:val="16"/>
    </w:rPr>
  </w:style>
  <w:style w:type="character" w:customStyle="1" w:styleId="BalloonTextChar">
    <w:name w:val="Balloon Text Char"/>
    <w:basedOn w:val="DefaultParagraphFont"/>
    <w:link w:val="BalloonText"/>
    <w:uiPriority w:val="98"/>
    <w:semiHidden/>
    <w:rsid w:val="006F5D3E"/>
    <w:rPr>
      <w:rFonts w:ascii="Tahoma" w:hAnsi="Tahoma" w:cs="Tahoma"/>
      <w:sz w:val="16"/>
      <w:szCs w:val="16"/>
      <w:lang w:val="en-GB"/>
    </w:rPr>
  </w:style>
  <w:style w:type="character" w:styleId="BookTitle">
    <w:name w:val="Book Title"/>
    <w:uiPriority w:val="98"/>
    <w:semiHidden/>
    <w:qFormat/>
    <w:rsid w:val="006F5D3E"/>
    <w:rPr>
      <w:i/>
      <w:iCs/>
      <w:smallCaps/>
      <w:spacing w:val="5"/>
    </w:rPr>
  </w:style>
  <w:style w:type="paragraph" w:customStyle="1" w:styleId="JuHeader">
    <w:name w:val="Ju_Header"/>
    <w:aliases w:val="_Header"/>
    <w:basedOn w:val="Header"/>
    <w:uiPriority w:val="29"/>
    <w:qFormat/>
    <w:rsid w:val="006F5D3E"/>
    <w:pPr>
      <w:tabs>
        <w:tab w:val="clear" w:pos="4536"/>
        <w:tab w:val="clear" w:pos="9072"/>
      </w:tabs>
      <w:jc w:val="center"/>
    </w:pPr>
    <w:rPr>
      <w:sz w:val="18"/>
    </w:rPr>
  </w:style>
  <w:style w:type="paragraph" w:customStyle="1" w:styleId="NormalJustified">
    <w:name w:val="Normal_Justified"/>
    <w:basedOn w:val="Normal"/>
    <w:semiHidden/>
    <w:rsid w:val="006F5D3E"/>
    <w:pPr>
      <w:jc w:val="both"/>
    </w:pPr>
  </w:style>
  <w:style w:type="character" w:styleId="Strong">
    <w:name w:val="Strong"/>
    <w:uiPriority w:val="98"/>
    <w:semiHidden/>
    <w:qFormat/>
    <w:rsid w:val="006F5D3E"/>
    <w:rPr>
      <w:b/>
      <w:bCs/>
    </w:rPr>
  </w:style>
  <w:style w:type="paragraph" w:styleId="NoSpacing">
    <w:name w:val="No Spacing"/>
    <w:basedOn w:val="Normal"/>
    <w:link w:val="NoSpacingChar"/>
    <w:uiPriority w:val="98"/>
    <w:semiHidden/>
    <w:qFormat/>
    <w:rsid w:val="006F5D3E"/>
  </w:style>
  <w:style w:type="character" w:customStyle="1" w:styleId="NoSpacingChar">
    <w:name w:val="No Spacing Char"/>
    <w:basedOn w:val="DefaultParagraphFont"/>
    <w:link w:val="NoSpacing"/>
    <w:uiPriority w:val="98"/>
    <w:semiHidden/>
    <w:rsid w:val="006F5D3E"/>
    <w:rPr>
      <w:sz w:val="24"/>
      <w:szCs w:val="24"/>
      <w:lang w:val="en-GB"/>
    </w:rPr>
  </w:style>
  <w:style w:type="paragraph" w:customStyle="1" w:styleId="JuQuot">
    <w:name w:val="Ju_Quot"/>
    <w:aliases w:val="_Quote"/>
    <w:basedOn w:val="NormalJustified"/>
    <w:uiPriority w:val="20"/>
    <w:qFormat/>
    <w:rsid w:val="006F5D3E"/>
    <w:pPr>
      <w:spacing w:before="120" w:after="120"/>
      <w:ind w:left="425" w:firstLine="142"/>
    </w:pPr>
    <w:rPr>
      <w:sz w:val="20"/>
    </w:rPr>
  </w:style>
  <w:style w:type="paragraph" w:customStyle="1" w:styleId="DummyStyle">
    <w:name w:val="Dummy_Style"/>
    <w:aliases w:val="_Dummy"/>
    <w:basedOn w:val="Normal"/>
    <w:semiHidden/>
    <w:qFormat/>
    <w:rsid w:val="006F5D3E"/>
    <w:rPr>
      <w:color w:val="00B050"/>
      <w:sz w:val="22"/>
    </w:rPr>
  </w:style>
  <w:style w:type="paragraph" w:customStyle="1" w:styleId="JuList">
    <w:name w:val="Ju_List"/>
    <w:aliases w:val="_List_1"/>
    <w:basedOn w:val="NormalJustified"/>
    <w:uiPriority w:val="23"/>
    <w:qFormat/>
    <w:rsid w:val="006F5D3E"/>
    <w:pPr>
      <w:numPr>
        <w:numId w:val="9"/>
      </w:numPr>
      <w:spacing w:before="280" w:after="60"/>
    </w:pPr>
  </w:style>
  <w:style w:type="paragraph" w:customStyle="1" w:styleId="JuLista">
    <w:name w:val="Ju_List_a"/>
    <w:aliases w:val="_List_2"/>
    <w:basedOn w:val="NormalJustified"/>
    <w:uiPriority w:val="23"/>
    <w:rsid w:val="006F5D3E"/>
    <w:pPr>
      <w:numPr>
        <w:ilvl w:val="1"/>
        <w:numId w:val="9"/>
      </w:numPr>
    </w:pPr>
  </w:style>
  <w:style w:type="paragraph" w:customStyle="1" w:styleId="JuListi">
    <w:name w:val="Ju_List_i"/>
    <w:aliases w:val="_List_3"/>
    <w:basedOn w:val="NormalJustified"/>
    <w:uiPriority w:val="23"/>
    <w:rsid w:val="006F5D3E"/>
    <w:pPr>
      <w:numPr>
        <w:ilvl w:val="2"/>
        <w:numId w:val="9"/>
      </w:numPr>
    </w:pPr>
  </w:style>
  <w:style w:type="paragraph" w:customStyle="1" w:styleId="JuHArticle">
    <w:name w:val="Ju_H_Article"/>
    <w:aliases w:val="_Title_Quote"/>
    <w:basedOn w:val="Normal"/>
    <w:next w:val="JuQuot"/>
    <w:uiPriority w:val="19"/>
    <w:qFormat/>
    <w:rsid w:val="006F5D3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6F5D3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6F5D3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6F5D3E"/>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6F5D3E"/>
    <w:pPr>
      <w:numPr>
        <w:numId w:val="8"/>
      </w:numPr>
    </w:pPr>
  </w:style>
  <w:style w:type="paragraph" w:customStyle="1" w:styleId="JuSigned">
    <w:name w:val="Ju_Signed"/>
    <w:aliases w:val="_Signature"/>
    <w:basedOn w:val="Normal"/>
    <w:next w:val="JuPara"/>
    <w:uiPriority w:val="31"/>
    <w:qFormat/>
    <w:rsid w:val="006F5D3E"/>
    <w:pPr>
      <w:tabs>
        <w:tab w:val="center" w:pos="851"/>
        <w:tab w:val="center" w:pos="6407"/>
      </w:tabs>
      <w:spacing w:before="720"/>
    </w:pPr>
  </w:style>
  <w:style w:type="paragraph" w:styleId="Title">
    <w:name w:val="Title"/>
    <w:basedOn w:val="Normal"/>
    <w:next w:val="Normal"/>
    <w:link w:val="TitleChar"/>
    <w:uiPriority w:val="98"/>
    <w:semiHidden/>
    <w:qFormat/>
    <w:rsid w:val="006F5D3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F5D3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6F5D3E"/>
    <w:pPr>
      <w:numPr>
        <w:numId w:val="1"/>
      </w:numPr>
    </w:pPr>
  </w:style>
  <w:style w:type="numbering" w:customStyle="1" w:styleId="ECHRA1StyleNumberedList">
    <w:name w:val="ECHR_A1_Style_Numbered_List"/>
    <w:basedOn w:val="NoList"/>
    <w:rsid w:val="006F5D3E"/>
    <w:pPr>
      <w:numPr>
        <w:numId w:val="10"/>
      </w:numPr>
    </w:pPr>
  </w:style>
  <w:style w:type="table" w:customStyle="1" w:styleId="ECHRTable2019">
    <w:name w:val="ECHR_Table_2019"/>
    <w:basedOn w:val="TableNormal"/>
    <w:uiPriority w:val="99"/>
    <w:rsid w:val="006F5D3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6F5D3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F5D3E"/>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F5D3E"/>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F5D3E"/>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6F5D3E"/>
    <w:pPr>
      <w:tabs>
        <w:tab w:val="center" w:pos="4536"/>
        <w:tab w:val="right" w:pos="9072"/>
      </w:tabs>
    </w:pPr>
  </w:style>
  <w:style w:type="character" w:customStyle="1" w:styleId="HeaderChar">
    <w:name w:val="Header Char"/>
    <w:basedOn w:val="DefaultParagraphFont"/>
    <w:link w:val="Header"/>
    <w:uiPriority w:val="98"/>
    <w:semiHidden/>
    <w:rsid w:val="006F5D3E"/>
    <w:rPr>
      <w:sz w:val="24"/>
      <w:szCs w:val="24"/>
      <w:lang w:val="en-GB"/>
    </w:rPr>
  </w:style>
  <w:style w:type="character" w:customStyle="1" w:styleId="Heading1Char">
    <w:name w:val="Heading 1 Char"/>
    <w:basedOn w:val="DefaultParagraphFont"/>
    <w:link w:val="Heading1"/>
    <w:uiPriority w:val="98"/>
    <w:semiHidden/>
    <w:rsid w:val="006F5D3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6F5D3E"/>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6F5D3E"/>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F5D3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6F5D3E"/>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F5D3E"/>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6F5D3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6F5D3E"/>
    <w:pPr>
      <w:keepNext/>
      <w:keepLines/>
      <w:spacing w:before="240" w:after="240"/>
      <w:ind w:firstLine="284"/>
    </w:pPr>
  </w:style>
  <w:style w:type="paragraph" w:customStyle="1" w:styleId="JuJudges">
    <w:name w:val="Ju_Judges"/>
    <w:aliases w:val="_Judges"/>
    <w:basedOn w:val="Normal"/>
    <w:uiPriority w:val="32"/>
    <w:qFormat/>
    <w:rsid w:val="006F5D3E"/>
    <w:pPr>
      <w:tabs>
        <w:tab w:val="left" w:pos="567"/>
        <w:tab w:val="left" w:pos="1134"/>
      </w:tabs>
    </w:pPr>
  </w:style>
  <w:style w:type="character" w:customStyle="1" w:styleId="Heading4Char">
    <w:name w:val="Heading 4 Char"/>
    <w:basedOn w:val="DefaultParagraphFont"/>
    <w:link w:val="Heading4"/>
    <w:uiPriority w:val="98"/>
    <w:semiHidden/>
    <w:rsid w:val="006F5D3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6F5D3E"/>
    <w:pPr>
      <w:tabs>
        <w:tab w:val="center" w:pos="6407"/>
      </w:tabs>
      <w:spacing w:before="720"/>
      <w:jc w:val="right"/>
    </w:pPr>
  </w:style>
  <w:style w:type="character" w:customStyle="1" w:styleId="Heading5Char">
    <w:name w:val="Heading 5 Char"/>
    <w:basedOn w:val="DefaultParagraphFont"/>
    <w:link w:val="Heading5"/>
    <w:uiPriority w:val="98"/>
    <w:semiHidden/>
    <w:rsid w:val="006F5D3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6F5D3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6F5D3E"/>
    <w:rPr>
      <w:caps w:val="0"/>
      <w:smallCaps/>
    </w:rPr>
  </w:style>
  <w:style w:type="character" w:styleId="SubtleEmphasis">
    <w:name w:val="Subtle Emphasis"/>
    <w:uiPriority w:val="98"/>
    <w:semiHidden/>
    <w:qFormat/>
    <w:rsid w:val="006F5D3E"/>
    <w:rPr>
      <w:i/>
      <w:iCs/>
    </w:rPr>
  </w:style>
  <w:style w:type="table" w:customStyle="1" w:styleId="ECHRTable">
    <w:name w:val="ECHR_Table"/>
    <w:basedOn w:val="TableNormal"/>
    <w:rsid w:val="006F5D3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F5D3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F5D3E"/>
    <w:rPr>
      <w:b/>
      <w:bCs/>
      <w:i/>
      <w:iCs/>
      <w:spacing w:val="10"/>
      <w:bdr w:val="none" w:sz="0" w:space="0" w:color="auto"/>
      <w:shd w:val="clear" w:color="auto" w:fill="auto"/>
    </w:rPr>
  </w:style>
  <w:style w:type="paragraph" w:styleId="Footer0">
    <w:name w:val="footer"/>
    <w:basedOn w:val="Normal"/>
    <w:link w:val="FooterChar"/>
    <w:uiPriority w:val="98"/>
    <w:semiHidden/>
    <w:rsid w:val="006F5D3E"/>
    <w:pPr>
      <w:tabs>
        <w:tab w:val="center" w:pos="3686"/>
        <w:tab w:val="right" w:pos="7371"/>
      </w:tabs>
    </w:pPr>
  </w:style>
  <w:style w:type="character" w:customStyle="1" w:styleId="FooterChar">
    <w:name w:val="Footer Char"/>
    <w:basedOn w:val="DefaultParagraphFont"/>
    <w:link w:val="Footer0"/>
    <w:uiPriority w:val="98"/>
    <w:semiHidden/>
    <w:rsid w:val="006F5D3E"/>
    <w:rPr>
      <w:sz w:val="24"/>
      <w:szCs w:val="24"/>
      <w:lang w:val="en-GB"/>
    </w:rPr>
  </w:style>
  <w:style w:type="character" w:styleId="FootnoteReference">
    <w:name w:val="footnote reference"/>
    <w:basedOn w:val="DefaultParagraphFont"/>
    <w:uiPriority w:val="98"/>
    <w:semiHidden/>
    <w:rsid w:val="006F5D3E"/>
    <w:rPr>
      <w:vertAlign w:val="superscript"/>
    </w:rPr>
  </w:style>
  <w:style w:type="paragraph" w:styleId="FootnoteText">
    <w:name w:val="footnote text"/>
    <w:basedOn w:val="Normal"/>
    <w:link w:val="FootnoteTextChar"/>
    <w:uiPriority w:val="98"/>
    <w:semiHidden/>
    <w:rsid w:val="006F5D3E"/>
    <w:rPr>
      <w:sz w:val="20"/>
      <w:szCs w:val="20"/>
    </w:rPr>
  </w:style>
  <w:style w:type="character" w:customStyle="1" w:styleId="FootnoteTextChar">
    <w:name w:val="Footnote Text Char"/>
    <w:basedOn w:val="DefaultParagraphFont"/>
    <w:link w:val="FootnoteText"/>
    <w:uiPriority w:val="98"/>
    <w:semiHidden/>
    <w:rsid w:val="006F5D3E"/>
    <w:rPr>
      <w:sz w:val="20"/>
      <w:szCs w:val="20"/>
      <w:lang w:val="en-GB"/>
    </w:rPr>
  </w:style>
  <w:style w:type="character" w:customStyle="1" w:styleId="Heading6Char">
    <w:name w:val="Heading 6 Char"/>
    <w:basedOn w:val="DefaultParagraphFont"/>
    <w:link w:val="Heading6"/>
    <w:uiPriority w:val="98"/>
    <w:semiHidden/>
    <w:rsid w:val="006F5D3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6F5D3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6F5D3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6F5D3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6F5D3E"/>
    <w:rPr>
      <w:color w:val="0072BC" w:themeColor="hyperlink"/>
      <w:u w:val="single"/>
    </w:rPr>
  </w:style>
  <w:style w:type="character" w:styleId="IntenseEmphasis">
    <w:name w:val="Intense Emphasis"/>
    <w:uiPriority w:val="98"/>
    <w:semiHidden/>
    <w:qFormat/>
    <w:rsid w:val="006F5D3E"/>
    <w:rPr>
      <w:b/>
      <w:bCs/>
    </w:rPr>
  </w:style>
  <w:style w:type="paragraph" w:styleId="IntenseQuote">
    <w:name w:val="Intense Quote"/>
    <w:basedOn w:val="Normal"/>
    <w:next w:val="Normal"/>
    <w:link w:val="IntenseQuoteChar"/>
    <w:uiPriority w:val="98"/>
    <w:semiHidden/>
    <w:qFormat/>
    <w:rsid w:val="006F5D3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F5D3E"/>
    <w:rPr>
      <w:b/>
      <w:bCs/>
      <w:i/>
      <w:iCs/>
      <w:sz w:val="24"/>
      <w:szCs w:val="24"/>
      <w:lang w:val="en-GB" w:bidi="en-US"/>
    </w:rPr>
  </w:style>
  <w:style w:type="character" w:styleId="IntenseReference">
    <w:name w:val="Intense Reference"/>
    <w:uiPriority w:val="98"/>
    <w:semiHidden/>
    <w:qFormat/>
    <w:rsid w:val="006F5D3E"/>
    <w:rPr>
      <w:smallCaps/>
      <w:spacing w:val="5"/>
      <w:u w:val="single"/>
    </w:rPr>
  </w:style>
  <w:style w:type="paragraph" w:styleId="ListParagraph">
    <w:name w:val="List Paragraph"/>
    <w:basedOn w:val="Normal"/>
    <w:uiPriority w:val="98"/>
    <w:semiHidden/>
    <w:qFormat/>
    <w:rsid w:val="006F5D3E"/>
    <w:pPr>
      <w:ind w:left="720"/>
      <w:contextualSpacing/>
    </w:pPr>
  </w:style>
  <w:style w:type="table" w:customStyle="1" w:styleId="LtrTableAddress">
    <w:name w:val="Ltr_Table_Address"/>
    <w:aliases w:val="ECHR_Ltr_Table_Address"/>
    <w:basedOn w:val="TableNormal"/>
    <w:uiPriority w:val="99"/>
    <w:rsid w:val="006F5D3E"/>
    <w:rPr>
      <w:sz w:val="24"/>
      <w:szCs w:val="24"/>
    </w:rPr>
    <w:tblPr>
      <w:tblInd w:w="5103" w:type="dxa"/>
    </w:tblPr>
  </w:style>
  <w:style w:type="paragraph" w:styleId="Quote">
    <w:name w:val="Quote"/>
    <w:basedOn w:val="Normal"/>
    <w:next w:val="Normal"/>
    <w:link w:val="QuoteChar"/>
    <w:uiPriority w:val="98"/>
    <w:semiHidden/>
    <w:qFormat/>
    <w:rsid w:val="006F5D3E"/>
    <w:pPr>
      <w:spacing w:before="200"/>
      <w:ind w:left="360" w:right="360"/>
    </w:pPr>
    <w:rPr>
      <w:i/>
      <w:iCs/>
      <w:lang w:bidi="en-US"/>
    </w:rPr>
  </w:style>
  <w:style w:type="character" w:customStyle="1" w:styleId="QuoteChar">
    <w:name w:val="Quote Char"/>
    <w:basedOn w:val="DefaultParagraphFont"/>
    <w:link w:val="Quote"/>
    <w:uiPriority w:val="98"/>
    <w:semiHidden/>
    <w:rsid w:val="006F5D3E"/>
    <w:rPr>
      <w:i/>
      <w:iCs/>
      <w:sz w:val="24"/>
      <w:szCs w:val="24"/>
      <w:lang w:val="en-GB" w:bidi="en-US"/>
    </w:rPr>
  </w:style>
  <w:style w:type="character" w:styleId="SubtleReference">
    <w:name w:val="Subtle Reference"/>
    <w:uiPriority w:val="98"/>
    <w:semiHidden/>
    <w:qFormat/>
    <w:rsid w:val="006F5D3E"/>
    <w:rPr>
      <w:smallCaps/>
    </w:rPr>
  </w:style>
  <w:style w:type="table" w:styleId="TableGrid">
    <w:name w:val="Table Grid"/>
    <w:basedOn w:val="TableNormal"/>
    <w:uiPriority w:val="59"/>
    <w:semiHidden/>
    <w:rsid w:val="006F5D3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F5D3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F5D3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F5D3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F5D3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F5D3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F5D3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F5D3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F5D3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F5D3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F5D3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F5D3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F5D3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F5D3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F5D3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F5D3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6F5D3E"/>
    <w:pPr>
      <w:numPr>
        <w:numId w:val="5"/>
      </w:numPr>
    </w:pPr>
  </w:style>
  <w:style w:type="paragraph" w:customStyle="1" w:styleId="JuPara">
    <w:name w:val="Ju_Para"/>
    <w:aliases w:val="_Para"/>
    <w:basedOn w:val="NormalJustified"/>
    <w:link w:val="JuParaChar"/>
    <w:uiPriority w:val="4"/>
    <w:qFormat/>
    <w:rsid w:val="006F5D3E"/>
    <w:pPr>
      <w:ind w:firstLine="284"/>
    </w:pPr>
  </w:style>
  <w:style w:type="numbering" w:styleId="1ai">
    <w:name w:val="Outline List 1"/>
    <w:basedOn w:val="NoList"/>
    <w:uiPriority w:val="99"/>
    <w:semiHidden/>
    <w:unhideWhenUsed/>
    <w:rsid w:val="006F5D3E"/>
    <w:pPr>
      <w:numPr>
        <w:numId w:val="6"/>
      </w:numPr>
    </w:pPr>
  </w:style>
  <w:style w:type="table" w:customStyle="1" w:styleId="ECHRTableSimpleBox">
    <w:name w:val="ECHR_Table_Simple_Box"/>
    <w:basedOn w:val="TableNormal"/>
    <w:uiPriority w:val="99"/>
    <w:rsid w:val="006F5D3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F5D3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F5D3E"/>
    <w:pPr>
      <w:numPr>
        <w:numId w:val="7"/>
      </w:numPr>
    </w:pPr>
  </w:style>
  <w:style w:type="table" w:customStyle="1" w:styleId="ECHRTableForInternalUse">
    <w:name w:val="ECHR_Table_For_Internal_Use"/>
    <w:basedOn w:val="TableNormal"/>
    <w:uiPriority w:val="99"/>
    <w:rsid w:val="006F5D3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F5D3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F5D3E"/>
  </w:style>
  <w:style w:type="paragraph" w:styleId="BlockText">
    <w:name w:val="Block Text"/>
    <w:basedOn w:val="Normal"/>
    <w:uiPriority w:val="98"/>
    <w:semiHidden/>
    <w:rsid w:val="006F5D3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F5D3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F5D3E"/>
    <w:pPr>
      <w:spacing w:after="120"/>
    </w:pPr>
  </w:style>
  <w:style w:type="character" w:customStyle="1" w:styleId="BodyTextChar">
    <w:name w:val="Body Text Char"/>
    <w:basedOn w:val="DefaultParagraphFont"/>
    <w:link w:val="BodyText"/>
    <w:uiPriority w:val="98"/>
    <w:semiHidden/>
    <w:rsid w:val="006F5D3E"/>
    <w:rPr>
      <w:sz w:val="24"/>
      <w:szCs w:val="24"/>
      <w:lang w:val="en-GB"/>
    </w:rPr>
  </w:style>
  <w:style w:type="table" w:customStyle="1" w:styleId="ECHRTableOddBanded">
    <w:name w:val="ECHR_Table_Odd_Banded"/>
    <w:basedOn w:val="TableNormal"/>
    <w:uiPriority w:val="99"/>
    <w:rsid w:val="006F5D3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F5D3E"/>
    <w:pPr>
      <w:spacing w:after="120" w:line="480" w:lineRule="auto"/>
    </w:pPr>
  </w:style>
  <w:style w:type="table" w:customStyle="1" w:styleId="ECHRHeaderTableReduced">
    <w:name w:val="ECHR_Header_Table_Reduced"/>
    <w:basedOn w:val="TableNormal"/>
    <w:uiPriority w:val="99"/>
    <w:rsid w:val="006F5D3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F5D3E"/>
    <w:pPr>
      <w:ind w:firstLine="284"/>
    </w:pPr>
    <w:rPr>
      <w:b/>
    </w:rPr>
  </w:style>
  <w:style w:type="character" w:styleId="PageNumber">
    <w:name w:val="page number"/>
    <w:uiPriority w:val="98"/>
    <w:semiHidden/>
    <w:rsid w:val="006F5D3E"/>
    <w:rPr>
      <w:sz w:val="18"/>
    </w:rPr>
  </w:style>
  <w:style w:type="paragraph" w:styleId="ListBullet">
    <w:name w:val="List Bullet"/>
    <w:basedOn w:val="Normal"/>
    <w:uiPriority w:val="98"/>
    <w:semiHidden/>
    <w:rsid w:val="006F5D3E"/>
    <w:pPr>
      <w:numPr>
        <w:numId w:val="11"/>
      </w:numPr>
    </w:pPr>
  </w:style>
  <w:style w:type="paragraph" w:styleId="ListBullet3">
    <w:name w:val="List Bullet 3"/>
    <w:basedOn w:val="Normal"/>
    <w:uiPriority w:val="98"/>
    <w:semiHidden/>
    <w:rsid w:val="006F5D3E"/>
    <w:pPr>
      <w:numPr>
        <w:numId w:val="13"/>
      </w:numPr>
      <w:contextualSpacing/>
    </w:pPr>
  </w:style>
  <w:style w:type="character" w:customStyle="1" w:styleId="BodyText2Char">
    <w:name w:val="Body Text 2 Char"/>
    <w:basedOn w:val="DefaultParagraphFont"/>
    <w:link w:val="BodyText2"/>
    <w:uiPriority w:val="98"/>
    <w:semiHidden/>
    <w:rsid w:val="006F5D3E"/>
    <w:rPr>
      <w:sz w:val="24"/>
      <w:szCs w:val="24"/>
      <w:lang w:val="en-GB"/>
    </w:rPr>
  </w:style>
  <w:style w:type="paragraph" w:styleId="BodyText3">
    <w:name w:val="Body Text 3"/>
    <w:basedOn w:val="Normal"/>
    <w:link w:val="BodyText3Char"/>
    <w:uiPriority w:val="98"/>
    <w:semiHidden/>
    <w:rsid w:val="006F5D3E"/>
    <w:pPr>
      <w:spacing w:after="120"/>
    </w:pPr>
    <w:rPr>
      <w:sz w:val="16"/>
      <w:szCs w:val="16"/>
    </w:rPr>
  </w:style>
  <w:style w:type="character" w:customStyle="1" w:styleId="BodyText3Char">
    <w:name w:val="Body Text 3 Char"/>
    <w:basedOn w:val="DefaultParagraphFont"/>
    <w:link w:val="BodyText3"/>
    <w:uiPriority w:val="98"/>
    <w:semiHidden/>
    <w:rsid w:val="006F5D3E"/>
    <w:rPr>
      <w:sz w:val="16"/>
      <w:szCs w:val="16"/>
      <w:lang w:val="en-GB"/>
    </w:rPr>
  </w:style>
  <w:style w:type="paragraph" w:styleId="BodyTextFirstIndent">
    <w:name w:val="Body Text First Indent"/>
    <w:basedOn w:val="BodyText"/>
    <w:link w:val="BodyTextFirstIndentChar"/>
    <w:uiPriority w:val="98"/>
    <w:semiHidden/>
    <w:rsid w:val="006F5D3E"/>
    <w:pPr>
      <w:spacing w:after="0"/>
      <w:ind w:firstLine="360"/>
    </w:pPr>
  </w:style>
  <w:style w:type="character" w:customStyle="1" w:styleId="BodyTextFirstIndentChar">
    <w:name w:val="Body Text First Indent Char"/>
    <w:basedOn w:val="BodyTextChar"/>
    <w:link w:val="BodyTextFirstIndent"/>
    <w:uiPriority w:val="98"/>
    <w:semiHidden/>
    <w:rsid w:val="006F5D3E"/>
    <w:rPr>
      <w:sz w:val="24"/>
      <w:szCs w:val="24"/>
      <w:lang w:val="en-GB"/>
    </w:rPr>
  </w:style>
  <w:style w:type="paragraph" w:styleId="BodyTextIndent">
    <w:name w:val="Body Text Indent"/>
    <w:basedOn w:val="Normal"/>
    <w:link w:val="BodyTextIndentChar"/>
    <w:uiPriority w:val="98"/>
    <w:semiHidden/>
    <w:rsid w:val="006F5D3E"/>
    <w:pPr>
      <w:spacing w:after="120"/>
      <w:ind w:left="283"/>
    </w:pPr>
  </w:style>
  <w:style w:type="character" w:customStyle="1" w:styleId="BodyTextIndentChar">
    <w:name w:val="Body Text Indent Char"/>
    <w:basedOn w:val="DefaultParagraphFont"/>
    <w:link w:val="BodyTextIndent"/>
    <w:uiPriority w:val="98"/>
    <w:semiHidden/>
    <w:rsid w:val="006F5D3E"/>
    <w:rPr>
      <w:sz w:val="24"/>
      <w:szCs w:val="24"/>
      <w:lang w:val="en-GB"/>
    </w:rPr>
  </w:style>
  <w:style w:type="paragraph" w:styleId="BodyTextFirstIndent2">
    <w:name w:val="Body Text First Indent 2"/>
    <w:basedOn w:val="BodyTextIndent"/>
    <w:link w:val="BodyTextFirstIndent2Char"/>
    <w:uiPriority w:val="98"/>
    <w:semiHidden/>
    <w:rsid w:val="006F5D3E"/>
    <w:pPr>
      <w:spacing w:after="0"/>
      <w:ind w:left="360" w:firstLine="360"/>
    </w:pPr>
  </w:style>
  <w:style w:type="character" w:customStyle="1" w:styleId="BodyTextFirstIndent2Char">
    <w:name w:val="Body Text First Indent 2 Char"/>
    <w:basedOn w:val="BodyTextIndentChar"/>
    <w:link w:val="BodyTextFirstIndent2"/>
    <w:uiPriority w:val="98"/>
    <w:semiHidden/>
    <w:rsid w:val="006F5D3E"/>
    <w:rPr>
      <w:sz w:val="24"/>
      <w:szCs w:val="24"/>
      <w:lang w:val="en-GB"/>
    </w:rPr>
  </w:style>
  <w:style w:type="paragraph" w:styleId="BodyTextIndent2">
    <w:name w:val="Body Text Indent 2"/>
    <w:basedOn w:val="Normal"/>
    <w:link w:val="BodyTextIndent2Char"/>
    <w:uiPriority w:val="98"/>
    <w:semiHidden/>
    <w:rsid w:val="006F5D3E"/>
    <w:pPr>
      <w:spacing w:after="120" w:line="480" w:lineRule="auto"/>
      <w:ind w:left="283"/>
    </w:pPr>
  </w:style>
  <w:style w:type="character" w:customStyle="1" w:styleId="BodyTextIndent2Char">
    <w:name w:val="Body Text Indent 2 Char"/>
    <w:basedOn w:val="DefaultParagraphFont"/>
    <w:link w:val="BodyTextIndent2"/>
    <w:uiPriority w:val="98"/>
    <w:semiHidden/>
    <w:rsid w:val="006F5D3E"/>
    <w:rPr>
      <w:sz w:val="24"/>
      <w:szCs w:val="24"/>
      <w:lang w:val="en-GB"/>
    </w:rPr>
  </w:style>
  <w:style w:type="paragraph" w:styleId="BodyTextIndent3">
    <w:name w:val="Body Text Indent 3"/>
    <w:basedOn w:val="Normal"/>
    <w:link w:val="BodyTextIndent3Char"/>
    <w:uiPriority w:val="98"/>
    <w:semiHidden/>
    <w:rsid w:val="006F5D3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F5D3E"/>
    <w:rPr>
      <w:sz w:val="16"/>
      <w:szCs w:val="16"/>
      <w:lang w:val="en-GB"/>
    </w:rPr>
  </w:style>
  <w:style w:type="paragraph" w:styleId="Caption">
    <w:name w:val="caption"/>
    <w:basedOn w:val="Normal"/>
    <w:next w:val="Normal"/>
    <w:uiPriority w:val="98"/>
    <w:semiHidden/>
    <w:qFormat/>
    <w:rsid w:val="006F5D3E"/>
    <w:pPr>
      <w:spacing w:after="200"/>
    </w:pPr>
    <w:rPr>
      <w:b/>
      <w:bCs/>
      <w:color w:val="0072BC" w:themeColor="accent1"/>
      <w:sz w:val="18"/>
      <w:szCs w:val="18"/>
    </w:rPr>
  </w:style>
  <w:style w:type="paragraph" w:styleId="Closing">
    <w:name w:val="Closing"/>
    <w:basedOn w:val="Normal"/>
    <w:link w:val="ClosingChar"/>
    <w:uiPriority w:val="98"/>
    <w:semiHidden/>
    <w:rsid w:val="006F5D3E"/>
    <w:pPr>
      <w:ind w:left="4252"/>
    </w:pPr>
  </w:style>
  <w:style w:type="character" w:customStyle="1" w:styleId="ClosingChar">
    <w:name w:val="Closing Char"/>
    <w:basedOn w:val="DefaultParagraphFont"/>
    <w:link w:val="Closing"/>
    <w:uiPriority w:val="98"/>
    <w:semiHidden/>
    <w:rsid w:val="006F5D3E"/>
    <w:rPr>
      <w:sz w:val="24"/>
      <w:szCs w:val="24"/>
      <w:lang w:val="en-GB"/>
    </w:rPr>
  </w:style>
  <w:style w:type="table" w:styleId="ColorfulGrid">
    <w:name w:val="Colorful Grid"/>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F5D3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F5D3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F5D3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F5D3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F5D3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F5D3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F5D3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F5D3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F5D3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F5D3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F5D3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F5D3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F5D3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F5D3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F5D3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F5D3E"/>
    <w:rPr>
      <w:sz w:val="16"/>
      <w:szCs w:val="16"/>
    </w:rPr>
  </w:style>
  <w:style w:type="paragraph" w:styleId="CommentText">
    <w:name w:val="annotation text"/>
    <w:basedOn w:val="Normal"/>
    <w:link w:val="CommentTextChar"/>
    <w:uiPriority w:val="98"/>
    <w:semiHidden/>
    <w:rsid w:val="006F5D3E"/>
    <w:rPr>
      <w:sz w:val="20"/>
      <w:szCs w:val="20"/>
    </w:rPr>
  </w:style>
  <w:style w:type="character" w:customStyle="1" w:styleId="CommentTextChar">
    <w:name w:val="Comment Text Char"/>
    <w:basedOn w:val="DefaultParagraphFont"/>
    <w:link w:val="CommentText"/>
    <w:uiPriority w:val="98"/>
    <w:semiHidden/>
    <w:rsid w:val="006F5D3E"/>
    <w:rPr>
      <w:sz w:val="20"/>
      <w:szCs w:val="20"/>
      <w:lang w:val="en-GB"/>
    </w:rPr>
  </w:style>
  <w:style w:type="paragraph" w:styleId="CommentSubject">
    <w:name w:val="annotation subject"/>
    <w:basedOn w:val="CommentText"/>
    <w:next w:val="CommentText"/>
    <w:link w:val="CommentSubjectChar"/>
    <w:uiPriority w:val="98"/>
    <w:semiHidden/>
    <w:rsid w:val="006F5D3E"/>
    <w:rPr>
      <w:b/>
      <w:bCs/>
    </w:rPr>
  </w:style>
  <w:style w:type="character" w:customStyle="1" w:styleId="CommentSubjectChar">
    <w:name w:val="Comment Subject Char"/>
    <w:basedOn w:val="CommentTextChar"/>
    <w:link w:val="CommentSubject"/>
    <w:uiPriority w:val="98"/>
    <w:semiHidden/>
    <w:rsid w:val="006F5D3E"/>
    <w:rPr>
      <w:b/>
      <w:bCs/>
      <w:sz w:val="20"/>
      <w:szCs w:val="20"/>
      <w:lang w:val="en-GB"/>
    </w:rPr>
  </w:style>
  <w:style w:type="table" w:styleId="DarkList">
    <w:name w:val="Dark List"/>
    <w:basedOn w:val="TableNormal"/>
    <w:uiPriority w:val="70"/>
    <w:semiHidden/>
    <w:rsid w:val="006F5D3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F5D3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F5D3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F5D3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F5D3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F5D3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F5D3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F5D3E"/>
  </w:style>
  <w:style w:type="character" w:customStyle="1" w:styleId="DateChar">
    <w:name w:val="Date Char"/>
    <w:basedOn w:val="DefaultParagraphFont"/>
    <w:link w:val="Date"/>
    <w:uiPriority w:val="98"/>
    <w:semiHidden/>
    <w:rsid w:val="006F5D3E"/>
    <w:rPr>
      <w:sz w:val="24"/>
      <w:szCs w:val="24"/>
      <w:lang w:val="en-GB"/>
    </w:rPr>
  </w:style>
  <w:style w:type="paragraph" w:styleId="DocumentMap">
    <w:name w:val="Document Map"/>
    <w:basedOn w:val="Normal"/>
    <w:link w:val="DocumentMapChar"/>
    <w:uiPriority w:val="98"/>
    <w:semiHidden/>
    <w:rsid w:val="006F5D3E"/>
    <w:rPr>
      <w:rFonts w:ascii="Tahoma" w:hAnsi="Tahoma" w:cs="Tahoma"/>
      <w:sz w:val="16"/>
      <w:szCs w:val="16"/>
    </w:rPr>
  </w:style>
  <w:style w:type="character" w:customStyle="1" w:styleId="DocumentMapChar">
    <w:name w:val="Document Map Char"/>
    <w:basedOn w:val="DefaultParagraphFont"/>
    <w:link w:val="DocumentMap"/>
    <w:uiPriority w:val="98"/>
    <w:semiHidden/>
    <w:rsid w:val="006F5D3E"/>
    <w:rPr>
      <w:rFonts w:ascii="Tahoma" w:hAnsi="Tahoma" w:cs="Tahoma"/>
      <w:sz w:val="16"/>
      <w:szCs w:val="16"/>
      <w:lang w:val="en-GB"/>
    </w:rPr>
  </w:style>
  <w:style w:type="paragraph" w:styleId="E-mailSignature">
    <w:name w:val="E-mail Signature"/>
    <w:basedOn w:val="Normal"/>
    <w:link w:val="E-mailSignatureChar"/>
    <w:uiPriority w:val="98"/>
    <w:semiHidden/>
    <w:rsid w:val="006F5D3E"/>
  </w:style>
  <w:style w:type="character" w:customStyle="1" w:styleId="E-mailSignatureChar">
    <w:name w:val="E-mail Signature Char"/>
    <w:basedOn w:val="DefaultParagraphFont"/>
    <w:link w:val="E-mailSignature"/>
    <w:uiPriority w:val="98"/>
    <w:semiHidden/>
    <w:rsid w:val="006F5D3E"/>
    <w:rPr>
      <w:sz w:val="24"/>
      <w:szCs w:val="24"/>
      <w:lang w:val="en-GB"/>
    </w:rPr>
  </w:style>
  <w:style w:type="character" w:styleId="EndnoteReference">
    <w:name w:val="endnote reference"/>
    <w:basedOn w:val="DefaultParagraphFont"/>
    <w:uiPriority w:val="98"/>
    <w:semiHidden/>
    <w:rsid w:val="006F5D3E"/>
    <w:rPr>
      <w:vertAlign w:val="superscript"/>
    </w:rPr>
  </w:style>
  <w:style w:type="paragraph" w:styleId="EndnoteText">
    <w:name w:val="endnote text"/>
    <w:basedOn w:val="Normal"/>
    <w:link w:val="EndnoteTextChar"/>
    <w:uiPriority w:val="98"/>
    <w:semiHidden/>
    <w:rsid w:val="006F5D3E"/>
    <w:rPr>
      <w:sz w:val="20"/>
      <w:szCs w:val="20"/>
    </w:rPr>
  </w:style>
  <w:style w:type="character" w:customStyle="1" w:styleId="EndnoteTextChar">
    <w:name w:val="Endnote Text Char"/>
    <w:basedOn w:val="DefaultParagraphFont"/>
    <w:link w:val="EndnoteText"/>
    <w:uiPriority w:val="98"/>
    <w:semiHidden/>
    <w:rsid w:val="006F5D3E"/>
    <w:rPr>
      <w:sz w:val="20"/>
      <w:szCs w:val="20"/>
      <w:lang w:val="en-GB"/>
    </w:rPr>
  </w:style>
  <w:style w:type="paragraph" w:styleId="EnvelopeAddress">
    <w:name w:val="envelope address"/>
    <w:basedOn w:val="Normal"/>
    <w:uiPriority w:val="98"/>
    <w:semiHidden/>
    <w:rsid w:val="006F5D3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F5D3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F5D3E"/>
    <w:rPr>
      <w:color w:val="7030A0" w:themeColor="followedHyperlink"/>
      <w:u w:val="single"/>
    </w:rPr>
  </w:style>
  <w:style w:type="character" w:styleId="HTMLAcronym">
    <w:name w:val="HTML Acronym"/>
    <w:basedOn w:val="DefaultParagraphFont"/>
    <w:uiPriority w:val="98"/>
    <w:semiHidden/>
    <w:rsid w:val="006F5D3E"/>
  </w:style>
  <w:style w:type="paragraph" w:styleId="HTMLAddress">
    <w:name w:val="HTML Address"/>
    <w:basedOn w:val="Normal"/>
    <w:link w:val="HTMLAddressChar"/>
    <w:uiPriority w:val="98"/>
    <w:semiHidden/>
    <w:rsid w:val="006F5D3E"/>
    <w:rPr>
      <w:i/>
      <w:iCs/>
    </w:rPr>
  </w:style>
  <w:style w:type="character" w:customStyle="1" w:styleId="HTMLAddressChar">
    <w:name w:val="HTML Address Char"/>
    <w:basedOn w:val="DefaultParagraphFont"/>
    <w:link w:val="HTMLAddress"/>
    <w:uiPriority w:val="98"/>
    <w:semiHidden/>
    <w:rsid w:val="006F5D3E"/>
    <w:rPr>
      <w:i/>
      <w:iCs/>
      <w:sz w:val="24"/>
      <w:szCs w:val="24"/>
      <w:lang w:val="en-GB"/>
    </w:rPr>
  </w:style>
  <w:style w:type="character" w:styleId="HTMLCite">
    <w:name w:val="HTML Cite"/>
    <w:basedOn w:val="DefaultParagraphFont"/>
    <w:uiPriority w:val="98"/>
    <w:semiHidden/>
    <w:rsid w:val="006F5D3E"/>
    <w:rPr>
      <w:i/>
      <w:iCs/>
    </w:rPr>
  </w:style>
  <w:style w:type="character" w:styleId="HTMLCode">
    <w:name w:val="HTML Code"/>
    <w:basedOn w:val="DefaultParagraphFont"/>
    <w:uiPriority w:val="98"/>
    <w:semiHidden/>
    <w:rsid w:val="006F5D3E"/>
    <w:rPr>
      <w:rFonts w:ascii="Consolas" w:hAnsi="Consolas" w:cs="Consolas"/>
      <w:sz w:val="20"/>
      <w:szCs w:val="20"/>
    </w:rPr>
  </w:style>
  <w:style w:type="character" w:styleId="HTMLDefinition">
    <w:name w:val="HTML Definition"/>
    <w:basedOn w:val="DefaultParagraphFont"/>
    <w:uiPriority w:val="98"/>
    <w:semiHidden/>
    <w:rsid w:val="006F5D3E"/>
    <w:rPr>
      <w:i/>
      <w:iCs/>
    </w:rPr>
  </w:style>
  <w:style w:type="character" w:styleId="HTMLKeyboard">
    <w:name w:val="HTML Keyboard"/>
    <w:basedOn w:val="DefaultParagraphFont"/>
    <w:uiPriority w:val="98"/>
    <w:semiHidden/>
    <w:rsid w:val="006F5D3E"/>
    <w:rPr>
      <w:rFonts w:ascii="Consolas" w:hAnsi="Consolas" w:cs="Consolas"/>
      <w:sz w:val="20"/>
      <w:szCs w:val="20"/>
    </w:rPr>
  </w:style>
  <w:style w:type="paragraph" w:styleId="HTMLPreformatted">
    <w:name w:val="HTML Preformatted"/>
    <w:basedOn w:val="Normal"/>
    <w:link w:val="HTMLPreformattedChar"/>
    <w:uiPriority w:val="98"/>
    <w:semiHidden/>
    <w:rsid w:val="006F5D3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F5D3E"/>
    <w:rPr>
      <w:rFonts w:ascii="Consolas" w:hAnsi="Consolas" w:cs="Consolas"/>
      <w:sz w:val="20"/>
      <w:szCs w:val="20"/>
      <w:lang w:val="en-GB"/>
    </w:rPr>
  </w:style>
  <w:style w:type="character" w:styleId="HTMLSample">
    <w:name w:val="HTML Sample"/>
    <w:basedOn w:val="DefaultParagraphFont"/>
    <w:uiPriority w:val="98"/>
    <w:semiHidden/>
    <w:rsid w:val="006F5D3E"/>
    <w:rPr>
      <w:rFonts w:ascii="Consolas" w:hAnsi="Consolas" w:cs="Consolas"/>
      <w:sz w:val="24"/>
      <w:szCs w:val="24"/>
    </w:rPr>
  </w:style>
  <w:style w:type="character" w:styleId="HTMLTypewriter">
    <w:name w:val="HTML Typewriter"/>
    <w:basedOn w:val="DefaultParagraphFont"/>
    <w:uiPriority w:val="98"/>
    <w:semiHidden/>
    <w:rsid w:val="006F5D3E"/>
    <w:rPr>
      <w:rFonts w:ascii="Consolas" w:hAnsi="Consolas" w:cs="Consolas"/>
      <w:sz w:val="20"/>
      <w:szCs w:val="20"/>
    </w:rPr>
  </w:style>
  <w:style w:type="character" w:styleId="HTMLVariable">
    <w:name w:val="HTML Variable"/>
    <w:basedOn w:val="DefaultParagraphFont"/>
    <w:uiPriority w:val="98"/>
    <w:semiHidden/>
    <w:rsid w:val="006F5D3E"/>
    <w:rPr>
      <w:i/>
      <w:iCs/>
    </w:rPr>
  </w:style>
  <w:style w:type="paragraph" w:styleId="Index1">
    <w:name w:val="index 1"/>
    <w:basedOn w:val="Normal"/>
    <w:next w:val="Normal"/>
    <w:autoRedefine/>
    <w:uiPriority w:val="98"/>
    <w:semiHidden/>
    <w:rsid w:val="006F5D3E"/>
    <w:pPr>
      <w:ind w:left="240" w:hanging="240"/>
    </w:pPr>
  </w:style>
  <w:style w:type="paragraph" w:styleId="Index2">
    <w:name w:val="index 2"/>
    <w:basedOn w:val="Normal"/>
    <w:next w:val="Normal"/>
    <w:autoRedefine/>
    <w:uiPriority w:val="98"/>
    <w:semiHidden/>
    <w:rsid w:val="006F5D3E"/>
    <w:pPr>
      <w:ind w:left="480" w:hanging="240"/>
    </w:pPr>
  </w:style>
  <w:style w:type="paragraph" w:styleId="Index3">
    <w:name w:val="index 3"/>
    <w:basedOn w:val="Normal"/>
    <w:next w:val="Normal"/>
    <w:autoRedefine/>
    <w:uiPriority w:val="98"/>
    <w:semiHidden/>
    <w:rsid w:val="006F5D3E"/>
    <w:pPr>
      <w:ind w:left="720" w:hanging="240"/>
    </w:pPr>
  </w:style>
  <w:style w:type="paragraph" w:styleId="Index4">
    <w:name w:val="index 4"/>
    <w:basedOn w:val="Normal"/>
    <w:next w:val="Normal"/>
    <w:autoRedefine/>
    <w:uiPriority w:val="98"/>
    <w:semiHidden/>
    <w:rsid w:val="006F5D3E"/>
    <w:pPr>
      <w:ind w:left="960" w:hanging="240"/>
    </w:pPr>
  </w:style>
  <w:style w:type="paragraph" w:styleId="Index5">
    <w:name w:val="index 5"/>
    <w:basedOn w:val="Normal"/>
    <w:next w:val="Normal"/>
    <w:autoRedefine/>
    <w:uiPriority w:val="98"/>
    <w:semiHidden/>
    <w:rsid w:val="006F5D3E"/>
    <w:pPr>
      <w:ind w:left="1200" w:hanging="240"/>
    </w:pPr>
  </w:style>
  <w:style w:type="paragraph" w:styleId="Index6">
    <w:name w:val="index 6"/>
    <w:basedOn w:val="Normal"/>
    <w:next w:val="Normal"/>
    <w:autoRedefine/>
    <w:uiPriority w:val="98"/>
    <w:semiHidden/>
    <w:rsid w:val="006F5D3E"/>
    <w:pPr>
      <w:ind w:left="1440" w:hanging="240"/>
    </w:pPr>
  </w:style>
  <w:style w:type="paragraph" w:styleId="Index7">
    <w:name w:val="index 7"/>
    <w:basedOn w:val="Normal"/>
    <w:next w:val="Normal"/>
    <w:autoRedefine/>
    <w:uiPriority w:val="98"/>
    <w:semiHidden/>
    <w:rsid w:val="006F5D3E"/>
    <w:pPr>
      <w:ind w:left="1680" w:hanging="240"/>
    </w:pPr>
  </w:style>
  <w:style w:type="paragraph" w:styleId="Index8">
    <w:name w:val="index 8"/>
    <w:basedOn w:val="Normal"/>
    <w:next w:val="Normal"/>
    <w:autoRedefine/>
    <w:uiPriority w:val="98"/>
    <w:semiHidden/>
    <w:rsid w:val="006F5D3E"/>
    <w:pPr>
      <w:ind w:left="1920" w:hanging="240"/>
    </w:pPr>
  </w:style>
  <w:style w:type="paragraph" w:styleId="Index9">
    <w:name w:val="index 9"/>
    <w:basedOn w:val="Normal"/>
    <w:next w:val="Normal"/>
    <w:autoRedefine/>
    <w:uiPriority w:val="98"/>
    <w:semiHidden/>
    <w:rsid w:val="006F5D3E"/>
    <w:pPr>
      <w:ind w:left="2160" w:hanging="240"/>
    </w:pPr>
  </w:style>
  <w:style w:type="paragraph" w:styleId="IndexHeading">
    <w:name w:val="index heading"/>
    <w:basedOn w:val="Normal"/>
    <w:next w:val="Index1"/>
    <w:uiPriority w:val="98"/>
    <w:semiHidden/>
    <w:rsid w:val="006F5D3E"/>
    <w:rPr>
      <w:rFonts w:asciiTheme="majorHAnsi" w:eastAsiaTheme="majorEastAsia" w:hAnsiTheme="majorHAnsi" w:cstheme="majorBidi"/>
      <w:b/>
      <w:bCs/>
    </w:rPr>
  </w:style>
  <w:style w:type="table" w:styleId="LightGrid">
    <w:name w:val="Light Grid"/>
    <w:basedOn w:val="TableNormal"/>
    <w:uiPriority w:val="62"/>
    <w:semiHidden/>
    <w:rsid w:val="006F5D3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F5D3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F5D3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F5D3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F5D3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F5D3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F5D3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F5D3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F5D3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F5D3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F5D3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F5D3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F5D3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F5D3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F5D3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F5D3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F5D3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F5D3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F5D3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F5D3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F5D3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F5D3E"/>
  </w:style>
  <w:style w:type="paragraph" w:styleId="List">
    <w:name w:val="List"/>
    <w:basedOn w:val="Normal"/>
    <w:uiPriority w:val="98"/>
    <w:semiHidden/>
    <w:rsid w:val="006F5D3E"/>
    <w:pPr>
      <w:ind w:left="283" w:hanging="283"/>
      <w:contextualSpacing/>
    </w:pPr>
  </w:style>
  <w:style w:type="paragraph" w:styleId="List2">
    <w:name w:val="List 2"/>
    <w:basedOn w:val="Normal"/>
    <w:uiPriority w:val="98"/>
    <w:semiHidden/>
    <w:rsid w:val="006F5D3E"/>
    <w:pPr>
      <w:ind w:left="566" w:hanging="283"/>
      <w:contextualSpacing/>
    </w:pPr>
  </w:style>
  <w:style w:type="paragraph" w:styleId="List3">
    <w:name w:val="List 3"/>
    <w:basedOn w:val="Normal"/>
    <w:uiPriority w:val="98"/>
    <w:semiHidden/>
    <w:rsid w:val="006F5D3E"/>
    <w:pPr>
      <w:ind w:left="849" w:hanging="283"/>
      <w:contextualSpacing/>
    </w:pPr>
  </w:style>
  <w:style w:type="paragraph" w:styleId="List4">
    <w:name w:val="List 4"/>
    <w:basedOn w:val="Normal"/>
    <w:uiPriority w:val="98"/>
    <w:semiHidden/>
    <w:rsid w:val="006F5D3E"/>
    <w:pPr>
      <w:ind w:left="1132" w:hanging="283"/>
      <w:contextualSpacing/>
    </w:pPr>
  </w:style>
  <w:style w:type="paragraph" w:styleId="List5">
    <w:name w:val="List 5"/>
    <w:basedOn w:val="Normal"/>
    <w:uiPriority w:val="98"/>
    <w:semiHidden/>
    <w:rsid w:val="006F5D3E"/>
    <w:pPr>
      <w:ind w:left="1415" w:hanging="283"/>
      <w:contextualSpacing/>
    </w:pPr>
  </w:style>
  <w:style w:type="paragraph" w:styleId="ListBullet2">
    <w:name w:val="List Bullet 2"/>
    <w:basedOn w:val="Normal"/>
    <w:uiPriority w:val="98"/>
    <w:semiHidden/>
    <w:rsid w:val="006F5D3E"/>
    <w:pPr>
      <w:numPr>
        <w:numId w:val="12"/>
      </w:numPr>
      <w:contextualSpacing/>
    </w:pPr>
  </w:style>
  <w:style w:type="paragraph" w:styleId="ListBullet4">
    <w:name w:val="List Bullet 4"/>
    <w:basedOn w:val="Normal"/>
    <w:uiPriority w:val="98"/>
    <w:semiHidden/>
    <w:rsid w:val="006F5D3E"/>
    <w:pPr>
      <w:numPr>
        <w:numId w:val="14"/>
      </w:numPr>
      <w:contextualSpacing/>
    </w:pPr>
  </w:style>
  <w:style w:type="paragraph" w:styleId="ListBullet5">
    <w:name w:val="List Bullet 5"/>
    <w:basedOn w:val="Normal"/>
    <w:uiPriority w:val="98"/>
    <w:semiHidden/>
    <w:rsid w:val="006F5D3E"/>
    <w:pPr>
      <w:numPr>
        <w:numId w:val="15"/>
      </w:numPr>
      <w:contextualSpacing/>
    </w:pPr>
  </w:style>
  <w:style w:type="paragraph" w:styleId="ListContinue">
    <w:name w:val="List Continue"/>
    <w:basedOn w:val="Normal"/>
    <w:uiPriority w:val="98"/>
    <w:semiHidden/>
    <w:rsid w:val="006F5D3E"/>
    <w:pPr>
      <w:spacing w:after="120"/>
      <w:ind w:left="283"/>
      <w:contextualSpacing/>
    </w:pPr>
  </w:style>
  <w:style w:type="paragraph" w:styleId="ListContinue2">
    <w:name w:val="List Continue 2"/>
    <w:basedOn w:val="Normal"/>
    <w:uiPriority w:val="98"/>
    <w:semiHidden/>
    <w:rsid w:val="006F5D3E"/>
    <w:pPr>
      <w:spacing w:after="120"/>
      <w:ind w:left="566"/>
      <w:contextualSpacing/>
    </w:pPr>
  </w:style>
  <w:style w:type="paragraph" w:styleId="ListContinue3">
    <w:name w:val="List Continue 3"/>
    <w:basedOn w:val="Normal"/>
    <w:uiPriority w:val="98"/>
    <w:semiHidden/>
    <w:rsid w:val="006F5D3E"/>
    <w:pPr>
      <w:spacing w:after="120"/>
      <w:ind w:left="849"/>
      <w:contextualSpacing/>
    </w:pPr>
  </w:style>
  <w:style w:type="paragraph" w:styleId="ListContinue4">
    <w:name w:val="List Continue 4"/>
    <w:basedOn w:val="Normal"/>
    <w:uiPriority w:val="98"/>
    <w:semiHidden/>
    <w:rsid w:val="006F5D3E"/>
    <w:pPr>
      <w:spacing w:after="120"/>
      <w:ind w:left="1132"/>
      <w:contextualSpacing/>
    </w:pPr>
  </w:style>
  <w:style w:type="paragraph" w:styleId="ListContinue5">
    <w:name w:val="List Continue 5"/>
    <w:basedOn w:val="Normal"/>
    <w:uiPriority w:val="98"/>
    <w:semiHidden/>
    <w:rsid w:val="006F5D3E"/>
    <w:pPr>
      <w:spacing w:after="120"/>
      <w:ind w:left="1415"/>
      <w:contextualSpacing/>
    </w:pPr>
  </w:style>
  <w:style w:type="paragraph" w:styleId="ListNumber">
    <w:name w:val="List Number"/>
    <w:basedOn w:val="Normal"/>
    <w:uiPriority w:val="98"/>
    <w:semiHidden/>
    <w:rsid w:val="006F5D3E"/>
    <w:pPr>
      <w:numPr>
        <w:numId w:val="16"/>
      </w:numPr>
      <w:contextualSpacing/>
    </w:pPr>
  </w:style>
  <w:style w:type="paragraph" w:styleId="ListNumber2">
    <w:name w:val="List Number 2"/>
    <w:basedOn w:val="Normal"/>
    <w:uiPriority w:val="98"/>
    <w:semiHidden/>
    <w:rsid w:val="006F5D3E"/>
    <w:pPr>
      <w:numPr>
        <w:numId w:val="17"/>
      </w:numPr>
      <w:contextualSpacing/>
    </w:pPr>
  </w:style>
  <w:style w:type="paragraph" w:styleId="ListNumber3">
    <w:name w:val="List Number 3"/>
    <w:basedOn w:val="Normal"/>
    <w:uiPriority w:val="98"/>
    <w:semiHidden/>
    <w:rsid w:val="006F5D3E"/>
    <w:pPr>
      <w:numPr>
        <w:numId w:val="18"/>
      </w:numPr>
      <w:contextualSpacing/>
    </w:pPr>
  </w:style>
  <w:style w:type="paragraph" w:styleId="ListNumber4">
    <w:name w:val="List Number 4"/>
    <w:basedOn w:val="Normal"/>
    <w:uiPriority w:val="98"/>
    <w:semiHidden/>
    <w:rsid w:val="006F5D3E"/>
    <w:pPr>
      <w:numPr>
        <w:numId w:val="19"/>
      </w:numPr>
      <w:contextualSpacing/>
    </w:pPr>
  </w:style>
  <w:style w:type="paragraph" w:styleId="ListNumber5">
    <w:name w:val="List Number 5"/>
    <w:basedOn w:val="Normal"/>
    <w:uiPriority w:val="98"/>
    <w:semiHidden/>
    <w:rsid w:val="006F5D3E"/>
    <w:pPr>
      <w:numPr>
        <w:numId w:val="20"/>
      </w:numPr>
      <w:contextualSpacing/>
    </w:pPr>
  </w:style>
  <w:style w:type="paragraph" w:styleId="MacroText">
    <w:name w:val="macro"/>
    <w:link w:val="MacroTextChar"/>
    <w:uiPriority w:val="98"/>
    <w:semiHidden/>
    <w:rsid w:val="006F5D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F5D3E"/>
    <w:rPr>
      <w:rFonts w:ascii="Consolas" w:eastAsiaTheme="minorEastAsia" w:hAnsi="Consolas" w:cs="Consolas"/>
      <w:sz w:val="20"/>
      <w:szCs w:val="20"/>
    </w:rPr>
  </w:style>
  <w:style w:type="table" w:styleId="MediumGrid1">
    <w:name w:val="Medium Grid 1"/>
    <w:basedOn w:val="TableNormal"/>
    <w:uiPriority w:val="67"/>
    <w:semiHidden/>
    <w:rsid w:val="006F5D3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F5D3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F5D3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F5D3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F5D3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F5D3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F5D3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F5D3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F5D3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F5D3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F5D3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F5D3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F5D3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F5D3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F5D3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F5D3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F5D3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F5D3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F5D3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F5D3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F5D3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F5D3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F5D3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F5D3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F5D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F5D3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6F5D3E"/>
    <w:rPr>
      <w:rFonts w:ascii="Times New Roman" w:hAnsi="Times New Roman" w:cs="Times New Roman"/>
    </w:rPr>
  </w:style>
  <w:style w:type="paragraph" w:styleId="NormalIndent">
    <w:name w:val="Normal Indent"/>
    <w:basedOn w:val="Normal"/>
    <w:uiPriority w:val="98"/>
    <w:semiHidden/>
    <w:rsid w:val="006F5D3E"/>
    <w:pPr>
      <w:ind w:left="720"/>
    </w:pPr>
  </w:style>
  <w:style w:type="paragraph" w:styleId="NoteHeading">
    <w:name w:val="Note Heading"/>
    <w:basedOn w:val="Normal"/>
    <w:next w:val="Normal"/>
    <w:link w:val="NoteHeadingChar"/>
    <w:uiPriority w:val="98"/>
    <w:semiHidden/>
    <w:rsid w:val="006F5D3E"/>
  </w:style>
  <w:style w:type="character" w:customStyle="1" w:styleId="NoteHeadingChar">
    <w:name w:val="Note Heading Char"/>
    <w:basedOn w:val="DefaultParagraphFont"/>
    <w:link w:val="NoteHeading"/>
    <w:uiPriority w:val="98"/>
    <w:semiHidden/>
    <w:rsid w:val="006F5D3E"/>
    <w:rPr>
      <w:sz w:val="24"/>
      <w:szCs w:val="24"/>
      <w:lang w:val="en-GB"/>
    </w:rPr>
  </w:style>
  <w:style w:type="character" w:styleId="PlaceholderText">
    <w:name w:val="Placeholder Text"/>
    <w:basedOn w:val="DefaultParagraphFont"/>
    <w:uiPriority w:val="98"/>
    <w:semiHidden/>
    <w:rsid w:val="006F5D3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F5D3E"/>
    <w:rPr>
      <w:rFonts w:ascii="Consolas" w:hAnsi="Consolas" w:cs="Consolas"/>
      <w:sz w:val="21"/>
      <w:szCs w:val="21"/>
    </w:rPr>
  </w:style>
  <w:style w:type="character" w:customStyle="1" w:styleId="PlainTextChar">
    <w:name w:val="Plain Text Char"/>
    <w:basedOn w:val="DefaultParagraphFont"/>
    <w:link w:val="PlainText"/>
    <w:uiPriority w:val="98"/>
    <w:semiHidden/>
    <w:rsid w:val="006F5D3E"/>
    <w:rPr>
      <w:rFonts w:ascii="Consolas" w:hAnsi="Consolas" w:cs="Consolas"/>
      <w:sz w:val="21"/>
      <w:szCs w:val="21"/>
      <w:lang w:val="en-GB"/>
    </w:rPr>
  </w:style>
  <w:style w:type="paragraph" w:styleId="Salutation">
    <w:name w:val="Salutation"/>
    <w:basedOn w:val="Normal"/>
    <w:next w:val="Normal"/>
    <w:link w:val="SalutationChar"/>
    <w:uiPriority w:val="98"/>
    <w:semiHidden/>
    <w:rsid w:val="006F5D3E"/>
  </w:style>
  <w:style w:type="character" w:customStyle="1" w:styleId="SalutationChar">
    <w:name w:val="Salutation Char"/>
    <w:basedOn w:val="DefaultParagraphFont"/>
    <w:link w:val="Salutation"/>
    <w:uiPriority w:val="98"/>
    <w:semiHidden/>
    <w:rsid w:val="006F5D3E"/>
    <w:rPr>
      <w:sz w:val="24"/>
      <w:szCs w:val="24"/>
      <w:lang w:val="en-GB"/>
    </w:rPr>
  </w:style>
  <w:style w:type="paragraph" w:styleId="Signature">
    <w:name w:val="Signature"/>
    <w:basedOn w:val="Normal"/>
    <w:link w:val="SignatureChar"/>
    <w:uiPriority w:val="98"/>
    <w:semiHidden/>
    <w:rsid w:val="006F5D3E"/>
    <w:pPr>
      <w:ind w:left="4252"/>
    </w:pPr>
  </w:style>
  <w:style w:type="character" w:customStyle="1" w:styleId="SignatureChar">
    <w:name w:val="Signature Char"/>
    <w:basedOn w:val="DefaultParagraphFont"/>
    <w:link w:val="Signature"/>
    <w:uiPriority w:val="98"/>
    <w:semiHidden/>
    <w:rsid w:val="006F5D3E"/>
    <w:rPr>
      <w:sz w:val="24"/>
      <w:szCs w:val="24"/>
      <w:lang w:val="en-GB"/>
    </w:rPr>
  </w:style>
  <w:style w:type="table" w:styleId="Table3Deffects1">
    <w:name w:val="Table 3D effects 1"/>
    <w:basedOn w:val="TableNormal"/>
    <w:uiPriority w:val="99"/>
    <w:semiHidden/>
    <w:unhideWhenUsed/>
    <w:rsid w:val="006F5D3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F5D3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F5D3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F5D3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F5D3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F5D3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F5D3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F5D3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F5D3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F5D3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F5D3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F5D3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F5D3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F5D3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F5D3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F5D3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F5D3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F5D3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F5D3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F5D3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F5D3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F5D3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F5D3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F5D3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F5D3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F5D3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F5D3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F5D3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F5D3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F5D3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F5D3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F5D3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F5D3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F5D3E"/>
    <w:pPr>
      <w:ind w:left="240" w:hanging="240"/>
    </w:pPr>
  </w:style>
  <w:style w:type="paragraph" w:styleId="TableofFigures">
    <w:name w:val="table of figures"/>
    <w:basedOn w:val="Normal"/>
    <w:next w:val="Normal"/>
    <w:uiPriority w:val="98"/>
    <w:semiHidden/>
    <w:rsid w:val="006F5D3E"/>
  </w:style>
  <w:style w:type="table" w:styleId="TableProfessional">
    <w:name w:val="Table Professional"/>
    <w:basedOn w:val="TableNormal"/>
    <w:uiPriority w:val="99"/>
    <w:semiHidden/>
    <w:unhideWhenUsed/>
    <w:rsid w:val="006F5D3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F5D3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F5D3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F5D3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F5D3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F5D3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F5D3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F5D3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F5D3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F5D3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F5D3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F5D3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F5D3E"/>
    <w:pPr>
      <w:spacing w:after="100"/>
      <w:ind w:left="1680"/>
    </w:pPr>
  </w:style>
  <w:style w:type="paragraph" w:styleId="TOC9">
    <w:name w:val="toc 9"/>
    <w:basedOn w:val="Normal"/>
    <w:next w:val="Normal"/>
    <w:autoRedefine/>
    <w:uiPriority w:val="98"/>
    <w:semiHidden/>
    <w:rsid w:val="006F5D3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6F5D3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F5D3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F5D3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F5D3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F5D3E"/>
    <w:pPr>
      <w:numPr>
        <w:numId w:val="8"/>
      </w:numPr>
      <w:spacing w:before="60" w:after="60"/>
    </w:pPr>
  </w:style>
  <w:style w:type="paragraph" w:customStyle="1" w:styleId="ECHRBullet2">
    <w:name w:val="ECHR_Bullet_2"/>
    <w:aliases w:val="_Bul_2"/>
    <w:basedOn w:val="ECHRBullet1"/>
    <w:uiPriority w:val="23"/>
    <w:semiHidden/>
    <w:rsid w:val="006F5D3E"/>
    <w:pPr>
      <w:numPr>
        <w:ilvl w:val="1"/>
      </w:numPr>
    </w:pPr>
  </w:style>
  <w:style w:type="paragraph" w:customStyle="1" w:styleId="ECHRBullet3">
    <w:name w:val="ECHR_Bullet_3"/>
    <w:aliases w:val="_Bul_3"/>
    <w:basedOn w:val="ECHRBullet2"/>
    <w:uiPriority w:val="23"/>
    <w:semiHidden/>
    <w:rsid w:val="006F5D3E"/>
    <w:pPr>
      <w:numPr>
        <w:ilvl w:val="2"/>
      </w:numPr>
    </w:pPr>
  </w:style>
  <w:style w:type="paragraph" w:customStyle="1" w:styleId="ECHRBullet4">
    <w:name w:val="ECHR_Bullet_4"/>
    <w:aliases w:val="_Bul_4"/>
    <w:basedOn w:val="ECHRBullet3"/>
    <w:uiPriority w:val="23"/>
    <w:semiHidden/>
    <w:rsid w:val="006F5D3E"/>
    <w:pPr>
      <w:numPr>
        <w:ilvl w:val="3"/>
      </w:numPr>
    </w:pPr>
  </w:style>
  <w:style w:type="paragraph" w:customStyle="1" w:styleId="ECHRConfidential">
    <w:name w:val="ECHR_Confidential"/>
    <w:aliases w:val="_Confidential"/>
    <w:basedOn w:val="Normal"/>
    <w:next w:val="Normal"/>
    <w:uiPriority w:val="42"/>
    <w:semiHidden/>
    <w:qFormat/>
    <w:rsid w:val="006F5D3E"/>
    <w:pPr>
      <w:jc w:val="right"/>
    </w:pPr>
    <w:rPr>
      <w:color w:val="C00000"/>
      <w:sz w:val="20"/>
    </w:rPr>
  </w:style>
  <w:style w:type="paragraph" w:customStyle="1" w:styleId="ECHRDecisionBody">
    <w:name w:val="ECHR_Decision_Body"/>
    <w:aliases w:val="_Decision_Body"/>
    <w:basedOn w:val="NormalJustified"/>
    <w:uiPriority w:val="54"/>
    <w:semiHidden/>
    <w:rsid w:val="006F5D3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F5D3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F5D3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6F5D3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F5D3E"/>
    <w:pPr>
      <w:jc w:val="right"/>
    </w:pPr>
    <w:rPr>
      <w:sz w:val="20"/>
    </w:rPr>
  </w:style>
  <w:style w:type="paragraph" w:customStyle="1" w:styleId="ECHRHeaderRefIt">
    <w:name w:val="ECHR_Header_Ref_It"/>
    <w:aliases w:val="_Ref_Ital"/>
    <w:basedOn w:val="Normal"/>
    <w:next w:val="ECHRHeaderDate"/>
    <w:uiPriority w:val="43"/>
    <w:qFormat/>
    <w:rsid w:val="006F5D3E"/>
    <w:pPr>
      <w:jc w:val="right"/>
    </w:pPr>
    <w:rPr>
      <w:i/>
      <w:sz w:val="20"/>
    </w:rPr>
  </w:style>
  <w:style w:type="paragraph" w:customStyle="1" w:styleId="ECHRHeading9">
    <w:name w:val="ECHR_Heading_9"/>
    <w:aliases w:val="_Head_9"/>
    <w:basedOn w:val="Heading9"/>
    <w:uiPriority w:val="17"/>
    <w:semiHidden/>
    <w:rsid w:val="006F5D3E"/>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F5D3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F5D3E"/>
    <w:pPr>
      <w:numPr>
        <w:numId w:val="10"/>
      </w:numPr>
      <w:spacing w:before="60" w:after="60"/>
    </w:pPr>
  </w:style>
  <w:style w:type="paragraph" w:customStyle="1" w:styleId="ECHRNumberedList2">
    <w:name w:val="ECHR_Numbered_List_2"/>
    <w:aliases w:val="_Num_2"/>
    <w:basedOn w:val="ECHRNumberedList1"/>
    <w:uiPriority w:val="23"/>
    <w:semiHidden/>
    <w:rsid w:val="006F5D3E"/>
    <w:pPr>
      <w:numPr>
        <w:ilvl w:val="1"/>
      </w:numPr>
    </w:pPr>
  </w:style>
  <w:style w:type="paragraph" w:customStyle="1" w:styleId="ECHRNumberedList3">
    <w:name w:val="ECHR_Numbered_List_3"/>
    <w:aliases w:val="_Num_3"/>
    <w:basedOn w:val="ECHRNumberedList2"/>
    <w:uiPriority w:val="23"/>
    <w:semiHidden/>
    <w:rsid w:val="006F5D3E"/>
    <w:pPr>
      <w:numPr>
        <w:ilvl w:val="2"/>
      </w:numPr>
    </w:pPr>
  </w:style>
  <w:style w:type="paragraph" w:customStyle="1" w:styleId="ECHRParaHanging">
    <w:name w:val="ECHR_Para_Hanging"/>
    <w:aliases w:val="_Hanging"/>
    <w:basedOn w:val="Normal"/>
    <w:uiPriority w:val="8"/>
    <w:semiHidden/>
    <w:qFormat/>
    <w:rsid w:val="006F5D3E"/>
    <w:pPr>
      <w:ind w:left="567" w:hanging="567"/>
      <w:jc w:val="both"/>
    </w:pPr>
  </w:style>
  <w:style w:type="paragraph" w:customStyle="1" w:styleId="ECHRParaIndent">
    <w:name w:val="ECHR_Para_Indent"/>
    <w:aliases w:val="_Indent"/>
    <w:basedOn w:val="Normal"/>
    <w:uiPriority w:val="7"/>
    <w:semiHidden/>
    <w:qFormat/>
    <w:rsid w:val="006F5D3E"/>
    <w:pPr>
      <w:spacing w:before="120" w:after="120"/>
      <w:ind w:left="284"/>
      <w:jc w:val="both"/>
    </w:pPr>
  </w:style>
  <w:style w:type="character" w:customStyle="1" w:styleId="ECHRRed">
    <w:name w:val="ECHR_Red"/>
    <w:aliases w:val="_Red"/>
    <w:basedOn w:val="DefaultParagraphFont"/>
    <w:uiPriority w:val="15"/>
    <w:semiHidden/>
    <w:qFormat/>
    <w:rsid w:val="006F5D3E"/>
    <w:rPr>
      <w:color w:val="C00000" w:themeColor="accent2"/>
    </w:rPr>
  </w:style>
  <w:style w:type="paragraph" w:customStyle="1" w:styleId="DecList">
    <w:name w:val="Dec_List"/>
    <w:aliases w:val="_List"/>
    <w:basedOn w:val="JuList"/>
    <w:uiPriority w:val="22"/>
    <w:rsid w:val="006F5D3E"/>
    <w:pPr>
      <w:numPr>
        <w:numId w:val="0"/>
      </w:numPr>
      <w:ind w:left="284"/>
    </w:pPr>
  </w:style>
  <w:style w:type="table" w:customStyle="1" w:styleId="ECHRTable2">
    <w:name w:val="ECHR_Table_2"/>
    <w:basedOn w:val="TableNormal"/>
    <w:uiPriority w:val="99"/>
    <w:rsid w:val="006F5D3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F5D3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F5D3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F5D3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F5D3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F5D3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F5D3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F5D3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F5D3E"/>
    <w:pPr>
      <w:outlineLvl w:val="0"/>
    </w:pPr>
  </w:style>
  <w:style w:type="paragraph" w:customStyle="1" w:styleId="ECHRTitleTOC1">
    <w:name w:val="ECHR_Title_TOC_1"/>
    <w:aliases w:val="_Title_L_TOC"/>
    <w:basedOn w:val="ECHRTitle1"/>
    <w:next w:val="Normal"/>
    <w:uiPriority w:val="27"/>
    <w:semiHidden/>
    <w:qFormat/>
    <w:rsid w:val="006F5D3E"/>
    <w:pPr>
      <w:outlineLvl w:val="0"/>
    </w:pPr>
  </w:style>
  <w:style w:type="paragraph" w:customStyle="1" w:styleId="ECHRPlaceholder">
    <w:name w:val="ECHR_Placeholder"/>
    <w:aliases w:val="_Placeholder"/>
    <w:basedOn w:val="JuSigned"/>
    <w:uiPriority w:val="31"/>
    <w:rsid w:val="006F5D3E"/>
    <w:rPr>
      <w:color w:val="FFFFFF"/>
    </w:rPr>
  </w:style>
  <w:style w:type="paragraph" w:customStyle="1" w:styleId="ECHRSpacer">
    <w:name w:val="ECHR_Spacer"/>
    <w:aliases w:val="_Spacer"/>
    <w:basedOn w:val="Normal"/>
    <w:uiPriority w:val="45"/>
    <w:semiHidden/>
    <w:rsid w:val="006F5D3E"/>
    <w:rPr>
      <w:sz w:val="4"/>
    </w:rPr>
  </w:style>
  <w:style w:type="table" w:customStyle="1" w:styleId="ECHRTableGrey">
    <w:name w:val="ECHR_Table_Grey"/>
    <w:basedOn w:val="TableNormal"/>
    <w:uiPriority w:val="99"/>
    <w:rsid w:val="006F5D3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04089"/>
    <w:rPr>
      <w:sz w:val="24"/>
      <w:szCs w:val="24"/>
      <w:lang w:val="en-GB"/>
    </w:rPr>
  </w:style>
  <w:style w:type="character" w:customStyle="1" w:styleId="JuNames0">
    <w:name w:val="Ju_Names"/>
    <w:rsid w:val="00004089"/>
    <w:rPr>
      <w:smallCaps/>
    </w:rPr>
  </w:style>
  <w:style w:type="paragraph" w:customStyle="1" w:styleId="JuList4">
    <w:name w:val="Ju_List_4"/>
    <w:aliases w:val="N_Bul_4"/>
    <w:basedOn w:val="JuListi"/>
    <w:uiPriority w:val="19"/>
    <w:rsid w:val="00004089"/>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
    <w:name w:val="Grid Table 1 Light"/>
    <w:basedOn w:val="TableNormal"/>
    <w:uiPriority w:val="46"/>
    <w:semiHidden/>
    <w:rsid w:val="000040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0408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numbering" w:customStyle="1" w:styleId="ECHRA1StyleNumberedList1">
    <w:name w:val="ECHR_A1_Style_Numbered_List1"/>
    <w:basedOn w:val="NoList"/>
    <w:rsid w:val="00004089"/>
  </w:style>
  <w:style w:type="numbering" w:customStyle="1" w:styleId="ECHRA1StyleNumberedList2">
    <w:name w:val="ECHR_A1_Style_Numbered_List2"/>
    <w:basedOn w:val="NoList"/>
    <w:rsid w:val="00004089"/>
  </w:style>
  <w:style w:type="table" w:styleId="GridTable1Light-Accent2">
    <w:name w:val="Grid Table 1 Light Accent 2"/>
    <w:basedOn w:val="TableNormal"/>
    <w:uiPriority w:val="46"/>
    <w:semiHidden/>
    <w:rsid w:val="0000408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0408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0408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0408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0408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040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0408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00408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00408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00408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00408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00408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0040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0408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00408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00408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00408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00408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00408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0040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0408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00408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00408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00408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00408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00408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004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0040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0408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00408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00408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00408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00408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00408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0040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0408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00408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00408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00408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00408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00408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004089"/>
    <w:rPr>
      <w:color w:val="2B579A"/>
      <w:shd w:val="clear" w:color="auto" w:fill="E1DFDD"/>
    </w:rPr>
  </w:style>
  <w:style w:type="table" w:styleId="ListTable1Light">
    <w:name w:val="List Table 1 Light"/>
    <w:basedOn w:val="TableNormal"/>
    <w:uiPriority w:val="46"/>
    <w:semiHidden/>
    <w:rsid w:val="000040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0408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00408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00408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00408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00408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00408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00408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0408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00408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00408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00408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00408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00408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0040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0408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00408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00408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00408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00408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00408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0040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0408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00408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00408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00408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00408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00408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00408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0408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0408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0408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0408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0408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0408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0408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0408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00408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00408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00408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00408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00408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0040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0408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0408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0408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0408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0408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0408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004089"/>
    <w:rPr>
      <w:color w:val="2B579A"/>
      <w:shd w:val="clear" w:color="auto" w:fill="E1DFDD"/>
    </w:rPr>
  </w:style>
  <w:style w:type="table" w:styleId="PlainTable1">
    <w:name w:val="Plain Table 1"/>
    <w:basedOn w:val="TableNormal"/>
    <w:uiPriority w:val="41"/>
    <w:semiHidden/>
    <w:rsid w:val="0000408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0040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040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040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0040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004089"/>
    <w:rPr>
      <w:u w:val="dotted"/>
    </w:rPr>
  </w:style>
  <w:style w:type="character" w:customStyle="1" w:styleId="SmartLink">
    <w:name w:val="Smart Link"/>
    <w:basedOn w:val="DefaultParagraphFont"/>
    <w:uiPriority w:val="99"/>
    <w:semiHidden/>
    <w:unhideWhenUsed/>
    <w:rsid w:val="00004089"/>
    <w:rPr>
      <w:color w:val="0000FF"/>
      <w:u w:val="single"/>
      <w:shd w:val="clear" w:color="auto" w:fill="F3F2F1"/>
    </w:rPr>
  </w:style>
  <w:style w:type="table" w:styleId="TableGridLight">
    <w:name w:val="Grid Table Light"/>
    <w:basedOn w:val="TableNormal"/>
    <w:uiPriority w:val="40"/>
    <w:semiHidden/>
    <w:rsid w:val="0000408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00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A51EF-A9DA-4012-A4D5-5F59B39D746D}">
  <ds:schemaRefs>
    <ds:schemaRef ds:uri="http://schemas.openxmlformats.org/officeDocument/2006/bibliography"/>
  </ds:schemaRefs>
</ds:datastoreItem>
</file>

<file path=customXml/itemProps2.xml><?xml version="1.0" encoding="utf-8"?>
<ds:datastoreItem xmlns:ds="http://schemas.openxmlformats.org/officeDocument/2006/customXml" ds:itemID="{E250A161-09FF-4B41-AE3B-7B2FB83455B7}"/>
</file>

<file path=customXml/itemProps3.xml><?xml version="1.0" encoding="utf-8"?>
<ds:datastoreItem xmlns:ds="http://schemas.openxmlformats.org/officeDocument/2006/customXml" ds:itemID="{D8AC28C7-8233-4C24-94E7-95DAC6739788}"/>
</file>

<file path=customXml/itemProps4.xml><?xml version="1.0" encoding="utf-8"?>
<ds:datastoreItem xmlns:ds="http://schemas.openxmlformats.org/officeDocument/2006/customXml" ds:itemID="{D5DA8F14-B73D-449F-AB4D-0FF85A7F6A39}"/>
</file>

<file path=docProps/app.xml><?xml version="1.0" encoding="utf-8"?>
<Properties xmlns="http://schemas.openxmlformats.org/officeDocument/2006/extended-properties" xmlns:vt="http://schemas.openxmlformats.org/officeDocument/2006/docPropsVTypes">
  <Template>Normal.dotm</Template>
  <TotalTime>0</TotalTime>
  <Pages>1</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2021-09-23T07:50:00Z</dcterms:created>
  <dcterms:modified xsi:type="dcterms:W3CDTF">2021-09-23T07:50:00Z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67141/14</vt:lpwstr>
  </property>
  <property fmtid="{D5CDD505-2E9C-101B-9397-08002B2CF9AE}" pid="4" name="CASEID">
    <vt:lpwstr>1078819</vt:lpwstr>
  </property>
  <property fmtid="{D5CDD505-2E9C-101B-9397-08002B2CF9AE}" pid="5" name="ContentTypeId">
    <vt:lpwstr>0x010100558EB02BDB9E204AB350EDD385B68E10</vt:lpwstr>
  </property>
</Properties>
</file>