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C4EB9" w:rsidR="00C538CD" w:rsidP="002C4EB9" w:rsidRDefault="00C538CD" w14:paraId="3E1EF21F" w14:textId="77777777">
      <w:pPr>
        <w:jc w:val="center"/>
        <w:rPr>
          <w:rFonts w:ascii="Times New Roman" w:hAnsi="Times New Roman" w:cs="Times New Roman"/>
          <w:noProof/>
        </w:rPr>
      </w:pPr>
    </w:p>
    <w:p w:rsidRPr="002C4EB9" w:rsidR="0098410D" w:rsidP="002C4EB9" w:rsidRDefault="0098410D" w14:paraId="3B9CE652" w14:textId="77777777">
      <w:pPr>
        <w:jc w:val="center"/>
      </w:pPr>
    </w:p>
    <w:p w:rsidRPr="002C4EB9" w:rsidR="0098410D" w:rsidP="002C4EB9" w:rsidRDefault="00C538CD" w14:paraId="0D3CA259" w14:textId="68C01796">
      <w:pPr>
        <w:pStyle w:val="DecHTitle"/>
      </w:pPr>
      <w:r w:rsidRPr="002C4EB9">
        <w:t>FIRST SECTION</w:t>
      </w:r>
    </w:p>
    <w:p w:rsidRPr="002C4EB9" w:rsidR="008E6217" w:rsidP="002C4EB9" w:rsidRDefault="008E6217" w14:paraId="6A2CD98A" w14:textId="701FAB6F">
      <w:pPr>
        <w:pStyle w:val="JuTitle"/>
      </w:pPr>
      <w:bookmarkStart w:name="To" w:id="0"/>
      <w:r w:rsidRPr="002C4EB9">
        <w:rPr>
          <w:color w:val="000000" w:themeColor="text1"/>
        </w:rPr>
        <w:t xml:space="preserve">CASE OF </w:t>
      </w:r>
      <w:bookmarkEnd w:id="0"/>
      <w:r w:rsidRPr="002C4EB9" w:rsidR="00C538CD">
        <w:t>ŽIC v. CROATIA</w:t>
      </w:r>
    </w:p>
    <w:p w:rsidRPr="002C4EB9" w:rsidR="00D74888" w:rsidP="002C4EB9" w:rsidRDefault="008E6217" w14:paraId="55A27F96" w14:textId="1FCDF276">
      <w:pPr>
        <w:pStyle w:val="ECHRCoverTitle4"/>
      </w:pPr>
      <w:r w:rsidRPr="002C4EB9">
        <w:t>(</w:t>
      </w:r>
      <w:r w:rsidRPr="002C4EB9" w:rsidR="00354832">
        <w:t>Applications nos. 54115/15, 193/16 and 398/16</w:t>
      </w:r>
      <w:r w:rsidRPr="002C4EB9">
        <w:t>)</w:t>
      </w:r>
    </w:p>
    <w:p w:rsidRPr="002C4EB9" w:rsidR="0098410D" w:rsidP="002C4EB9" w:rsidRDefault="0098410D" w14:paraId="56059261" w14:textId="77777777">
      <w:pPr>
        <w:pStyle w:val="DecHCase"/>
      </w:pPr>
    </w:p>
    <w:p w:rsidRPr="002C4EB9" w:rsidR="0098410D" w:rsidP="002C4EB9" w:rsidRDefault="0098410D" w14:paraId="2ECD7ADE" w14:textId="77777777">
      <w:pPr>
        <w:pStyle w:val="DecHCase"/>
      </w:pPr>
    </w:p>
    <w:p w:rsidRPr="002C4EB9" w:rsidR="00AC4CD4" w:rsidP="002C4EB9" w:rsidRDefault="00AC4CD4" w14:paraId="1BEF5225" w14:textId="77777777">
      <w:pPr>
        <w:pStyle w:val="DecHCase"/>
      </w:pPr>
    </w:p>
    <w:p w:rsidRPr="002C4EB9" w:rsidR="0098410D" w:rsidP="002C4EB9" w:rsidRDefault="0098410D" w14:paraId="472F1175" w14:textId="77777777">
      <w:pPr>
        <w:pStyle w:val="DecHCase"/>
      </w:pPr>
    </w:p>
    <w:p w:rsidRPr="002C4EB9" w:rsidR="0098410D" w:rsidP="002C4EB9" w:rsidRDefault="0098410D" w14:paraId="73BDA24C" w14:textId="1399C13E">
      <w:pPr>
        <w:pStyle w:val="DecHCase"/>
      </w:pPr>
      <w:r w:rsidRPr="002C4EB9">
        <w:t>JUDGMENT</w:t>
      </w:r>
      <w:r w:rsidRPr="002C4EB9" w:rsidR="00AC4CD4">
        <w:br/>
      </w:r>
    </w:p>
    <w:p w:rsidRPr="002C4EB9" w:rsidR="0098410D" w:rsidP="002C4EB9" w:rsidRDefault="0098410D" w14:paraId="4D0833EC" w14:textId="77777777">
      <w:pPr>
        <w:pStyle w:val="DecHCase"/>
      </w:pPr>
      <w:r w:rsidRPr="002C4EB9">
        <w:t>STRASBOURG</w:t>
      </w:r>
    </w:p>
    <w:p w:rsidRPr="002C4EB9" w:rsidR="0098410D" w:rsidP="002C4EB9" w:rsidRDefault="00C538CD" w14:paraId="4EBCB761" w14:textId="1E3E064B">
      <w:pPr>
        <w:pStyle w:val="DecHCase"/>
      </w:pPr>
      <w:r w:rsidRPr="002C4EB9">
        <w:rPr>
          <w:rFonts w:ascii="Times New Roman" w:hAnsi="Times New Roman" w:cs="Times New Roman"/>
        </w:rPr>
        <w:t>19 May 2022</w:t>
      </w:r>
    </w:p>
    <w:p w:rsidRPr="002C4EB9" w:rsidR="00AC4CD4" w:rsidP="002C4EB9" w:rsidRDefault="00AC4CD4" w14:paraId="38D3EB7D" w14:textId="77777777">
      <w:pPr>
        <w:pStyle w:val="JuPara"/>
      </w:pPr>
    </w:p>
    <w:p w:rsidRPr="002C4EB9" w:rsidR="002422B6" w:rsidP="002C4EB9" w:rsidRDefault="0098410D" w14:paraId="34FDFFCA" w14:textId="4F508B0A">
      <w:pPr>
        <w:rPr>
          <w:i/>
          <w:sz w:val="22"/>
        </w:rPr>
      </w:pPr>
      <w:r w:rsidRPr="002C4EB9">
        <w:rPr>
          <w:i/>
          <w:sz w:val="22"/>
        </w:rPr>
        <w:t xml:space="preserve">This judgment </w:t>
      </w:r>
      <w:r w:rsidRPr="002C4EB9" w:rsidR="00C538CD">
        <w:rPr>
          <w:i/>
          <w:noProof/>
          <w:sz w:val="22"/>
        </w:rPr>
        <w:t>is final but it</w:t>
      </w:r>
      <w:r w:rsidRPr="002C4EB9">
        <w:rPr>
          <w:i/>
          <w:sz w:val="22"/>
        </w:rPr>
        <w:t xml:space="preserve"> may be subject to editorial revision.</w:t>
      </w:r>
    </w:p>
    <w:p w:rsidRPr="002C4EB9" w:rsidR="0098410D" w:rsidP="002C4EB9" w:rsidRDefault="0098410D" w14:paraId="0F4AB902" w14:textId="77777777">
      <w:pPr>
        <w:sectPr w:rsidRPr="002C4EB9" w:rsidR="0098410D"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2C4EB9" w:rsidR="0098410D" w:rsidP="002C4EB9" w:rsidRDefault="0098410D" w14:paraId="40A84649" w14:textId="033F18F0">
      <w:pPr>
        <w:pStyle w:val="JuCase"/>
      </w:pPr>
      <w:r w:rsidRPr="002C4EB9">
        <w:t xml:space="preserve">In the case of </w:t>
      </w:r>
      <w:proofErr w:type="spellStart"/>
      <w:r w:rsidRPr="002C4EB9" w:rsidR="00C538CD">
        <w:t>Žic</w:t>
      </w:r>
      <w:proofErr w:type="spellEnd"/>
      <w:r w:rsidRPr="002C4EB9" w:rsidR="00C538CD">
        <w:t xml:space="preserve"> v. Croatia</w:t>
      </w:r>
      <w:r w:rsidRPr="002C4EB9">
        <w:t>,</w:t>
      </w:r>
    </w:p>
    <w:p w:rsidRPr="002C4EB9" w:rsidR="009F4C8F" w:rsidP="002C4EB9" w:rsidRDefault="009F4C8F" w14:paraId="129D4014" w14:textId="5C9B979F">
      <w:pPr>
        <w:pStyle w:val="JuPara"/>
      </w:pPr>
      <w:r w:rsidRPr="002C4EB9">
        <w:t>The European Court of Human Rights (</w:t>
      </w:r>
      <w:r w:rsidRPr="002C4EB9" w:rsidR="00C538CD">
        <w:t>First Section</w:t>
      </w:r>
      <w:r w:rsidRPr="002C4EB9">
        <w:t xml:space="preserve">), sitting as a </w:t>
      </w:r>
      <w:r w:rsidRPr="002C4EB9" w:rsidR="00C538CD">
        <w:rPr>
          <w:noProof/>
        </w:rPr>
        <w:t>Committee</w:t>
      </w:r>
      <w:r w:rsidRPr="002C4EB9">
        <w:t xml:space="preserve"> composed of:</w:t>
      </w:r>
    </w:p>
    <w:p w:rsidRPr="002C4EB9" w:rsidR="009F4C8F" w:rsidP="002C4EB9" w:rsidRDefault="00943CE1" w14:paraId="35B005C6" w14:textId="20C1C7EA">
      <w:pPr>
        <w:pStyle w:val="JuJudges"/>
      </w:pPr>
      <w:r w:rsidRPr="002C4EB9">
        <w:tab/>
      </w:r>
      <w:proofErr w:type="spellStart"/>
      <w:r w:rsidRPr="002C4EB9">
        <w:t>Péter</w:t>
      </w:r>
      <w:proofErr w:type="spellEnd"/>
      <w:r w:rsidRPr="002C4EB9">
        <w:t xml:space="preserve"> Paczolay,</w:t>
      </w:r>
      <w:r w:rsidRPr="002C4EB9">
        <w:rPr>
          <w:i/>
        </w:rPr>
        <w:t xml:space="preserve"> President,</w:t>
      </w:r>
      <w:r w:rsidRPr="002C4EB9">
        <w:rPr>
          <w:i/>
        </w:rPr>
        <w:br/>
      </w:r>
      <w:r w:rsidRPr="002C4EB9">
        <w:tab/>
        <w:t xml:space="preserve">Alena </w:t>
      </w:r>
      <w:proofErr w:type="spellStart"/>
      <w:r w:rsidRPr="002C4EB9">
        <w:t>Poláčková</w:t>
      </w:r>
      <w:proofErr w:type="spellEnd"/>
      <w:r w:rsidRPr="002C4EB9">
        <w:t>,</w:t>
      </w:r>
      <w:r w:rsidRPr="002C4EB9">
        <w:rPr>
          <w:i/>
        </w:rPr>
        <w:br/>
      </w:r>
      <w:r w:rsidRPr="002C4EB9">
        <w:tab/>
        <w:t xml:space="preserve">Davor </w:t>
      </w:r>
      <w:proofErr w:type="spellStart"/>
      <w:r w:rsidRPr="002C4EB9">
        <w:t>Derenčinović</w:t>
      </w:r>
      <w:proofErr w:type="spellEnd"/>
      <w:r w:rsidRPr="002C4EB9">
        <w:t>,</w:t>
      </w:r>
      <w:r w:rsidRPr="002C4EB9">
        <w:rPr>
          <w:i/>
        </w:rPr>
        <w:t xml:space="preserve"> judges,</w:t>
      </w:r>
      <w:r w:rsidRPr="002C4EB9" w:rsidR="009F4C8F">
        <w:br/>
        <w:t xml:space="preserve">and </w:t>
      </w:r>
      <w:r w:rsidRPr="002C4EB9" w:rsidR="00C538CD">
        <w:rPr>
          <w:noProof/>
        </w:rPr>
        <w:t>Liv Tigerstedt</w:t>
      </w:r>
      <w:r w:rsidRPr="002C4EB9" w:rsidR="009F4C8F">
        <w:t xml:space="preserve">, </w:t>
      </w:r>
      <w:r w:rsidRPr="002C4EB9" w:rsidR="00C538CD">
        <w:rPr>
          <w:i/>
          <w:noProof/>
        </w:rPr>
        <w:t xml:space="preserve">Deputy Section </w:t>
      </w:r>
      <w:r w:rsidRPr="002C4EB9" w:rsidR="00C538CD">
        <w:rPr>
          <w:i/>
          <w:iCs/>
          <w:noProof/>
        </w:rPr>
        <w:t>Registrar</w:t>
      </w:r>
      <w:r w:rsidRPr="002C4EB9" w:rsidR="009F4C8F">
        <w:rPr>
          <w:i/>
        </w:rPr>
        <w:t>,</w:t>
      </w:r>
    </w:p>
    <w:p w:rsidRPr="002C4EB9" w:rsidR="00C538CD" w:rsidP="002C4EB9" w:rsidRDefault="00C538CD" w14:paraId="3CDA53D9" w14:textId="77777777">
      <w:pPr>
        <w:pStyle w:val="JuPara"/>
      </w:pPr>
      <w:r w:rsidRPr="002C4EB9">
        <w:t>Having regard to:</w:t>
      </w:r>
    </w:p>
    <w:p w:rsidRPr="002C4EB9" w:rsidR="00C538CD" w:rsidP="002C4EB9" w:rsidRDefault="00C538CD" w14:paraId="1ECF7A49" w14:textId="77777777">
      <w:pPr>
        <w:pStyle w:val="JuPara"/>
      </w:pPr>
      <w:r w:rsidRPr="002C4EB9">
        <w:t xml:space="preserve">the applications (nos. 54115/15, 193/16 and 398/16) against the Republic of Croatia lodged with the Court under Article 34 of the Convention for the Protection of Human Rights and Fundamental Freedoms (“the Convention”) on 27 October, 10 December and 29 December 2015 respectively by a Croatian national, Ms </w:t>
      </w:r>
      <w:proofErr w:type="spellStart"/>
      <w:r w:rsidRPr="002C4EB9">
        <w:t>Seadeta</w:t>
      </w:r>
      <w:proofErr w:type="spellEnd"/>
      <w:r w:rsidRPr="002C4EB9">
        <w:t xml:space="preserve"> </w:t>
      </w:r>
      <w:proofErr w:type="spellStart"/>
      <w:r w:rsidRPr="002C4EB9">
        <w:t>Žic</w:t>
      </w:r>
      <w:proofErr w:type="spellEnd"/>
      <w:r w:rsidRPr="002C4EB9">
        <w:t xml:space="preserve">, born in 1955 and living in Rijeka (“the applicant”) who was represented by Mr M. </w:t>
      </w:r>
      <w:proofErr w:type="spellStart"/>
      <w:r w:rsidRPr="002C4EB9">
        <w:t>Zrilić</w:t>
      </w:r>
      <w:proofErr w:type="spellEnd"/>
      <w:r w:rsidRPr="002C4EB9">
        <w:t>, a lawyer practicing in Rijeka;</w:t>
      </w:r>
    </w:p>
    <w:p w:rsidRPr="002C4EB9" w:rsidR="00C538CD" w:rsidP="002C4EB9" w:rsidRDefault="00C538CD" w14:paraId="1892FCD1" w14:textId="1FC66188">
      <w:pPr>
        <w:pStyle w:val="JuPara"/>
      </w:pPr>
      <w:r w:rsidRPr="002C4EB9">
        <w:t xml:space="preserve">the decision to give notice to the Croatian Government (“the Government”), represented by their Agent, Mrs Š. </w:t>
      </w:r>
      <w:proofErr w:type="spellStart"/>
      <w:r w:rsidRPr="002C4EB9">
        <w:t>Stažnik</w:t>
      </w:r>
      <w:proofErr w:type="spellEnd"/>
      <w:r w:rsidRPr="002C4EB9">
        <w:t>, of the complaints concerning the applicant</w:t>
      </w:r>
      <w:r w:rsidRPr="002C4EB9" w:rsidR="002C4EB9">
        <w:t>’</w:t>
      </w:r>
      <w:r w:rsidRPr="002C4EB9">
        <w:t>s inability to have an enforcement title against a local authority executed, the breach of the principle of legal certainty and the domestic courts</w:t>
      </w:r>
      <w:r w:rsidRPr="002C4EB9" w:rsidR="002C4EB9">
        <w:t>’</w:t>
      </w:r>
      <w:r w:rsidRPr="002C4EB9">
        <w:t xml:space="preserve"> refusal to award her salary arrears and to declare inadmissible the remainder of the applications;</w:t>
      </w:r>
    </w:p>
    <w:p w:rsidRPr="002C4EB9" w:rsidR="00C538CD" w:rsidP="002C4EB9" w:rsidRDefault="00C538CD" w14:paraId="59F99D8A" w14:textId="2A66F049">
      <w:pPr>
        <w:pStyle w:val="JuPara"/>
      </w:pPr>
      <w:r w:rsidRPr="002C4EB9">
        <w:t>the parties</w:t>
      </w:r>
      <w:r w:rsidRPr="002C4EB9" w:rsidR="002C4EB9">
        <w:t>’</w:t>
      </w:r>
      <w:r w:rsidRPr="002C4EB9">
        <w:t xml:space="preserve"> observations;</w:t>
      </w:r>
    </w:p>
    <w:p w:rsidRPr="002C4EB9" w:rsidR="009F4C8F" w:rsidP="002C4EB9" w:rsidRDefault="009F4C8F" w14:paraId="581D9923" w14:textId="22B5803F">
      <w:pPr>
        <w:pStyle w:val="JuPara"/>
      </w:pPr>
      <w:r w:rsidRPr="002C4EB9">
        <w:t xml:space="preserve">Having deliberated in private on </w:t>
      </w:r>
      <w:r w:rsidRPr="002C4EB9" w:rsidR="00C538CD">
        <w:t>26 April 2022</w:t>
      </w:r>
      <w:r w:rsidRPr="002C4EB9">
        <w:t>,</w:t>
      </w:r>
    </w:p>
    <w:p w:rsidRPr="002C4EB9" w:rsidR="009F4C8F" w:rsidP="002C4EB9" w:rsidRDefault="009F4C8F" w14:paraId="0288C409" w14:textId="77777777">
      <w:pPr>
        <w:pStyle w:val="JuPara"/>
      </w:pPr>
      <w:r w:rsidRPr="002C4EB9">
        <w:t>Delivers the following judgment, which was adopted on that date:</w:t>
      </w:r>
    </w:p>
    <w:p w:rsidRPr="002C4EB9" w:rsidR="00C538CD" w:rsidP="002C4EB9" w:rsidRDefault="00C538CD" w14:paraId="53D54B76" w14:textId="573E1524">
      <w:pPr>
        <w:pStyle w:val="JuHHead"/>
        <w:numPr>
          <w:ilvl w:val="0"/>
          <w:numId w:val="0"/>
        </w:numPr>
      </w:pPr>
      <w:r w:rsidRPr="002C4EB9">
        <w:t>SUBJECT MATTER OF THE CASE</w:t>
      </w:r>
    </w:p>
    <w:p w:rsidRPr="002C4EB9" w:rsidR="00C538CD" w:rsidP="002C4EB9" w:rsidRDefault="00B60196" w14:paraId="38BCBE91" w14:textId="54F12AC4">
      <w:pPr>
        <w:pStyle w:val="JuPara"/>
      </w:pPr>
      <w:r>
        <w:rPr>
          <w:noProof/>
        </w:rPr>
        <w:fldChar w:fldCharType="begin"/>
      </w:r>
      <w:r>
        <w:rPr>
          <w:noProof/>
        </w:rPr>
        <w:instrText xml:space="preserve"> SEQ level0 \*arabic \* MERGEFORMAT </w:instrText>
      </w:r>
      <w:r>
        <w:rPr>
          <w:noProof/>
        </w:rPr>
        <w:fldChar w:fldCharType="separate"/>
      </w:r>
      <w:r w:rsidRPr="002C4EB9" w:rsidR="002C4EB9">
        <w:rPr>
          <w:noProof/>
        </w:rPr>
        <w:t>1</w:t>
      </w:r>
      <w:r>
        <w:rPr>
          <w:noProof/>
        </w:rPr>
        <w:fldChar w:fldCharType="end"/>
      </w:r>
      <w:r w:rsidRPr="002C4EB9" w:rsidR="00C538CD">
        <w:t>.  The case concerns the applicant</w:t>
      </w:r>
      <w:r w:rsidRPr="002C4EB9" w:rsidR="002C4EB9">
        <w:t>’</w:t>
      </w:r>
      <w:r w:rsidRPr="002C4EB9" w:rsidR="00C538CD">
        <w:t>s inability to have an enforcement title against a local authority executed and to obtain salary arrears.</w:t>
      </w:r>
    </w:p>
    <w:p w:rsidRPr="002C4EB9" w:rsidR="00C538CD" w:rsidP="002C4EB9" w:rsidRDefault="00B60196" w14:paraId="7D6D53AA" w14:textId="1231A215">
      <w:pPr>
        <w:pStyle w:val="JuPara"/>
      </w:pPr>
      <w:r>
        <w:rPr>
          <w:noProof/>
        </w:rPr>
        <w:fldChar w:fldCharType="begin"/>
      </w:r>
      <w:r>
        <w:rPr>
          <w:noProof/>
        </w:rPr>
        <w:instrText xml:space="preserve"> SEQ level0 \*arabic \* MERGEFORMAT </w:instrText>
      </w:r>
      <w:r>
        <w:rPr>
          <w:noProof/>
        </w:rPr>
        <w:fldChar w:fldCharType="separate"/>
      </w:r>
      <w:r w:rsidRPr="002C4EB9" w:rsidR="002C4EB9">
        <w:rPr>
          <w:noProof/>
        </w:rPr>
        <w:t>2</w:t>
      </w:r>
      <w:r>
        <w:rPr>
          <w:noProof/>
        </w:rPr>
        <w:fldChar w:fldCharType="end"/>
      </w:r>
      <w:r w:rsidRPr="002C4EB9" w:rsidR="00C538CD">
        <w:t>.  The applicant worked for the Rijeka Municipality until 1991, when she was made redundant. On 29 July 1992 she obtained a judgment against the Municipality ordering her reinstatement. The judgment became final on 10</w:t>
      </w:r>
      <w:r w:rsidRPr="002C4EB9" w:rsidR="00943CE1">
        <w:t> </w:t>
      </w:r>
      <w:r w:rsidRPr="002C4EB9" w:rsidR="00C538CD">
        <w:t>February 1993 and enforceable on 18 March 1993.</w:t>
      </w:r>
    </w:p>
    <w:p w:rsidRPr="002C4EB9" w:rsidR="00C538CD" w:rsidP="002C4EB9" w:rsidRDefault="00B60196" w14:paraId="49FFE8FB" w14:textId="10528BD5">
      <w:pPr>
        <w:pStyle w:val="JuPara"/>
      </w:pPr>
      <w:r>
        <w:rPr>
          <w:noProof/>
        </w:rPr>
        <w:fldChar w:fldCharType="begin"/>
      </w:r>
      <w:r>
        <w:rPr>
          <w:noProof/>
        </w:rPr>
        <w:instrText xml:space="preserve"> SEQ level0 \*arabic \* MERGEFORMAT </w:instrText>
      </w:r>
      <w:r>
        <w:rPr>
          <w:noProof/>
        </w:rPr>
        <w:fldChar w:fldCharType="separate"/>
      </w:r>
      <w:r w:rsidRPr="002C4EB9" w:rsidR="002C4EB9">
        <w:rPr>
          <w:noProof/>
        </w:rPr>
        <w:t>3</w:t>
      </w:r>
      <w:r>
        <w:rPr>
          <w:noProof/>
        </w:rPr>
        <w:fldChar w:fldCharType="end"/>
      </w:r>
      <w:r w:rsidRPr="002C4EB9" w:rsidR="00C538CD">
        <w:t xml:space="preserve">.  Meanwhile, on 30 December 1992, following a reorganisation of local government in Croatia, the Municipality ceased to exist, and its powers were transferred to the newly founded local government units the Rijeka Township and the </w:t>
      </w:r>
      <w:proofErr w:type="spellStart"/>
      <w:r w:rsidRPr="002C4EB9" w:rsidR="00C538CD">
        <w:t>Primorsko-Goranska</w:t>
      </w:r>
      <w:proofErr w:type="spellEnd"/>
      <w:r w:rsidRPr="002C4EB9" w:rsidR="00C538CD">
        <w:t xml:space="preserve"> County.</w:t>
      </w:r>
    </w:p>
    <w:p w:rsidRPr="002C4EB9" w:rsidR="00C538CD" w:rsidP="002C4EB9" w:rsidRDefault="00B60196" w14:paraId="30244DD5" w14:textId="6C6EE263">
      <w:pPr>
        <w:pStyle w:val="JuPara"/>
      </w:pPr>
      <w:r>
        <w:rPr>
          <w:noProof/>
        </w:rPr>
        <w:fldChar w:fldCharType="begin"/>
      </w:r>
      <w:r>
        <w:rPr>
          <w:noProof/>
        </w:rPr>
        <w:instrText xml:space="preserve"> SEQ level0 \*arabic \* MERGEFORMAT </w:instrText>
      </w:r>
      <w:r>
        <w:rPr>
          <w:noProof/>
        </w:rPr>
        <w:fldChar w:fldCharType="separate"/>
      </w:r>
      <w:r w:rsidRPr="002C4EB9" w:rsidR="002C4EB9">
        <w:rPr>
          <w:noProof/>
        </w:rPr>
        <w:t>4</w:t>
      </w:r>
      <w:r>
        <w:rPr>
          <w:noProof/>
        </w:rPr>
        <w:fldChar w:fldCharType="end"/>
      </w:r>
      <w:r w:rsidRPr="002C4EB9" w:rsidR="00C538CD">
        <w:t>.  The applicant instituted three sets of proceedings where the first one concerns (non-)enforcement of the principal judgment and the remaining two concern payment of salary arrears.</w:t>
      </w:r>
    </w:p>
    <w:p w:rsidRPr="002C4EB9" w:rsidR="00C538CD" w:rsidP="002C4EB9" w:rsidRDefault="00C538CD" w14:paraId="7BCAB7B2" w14:textId="77777777">
      <w:pPr>
        <w:pStyle w:val="JuHIRoman"/>
        <w:rPr>
          <w:rFonts w:eastAsiaTheme="minorHAnsi"/>
        </w:rPr>
      </w:pPr>
      <w:r w:rsidRPr="002C4EB9">
        <w:t>Enforcement proceedings</w:t>
      </w:r>
    </w:p>
    <w:p w:rsidRPr="002C4EB9" w:rsidR="00C538CD" w:rsidP="002C4EB9" w:rsidRDefault="00C538CD" w14:paraId="2AF62745" w14:textId="22A3E198">
      <w:pPr>
        <w:pStyle w:val="JuPara"/>
        <w:rPr>
          <w:rFonts w:eastAsiaTheme="minorEastAsia"/>
        </w:rPr>
      </w:pPr>
      <w:r w:rsidRPr="002C4EB9">
        <w:rPr>
          <w:rFonts w:eastAsiaTheme="minorEastAsia"/>
        </w:rPr>
        <w:fldChar w:fldCharType="begin"/>
      </w:r>
      <w:r w:rsidRPr="002C4EB9">
        <w:rPr>
          <w:rFonts w:eastAsiaTheme="minorEastAsia"/>
        </w:rPr>
        <w:instrText xml:space="preserve"> SEQ level0 \*arabic \* MERGEFORMAT </w:instrText>
      </w:r>
      <w:r w:rsidRPr="002C4EB9">
        <w:rPr>
          <w:rFonts w:eastAsiaTheme="minorEastAsia"/>
        </w:rPr>
        <w:fldChar w:fldCharType="separate"/>
      </w:r>
      <w:r w:rsidRPr="002C4EB9" w:rsidR="002C4EB9">
        <w:rPr>
          <w:rFonts w:eastAsiaTheme="minorEastAsia"/>
          <w:noProof/>
        </w:rPr>
        <w:t>5</w:t>
      </w:r>
      <w:r w:rsidRPr="002C4EB9">
        <w:rPr>
          <w:rFonts w:eastAsiaTheme="minorEastAsia"/>
        </w:rPr>
        <w:fldChar w:fldCharType="end"/>
      </w:r>
      <w:r w:rsidRPr="002C4EB9">
        <w:rPr>
          <w:rFonts w:eastAsiaTheme="minorEastAsia"/>
        </w:rPr>
        <w:t>.  On 8 September 1993 the applicant applied for the enforcement of the judgment of 29 July 1992 against the Township. On 22 July 1994 the enforcement court ordered the Township to reinstate the applicant.</w:t>
      </w:r>
    </w:p>
    <w:p w:rsidRPr="002C4EB9" w:rsidR="00C538CD" w:rsidP="002C4EB9" w:rsidRDefault="00C538CD" w14:paraId="404D426E" w14:textId="5187A30C">
      <w:pPr>
        <w:pStyle w:val="JuPara"/>
        <w:rPr>
          <w:rFonts w:eastAsiaTheme="minorEastAsia"/>
        </w:rPr>
      </w:pPr>
      <w:r w:rsidRPr="002C4EB9">
        <w:rPr>
          <w:rFonts w:eastAsiaTheme="minorEastAsia"/>
        </w:rPr>
        <w:fldChar w:fldCharType="begin"/>
      </w:r>
      <w:r w:rsidRPr="002C4EB9">
        <w:rPr>
          <w:rFonts w:eastAsiaTheme="minorEastAsia"/>
        </w:rPr>
        <w:instrText xml:space="preserve"> SEQ level0 \*arabic \* MERGEFORMAT </w:instrText>
      </w:r>
      <w:r w:rsidRPr="002C4EB9">
        <w:rPr>
          <w:rFonts w:eastAsiaTheme="minorEastAsia"/>
        </w:rPr>
        <w:fldChar w:fldCharType="separate"/>
      </w:r>
      <w:bookmarkStart w:name="paragraph00005" w:id="1"/>
      <w:r w:rsidRPr="002C4EB9" w:rsidR="002C4EB9">
        <w:rPr>
          <w:rFonts w:eastAsiaTheme="minorEastAsia"/>
          <w:noProof/>
        </w:rPr>
        <w:t>6</w:t>
      </w:r>
      <w:bookmarkEnd w:id="1"/>
      <w:r w:rsidRPr="002C4EB9">
        <w:rPr>
          <w:rFonts w:eastAsiaTheme="minorEastAsia"/>
        </w:rPr>
        <w:fldChar w:fldCharType="end"/>
      </w:r>
      <w:r w:rsidRPr="002C4EB9">
        <w:rPr>
          <w:rFonts w:eastAsiaTheme="minorEastAsia"/>
        </w:rPr>
        <w:t>.</w:t>
      </w:r>
      <w:r w:rsidRPr="002C4EB9" w:rsidR="00D5672F">
        <w:rPr>
          <w:rFonts w:eastAsiaTheme="minorEastAsia"/>
        </w:rPr>
        <w:t>  </w:t>
      </w:r>
      <w:r w:rsidRPr="002C4EB9">
        <w:rPr>
          <w:rFonts w:eastAsiaTheme="minorEastAsia"/>
        </w:rPr>
        <w:t>Upon a civil action by the Township, in 2002 the civil courts declared the enforcement inadmissible, finding that it was the County, and not the Township, which had succeeded the obligation to reinstate the applicant. On 3 June 2015 the Constitutional Court dismissed the applicant</w:t>
      </w:r>
      <w:r w:rsidRPr="002C4EB9" w:rsidR="002C4EB9">
        <w:rPr>
          <w:rFonts w:eastAsiaTheme="minorEastAsia"/>
        </w:rPr>
        <w:t>’</w:t>
      </w:r>
      <w:r w:rsidRPr="002C4EB9">
        <w:rPr>
          <w:rFonts w:eastAsiaTheme="minorEastAsia"/>
        </w:rPr>
        <w:t>s constitutional complaint.</w:t>
      </w:r>
    </w:p>
    <w:p w:rsidRPr="002C4EB9" w:rsidR="00C538CD" w:rsidP="002C4EB9" w:rsidRDefault="00C538CD" w14:paraId="6EFA50EC" w14:textId="77777777">
      <w:pPr>
        <w:pStyle w:val="JuHIRoman"/>
        <w:rPr>
          <w:rFonts w:eastAsiaTheme="minorEastAsia"/>
        </w:rPr>
      </w:pPr>
      <w:r w:rsidRPr="002C4EB9">
        <w:t>first set of civil proeedings for salary arrears</w:t>
      </w:r>
    </w:p>
    <w:bookmarkStart w:name="para8" w:id="2"/>
    <w:p w:rsidRPr="002C4EB9" w:rsidR="00C538CD" w:rsidP="002C4EB9" w:rsidRDefault="00C538CD" w14:paraId="13FF5B35" w14:textId="52854E3F">
      <w:pPr>
        <w:pStyle w:val="JuPara"/>
        <w:rPr>
          <w:rFonts w:eastAsiaTheme="minorEastAsia"/>
        </w:rPr>
      </w:pPr>
      <w:r w:rsidRPr="002C4EB9">
        <w:rPr>
          <w:rFonts w:eastAsiaTheme="minorEastAsia"/>
        </w:rPr>
        <w:fldChar w:fldCharType="begin"/>
      </w:r>
      <w:r w:rsidRPr="002C4EB9">
        <w:rPr>
          <w:rFonts w:eastAsiaTheme="minorEastAsia"/>
        </w:rPr>
        <w:instrText xml:space="preserve"> SEQ level0 \*arabic \* MERGEFORMAT </w:instrText>
      </w:r>
      <w:r w:rsidRPr="002C4EB9">
        <w:rPr>
          <w:rFonts w:eastAsiaTheme="minorEastAsia"/>
        </w:rPr>
        <w:fldChar w:fldCharType="separate"/>
      </w:r>
      <w:r w:rsidRPr="002C4EB9" w:rsidR="002C4EB9">
        <w:rPr>
          <w:rFonts w:eastAsiaTheme="minorEastAsia"/>
          <w:noProof/>
        </w:rPr>
        <w:t>7</w:t>
      </w:r>
      <w:r w:rsidRPr="002C4EB9">
        <w:rPr>
          <w:rFonts w:eastAsiaTheme="minorEastAsia"/>
        </w:rPr>
        <w:fldChar w:fldCharType="end"/>
      </w:r>
      <w:bookmarkEnd w:id="2"/>
      <w:r w:rsidRPr="002C4EB9">
        <w:rPr>
          <w:rFonts w:eastAsiaTheme="minorEastAsia"/>
        </w:rPr>
        <w:t>.  In 1993 the applicant instituted civil proceedings against the Township seeking payment of salary arrears for the period between 1 August 1991 and 1 January 1994. In 1995 the civil courts ruled in favour of the applicant and she received the entire amount of salary arrears awarded to her.</w:t>
      </w:r>
    </w:p>
    <w:bookmarkStart w:name="para9" w:id="3"/>
    <w:bookmarkStart w:name="para10" w:id="4"/>
    <w:p w:rsidRPr="002C4EB9" w:rsidR="00C538CD" w:rsidP="002C4EB9" w:rsidRDefault="00C538CD" w14:paraId="465AC244" w14:textId="2826AEFB">
      <w:pPr>
        <w:pStyle w:val="JuPara"/>
        <w:rPr>
          <w:rFonts w:eastAsiaTheme="minorEastAsia"/>
        </w:rPr>
      </w:pPr>
      <w:r w:rsidRPr="002C4EB9">
        <w:rPr>
          <w:rFonts w:eastAsiaTheme="minorEastAsia"/>
        </w:rPr>
        <w:fldChar w:fldCharType="begin"/>
      </w:r>
      <w:r w:rsidRPr="002C4EB9">
        <w:rPr>
          <w:rFonts w:eastAsiaTheme="minorEastAsia"/>
        </w:rPr>
        <w:instrText xml:space="preserve"> SEQ level0 \*arabic \* MERGEFORMAT </w:instrText>
      </w:r>
      <w:r w:rsidRPr="002C4EB9">
        <w:rPr>
          <w:rFonts w:eastAsiaTheme="minorEastAsia"/>
        </w:rPr>
        <w:fldChar w:fldCharType="separate"/>
      </w:r>
      <w:r w:rsidRPr="002C4EB9" w:rsidR="002C4EB9">
        <w:rPr>
          <w:rFonts w:eastAsiaTheme="minorEastAsia"/>
          <w:noProof/>
        </w:rPr>
        <w:t>8</w:t>
      </w:r>
      <w:r w:rsidRPr="002C4EB9">
        <w:rPr>
          <w:rFonts w:eastAsiaTheme="minorEastAsia"/>
        </w:rPr>
        <w:fldChar w:fldCharType="end"/>
      </w:r>
      <w:bookmarkEnd w:id="3"/>
      <w:bookmarkEnd w:id="4"/>
      <w:r w:rsidRPr="002C4EB9">
        <w:rPr>
          <w:rFonts w:eastAsiaTheme="minorEastAsia"/>
        </w:rPr>
        <w:t>.  However, following an appeal on points of law by the Township, in 1999 the Supreme Court quashed that judgment.</w:t>
      </w:r>
    </w:p>
    <w:p w:rsidRPr="002C4EB9" w:rsidR="00C538CD" w:rsidP="002C4EB9" w:rsidRDefault="00C538CD" w14:paraId="22DB8585" w14:textId="5FC4007E">
      <w:pPr>
        <w:pStyle w:val="JuPara"/>
        <w:rPr>
          <w:rFonts w:eastAsiaTheme="minorEastAsia"/>
        </w:rPr>
      </w:pPr>
      <w:r w:rsidRPr="002C4EB9">
        <w:rPr>
          <w:rFonts w:eastAsiaTheme="minorEastAsia"/>
        </w:rPr>
        <w:fldChar w:fldCharType="begin"/>
      </w:r>
      <w:r w:rsidRPr="002C4EB9">
        <w:rPr>
          <w:rFonts w:eastAsiaTheme="minorEastAsia"/>
        </w:rPr>
        <w:instrText xml:space="preserve"> SEQ level0 \*arabic \* MERGEFORMAT </w:instrText>
      </w:r>
      <w:r w:rsidRPr="002C4EB9">
        <w:rPr>
          <w:rFonts w:eastAsiaTheme="minorEastAsia"/>
        </w:rPr>
        <w:fldChar w:fldCharType="separate"/>
      </w:r>
      <w:r w:rsidRPr="002C4EB9" w:rsidR="002C4EB9">
        <w:rPr>
          <w:rFonts w:eastAsiaTheme="minorEastAsia"/>
          <w:noProof/>
        </w:rPr>
        <w:t>9</w:t>
      </w:r>
      <w:r w:rsidRPr="002C4EB9">
        <w:rPr>
          <w:rFonts w:eastAsiaTheme="minorEastAsia"/>
        </w:rPr>
        <w:fldChar w:fldCharType="end"/>
      </w:r>
      <w:r w:rsidRPr="002C4EB9">
        <w:rPr>
          <w:rFonts w:eastAsiaTheme="minorEastAsia"/>
        </w:rPr>
        <w:t>.  Meanwhile, in 1998, the applicant instituted another set of civil proceedings against the Township, seeking payment of salary arrears for the period from 1 September 1997 onwards. Following the Supreme Court</w:t>
      </w:r>
      <w:r w:rsidRPr="002C4EB9" w:rsidR="002C4EB9">
        <w:rPr>
          <w:rFonts w:eastAsiaTheme="minorEastAsia"/>
        </w:rPr>
        <w:t>’</w:t>
      </w:r>
      <w:r w:rsidRPr="002C4EB9">
        <w:rPr>
          <w:rFonts w:eastAsiaTheme="minorEastAsia"/>
        </w:rPr>
        <w:t>s decision of 1999, these proceedings were joined to those instituted in 1993.</w:t>
      </w:r>
    </w:p>
    <w:p w:rsidRPr="002C4EB9" w:rsidR="00C538CD" w:rsidP="002C4EB9" w:rsidRDefault="00C538CD" w14:paraId="5A9DF87C" w14:textId="10AD4392">
      <w:pPr>
        <w:pStyle w:val="JuPara"/>
        <w:rPr>
          <w:rFonts w:ascii="Times New Roman" w:hAnsi="Times New Roman" w:eastAsia="PMingLiU" w:cs="Times New Roman"/>
        </w:rPr>
      </w:pPr>
      <w:r w:rsidRPr="002C4EB9">
        <w:rPr>
          <w:rFonts w:eastAsiaTheme="minorEastAsia"/>
        </w:rPr>
        <w:fldChar w:fldCharType="begin"/>
      </w:r>
      <w:r w:rsidRPr="002C4EB9">
        <w:rPr>
          <w:rFonts w:eastAsiaTheme="minorEastAsia"/>
        </w:rPr>
        <w:instrText xml:space="preserve"> SEQ level0 \*arabic \* MERGEFORMAT </w:instrText>
      </w:r>
      <w:r w:rsidRPr="002C4EB9">
        <w:rPr>
          <w:rFonts w:eastAsiaTheme="minorEastAsia"/>
        </w:rPr>
        <w:fldChar w:fldCharType="separate"/>
      </w:r>
      <w:r w:rsidRPr="002C4EB9" w:rsidR="002C4EB9">
        <w:rPr>
          <w:rFonts w:eastAsiaTheme="minorEastAsia"/>
          <w:noProof/>
        </w:rPr>
        <w:t>10</w:t>
      </w:r>
      <w:r w:rsidRPr="002C4EB9">
        <w:rPr>
          <w:rFonts w:eastAsiaTheme="minorEastAsia"/>
        </w:rPr>
        <w:fldChar w:fldCharType="end"/>
      </w:r>
      <w:r w:rsidRPr="002C4EB9">
        <w:rPr>
          <w:rFonts w:eastAsiaTheme="minorEastAsia"/>
        </w:rPr>
        <w:t>.  In 2011 the civil courts dismissed the applicant</w:t>
      </w:r>
      <w:r w:rsidRPr="002C4EB9" w:rsidR="002C4EB9">
        <w:rPr>
          <w:rFonts w:eastAsiaTheme="minorEastAsia"/>
        </w:rPr>
        <w:t>’</w:t>
      </w:r>
      <w:r w:rsidRPr="002C4EB9">
        <w:rPr>
          <w:rFonts w:eastAsiaTheme="minorEastAsia"/>
        </w:rPr>
        <w:t xml:space="preserve">s claim for salary arrears for the period between 1 September 1997 and 30 April 2007, noting that the enforcement of the judgment of 29 July 1992 had been declared inadmissible in respect of the Township. They also held that the question whether the Township was liable to pay her salary arrears for the period between 1 August 1991 and 1 January 1994 had to be resolved in the civil proceedings which the Township had meanwhile instituted against her (see paragraph </w:t>
      </w:r>
      <w:r w:rsidRPr="002C4EB9">
        <w:rPr>
          <w:rFonts w:eastAsiaTheme="minorEastAsia"/>
        </w:rPr>
        <w:fldChar w:fldCharType="begin"/>
      </w:r>
      <w:r w:rsidRPr="002C4EB9">
        <w:rPr>
          <w:rFonts w:eastAsiaTheme="minorEastAsia"/>
        </w:rPr>
        <w:instrText xml:space="preserve"> REF para22 \h </w:instrText>
      </w:r>
      <w:r w:rsidRPr="002C4EB9">
        <w:rPr>
          <w:rFonts w:eastAsiaTheme="minorEastAsia"/>
        </w:rPr>
      </w:r>
      <w:r w:rsidRPr="002C4EB9">
        <w:rPr>
          <w:rFonts w:eastAsiaTheme="minorEastAsia"/>
        </w:rPr>
        <w:fldChar w:fldCharType="separate"/>
      </w:r>
      <w:r w:rsidRPr="002C4EB9" w:rsidR="002C4EB9">
        <w:rPr>
          <w:rFonts w:eastAsiaTheme="minorEastAsia"/>
          <w:noProof/>
        </w:rPr>
        <w:t>18</w:t>
      </w:r>
      <w:r w:rsidRPr="002C4EB9">
        <w:rPr>
          <w:rFonts w:eastAsiaTheme="minorEastAsia"/>
        </w:rPr>
        <w:fldChar w:fldCharType="end"/>
      </w:r>
      <w:r w:rsidRPr="002C4EB9">
        <w:rPr>
          <w:rFonts w:eastAsiaTheme="minorEastAsia"/>
        </w:rPr>
        <w:t xml:space="preserve"> below).</w:t>
      </w:r>
    </w:p>
    <w:p w:rsidRPr="002C4EB9" w:rsidR="00C538CD" w:rsidP="002C4EB9" w:rsidRDefault="00C538CD" w14:paraId="79529D96" w14:textId="1B5953E6">
      <w:pPr>
        <w:pStyle w:val="JuPara"/>
        <w:rPr>
          <w:rFonts w:ascii="Times New Roman" w:hAnsi="Times New Roman" w:eastAsia="PMingLiU" w:cs="Times New Roman"/>
        </w:rPr>
      </w:pPr>
      <w:r w:rsidRPr="002C4EB9">
        <w:rPr>
          <w:rFonts w:ascii="Times New Roman" w:hAnsi="Times New Roman" w:eastAsia="PMingLiU" w:cs="Times New Roman"/>
        </w:rPr>
        <w:fldChar w:fldCharType="begin"/>
      </w:r>
      <w:r w:rsidRPr="002C4EB9">
        <w:rPr>
          <w:rFonts w:ascii="Times New Roman" w:hAnsi="Times New Roman" w:eastAsia="PMingLiU" w:cs="Times New Roman"/>
        </w:rPr>
        <w:instrText xml:space="preserve"> SEQ level0 \*arabic \* MERGEFORMAT </w:instrText>
      </w:r>
      <w:r w:rsidRPr="002C4EB9">
        <w:rPr>
          <w:rFonts w:ascii="Times New Roman" w:hAnsi="Times New Roman" w:eastAsia="PMingLiU" w:cs="Times New Roman"/>
        </w:rPr>
        <w:fldChar w:fldCharType="separate"/>
      </w:r>
      <w:r w:rsidRPr="002C4EB9" w:rsidR="002C4EB9">
        <w:rPr>
          <w:rFonts w:ascii="Times New Roman" w:hAnsi="Times New Roman" w:eastAsia="PMingLiU" w:cs="Times New Roman"/>
          <w:noProof/>
        </w:rPr>
        <w:t>11</w:t>
      </w:r>
      <w:r w:rsidRPr="002C4EB9">
        <w:rPr>
          <w:rFonts w:ascii="Times New Roman" w:hAnsi="Times New Roman" w:eastAsia="PMingLiU" w:cs="Times New Roman"/>
        </w:rPr>
        <w:fldChar w:fldCharType="end"/>
      </w:r>
      <w:r w:rsidRPr="002C4EB9">
        <w:rPr>
          <w:rFonts w:ascii="Times New Roman" w:hAnsi="Times New Roman" w:eastAsia="PMingLiU" w:cs="Times New Roman"/>
        </w:rPr>
        <w:t>.  On 9 June 2015 the Constitutional Court dismissed the applicant</w:t>
      </w:r>
      <w:r w:rsidRPr="002C4EB9" w:rsidR="002C4EB9">
        <w:rPr>
          <w:rFonts w:ascii="Times New Roman" w:hAnsi="Times New Roman" w:eastAsia="PMingLiU" w:cs="Times New Roman"/>
        </w:rPr>
        <w:t>’</w:t>
      </w:r>
      <w:r w:rsidRPr="002C4EB9">
        <w:rPr>
          <w:rFonts w:ascii="Times New Roman" w:hAnsi="Times New Roman" w:eastAsia="PMingLiU" w:cs="Times New Roman"/>
        </w:rPr>
        <w:t>s constitutional complaint.</w:t>
      </w:r>
    </w:p>
    <w:p w:rsidRPr="002C4EB9" w:rsidR="00C538CD" w:rsidP="002C4EB9" w:rsidRDefault="00C538CD" w14:paraId="71747CF3" w14:textId="77777777">
      <w:pPr>
        <w:pStyle w:val="JuHIRoman"/>
      </w:pPr>
      <w:r w:rsidRPr="002C4EB9">
        <w:t>second SET OF CIVIL PROEEDINGS FOR SALARY ARREARS</w:t>
      </w:r>
    </w:p>
    <w:bookmarkStart w:name="para15" w:id="5"/>
    <w:p w:rsidRPr="002C4EB9" w:rsidR="00C538CD" w:rsidP="002C4EB9" w:rsidRDefault="00C538CD" w14:paraId="1CEA610D" w14:textId="262A2138">
      <w:pPr>
        <w:pStyle w:val="JuPara"/>
        <w:rPr>
          <w:rFonts w:eastAsiaTheme="minorEastAsia"/>
        </w:rPr>
      </w:pPr>
      <w:r w:rsidRPr="002C4EB9">
        <w:rPr>
          <w:rFonts w:eastAsiaTheme="minorEastAsia"/>
        </w:rPr>
        <w:fldChar w:fldCharType="begin"/>
      </w:r>
      <w:r w:rsidRPr="002C4EB9">
        <w:rPr>
          <w:rFonts w:eastAsiaTheme="minorEastAsia"/>
        </w:rPr>
        <w:instrText xml:space="preserve"> SEQ level0 \*arabic \* MERGEFORMAT </w:instrText>
      </w:r>
      <w:r w:rsidRPr="002C4EB9">
        <w:rPr>
          <w:rFonts w:eastAsiaTheme="minorEastAsia"/>
        </w:rPr>
        <w:fldChar w:fldCharType="separate"/>
      </w:r>
      <w:r w:rsidRPr="002C4EB9" w:rsidR="002C4EB9">
        <w:rPr>
          <w:rFonts w:eastAsiaTheme="minorEastAsia"/>
          <w:noProof/>
        </w:rPr>
        <w:t>12</w:t>
      </w:r>
      <w:r w:rsidRPr="002C4EB9">
        <w:rPr>
          <w:rFonts w:eastAsiaTheme="minorEastAsia"/>
        </w:rPr>
        <w:fldChar w:fldCharType="end"/>
      </w:r>
      <w:bookmarkEnd w:id="5"/>
      <w:r w:rsidRPr="002C4EB9">
        <w:rPr>
          <w:rFonts w:eastAsiaTheme="minorEastAsia"/>
        </w:rPr>
        <w:t>.  In 1994 the applicant instituted civil proceedings against the Township and the County seeking payment of salary arrears for the period between 1 February 1994 and 1 September 1997. In 1999 the civil courts allowed her claim in respect of the Township and dismissed it in respect of the County. The applicant received the entire amount of salary arrears awarded to her.</w:t>
      </w:r>
    </w:p>
    <w:bookmarkStart w:name="para16" w:id="6"/>
    <w:bookmarkStart w:name="para17" w:id="7"/>
    <w:p w:rsidRPr="002C4EB9" w:rsidR="00C538CD" w:rsidP="002C4EB9" w:rsidRDefault="00C538CD" w14:paraId="669A036A" w14:textId="56BEEEC3">
      <w:pPr>
        <w:pStyle w:val="JuPara"/>
        <w:rPr>
          <w:rFonts w:eastAsiaTheme="minorEastAsia"/>
        </w:rPr>
      </w:pPr>
      <w:r w:rsidRPr="002C4EB9">
        <w:rPr>
          <w:rFonts w:eastAsiaTheme="minorEastAsia"/>
        </w:rPr>
        <w:fldChar w:fldCharType="begin"/>
      </w:r>
      <w:r w:rsidRPr="002C4EB9">
        <w:rPr>
          <w:rFonts w:eastAsiaTheme="minorEastAsia"/>
        </w:rPr>
        <w:instrText xml:space="preserve"> SEQ level0 \*arabic \* MERGEFORMAT </w:instrText>
      </w:r>
      <w:r w:rsidRPr="002C4EB9">
        <w:rPr>
          <w:rFonts w:eastAsiaTheme="minorEastAsia"/>
        </w:rPr>
        <w:fldChar w:fldCharType="separate"/>
      </w:r>
      <w:r w:rsidRPr="002C4EB9" w:rsidR="002C4EB9">
        <w:rPr>
          <w:rFonts w:eastAsiaTheme="minorEastAsia"/>
          <w:noProof/>
        </w:rPr>
        <w:t>13</w:t>
      </w:r>
      <w:r w:rsidRPr="002C4EB9">
        <w:rPr>
          <w:rFonts w:eastAsiaTheme="minorEastAsia"/>
        </w:rPr>
        <w:fldChar w:fldCharType="end"/>
      </w:r>
      <w:bookmarkEnd w:id="6"/>
      <w:bookmarkEnd w:id="7"/>
      <w:r w:rsidRPr="002C4EB9">
        <w:rPr>
          <w:rFonts w:eastAsiaTheme="minorEastAsia"/>
        </w:rPr>
        <w:t>.  In 2002 the Supreme Court, following an appeal on points of law by the Township, reversed that judgment and dismissed the applicant</w:t>
      </w:r>
      <w:r w:rsidRPr="002C4EB9" w:rsidR="002C4EB9">
        <w:rPr>
          <w:rFonts w:eastAsiaTheme="minorEastAsia"/>
        </w:rPr>
        <w:t>’</w:t>
      </w:r>
      <w:r w:rsidRPr="002C4EB9">
        <w:rPr>
          <w:rFonts w:eastAsiaTheme="minorEastAsia"/>
        </w:rPr>
        <w:t>s claim in respect of the Township. It found that in fact it was the County which had succeeded the obligation to reinstate her and was thus liable to pay her salary arrears.</w:t>
      </w:r>
    </w:p>
    <w:bookmarkStart w:name="para18" w:id="8"/>
    <w:p w:rsidRPr="002C4EB9" w:rsidR="00C538CD" w:rsidP="002C4EB9" w:rsidRDefault="00C538CD" w14:paraId="3D81F597" w14:textId="5EF627A3">
      <w:pPr>
        <w:pStyle w:val="JuPara"/>
        <w:rPr>
          <w:rFonts w:eastAsiaTheme="minorEastAsia"/>
        </w:rPr>
      </w:pPr>
      <w:r w:rsidRPr="002C4EB9">
        <w:rPr>
          <w:rFonts w:eastAsiaTheme="minorEastAsia"/>
        </w:rPr>
        <w:fldChar w:fldCharType="begin"/>
      </w:r>
      <w:r w:rsidRPr="002C4EB9">
        <w:rPr>
          <w:rFonts w:eastAsiaTheme="minorEastAsia"/>
        </w:rPr>
        <w:instrText xml:space="preserve"> SEQ level0 \*arabic \* MERGEFORMAT </w:instrText>
      </w:r>
      <w:r w:rsidRPr="002C4EB9">
        <w:rPr>
          <w:rFonts w:eastAsiaTheme="minorEastAsia"/>
        </w:rPr>
        <w:fldChar w:fldCharType="separate"/>
      </w:r>
      <w:r w:rsidRPr="002C4EB9" w:rsidR="002C4EB9">
        <w:rPr>
          <w:rFonts w:eastAsiaTheme="minorEastAsia"/>
          <w:noProof/>
        </w:rPr>
        <w:t>14</w:t>
      </w:r>
      <w:r w:rsidRPr="002C4EB9">
        <w:rPr>
          <w:rFonts w:eastAsiaTheme="minorEastAsia"/>
        </w:rPr>
        <w:fldChar w:fldCharType="end"/>
      </w:r>
      <w:bookmarkEnd w:id="8"/>
      <w:r w:rsidRPr="002C4EB9">
        <w:rPr>
          <w:rFonts w:eastAsiaTheme="minorEastAsia"/>
        </w:rPr>
        <w:t>.  On 7 July 2005 the Constitutional Court quashed the Supreme Court</w:t>
      </w:r>
      <w:r w:rsidRPr="002C4EB9" w:rsidR="002C4EB9">
        <w:rPr>
          <w:rFonts w:eastAsiaTheme="minorEastAsia"/>
        </w:rPr>
        <w:t>’</w:t>
      </w:r>
      <w:r w:rsidRPr="002C4EB9">
        <w:rPr>
          <w:rFonts w:eastAsiaTheme="minorEastAsia"/>
        </w:rPr>
        <w:t>s judgment and remitted the case to the first-instance court. It found that the Supreme Court had wrongly applied the relevant domestic law when concluding that the Township had not had an obligation to reinstate the applicant.</w:t>
      </w:r>
    </w:p>
    <w:p w:rsidRPr="002C4EB9" w:rsidR="00C538CD" w:rsidP="002C4EB9" w:rsidRDefault="00C538CD" w14:paraId="184551BF" w14:textId="2CC09A60">
      <w:pPr>
        <w:pStyle w:val="JuPara"/>
        <w:rPr>
          <w:rFonts w:eastAsiaTheme="minorEastAsia"/>
        </w:rPr>
      </w:pPr>
      <w:r w:rsidRPr="002C4EB9">
        <w:rPr>
          <w:rFonts w:eastAsiaTheme="minorEastAsia"/>
        </w:rPr>
        <w:fldChar w:fldCharType="begin"/>
      </w:r>
      <w:r w:rsidRPr="002C4EB9">
        <w:rPr>
          <w:rFonts w:eastAsiaTheme="minorEastAsia"/>
        </w:rPr>
        <w:instrText xml:space="preserve"> SEQ level0 \*arabic \* MERGEFORMAT </w:instrText>
      </w:r>
      <w:r w:rsidRPr="002C4EB9">
        <w:rPr>
          <w:rFonts w:eastAsiaTheme="minorEastAsia"/>
        </w:rPr>
        <w:fldChar w:fldCharType="separate"/>
      </w:r>
      <w:r w:rsidRPr="002C4EB9" w:rsidR="002C4EB9">
        <w:rPr>
          <w:rFonts w:eastAsiaTheme="minorEastAsia"/>
          <w:noProof/>
        </w:rPr>
        <w:t>15</w:t>
      </w:r>
      <w:r w:rsidRPr="002C4EB9">
        <w:rPr>
          <w:rFonts w:eastAsiaTheme="minorEastAsia"/>
        </w:rPr>
        <w:fldChar w:fldCharType="end"/>
      </w:r>
      <w:r w:rsidRPr="002C4EB9">
        <w:rPr>
          <w:rFonts w:eastAsiaTheme="minorEastAsia"/>
        </w:rPr>
        <w:t>.  In the resumed proceedings the applicant sought a declaratory judgment stating that the Township had been liable to pay her salary arrears for the period between 1 January 1994 and 31</w:t>
      </w:r>
      <w:r w:rsidRPr="002C4EB9" w:rsidR="001C3EBC">
        <w:rPr>
          <w:rFonts w:eastAsiaTheme="minorEastAsia"/>
        </w:rPr>
        <w:t xml:space="preserve"> </w:t>
      </w:r>
      <w:r w:rsidRPr="002C4EB9">
        <w:rPr>
          <w:rFonts w:eastAsiaTheme="minorEastAsia"/>
        </w:rPr>
        <w:t>August 1997.</w:t>
      </w:r>
    </w:p>
    <w:p w:rsidRPr="002C4EB9" w:rsidR="00C538CD" w:rsidP="002C4EB9" w:rsidRDefault="00C538CD" w14:paraId="41E63AC9" w14:textId="2E8D4275">
      <w:pPr>
        <w:pStyle w:val="JuPara"/>
        <w:rPr>
          <w:rFonts w:eastAsiaTheme="minorEastAsia"/>
        </w:rPr>
      </w:pPr>
      <w:r w:rsidRPr="002C4EB9">
        <w:rPr>
          <w:rFonts w:eastAsiaTheme="minorEastAsia"/>
        </w:rPr>
        <w:fldChar w:fldCharType="begin"/>
      </w:r>
      <w:r w:rsidRPr="002C4EB9">
        <w:rPr>
          <w:rFonts w:eastAsiaTheme="minorEastAsia"/>
        </w:rPr>
        <w:instrText xml:space="preserve"> SEQ level0 \*arabic \* MERGEFORMAT </w:instrText>
      </w:r>
      <w:r w:rsidRPr="002C4EB9">
        <w:rPr>
          <w:rFonts w:eastAsiaTheme="minorEastAsia"/>
        </w:rPr>
        <w:fldChar w:fldCharType="separate"/>
      </w:r>
      <w:r w:rsidRPr="002C4EB9" w:rsidR="002C4EB9">
        <w:rPr>
          <w:rFonts w:eastAsiaTheme="minorEastAsia"/>
          <w:noProof/>
        </w:rPr>
        <w:t>16</w:t>
      </w:r>
      <w:r w:rsidRPr="002C4EB9">
        <w:rPr>
          <w:rFonts w:eastAsiaTheme="minorEastAsia"/>
        </w:rPr>
        <w:fldChar w:fldCharType="end"/>
      </w:r>
      <w:r w:rsidRPr="002C4EB9">
        <w:rPr>
          <w:rFonts w:eastAsiaTheme="minorEastAsia"/>
        </w:rPr>
        <w:t xml:space="preserve">.  Her declaratory action was eventually declared inadmissible. In particular, the Supreme Court held that the applicant had not had any legal interest to seek a declaratory judgment, because she had already obtained the salary arrears, regardless of the fact that the judgment had subsequently been quashed. It deemed that the question whether the Township was liable to pay her salary arrears had to be resolved in the civil proceedings which the Township had meanwhile instituted against her (see paragraph </w:t>
      </w:r>
      <w:r w:rsidRPr="002C4EB9">
        <w:rPr>
          <w:rFonts w:eastAsiaTheme="minorEastAsia"/>
        </w:rPr>
        <w:fldChar w:fldCharType="begin"/>
      </w:r>
      <w:r w:rsidRPr="002C4EB9">
        <w:rPr>
          <w:rFonts w:eastAsiaTheme="minorEastAsia"/>
        </w:rPr>
        <w:instrText xml:space="preserve"> REF para22 \h </w:instrText>
      </w:r>
      <w:r w:rsidRPr="002C4EB9">
        <w:rPr>
          <w:rFonts w:eastAsiaTheme="minorEastAsia"/>
        </w:rPr>
      </w:r>
      <w:r w:rsidRPr="002C4EB9">
        <w:rPr>
          <w:rFonts w:eastAsiaTheme="minorEastAsia"/>
        </w:rPr>
        <w:fldChar w:fldCharType="separate"/>
      </w:r>
      <w:r w:rsidRPr="002C4EB9" w:rsidR="002C4EB9">
        <w:rPr>
          <w:rFonts w:eastAsiaTheme="minorEastAsia"/>
          <w:noProof/>
        </w:rPr>
        <w:t>18</w:t>
      </w:r>
      <w:r w:rsidRPr="002C4EB9">
        <w:rPr>
          <w:rFonts w:eastAsiaTheme="minorEastAsia"/>
        </w:rPr>
        <w:fldChar w:fldCharType="end"/>
      </w:r>
      <w:r w:rsidRPr="002C4EB9">
        <w:rPr>
          <w:rFonts w:eastAsiaTheme="minorEastAsia"/>
        </w:rPr>
        <w:t xml:space="preserve"> below).</w:t>
      </w:r>
    </w:p>
    <w:p w:rsidRPr="002C4EB9" w:rsidR="00C538CD" w:rsidP="002C4EB9" w:rsidRDefault="00C538CD" w14:paraId="386A1101" w14:textId="6383D123">
      <w:pPr>
        <w:pStyle w:val="JuPara"/>
        <w:rPr>
          <w:rFonts w:eastAsiaTheme="minorEastAsia"/>
        </w:rPr>
      </w:pPr>
      <w:r w:rsidRPr="002C4EB9">
        <w:rPr>
          <w:rFonts w:eastAsiaTheme="minorEastAsia"/>
        </w:rPr>
        <w:fldChar w:fldCharType="begin"/>
      </w:r>
      <w:r w:rsidRPr="002C4EB9">
        <w:rPr>
          <w:rFonts w:eastAsiaTheme="minorEastAsia"/>
        </w:rPr>
        <w:instrText xml:space="preserve"> SEQ level0 \*arabic \* MERGEFORMAT </w:instrText>
      </w:r>
      <w:r w:rsidRPr="002C4EB9">
        <w:rPr>
          <w:rFonts w:eastAsiaTheme="minorEastAsia"/>
        </w:rPr>
        <w:fldChar w:fldCharType="separate"/>
      </w:r>
      <w:r w:rsidRPr="002C4EB9" w:rsidR="002C4EB9">
        <w:rPr>
          <w:rFonts w:eastAsiaTheme="minorEastAsia"/>
          <w:noProof/>
        </w:rPr>
        <w:t>17</w:t>
      </w:r>
      <w:r w:rsidRPr="002C4EB9">
        <w:rPr>
          <w:rFonts w:eastAsiaTheme="minorEastAsia"/>
        </w:rPr>
        <w:fldChar w:fldCharType="end"/>
      </w:r>
      <w:r w:rsidRPr="002C4EB9">
        <w:rPr>
          <w:rFonts w:eastAsiaTheme="minorEastAsia"/>
        </w:rPr>
        <w:t>.  On 9 June 2015 the Constitutional Court dismissed the applicant</w:t>
      </w:r>
      <w:r w:rsidRPr="002C4EB9" w:rsidR="002C4EB9">
        <w:rPr>
          <w:rFonts w:eastAsiaTheme="minorEastAsia"/>
        </w:rPr>
        <w:t>’</w:t>
      </w:r>
      <w:r w:rsidRPr="002C4EB9">
        <w:rPr>
          <w:rFonts w:eastAsiaTheme="minorEastAsia"/>
        </w:rPr>
        <w:t>s constitutional complaint.</w:t>
      </w:r>
    </w:p>
    <w:p w:rsidRPr="002C4EB9" w:rsidR="00C538CD" w:rsidP="002C4EB9" w:rsidRDefault="00C538CD" w14:paraId="581B20FD" w14:textId="77777777">
      <w:pPr>
        <w:pStyle w:val="JuHIRoman"/>
        <w:rPr>
          <w:rFonts w:eastAsiaTheme="minorEastAsia"/>
        </w:rPr>
      </w:pPr>
      <w:r w:rsidRPr="002C4EB9">
        <w:t>Other relevant facts</w:t>
      </w:r>
    </w:p>
    <w:bookmarkStart w:name="para21" w:id="9"/>
    <w:bookmarkStart w:name="para22" w:id="10"/>
    <w:p w:rsidRPr="002C4EB9" w:rsidR="00C538CD" w:rsidP="002C4EB9" w:rsidRDefault="00C538CD" w14:paraId="23CD6AA5" w14:textId="5F7DF27D">
      <w:pPr>
        <w:pStyle w:val="JuPara"/>
        <w:rPr>
          <w:rFonts w:eastAsiaTheme="minorEastAsia"/>
        </w:rPr>
      </w:pPr>
      <w:r w:rsidRPr="002C4EB9">
        <w:rPr>
          <w:rFonts w:eastAsiaTheme="minorEastAsia"/>
        </w:rPr>
        <w:fldChar w:fldCharType="begin"/>
      </w:r>
      <w:r w:rsidRPr="002C4EB9">
        <w:rPr>
          <w:rFonts w:eastAsiaTheme="minorEastAsia"/>
        </w:rPr>
        <w:instrText xml:space="preserve"> SEQ level0 \*arabic \* MERGEFORMAT </w:instrText>
      </w:r>
      <w:r w:rsidRPr="002C4EB9">
        <w:rPr>
          <w:rFonts w:eastAsiaTheme="minorEastAsia"/>
        </w:rPr>
        <w:fldChar w:fldCharType="separate"/>
      </w:r>
      <w:r w:rsidRPr="002C4EB9" w:rsidR="002C4EB9">
        <w:rPr>
          <w:rFonts w:eastAsiaTheme="minorEastAsia"/>
          <w:noProof/>
        </w:rPr>
        <w:t>18</w:t>
      </w:r>
      <w:r w:rsidRPr="002C4EB9">
        <w:rPr>
          <w:rFonts w:eastAsiaTheme="minorEastAsia"/>
        </w:rPr>
        <w:fldChar w:fldCharType="end"/>
      </w:r>
      <w:bookmarkEnd w:id="9"/>
      <w:bookmarkEnd w:id="10"/>
      <w:r w:rsidRPr="002C4EB9">
        <w:rPr>
          <w:rFonts w:eastAsiaTheme="minorEastAsia"/>
        </w:rPr>
        <w:t xml:space="preserve">.  Meanwhile, following the decisions of the Supreme Court of 1999 and 2002 (see paragraphs </w:t>
      </w:r>
      <w:r w:rsidRPr="002C4EB9">
        <w:rPr>
          <w:rFonts w:eastAsiaTheme="minorEastAsia"/>
        </w:rPr>
        <w:fldChar w:fldCharType="begin"/>
      </w:r>
      <w:r w:rsidRPr="002C4EB9">
        <w:rPr>
          <w:rFonts w:eastAsiaTheme="minorEastAsia"/>
        </w:rPr>
        <w:instrText xml:space="preserve"> REF para9 \h </w:instrText>
      </w:r>
      <w:r w:rsidRPr="002C4EB9">
        <w:rPr>
          <w:rFonts w:eastAsiaTheme="minorEastAsia"/>
        </w:rPr>
      </w:r>
      <w:r w:rsidRPr="002C4EB9">
        <w:rPr>
          <w:rFonts w:eastAsiaTheme="minorEastAsia"/>
        </w:rPr>
        <w:fldChar w:fldCharType="separate"/>
      </w:r>
      <w:r w:rsidRPr="002C4EB9" w:rsidR="002C4EB9">
        <w:rPr>
          <w:rFonts w:eastAsiaTheme="minorEastAsia"/>
          <w:noProof/>
        </w:rPr>
        <w:t>8</w:t>
      </w:r>
      <w:r w:rsidRPr="002C4EB9">
        <w:rPr>
          <w:rFonts w:eastAsiaTheme="minorEastAsia"/>
        </w:rPr>
        <w:fldChar w:fldCharType="end"/>
      </w:r>
      <w:r w:rsidRPr="002C4EB9">
        <w:rPr>
          <w:rFonts w:eastAsiaTheme="minorEastAsia"/>
        </w:rPr>
        <w:t xml:space="preserve"> and </w:t>
      </w:r>
      <w:r w:rsidRPr="002C4EB9">
        <w:rPr>
          <w:rFonts w:eastAsiaTheme="minorEastAsia"/>
        </w:rPr>
        <w:fldChar w:fldCharType="begin"/>
      </w:r>
      <w:r w:rsidRPr="002C4EB9">
        <w:rPr>
          <w:rFonts w:eastAsiaTheme="minorEastAsia"/>
        </w:rPr>
        <w:instrText xml:space="preserve"> REF para16 \h </w:instrText>
      </w:r>
      <w:r w:rsidRPr="002C4EB9">
        <w:rPr>
          <w:rFonts w:eastAsiaTheme="minorEastAsia"/>
        </w:rPr>
      </w:r>
      <w:r w:rsidRPr="002C4EB9">
        <w:rPr>
          <w:rFonts w:eastAsiaTheme="minorEastAsia"/>
        </w:rPr>
        <w:fldChar w:fldCharType="separate"/>
      </w:r>
      <w:r w:rsidRPr="002C4EB9" w:rsidR="002C4EB9">
        <w:rPr>
          <w:rFonts w:eastAsiaTheme="minorEastAsia"/>
          <w:noProof/>
        </w:rPr>
        <w:t>13</w:t>
      </w:r>
      <w:r w:rsidRPr="002C4EB9">
        <w:rPr>
          <w:rFonts w:eastAsiaTheme="minorEastAsia"/>
        </w:rPr>
        <w:fldChar w:fldCharType="end"/>
      </w:r>
      <w:r w:rsidRPr="002C4EB9">
        <w:rPr>
          <w:rFonts w:eastAsiaTheme="minorEastAsia"/>
        </w:rPr>
        <w:t xml:space="preserve"> above), the Township instituted civil proceedings against the applicant seeking repayment of salary arrears initially awarded to her by the final judgments in 1995 and 1999 (see paragraphs </w:t>
      </w:r>
      <w:r w:rsidRPr="002C4EB9">
        <w:rPr>
          <w:rFonts w:eastAsiaTheme="minorEastAsia"/>
        </w:rPr>
        <w:fldChar w:fldCharType="begin"/>
      </w:r>
      <w:r w:rsidRPr="002C4EB9">
        <w:rPr>
          <w:rFonts w:eastAsiaTheme="minorEastAsia"/>
        </w:rPr>
        <w:instrText xml:space="preserve"> REF para8 \h </w:instrText>
      </w:r>
      <w:r w:rsidRPr="002C4EB9">
        <w:rPr>
          <w:rFonts w:eastAsiaTheme="minorEastAsia"/>
        </w:rPr>
      </w:r>
      <w:r w:rsidRPr="002C4EB9">
        <w:rPr>
          <w:rFonts w:eastAsiaTheme="minorEastAsia"/>
        </w:rPr>
        <w:fldChar w:fldCharType="separate"/>
      </w:r>
      <w:r w:rsidRPr="002C4EB9" w:rsidR="002C4EB9">
        <w:rPr>
          <w:rFonts w:eastAsiaTheme="minorEastAsia"/>
          <w:noProof/>
        </w:rPr>
        <w:t>7</w:t>
      </w:r>
      <w:r w:rsidRPr="002C4EB9">
        <w:rPr>
          <w:rFonts w:eastAsiaTheme="minorEastAsia"/>
        </w:rPr>
        <w:fldChar w:fldCharType="end"/>
      </w:r>
      <w:r w:rsidRPr="002C4EB9">
        <w:rPr>
          <w:rFonts w:eastAsiaTheme="minorEastAsia"/>
        </w:rPr>
        <w:t xml:space="preserve"> and </w:t>
      </w:r>
      <w:r w:rsidRPr="002C4EB9">
        <w:rPr>
          <w:rFonts w:eastAsiaTheme="minorEastAsia"/>
        </w:rPr>
        <w:fldChar w:fldCharType="begin"/>
      </w:r>
      <w:r w:rsidRPr="002C4EB9">
        <w:rPr>
          <w:rFonts w:eastAsiaTheme="minorEastAsia"/>
        </w:rPr>
        <w:instrText xml:space="preserve"> REF para15 \h </w:instrText>
      </w:r>
      <w:r w:rsidRPr="002C4EB9">
        <w:rPr>
          <w:rFonts w:eastAsiaTheme="minorEastAsia"/>
        </w:rPr>
      </w:r>
      <w:r w:rsidRPr="002C4EB9">
        <w:rPr>
          <w:rFonts w:eastAsiaTheme="minorEastAsia"/>
        </w:rPr>
        <w:fldChar w:fldCharType="separate"/>
      </w:r>
      <w:r w:rsidRPr="002C4EB9" w:rsidR="002C4EB9">
        <w:rPr>
          <w:rFonts w:eastAsiaTheme="minorEastAsia"/>
          <w:noProof/>
        </w:rPr>
        <w:t>12</w:t>
      </w:r>
      <w:r w:rsidRPr="002C4EB9">
        <w:rPr>
          <w:rFonts w:eastAsiaTheme="minorEastAsia"/>
        </w:rPr>
        <w:fldChar w:fldCharType="end"/>
      </w:r>
      <w:r w:rsidRPr="002C4EB9">
        <w:rPr>
          <w:rFonts w:eastAsiaTheme="minorEastAsia"/>
        </w:rPr>
        <w:t xml:space="preserve"> above). The civil courts ruled against the applicant. </w:t>
      </w:r>
      <w:bookmarkStart w:name="ListStart" w:id="11"/>
      <w:bookmarkEnd w:id="11"/>
      <w:r w:rsidRPr="002C4EB9">
        <w:rPr>
          <w:rFonts w:eastAsiaTheme="minorEastAsia"/>
        </w:rPr>
        <w:t>The proceedings are currently pending before the Constitutional Court.</w:t>
      </w:r>
    </w:p>
    <w:p w:rsidRPr="002C4EB9" w:rsidR="00C538CD" w:rsidP="002C4EB9" w:rsidRDefault="00C538CD" w14:paraId="1A810287" w14:textId="77777777">
      <w:pPr>
        <w:pStyle w:val="JuHIRoman"/>
        <w:rPr>
          <w:rFonts w:eastAsiaTheme="minorEastAsia"/>
        </w:rPr>
      </w:pPr>
      <w:r w:rsidRPr="002C4EB9">
        <w:rPr>
          <w:rFonts w:eastAsiaTheme="minorEastAsia"/>
        </w:rPr>
        <w:t>COmplaints</w:t>
      </w:r>
    </w:p>
    <w:p w:rsidRPr="002C4EB9" w:rsidR="00C538CD" w:rsidP="002C4EB9" w:rsidRDefault="00B60196" w14:paraId="624AAC90" w14:textId="0BCF1C93">
      <w:pPr>
        <w:pStyle w:val="JuPara"/>
        <w:rPr>
          <w:rFonts w:eastAsiaTheme="minorEastAsia"/>
        </w:rPr>
      </w:pPr>
      <w:r>
        <w:rPr>
          <w:noProof/>
        </w:rPr>
        <w:fldChar w:fldCharType="begin"/>
      </w:r>
      <w:r>
        <w:rPr>
          <w:noProof/>
        </w:rPr>
        <w:instrText xml:space="preserve"> SEQ level0 \*arabic \* MERGEFORMAT </w:instrText>
      </w:r>
      <w:r>
        <w:rPr>
          <w:noProof/>
        </w:rPr>
        <w:fldChar w:fldCharType="separate"/>
      </w:r>
      <w:r w:rsidRPr="002C4EB9" w:rsidR="002C4EB9">
        <w:rPr>
          <w:noProof/>
        </w:rPr>
        <w:t>19</w:t>
      </w:r>
      <w:r>
        <w:rPr>
          <w:noProof/>
        </w:rPr>
        <w:fldChar w:fldCharType="end"/>
      </w:r>
      <w:r w:rsidRPr="002C4EB9" w:rsidR="00C538CD">
        <w:t>.  The applicant complained under Article 6 § 1 of the Convention that she was never reinstated in her post, despite having obtained an enforcement title to that effect against a local authority; that the domestic courts</w:t>
      </w:r>
      <w:r w:rsidRPr="002C4EB9" w:rsidR="002C4EB9">
        <w:t>’</w:t>
      </w:r>
      <w:r w:rsidRPr="002C4EB9" w:rsidR="00C538CD">
        <w:t xml:space="preserve"> decisions delivered against her had contradicted the Constitutional Court</w:t>
      </w:r>
      <w:r w:rsidRPr="002C4EB9" w:rsidR="002C4EB9">
        <w:t>’</w:t>
      </w:r>
      <w:r w:rsidRPr="002C4EB9" w:rsidR="00C538CD">
        <w:t>s decision of 7 July 2005 and were thus in breach of the principle of legal certainty; and that the domestic courts</w:t>
      </w:r>
      <w:r w:rsidRPr="002C4EB9" w:rsidR="002C4EB9">
        <w:t>’</w:t>
      </w:r>
      <w:r w:rsidRPr="002C4EB9" w:rsidR="00C538CD">
        <w:t xml:space="preserve"> decisions refusing her claims for salary arrears amounted to a breach of her rights under Article 1 of Protocol No. 1.</w:t>
      </w:r>
    </w:p>
    <w:p w:rsidRPr="002C4EB9" w:rsidR="00C538CD" w:rsidP="002C4EB9" w:rsidRDefault="00C538CD" w14:paraId="65CB0101" w14:textId="2D723147">
      <w:pPr>
        <w:pStyle w:val="JuHHead"/>
      </w:pPr>
      <w:r w:rsidRPr="002C4EB9">
        <w:t>THE COURT</w:t>
      </w:r>
      <w:r w:rsidRPr="002C4EB9" w:rsidR="002C4EB9">
        <w:t>’</w:t>
      </w:r>
      <w:r w:rsidRPr="002C4EB9">
        <w:t>S ASSESSMENT</w:t>
      </w:r>
    </w:p>
    <w:p w:rsidRPr="002C4EB9" w:rsidR="00C538CD" w:rsidP="002C4EB9" w:rsidRDefault="00C538CD" w14:paraId="37F26465" w14:textId="77777777">
      <w:pPr>
        <w:pStyle w:val="JuHIRoman"/>
      </w:pPr>
      <w:r w:rsidRPr="002C4EB9">
        <w:t>JOINDER OF THE APPLICATIONS</w:t>
      </w:r>
    </w:p>
    <w:p w:rsidRPr="002C4EB9" w:rsidR="00C538CD" w:rsidP="002C4EB9" w:rsidRDefault="00B60196" w14:paraId="69025925" w14:textId="629F9C7E">
      <w:pPr>
        <w:pStyle w:val="JuPara"/>
      </w:pPr>
      <w:r>
        <w:rPr>
          <w:noProof/>
        </w:rPr>
        <w:fldChar w:fldCharType="begin"/>
      </w:r>
      <w:r>
        <w:rPr>
          <w:noProof/>
        </w:rPr>
        <w:instrText xml:space="preserve"> SEQ level0 \*arabic \* MERGEFORMAT </w:instrText>
      </w:r>
      <w:r>
        <w:rPr>
          <w:noProof/>
        </w:rPr>
        <w:fldChar w:fldCharType="separate"/>
      </w:r>
      <w:r w:rsidRPr="002C4EB9" w:rsidR="002C4EB9">
        <w:rPr>
          <w:noProof/>
        </w:rPr>
        <w:t>20</w:t>
      </w:r>
      <w:r>
        <w:rPr>
          <w:noProof/>
        </w:rPr>
        <w:fldChar w:fldCharType="end"/>
      </w:r>
      <w:r w:rsidRPr="002C4EB9" w:rsidR="00C538CD">
        <w:t>.  Having regard to the intertwined subject matter of the applications, the Court finds it appropriate to examine them jointly in a single judgment.</w:t>
      </w:r>
    </w:p>
    <w:p w:rsidRPr="002C4EB9" w:rsidR="00C538CD" w:rsidP="002C4EB9" w:rsidRDefault="00C538CD" w14:paraId="1A22D435" w14:textId="77777777">
      <w:pPr>
        <w:pStyle w:val="JuHIRoman"/>
      </w:pPr>
      <w:r w:rsidRPr="002C4EB9">
        <w:t>ALLEGED VIOLATION OF ARTICLE 6 § 1 OF THE CONVENTION</w:t>
      </w:r>
      <w:bookmarkStart w:name="_Hlk34206479" w:id="12"/>
    </w:p>
    <w:p w:rsidRPr="002C4EB9" w:rsidR="00C538CD" w:rsidP="002C4EB9" w:rsidRDefault="00C538CD" w14:paraId="4533C115" w14:textId="78F771D9">
      <w:pPr>
        <w:pStyle w:val="JuPara"/>
        <w:rPr>
          <w:rFonts w:eastAsia="PMingLiU"/>
          <w:snapToGrid w:val="0"/>
        </w:rPr>
      </w:pPr>
      <w:r w:rsidRPr="002C4EB9">
        <w:rPr>
          <w:rFonts w:eastAsia="PMingLiU"/>
          <w:snapToGrid w:val="0"/>
        </w:rPr>
        <w:fldChar w:fldCharType="begin"/>
      </w:r>
      <w:r w:rsidRPr="002C4EB9">
        <w:rPr>
          <w:rFonts w:eastAsia="PMingLiU"/>
          <w:snapToGrid w:val="0"/>
        </w:rPr>
        <w:instrText xml:space="preserve"> SEQ level0 \*arabic \* MERGEFORMAT </w:instrText>
      </w:r>
      <w:r w:rsidRPr="002C4EB9">
        <w:rPr>
          <w:rFonts w:eastAsia="PMingLiU"/>
          <w:snapToGrid w:val="0"/>
        </w:rPr>
        <w:fldChar w:fldCharType="separate"/>
      </w:r>
      <w:r w:rsidRPr="002C4EB9" w:rsidR="002C4EB9">
        <w:rPr>
          <w:rFonts w:eastAsia="PMingLiU"/>
          <w:noProof/>
          <w:snapToGrid w:val="0"/>
        </w:rPr>
        <w:t>21</w:t>
      </w:r>
      <w:r w:rsidRPr="002C4EB9">
        <w:rPr>
          <w:rFonts w:eastAsia="PMingLiU"/>
          <w:snapToGrid w:val="0"/>
        </w:rPr>
        <w:fldChar w:fldCharType="end"/>
      </w:r>
      <w:r w:rsidRPr="002C4EB9">
        <w:rPr>
          <w:rFonts w:eastAsia="PMingLiU"/>
          <w:snapToGrid w:val="0"/>
        </w:rPr>
        <w:t>.  The applicant complained that the judgment of 29 July 1992 obtained against a local authority remained unenforced.</w:t>
      </w:r>
    </w:p>
    <w:p w:rsidRPr="002C4EB9" w:rsidR="00C538CD" w:rsidP="002C4EB9" w:rsidRDefault="00C538CD" w14:paraId="66D8D522" w14:textId="77DCDE21">
      <w:pPr>
        <w:pStyle w:val="JuPara"/>
      </w:pPr>
      <w:r w:rsidRPr="002C4EB9">
        <w:rPr>
          <w:rFonts w:eastAsia="PMingLiU"/>
          <w:snapToGrid w:val="0"/>
        </w:rPr>
        <w:fldChar w:fldCharType="begin"/>
      </w:r>
      <w:r w:rsidRPr="002C4EB9">
        <w:rPr>
          <w:rFonts w:eastAsia="PMingLiU"/>
          <w:snapToGrid w:val="0"/>
        </w:rPr>
        <w:instrText xml:space="preserve"> SEQ level0 \*arabic \* MERGEFORMAT </w:instrText>
      </w:r>
      <w:r w:rsidRPr="002C4EB9">
        <w:rPr>
          <w:rFonts w:eastAsia="PMingLiU"/>
          <w:snapToGrid w:val="0"/>
        </w:rPr>
        <w:fldChar w:fldCharType="separate"/>
      </w:r>
      <w:r w:rsidRPr="002C4EB9" w:rsidR="002C4EB9">
        <w:rPr>
          <w:rFonts w:eastAsia="PMingLiU"/>
          <w:noProof/>
          <w:snapToGrid w:val="0"/>
        </w:rPr>
        <w:t>22</w:t>
      </w:r>
      <w:r w:rsidRPr="002C4EB9">
        <w:rPr>
          <w:rFonts w:eastAsia="PMingLiU"/>
          <w:snapToGrid w:val="0"/>
        </w:rPr>
        <w:fldChar w:fldCharType="end"/>
      </w:r>
      <w:r w:rsidRPr="002C4EB9">
        <w:rPr>
          <w:rFonts w:eastAsia="PMingLiU"/>
          <w:snapToGrid w:val="0"/>
        </w:rPr>
        <w:t>.  Given the fact that the applicant</w:t>
      </w:r>
      <w:r w:rsidRPr="002C4EB9" w:rsidR="002C4EB9">
        <w:rPr>
          <w:rFonts w:eastAsia="PMingLiU"/>
          <w:snapToGrid w:val="0"/>
        </w:rPr>
        <w:t>’</w:t>
      </w:r>
      <w:r w:rsidRPr="002C4EB9">
        <w:rPr>
          <w:rFonts w:eastAsia="PMingLiU"/>
          <w:snapToGrid w:val="0"/>
        </w:rPr>
        <w:t>s entitlement to enforcement of the judgment subsisted subsequent to the Convention</w:t>
      </w:r>
      <w:r w:rsidRPr="002C4EB9" w:rsidR="002C4EB9">
        <w:rPr>
          <w:rFonts w:eastAsia="PMingLiU"/>
          <w:snapToGrid w:val="0"/>
        </w:rPr>
        <w:t>’</w:t>
      </w:r>
      <w:r w:rsidRPr="002C4EB9">
        <w:rPr>
          <w:rFonts w:eastAsia="PMingLiU"/>
          <w:snapToGrid w:val="0"/>
        </w:rPr>
        <w:t>s entry into force in respect of Croatia on 5 November 1997 and that the judgment has not been enforced yet, the Court finds that it has temporal jurisdiction and dismisses the Government</w:t>
      </w:r>
      <w:r w:rsidRPr="002C4EB9" w:rsidR="002C4EB9">
        <w:rPr>
          <w:rFonts w:eastAsia="PMingLiU"/>
          <w:snapToGrid w:val="0"/>
        </w:rPr>
        <w:t>’</w:t>
      </w:r>
      <w:r w:rsidRPr="002C4EB9">
        <w:rPr>
          <w:rFonts w:eastAsia="PMingLiU"/>
          <w:snapToGrid w:val="0"/>
        </w:rPr>
        <w:t xml:space="preserve">s objection in this regard (compare </w:t>
      </w:r>
      <w:proofErr w:type="spellStart"/>
      <w:r w:rsidRPr="002C4EB9">
        <w:rPr>
          <w:rFonts w:eastAsia="PMingLiU"/>
          <w:i/>
          <w:iCs/>
          <w:snapToGrid w:val="0"/>
        </w:rPr>
        <w:t>Krstić</w:t>
      </w:r>
      <w:proofErr w:type="spellEnd"/>
      <w:r w:rsidRPr="002C4EB9">
        <w:rPr>
          <w:rFonts w:eastAsia="PMingLiU"/>
          <w:i/>
          <w:iCs/>
          <w:snapToGrid w:val="0"/>
        </w:rPr>
        <w:t xml:space="preserve"> v. Serbia</w:t>
      </w:r>
      <w:r w:rsidRPr="002C4EB9">
        <w:rPr>
          <w:rFonts w:eastAsia="PMingLiU"/>
          <w:snapToGrid w:val="0"/>
        </w:rPr>
        <w:t>, no.</w:t>
      </w:r>
      <w:r w:rsidRPr="002C4EB9" w:rsidR="00943CE1">
        <w:rPr>
          <w:rFonts w:eastAsia="PMingLiU"/>
          <w:snapToGrid w:val="0"/>
        </w:rPr>
        <w:t> </w:t>
      </w:r>
      <w:r w:rsidRPr="002C4EB9">
        <w:rPr>
          <w:rFonts w:eastAsia="PMingLiU"/>
          <w:snapToGrid w:val="0"/>
        </w:rPr>
        <w:t>45394/06, § 68, 10 December 2013).</w:t>
      </w:r>
    </w:p>
    <w:p w:rsidRPr="002C4EB9" w:rsidR="00C538CD" w:rsidP="002C4EB9" w:rsidRDefault="00C538CD" w14:paraId="58DF852A" w14:textId="2BCC794C">
      <w:pPr>
        <w:pStyle w:val="JuPara"/>
        <w:rPr>
          <w:rFonts w:eastAsia="PMingLiU"/>
          <w:snapToGrid w:val="0"/>
        </w:rPr>
      </w:pPr>
      <w:r w:rsidRPr="002C4EB9">
        <w:rPr>
          <w:rFonts w:eastAsia="PMingLiU"/>
          <w:snapToGrid w:val="0"/>
        </w:rPr>
        <w:fldChar w:fldCharType="begin"/>
      </w:r>
      <w:r w:rsidRPr="002C4EB9">
        <w:rPr>
          <w:rFonts w:eastAsia="PMingLiU"/>
          <w:snapToGrid w:val="0"/>
        </w:rPr>
        <w:instrText xml:space="preserve"> SEQ level0 \*arabic \* MERGEFORMAT </w:instrText>
      </w:r>
      <w:r w:rsidRPr="002C4EB9">
        <w:rPr>
          <w:rFonts w:eastAsia="PMingLiU"/>
          <w:snapToGrid w:val="0"/>
        </w:rPr>
        <w:fldChar w:fldCharType="separate"/>
      </w:r>
      <w:r w:rsidRPr="002C4EB9" w:rsidR="002C4EB9">
        <w:rPr>
          <w:rFonts w:eastAsia="PMingLiU"/>
          <w:noProof/>
          <w:snapToGrid w:val="0"/>
        </w:rPr>
        <w:t>23</w:t>
      </w:r>
      <w:r w:rsidRPr="002C4EB9">
        <w:rPr>
          <w:rFonts w:eastAsia="PMingLiU"/>
          <w:snapToGrid w:val="0"/>
        </w:rPr>
        <w:fldChar w:fldCharType="end"/>
      </w:r>
      <w:r w:rsidRPr="002C4EB9">
        <w:rPr>
          <w:rFonts w:eastAsia="PMingLiU"/>
          <w:snapToGrid w:val="0"/>
        </w:rPr>
        <w:t>.  The Court furthermore notes that this complaint is not manifestly ill</w:t>
      </w:r>
      <w:r w:rsidRPr="002C4EB9" w:rsidR="00943CE1">
        <w:rPr>
          <w:rFonts w:eastAsia="PMingLiU"/>
          <w:snapToGrid w:val="0"/>
        </w:rPr>
        <w:noBreakHyphen/>
      </w:r>
      <w:r w:rsidRPr="002C4EB9">
        <w:rPr>
          <w:rFonts w:eastAsia="PMingLiU"/>
          <w:snapToGrid w:val="0"/>
        </w:rPr>
        <w:t>founded within the meaning of Article 35 § 3 (a) of the Convention or inadmissible on any other grounds. It must therefore be declared admissible.</w:t>
      </w:r>
    </w:p>
    <w:p w:rsidRPr="002C4EB9" w:rsidR="00C538CD" w:rsidP="002C4EB9" w:rsidRDefault="00C538CD" w14:paraId="1204714E" w14:textId="7280BE71">
      <w:pPr>
        <w:pStyle w:val="JuPara"/>
        <w:rPr>
          <w:rFonts w:eastAsia="PMingLiU"/>
          <w:snapToGrid w:val="0"/>
        </w:rPr>
      </w:pPr>
      <w:r w:rsidRPr="002C4EB9">
        <w:rPr>
          <w:rFonts w:eastAsia="PMingLiU"/>
          <w:snapToGrid w:val="0"/>
        </w:rPr>
        <w:fldChar w:fldCharType="begin"/>
      </w:r>
      <w:r w:rsidRPr="002C4EB9">
        <w:rPr>
          <w:rFonts w:eastAsia="PMingLiU"/>
          <w:snapToGrid w:val="0"/>
        </w:rPr>
        <w:instrText xml:space="preserve"> SEQ level0 \*arabic \* MERGEFORMAT </w:instrText>
      </w:r>
      <w:r w:rsidRPr="002C4EB9">
        <w:rPr>
          <w:rFonts w:eastAsia="PMingLiU"/>
          <w:snapToGrid w:val="0"/>
        </w:rPr>
        <w:fldChar w:fldCharType="separate"/>
      </w:r>
      <w:r w:rsidRPr="002C4EB9" w:rsidR="002C4EB9">
        <w:rPr>
          <w:rFonts w:eastAsia="PMingLiU"/>
          <w:noProof/>
          <w:snapToGrid w:val="0"/>
        </w:rPr>
        <w:t>24</w:t>
      </w:r>
      <w:r w:rsidRPr="002C4EB9">
        <w:rPr>
          <w:rFonts w:eastAsia="PMingLiU"/>
          <w:snapToGrid w:val="0"/>
        </w:rPr>
        <w:fldChar w:fldCharType="end"/>
      </w:r>
      <w:r w:rsidRPr="002C4EB9">
        <w:rPr>
          <w:rFonts w:eastAsia="PMingLiU"/>
          <w:snapToGrid w:val="0"/>
        </w:rPr>
        <w:t xml:space="preserve">.  The Court observes that the reason stated by the domestic courts to ultimately refuse the enforcement of the judgment was that the applicant sought its enforcement against the wrong local authority, namely, against the Township instead of the County (see paragraph </w:t>
      </w:r>
      <w:r w:rsidRPr="002C4EB9">
        <w:rPr>
          <w:rFonts w:eastAsia="PMingLiU"/>
          <w:snapToGrid w:val="0"/>
        </w:rPr>
        <w:fldChar w:fldCharType="begin"/>
      </w:r>
      <w:r w:rsidRPr="002C4EB9">
        <w:rPr>
          <w:rFonts w:eastAsia="PMingLiU"/>
          <w:snapToGrid w:val="0"/>
        </w:rPr>
        <w:instrText xml:space="preserve"> REF paragraph00005 \h  \* CharFormat </w:instrText>
      </w:r>
      <w:r w:rsidRPr="002C4EB9">
        <w:rPr>
          <w:rFonts w:eastAsia="PMingLiU"/>
          <w:snapToGrid w:val="0"/>
        </w:rPr>
      </w:r>
      <w:r w:rsidRPr="002C4EB9">
        <w:rPr>
          <w:rFonts w:eastAsia="PMingLiU"/>
          <w:snapToGrid w:val="0"/>
        </w:rPr>
        <w:fldChar w:fldCharType="separate"/>
      </w:r>
      <w:r w:rsidRPr="002C4EB9" w:rsidR="002C4EB9">
        <w:rPr>
          <w:rFonts w:eastAsia="PMingLiU"/>
          <w:snapToGrid w:val="0"/>
        </w:rPr>
        <w:t>6</w:t>
      </w:r>
      <w:r w:rsidRPr="002C4EB9">
        <w:rPr>
          <w:rFonts w:eastAsia="PMingLiU"/>
          <w:snapToGrid w:val="0"/>
        </w:rPr>
        <w:fldChar w:fldCharType="end"/>
      </w:r>
      <w:r w:rsidRPr="002C4EB9">
        <w:rPr>
          <w:rFonts w:eastAsia="PMingLiU"/>
          <w:snapToGrid w:val="0"/>
        </w:rPr>
        <w:t xml:space="preserve"> above).</w:t>
      </w:r>
    </w:p>
    <w:bookmarkStart w:name="para27" w:id="13"/>
    <w:p w:rsidRPr="002C4EB9" w:rsidR="00C538CD" w:rsidP="002C4EB9" w:rsidRDefault="00C538CD" w14:paraId="4F7B7708" w14:textId="68E3C0D3">
      <w:pPr>
        <w:pStyle w:val="JuPara"/>
        <w:rPr>
          <w:rFonts w:eastAsia="PMingLiU"/>
          <w:snapToGrid w:val="0"/>
        </w:rPr>
      </w:pPr>
      <w:r w:rsidRPr="002C4EB9">
        <w:rPr>
          <w:rFonts w:eastAsia="PMingLiU"/>
          <w:lang w:eastAsia="fr-FR"/>
        </w:rPr>
        <w:fldChar w:fldCharType="begin"/>
      </w:r>
      <w:r w:rsidRPr="002C4EB9">
        <w:rPr>
          <w:rFonts w:eastAsia="PMingLiU"/>
          <w:lang w:eastAsia="fr-FR"/>
        </w:rPr>
        <w:instrText xml:space="preserve"> SEQ level0 \*arabic \* MERGEFORMAT </w:instrText>
      </w:r>
      <w:r w:rsidRPr="002C4EB9">
        <w:rPr>
          <w:rFonts w:eastAsia="PMingLiU"/>
          <w:lang w:eastAsia="fr-FR"/>
        </w:rPr>
        <w:fldChar w:fldCharType="separate"/>
      </w:r>
      <w:r w:rsidRPr="002C4EB9" w:rsidR="002C4EB9">
        <w:rPr>
          <w:rFonts w:eastAsia="PMingLiU"/>
          <w:noProof/>
          <w:lang w:eastAsia="fr-FR"/>
        </w:rPr>
        <w:t>25</w:t>
      </w:r>
      <w:r w:rsidRPr="002C4EB9">
        <w:rPr>
          <w:rFonts w:eastAsia="PMingLiU"/>
          <w:lang w:eastAsia="fr-FR"/>
        </w:rPr>
        <w:fldChar w:fldCharType="end"/>
      </w:r>
      <w:bookmarkEnd w:id="13"/>
      <w:r w:rsidRPr="002C4EB9">
        <w:rPr>
          <w:rFonts w:eastAsia="PMingLiU"/>
          <w:lang w:eastAsia="fr-FR"/>
        </w:rPr>
        <w:t xml:space="preserve">.  In this connection the Court reiterates that according to its constant case-law a person who has obtained an enforcement title against the State cannot be required to resort to enforcement proceedings in order to have it executed (see, for example, </w:t>
      </w:r>
      <w:proofErr w:type="spellStart"/>
      <w:r w:rsidRPr="002C4EB9">
        <w:rPr>
          <w:rFonts w:eastAsia="PMingLiU"/>
          <w:i/>
          <w:lang w:eastAsia="fr-FR"/>
        </w:rPr>
        <w:t>Cocchiarella</w:t>
      </w:r>
      <w:proofErr w:type="spellEnd"/>
      <w:r w:rsidRPr="002C4EB9">
        <w:rPr>
          <w:rFonts w:eastAsia="PMingLiU"/>
          <w:i/>
          <w:lang w:eastAsia="fr-FR"/>
        </w:rPr>
        <w:t xml:space="preserve"> v. Italy</w:t>
      </w:r>
      <w:r w:rsidRPr="002C4EB9">
        <w:rPr>
          <w:rFonts w:eastAsia="PMingLiU"/>
          <w:lang w:eastAsia="fr-FR"/>
        </w:rPr>
        <w:t xml:space="preserve"> [GC], no. 64886/01, §</w:t>
      </w:r>
      <w:r w:rsidRPr="002C4EB9" w:rsidR="001C3EBC">
        <w:rPr>
          <w:rFonts w:eastAsia="PMingLiU"/>
          <w:lang w:eastAsia="fr-FR"/>
        </w:rPr>
        <w:t> </w:t>
      </w:r>
      <w:r w:rsidRPr="002C4EB9">
        <w:rPr>
          <w:rFonts w:eastAsia="PMingLiU"/>
          <w:lang w:eastAsia="fr-FR"/>
        </w:rPr>
        <w:t>89, ECHR 2006</w:t>
      </w:r>
      <w:r w:rsidRPr="002C4EB9">
        <w:rPr>
          <w:rFonts w:hint="eastAsia" w:ascii="MS Mincho" w:hAnsi="MS Mincho" w:eastAsia="MS Mincho" w:cs="MS Mincho"/>
          <w:lang w:eastAsia="fr-FR"/>
        </w:rPr>
        <w:t>‑</w:t>
      </w:r>
      <w:r w:rsidRPr="002C4EB9">
        <w:rPr>
          <w:rFonts w:eastAsia="PMingLiU"/>
          <w:lang w:eastAsia="fr-FR"/>
        </w:rPr>
        <w:t xml:space="preserve">V; </w:t>
      </w:r>
      <w:r w:rsidRPr="002C4EB9">
        <w:rPr>
          <w:rFonts w:eastAsia="PMingLiU"/>
          <w:i/>
          <w:lang w:eastAsia="fr-FR"/>
        </w:rPr>
        <w:t>Metaxas v. Greece</w:t>
      </w:r>
      <w:r w:rsidRPr="002C4EB9">
        <w:rPr>
          <w:rFonts w:eastAsia="PMingLiU"/>
          <w:lang w:eastAsia="fr-FR"/>
        </w:rPr>
        <w:t xml:space="preserve">, no. 8415/02, § 19, 27 May 2004; and </w:t>
      </w:r>
      <w:proofErr w:type="spellStart"/>
      <w:r w:rsidRPr="002C4EB9">
        <w:rPr>
          <w:rFonts w:eastAsia="PMingLiU"/>
          <w:i/>
          <w:lang w:eastAsia="fr-FR"/>
        </w:rPr>
        <w:t>Reynbakh</w:t>
      </w:r>
      <w:proofErr w:type="spellEnd"/>
      <w:r w:rsidRPr="002C4EB9">
        <w:rPr>
          <w:rFonts w:eastAsia="PMingLiU"/>
          <w:i/>
          <w:lang w:eastAsia="fr-FR"/>
        </w:rPr>
        <w:t xml:space="preserve"> v. Russia</w:t>
      </w:r>
      <w:r w:rsidRPr="002C4EB9">
        <w:rPr>
          <w:rFonts w:eastAsia="PMingLiU"/>
          <w:lang w:eastAsia="fr-FR"/>
        </w:rPr>
        <w:t>, no. 23405/03, § 24, 29 September 2005).</w:t>
      </w:r>
      <w:r w:rsidRPr="002C4EB9">
        <w:rPr>
          <w:rFonts w:eastAsia="PMingLiU"/>
        </w:rPr>
        <w:t xml:space="preserve"> The Court has frequently found violations of Article 6 § 1 of the Convention in cases where the State or </w:t>
      </w:r>
      <w:r w:rsidRPr="002C4EB9">
        <w:rPr>
          <w:rFonts w:eastAsia="PMingLiU"/>
          <w:lang w:eastAsia="fr-FR"/>
        </w:rPr>
        <w:t xml:space="preserve">a local authority </w:t>
      </w:r>
      <w:r w:rsidRPr="002C4EB9">
        <w:rPr>
          <w:rFonts w:eastAsia="PMingLiU"/>
        </w:rPr>
        <w:t>had failed to comply with an enforceable judgment in the applicant</w:t>
      </w:r>
      <w:r w:rsidRPr="002C4EB9" w:rsidR="002C4EB9">
        <w:rPr>
          <w:rFonts w:eastAsia="PMingLiU"/>
        </w:rPr>
        <w:t>’</w:t>
      </w:r>
      <w:r w:rsidRPr="002C4EB9">
        <w:rPr>
          <w:rFonts w:eastAsia="PMingLiU"/>
        </w:rPr>
        <w:t xml:space="preserve">s favour (see, for example, </w:t>
      </w:r>
      <w:proofErr w:type="spellStart"/>
      <w:r w:rsidRPr="002C4EB9">
        <w:rPr>
          <w:rFonts w:eastAsia="PMingLiU"/>
          <w:i/>
          <w:lang w:eastAsia="fr-FR"/>
        </w:rPr>
        <w:t>Reynbakh</w:t>
      </w:r>
      <w:proofErr w:type="spellEnd"/>
      <w:r w:rsidRPr="002C4EB9">
        <w:rPr>
          <w:rFonts w:eastAsia="PMingLiU"/>
          <w:iCs/>
          <w:lang w:eastAsia="fr-FR"/>
        </w:rPr>
        <w:t>,</w:t>
      </w:r>
      <w:r w:rsidRPr="002C4EB9">
        <w:rPr>
          <w:rFonts w:eastAsia="PMingLiU"/>
          <w:i/>
          <w:lang w:eastAsia="fr-FR"/>
        </w:rPr>
        <w:t xml:space="preserve"> </w:t>
      </w:r>
      <w:r w:rsidRPr="002C4EB9">
        <w:rPr>
          <w:rFonts w:eastAsia="PMingLiU"/>
          <w:iCs/>
          <w:lang w:eastAsia="fr-FR"/>
        </w:rPr>
        <w:t>cited above</w:t>
      </w:r>
      <w:r w:rsidRPr="002C4EB9">
        <w:rPr>
          <w:rFonts w:eastAsia="PMingLiU"/>
          <w:lang w:eastAsia="fr-FR"/>
        </w:rPr>
        <w:t>, §§</w:t>
      </w:r>
      <w:r w:rsidRPr="002C4EB9" w:rsidR="001C3EBC">
        <w:rPr>
          <w:rFonts w:eastAsia="PMingLiU"/>
          <w:lang w:eastAsia="fr-FR"/>
        </w:rPr>
        <w:t> </w:t>
      </w:r>
      <w:r w:rsidRPr="002C4EB9">
        <w:rPr>
          <w:rFonts w:eastAsia="PMingLiU"/>
          <w:lang w:eastAsia="fr-FR"/>
        </w:rPr>
        <w:t>27-28,</w:t>
      </w:r>
      <w:r w:rsidRPr="002C4EB9">
        <w:rPr>
          <w:rFonts w:eastAsia="PMingLiU"/>
        </w:rPr>
        <w:t xml:space="preserve"> and </w:t>
      </w:r>
      <w:proofErr w:type="spellStart"/>
      <w:r w:rsidRPr="002C4EB9">
        <w:rPr>
          <w:rFonts w:eastAsia="PMingLiU"/>
          <w:i/>
        </w:rPr>
        <w:t>Čikanović</w:t>
      </w:r>
      <w:proofErr w:type="spellEnd"/>
      <w:r w:rsidRPr="002C4EB9">
        <w:rPr>
          <w:rFonts w:eastAsia="PMingLiU"/>
          <w:i/>
        </w:rPr>
        <w:t xml:space="preserve"> v. Croatia</w:t>
      </w:r>
      <w:r w:rsidRPr="002C4EB9">
        <w:rPr>
          <w:rFonts w:eastAsia="PMingLiU"/>
        </w:rPr>
        <w:t>, no. 27630/07</w:t>
      </w:r>
      <w:r w:rsidRPr="002C4EB9">
        <w:rPr>
          <w:rFonts w:eastAsia="PMingLiU"/>
          <w:snapToGrid w:val="0"/>
        </w:rPr>
        <w:t>, § 53, 5 February 2015).</w:t>
      </w:r>
    </w:p>
    <w:p w:rsidRPr="002C4EB9" w:rsidR="00C538CD" w:rsidP="002C4EB9" w:rsidRDefault="00C538CD" w14:paraId="4E924280" w14:textId="68B7BD0A">
      <w:pPr>
        <w:pStyle w:val="JuPara"/>
      </w:pPr>
      <w:r w:rsidRPr="002C4EB9">
        <w:rPr>
          <w:rFonts w:ascii="Times New Roman" w:hAnsi="Times New Roman" w:eastAsia="PMingLiU" w:cs="Times New Roman"/>
          <w:snapToGrid w:val="0"/>
          <w:szCs w:val="22"/>
        </w:rPr>
        <w:fldChar w:fldCharType="begin"/>
      </w:r>
      <w:r w:rsidRPr="002C4EB9">
        <w:rPr>
          <w:rFonts w:ascii="Times New Roman" w:hAnsi="Times New Roman" w:eastAsia="PMingLiU" w:cs="Times New Roman"/>
          <w:snapToGrid w:val="0"/>
          <w:szCs w:val="22"/>
        </w:rPr>
        <w:instrText xml:space="preserve"> SEQ level0 \*arabic \* MERGEFORMAT </w:instrText>
      </w:r>
      <w:r w:rsidRPr="002C4EB9">
        <w:rPr>
          <w:rFonts w:ascii="Times New Roman" w:hAnsi="Times New Roman" w:eastAsia="PMingLiU" w:cs="Times New Roman"/>
          <w:snapToGrid w:val="0"/>
          <w:szCs w:val="22"/>
        </w:rPr>
        <w:fldChar w:fldCharType="separate"/>
      </w:r>
      <w:r w:rsidRPr="002C4EB9" w:rsidR="002C4EB9">
        <w:rPr>
          <w:rFonts w:ascii="Times New Roman" w:hAnsi="Times New Roman" w:eastAsia="PMingLiU" w:cs="Times New Roman"/>
          <w:noProof/>
          <w:snapToGrid w:val="0"/>
          <w:szCs w:val="22"/>
        </w:rPr>
        <w:t>26</w:t>
      </w:r>
      <w:r w:rsidRPr="002C4EB9">
        <w:rPr>
          <w:rFonts w:ascii="Times New Roman" w:hAnsi="Times New Roman" w:eastAsia="PMingLiU" w:cs="Times New Roman"/>
          <w:snapToGrid w:val="0"/>
          <w:szCs w:val="22"/>
        </w:rPr>
        <w:fldChar w:fldCharType="end"/>
      </w:r>
      <w:r w:rsidRPr="002C4EB9">
        <w:rPr>
          <w:rFonts w:ascii="Times New Roman" w:hAnsi="Times New Roman" w:eastAsia="PMingLiU" w:cs="Times New Roman"/>
          <w:snapToGrid w:val="0"/>
          <w:szCs w:val="22"/>
        </w:rPr>
        <w:t xml:space="preserve">.  If the applicant </w:t>
      </w:r>
      <w:r w:rsidRPr="002C4EB9">
        <w:rPr>
          <w:rFonts w:ascii="Times New Roman" w:hAnsi="Times New Roman" w:eastAsia="PMingLiU" w:cs="Times New Roman"/>
          <w:szCs w:val="22"/>
          <w:lang w:eastAsia="fr-FR"/>
        </w:rPr>
        <w:t xml:space="preserve">was thus not even required to resort to enforcement proceedings, it follows that </w:t>
      </w:r>
      <w:r w:rsidRPr="002C4EB9">
        <w:rPr>
          <w:rFonts w:ascii="Times New Roman" w:hAnsi="Times New Roman" w:eastAsia="PMingLiU" w:cs="Times New Roman"/>
          <w:snapToGrid w:val="0"/>
          <w:szCs w:val="22"/>
        </w:rPr>
        <w:t xml:space="preserve">she cannot suffer adverse consequences for directing her application for enforcement against the allegedly wrong authority. This is even more so in the situation of the present case where it was not clear which local authority had to reinstate the applicant, and where the domestic courts were delivering conflicting decisions on that issue. In such situations it is not incumbent on the applicant to identify the proper authority (see </w:t>
      </w:r>
      <w:proofErr w:type="spellStart"/>
      <w:r w:rsidRPr="002C4EB9">
        <w:rPr>
          <w:rFonts w:eastAsiaTheme="minorEastAsia"/>
          <w:i/>
          <w:szCs w:val="22"/>
        </w:rPr>
        <w:t>Kostadin</w:t>
      </w:r>
      <w:proofErr w:type="spellEnd"/>
      <w:r w:rsidRPr="002C4EB9">
        <w:rPr>
          <w:rFonts w:eastAsiaTheme="minorEastAsia"/>
          <w:i/>
          <w:szCs w:val="22"/>
        </w:rPr>
        <w:t xml:space="preserve"> </w:t>
      </w:r>
      <w:proofErr w:type="spellStart"/>
      <w:r w:rsidRPr="002C4EB9">
        <w:rPr>
          <w:rFonts w:eastAsiaTheme="minorEastAsia"/>
          <w:i/>
          <w:szCs w:val="22"/>
        </w:rPr>
        <w:t>Mihaylov</w:t>
      </w:r>
      <w:proofErr w:type="spellEnd"/>
      <w:r w:rsidRPr="002C4EB9">
        <w:rPr>
          <w:rFonts w:eastAsiaTheme="minorEastAsia"/>
          <w:i/>
          <w:szCs w:val="22"/>
        </w:rPr>
        <w:t xml:space="preserve"> v. Bulgaria</w:t>
      </w:r>
      <w:r w:rsidRPr="002C4EB9">
        <w:rPr>
          <w:rFonts w:eastAsiaTheme="minorEastAsia"/>
          <w:szCs w:val="22"/>
        </w:rPr>
        <w:t>, no. 17868/07, 27 March 2008</w:t>
      </w:r>
      <w:r w:rsidRPr="002C4EB9">
        <w:rPr>
          <w:rFonts w:ascii="Times New Roman" w:hAnsi="Times New Roman" w:eastAsia="PMingLiU" w:cs="Times New Roman"/>
          <w:snapToGrid w:val="0"/>
          <w:szCs w:val="22"/>
        </w:rPr>
        <w:t>)</w:t>
      </w:r>
      <w:r w:rsidRPr="002C4EB9">
        <w:t xml:space="preserve"> but for </w:t>
      </w:r>
      <w:r w:rsidRPr="002C4EB9">
        <w:rPr>
          <w:rFonts w:ascii="Times New Roman" w:hAnsi="Times New Roman" w:eastAsia="PMingLiU" w:cs="Times New Roman"/>
          <w:snapToGrid w:val="0"/>
          <w:szCs w:val="22"/>
        </w:rPr>
        <w:t xml:space="preserve">the State to facilitate such identification (see </w:t>
      </w:r>
      <w:proofErr w:type="spellStart"/>
      <w:r w:rsidRPr="002C4EB9">
        <w:rPr>
          <w:i/>
        </w:rPr>
        <w:t>Plechanow</w:t>
      </w:r>
      <w:proofErr w:type="spellEnd"/>
      <w:r w:rsidRPr="002C4EB9">
        <w:rPr>
          <w:i/>
        </w:rPr>
        <w:t xml:space="preserve"> v. Poland</w:t>
      </w:r>
      <w:r w:rsidRPr="002C4EB9">
        <w:t>, no.</w:t>
      </w:r>
      <w:r w:rsidRPr="002C4EB9" w:rsidR="001C3EBC">
        <w:t> </w:t>
      </w:r>
      <w:r w:rsidRPr="002C4EB9">
        <w:t>22279/04, § 109, 7 July 2009</w:t>
      </w:r>
      <w:r w:rsidRPr="002C4EB9">
        <w:rPr>
          <w:rFonts w:ascii="Times New Roman" w:hAnsi="Times New Roman" w:eastAsia="PMingLiU" w:cs="Times New Roman"/>
          <w:snapToGrid w:val="0"/>
          <w:szCs w:val="22"/>
        </w:rPr>
        <w:t>).</w:t>
      </w:r>
    </w:p>
    <w:bookmarkStart w:name="para25" w:id="14"/>
    <w:bookmarkEnd w:id="12"/>
    <w:p w:rsidRPr="002C4EB9" w:rsidR="00C538CD" w:rsidP="002C4EB9" w:rsidRDefault="00C538CD" w14:paraId="5C0E051C" w14:textId="5781C434">
      <w:pPr>
        <w:pStyle w:val="JuPara"/>
      </w:pPr>
      <w:r w:rsidRPr="002C4EB9">
        <w:fldChar w:fldCharType="begin"/>
      </w:r>
      <w:r w:rsidRPr="002C4EB9">
        <w:instrText xml:space="preserve"> SEQ level0 \*arabic \* MERGEFORMAT </w:instrText>
      </w:r>
      <w:r w:rsidRPr="002C4EB9">
        <w:fldChar w:fldCharType="separate"/>
      </w:r>
      <w:r w:rsidRPr="002C4EB9" w:rsidR="002C4EB9">
        <w:rPr>
          <w:noProof/>
        </w:rPr>
        <w:t>27</w:t>
      </w:r>
      <w:r w:rsidRPr="002C4EB9">
        <w:fldChar w:fldCharType="end"/>
      </w:r>
      <w:bookmarkEnd w:id="14"/>
      <w:r w:rsidRPr="002C4EB9">
        <w:t>.  The foregoing considerations are sufficient for the Court to find that in the present case there has been a violation of Article 6 § 1 of the Convention regarding the non-enforcement of</w:t>
      </w:r>
      <w:r w:rsidRPr="002C4EB9">
        <w:rPr>
          <w:rFonts w:eastAsia="PMingLiU"/>
          <w:snapToGrid w:val="0"/>
        </w:rPr>
        <w:t xml:space="preserve"> </w:t>
      </w:r>
      <w:r w:rsidRPr="002C4EB9">
        <w:t>the judgment of 29 July 1992.</w:t>
      </w:r>
    </w:p>
    <w:p w:rsidRPr="002C4EB9" w:rsidR="00C538CD" w:rsidP="002C4EB9" w:rsidRDefault="00C538CD" w14:paraId="20E6F07F" w14:textId="77777777">
      <w:pPr>
        <w:pStyle w:val="JuHIRoman"/>
      </w:pPr>
      <w:r w:rsidRPr="002C4EB9">
        <w:t>ALLEGED VIOLATION OF ARTICLE 1 OF PROTOOL NO. 1 TO THE CONVENTION</w:t>
      </w:r>
    </w:p>
    <w:p w:rsidRPr="002C4EB9" w:rsidR="00C538CD" w:rsidP="002C4EB9" w:rsidRDefault="00C538CD" w14:paraId="5B4F6148" w14:textId="64441062">
      <w:pPr>
        <w:pStyle w:val="JuPara"/>
      </w:pPr>
      <w:r w:rsidRPr="002C4EB9">
        <w:fldChar w:fldCharType="begin"/>
      </w:r>
      <w:r w:rsidRPr="002C4EB9">
        <w:instrText xml:space="preserve"> SEQ level0 \*arabic </w:instrText>
      </w:r>
      <w:r w:rsidRPr="002C4EB9">
        <w:fldChar w:fldCharType="separate"/>
      </w:r>
      <w:r w:rsidRPr="002C4EB9" w:rsidR="002C4EB9">
        <w:rPr>
          <w:noProof/>
        </w:rPr>
        <w:t>28</w:t>
      </w:r>
      <w:r w:rsidRPr="002C4EB9">
        <w:fldChar w:fldCharType="end"/>
      </w:r>
      <w:r w:rsidRPr="002C4EB9">
        <w:t>.  The applicant also complained that the domestic courts</w:t>
      </w:r>
      <w:r w:rsidRPr="002C4EB9" w:rsidR="002C4EB9">
        <w:t>’</w:t>
      </w:r>
      <w:r w:rsidRPr="002C4EB9">
        <w:t xml:space="preserve"> decisions refusing her claims for salary arrears amounted to a breach of her right to the peaceful enjoyment of her possessions under Article 1 of Protocol No. 1.</w:t>
      </w:r>
    </w:p>
    <w:bookmarkStart w:name="para33" w:id="15"/>
    <w:p w:rsidRPr="002C4EB9" w:rsidR="00C538CD" w:rsidP="002C4EB9" w:rsidRDefault="00C538CD" w14:paraId="25F023F4" w14:textId="2FC3BA18">
      <w:pPr>
        <w:pStyle w:val="JuPara"/>
      </w:pPr>
      <w:r w:rsidRPr="002C4EB9">
        <w:fldChar w:fldCharType="begin"/>
      </w:r>
      <w:r w:rsidRPr="002C4EB9">
        <w:instrText xml:space="preserve"> SEQ level0 \*arabic \* MERGEFORMAT </w:instrText>
      </w:r>
      <w:r w:rsidRPr="002C4EB9">
        <w:fldChar w:fldCharType="separate"/>
      </w:r>
      <w:r w:rsidRPr="002C4EB9" w:rsidR="002C4EB9">
        <w:rPr>
          <w:noProof/>
        </w:rPr>
        <w:t>29</w:t>
      </w:r>
      <w:r w:rsidRPr="002C4EB9">
        <w:fldChar w:fldCharType="end"/>
      </w:r>
      <w:bookmarkEnd w:id="15"/>
      <w:r w:rsidRPr="002C4EB9">
        <w:t>.  As to the Government</w:t>
      </w:r>
      <w:r w:rsidRPr="002C4EB9" w:rsidR="002C4EB9">
        <w:t>’</w:t>
      </w:r>
      <w:r w:rsidRPr="002C4EB9">
        <w:t>s objection that she failed to properly exhaust domestic remedies by not claiming salary arrears from the County, the Court finds that the issue is closely linked to the substance of the applicant</w:t>
      </w:r>
      <w:r w:rsidRPr="002C4EB9" w:rsidR="002C4EB9">
        <w:t>’</w:t>
      </w:r>
      <w:r w:rsidRPr="002C4EB9">
        <w:t xml:space="preserve">s complaint and must therefore be joined to the merits (see </w:t>
      </w:r>
      <w:proofErr w:type="spellStart"/>
      <w:r w:rsidRPr="002C4EB9">
        <w:rPr>
          <w:i/>
          <w:iCs/>
        </w:rPr>
        <w:t>Plechanow</w:t>
      </w:r>
      <w:proofErr w:type="spellEnd"/>
      <w:r w:rsidRPr="002C4EB9">
        <w:t>, cited above, §§ 93-94).</w:t>
      </w:r>
    </w:p>
    <w:p w:rsidRPr="002C4EB9" w:rsidR="00C538CD" w:rsidP="002C4EB9" w:rsidRDefault="00B60196" w14:paraId="7D0418F9" w14:textId="4DFF5CCD">
      <w:pPr>
        <w:pStyle w:val="JuPara"/>
      </w:pPr>
      <w:r>
        <w:rPr>
          <w:noProof/>
        </w:rPr>
        <w:fldChar w:fldCharType="begin"/>
      </w:r>
      <w:r>
        <w:rPr>
          <w:noProof/>
        </w:rPr>
        <w:instrText xml:space="preserve"> SEQ level0 \*arabic \* MERGEFORMAT </w:instrText>
      </w:r>
      <w:r>
        <w:rPr>
          <w:noProof/>
        </w:rPr>
        <w:fldChar w:fldCharType="separate"/>
      </w:r>
      <w:r w:rsidRPr="002C4EB9" w:rsidR="002C4EB9">
        <w:rPr>
          <w:noProof/>
        </w:rPr>
        <w:t>30</w:t>
      </w:r>
      <w:r>
        <w:rPr>
          <w:noProof/>
        </w:rPr>
        <w:fldChar w:fldCharType="end"/>
      </w:r>
      <w:r w:rsidRPr="002C4EB9" w:rsidR="00C538CD">
        <w:t xml:space="preserve">.  The Court furthermore finds that the complaint is not manifestly </w:t>
      </w:r>
      <w:proofErr w:type="spellStart"/>
      <w:r w:rsidRPr="002C4EB9" w:rsidR="00C538CD">
        <w:t>illfounded</w:t>
      </w:r>
      <w:proofErr w:type="spellEnd"/>
      <w:r w:rsidRPr="002C4EB9" w:rsidR="00C538CD">
        <w:t xml:space="preserve"> within the meaning of Article 35 § 3 (a) of the Convention, nor is it inadmissible on any other ground. It must therefore be declared admissible.</w:t>
      </w:r>
    </w:p>
    <w:p w:rsidRPr="002C4EB9" w:rsidR="00C538CD" w:rsidP="002C4EB9" w:rsidRDefault="00B60196" w14:paraId="04F5AF17" w14:textId="23E20358">
      <w:pPr>
        <w:pStyle w:val="JuPara"/>
      </w:pPr>
      <w:r>
        <w:rPr>
          <w:noProof/>
        </w:rPr>
        <w:fldChar w:fldCharType="begin"/>
      </w:r>
      <w:r>
        <w:rPr>
          <w:noProof/>
        </w:rPr>
        <w:instrText xml:space="preserve"> SEQ level0 \*arabic \* MERGEFORMAT </w:instrText>
      </w:r>
      <w:r>
        <w:rPr>
          <w:noProof/>
        </w:rPr>
        <w:fldChar w:fldCharType="separate"/>
      </w:r>
      <w:r w:rsidRPr="002C4EB9" w:rsidR="002C4EB9">
        <w:rPr>
          <w:noProof/>
        </w:rPr>
        <w:t>31</w:t>
      </w:r>
      <w:r>
        <w:rPr>
          <w:noProof/>
        </w:rPr>
        <w:fldChar w:fldCharType="end"/>
      </w:r>
      <w:r w:rsidRPr="002C4EB9" w:rsidR="00C538CD">
        <w:t>.  From the decisions of the domestic courts it is evident that the applicant</w:t>
      </w:r>
      <w:r w:rsidRPr="002C4EB9" w:rsidR="002C4EB9">
        <w:t>’</w:t>
      </w:r>
      <w:r w:rsidRPr="002C4EB9" w:rsidR="00C538CD">
        <w:t xml:space="preserve">s claims for salary arrears were ultimately rejected only because she had sued the wrong local authority, that is, for the same reason her application for enforcement of the judgment ordering her reinstatement was denied (see paragraph </w:t>
      </w:r>
      <w:r w:rsidRPr="002C4EB9" w:rsidR="00C538CD">
        <w:fldChar w:fldCharType="begin"/>
      </w:r>
      <w:r w:rsidRPr="002C4EB9" w:rsidR="00C538CD">
        <w:instrText xml:space="preserve"> REF paragraph00005 \h  \* CharFormat </w:instrText>
      </w:r>
      <w:r w:rsidRPr="002C4EB9" w:rsidR="00C538CD">
        <w:fldChar w:fldCharType="separate"/>
      </w:r>
      <w:r w:rsidRPr="002C4EB9" w:rsidR="002C4EB9">
        <w:t>6</w:t>
      </w:r>
      <w:r w:rsidRPr="002C4EB9" w:rsidR="00C538CD">
        <w:fldChar w:fldCharType="end"/>
      </w:r>
      <w:r w:rsidRPr="002C4EB9" w:rsidR="00C538CD">
        <w:t xml:space="preserve"> above). Her claims for salary arrears thus had a sufficient basis in national law to be protected by Article 1 of Protocol No. 1.</w:t>
      </w:r>
    </w:p>
    <w:p w:rsidRPr="002C4EB9" w:rsidR="00C538CD" w:rsidP="002C4EB9" w:rsidRDefault="00B60196" w14:paraId="604AB888" w14:textId="6230BD59">
      <w:pPr>
        <w:pStyle w:val="JuPara"/>
      </w:pPr>
      <w:r>
        <w:rPr>
          <w:noProof/>
        </w:rPr>
        <w:fldChar w:fldCharType="begin"/>
      </w:r>
      <w:r>
        <w:rPr>
          <w:noProof/>
        </w:rPr>
        <w:instrText xml:space="preserve"> SEQ level0 \*arabic \* MERGEFORMAT </w:instrText>
      </w:r>
      <w:r>
        <w:rPr>
          <w:noProof/>
        </w:rPr>
        <w:fldChar w:fldCharType="separate"/>
      </w:r>
      <w:r w:rsidRPr="002C4EB9" w:rsidR="002C4EB9">
        <w:rPr>
          <w:noProof/>
        </w:rPr>
        <w:t>32</w:t>
      </w:r>
      <w:r>
        <w:rPr>
          <w:noProof/>
        </w:rPr>
        <w:fldChar w:fldCharType="end"/>
      </w:r>
      <w:r w:rsidRPr="002C4EB9" w:rsidR="00C538CD">
        <w:t>.  The Court notes that the applicant</w:t>
      </w:r>
      <w:r w:rsidRPr="002C4EB9" w:rsidR="002C4EB9">
        <w:t>’</w:t>
      </w:r>
      <w:r w:rsidRPr="002C4EB9" w:rsidR="00C538CD">
        <w:t xml:space="preserve">s complaint under Article 1 of Protocol No. 1 is linked to her Article 6 § 1 complaint above. Accordingly, reiterating its findings in paragraphs </w:t>
      </w:r>
      <w:r w:rsidRPr="002C4EB9" w:rsidR="00C538CD">
        <w:fldChar w:fldCharType="begin"/>
      </w:r>
      <w:r w:rsidRPr="002C4EB9" w:rsidR="00C538CD">
        <w:instrText xml:space="preserve"> REF para27 \h </w:instrText>
      </w:r>
      <w:r w:rsidRPr="002C4EB9" w:rsidR="00C538CD">
        <w:fldChar w:fldCharType="separate"/>
      </w:r>
      <w:r w:rsidRPr="002C4EB9" w:rsidR="002C4EB9">
        <w:rPr>
          <w:rFonts w:eastAsia="PMingLiU"/>
          <w:noProof/>
          <w:lang w:eastAsia="fr-FR"/>
        </w:rPr>
        <w:t>25</w:t>
      </w:r>
      <w:r w:rsidRPr="002C4EB9" w:rsidR="00C538CD">
        <w:fldChar w:fldCharType="end"/>
      </w:r>
      <w:r w:rsidRPr="002C4EB9" w:rsidR="00C538CD">
        <w:t>-</w:t>
      </w:r>
      <w:r w:rsidRPr="002C4EB9" w:rsidR="00C538CD">
        <w:fldChar w:fldCharType="begin"/>
      </w:r>
      <w:r w:rsidRPr="002C4EB9" w:rsidR="00C538CD">
        <w:instrText xml:space="preserve"> REF para25 \h </w:instrText>
      </w:r>
      <w:r w:rsidRPr="002C4EB9" w:rsidR="00C538CD">
        <w:fldChar w:fldCharType="separate"/>
      </w:r>
      <w:r w:rsidRPr="002C4EB9" w:rsidR="002C4EB9">
        <w:rPr>
          <w:noProof/>
        </w:rPr>
        <w:t>27</w:t>
      </w:r>
      <w:r w:rsidRPr="002C4EB9" w:rsidR="00C538CD">
        <w:fldChar w:fldCharType="end"/>
      </w:r>
      <w:r w:rsidRPr="002C4EB9" w:rsidR="00C538CD">
        <w:t xml:space="preserve"> above, and referring to its case</w:t>
      </w:r>
      <w:r w:rsidRPr="002C4EB9" w:rsidR="00943CE1">
        <w:noBreakHyphen/>
      </w:r>
      <w:r w:rsidRPr="002C4EB9" w:rsidR="00C538CD">
        <w:t xml:space="preserve">law (see </w:t>
      </w:r>
      <w:proofErr w:type="spellStart"/>
      <w:r w:rsidRPr="002C4EB9" w:rsidR="00C538CD">
        <w:rPr>
          <w:i/>
          <w:iCs/>
        </w:rPr>
        <w:t>Plechanow</w:t>
      </w:r>
      <w:proofErr w:type="spellEnd"/>
      <w:r w:rsidRPr="002C4EB9" w:rsidR="00C538CD">
        <w:t>, cited above, §§ 99-112), the Court considers that the State has failed to comply with its positive obligation to provide measures safeguarding the applicant</w:t>
      </w:r>
      <w:r w:rsidRPr="002C4EB9" w:rsidR="002C4EB9">
        <w:t>’</w:t>
      </w:r>
      <w:r w:rsidRPr="002C4EB9" w:rsidR="00C538CD">
        <w:t>s right to the effective enjoyment of her possessions.</w:t>
      </w:r>
    </w:p>
    <w:p w:rsidRPr="002C4EB9" w:rsidR="00C538CD" w:rsidP="002C4EB9" w:rsidRDefault="00B60196" w14:paraId="2D961592" w14:textId="6E75B3CA">
      <w:pPr>
        <w:pStyle w:val="JuPara"/>
      </w:pPr>
      <w:r>
        <w:rPr>
          <w:noProof/>
        </w:rPr>
        <w:fldChar w:fldCharType="begin"/>
      </w:r>
      <w:r>
        <w:rPr>
          <w:noProof/>
        </w:rPr>
        <w:instrText xml:space="preserve"> SEQ level0 \*arabic \* MERGEFORMAT </w:instrText>
      </w:r>
      <w:r>
        <w:rPr>
          <w:noProof/>
        </w:rPr>
        <w:fldChar w:fldCharType="separate"/>
      </w:r>
      <w:r w:rsidRPr="002C4EB9" w:rsidR="002C4EB9">
        <w:rPr>
          <w:noProof/>
        </w:rPr>
        <w:t>33</w:t>
      </w:r>
      <w:r>
        <w:rPr>
          <w:noProof/>
        </w:rPr>
        <w:fldChar w:fldCharType="end"/>
      </w:r>
      <w:r w:rsidRPr="002C4EB9" w:rsidR="00C538CD">
        <w:t>.  It follows that the Government</w:t>
      </w:r>
      <w:r w:rsidRPr="002C4EB9" w:rsidR="002C4EB9">
        <w:t>’</w:t>
      </w:r>
      <w:r w:rsidRPr="002C4EB9" w:rsidR="00C538CD">
        <w:t>s objection concerning non-exhaustion of domestic remedies must be dismissed, and the Court concludes that there has been a violation of Article 1 of Protocol No. 1.</w:t>
      </w:r>
    </w:p>
    <w:p w:rsidRPr="002C4EB9" w:rsidR="00C538CD" w:rsidP="002C4EB9" w:rsidRDefault="00C538CD" w14:paraId="71C6458C" w14:textId="77777777">
      <w:pPr>
        <w:pStyle w:val="JuHIRoman"/>
      </w:pPr>
      <w:r w:rsidRPr="002C4EB9">
        <w:t>OTHER COMPLAINTS</w:t>
      </w:r>
    </w:p>
    <w:p w:rsidRPr="002C4EB9" w:rsidR="00C538CD" w:rsidP="002C4EB9" w:rsidRDefault="00C538CD" w14:paraId="5E66FEF3" w14:textId="1276417F">
      <w:pPr>
        <w:pStyle w:val="JuPara"/>
      </w:pPr>
      <w:r w:rsidRPr="002C4EB9">
        <w:fldChar w:fldCharType="begin"/>
      </w:r>
      <w:r w:rsidRPr="002C4EB9">
        <w:instrText xml:space="preserve"> SEQ level0 \*arabic </w:instrText>
      </w:r>
      <w:r w:rsidRPr="002C4EB9">
        <w:fldChar w:fldCharType="separate"/>
      </w:r>
      <w:r w:rsidRPr="002C4EB9" w:rsidR="002C4EB9">
        <w:rPr>
          <w:noProof/>
        </w:rPr>
        <w:t>34</w:t>
      </w:r>
      <w:r w:rsidRPr="002C4EB9">
        <w:fldChar w:fldCharType="end"/>
      </w:r>
      <w:r w:rsidRPr="002C4EB9">
        <w:t>.  The applicant also complained under Article 6 § 1 of the Convention about the breach of the principle of legal certainty because the domestic courts</w:t>
      </w:r>
      <w:r w:rsidRPr="002C4EB9" w:rsidR="002C4EB9">
        <w:t>’</w:t>
      </w:r>
      <w:r w:rsidRPr="002C4EB9">
        <w:t xml:space="preserve"> decisions in all three sets of proceedings were in contradiction with the decision of the Constitutional Court of 7 July 2005 (see paragraph </w:t>
      </w:r>
      <w:r w:rsidRPr="002C4EB9">
        <w:fldChar w:fldCharType="begin"/>
      </w:r>
      <w:r w:rsidRPr="002C4EB9">
        <w:instrText xml:space="preserve"> REF para18 \h </w:instrText>
      </w:r>
      <w:r w:rsidRPr="002C4EB9">
        <w:fldChar w:fldCharType="separate"/>
      </w:r>
      <w:r w:rsidRPr="002C4EB9" w:rsidR="002C4EB9">
        <w:rPr>
          <w:rFonts w:eastAsiaTheme="minorEastAsia"/>
          <w:noProof/>
        </w:rPr>
        <w:t>14</w:t>
      </w:r>
      <w:r w:rsidRPr="002C4EB9">
        <w:fldChar w:fldCharType="end"/>
      </w:r>
      <w:r w:rsidRPr="002C4EB9">
        <w:t xml:space="preserve"> above).</w:t>
      </w:r>
    </w:p>
    <w:p w:rsidRPr="002C4EB9" w:rsidR="00C538CD" w:rsidP="002C4EB9" w:rsidRDefault="00B60196" w14:paraId="304F8A1E" w14:textId="1EE43F8E">
      <w:pPr>
        <w:pStyle w:val="JuPara"/>
      </w:pPr>
      <w:r>
        <w:rPr>
          <w:noProof/>
        </w:rPr>
        <w:fldChar w:fldCharType="begin"/>
      </w:r>
      <w:r>
        <w:rPr>
          <w:noProof/>
        </w:rPr>
        <w:instrText xml:space="preserve"> SEQ level0 \*arabic \* MERGEFORMAT </w:instrText>
      </w:r>
      <w:r>
        <w:rPr>
          <w:noProof/>
        </w:rPr>
        <w:fldChar w:fldCharType="separate"/>
      </w:r>
      <w:r w:rsidRPr="002C4EB9" w:rsidR="002C4EB9">
        <w:rPr>
          <w:noProof/>
        </w:rPr>
        <w:t>35</w:t>
      </w:r>
      <w:r>
        <w:rPr>
          <w:noProof/>
        </w:rPr>
        <w:fldChar w:fldCharType="end"/>
      </w:r>
      <w:r w:rsidRPr="002C4EB9" w:rsidR="00C538CD">
        <w:t xml:space="preserve">.  Having regard to the facts of the case, the submissions of the parties, and its findings above, the Court considers that it has examined the main legal questions raised in the present case. It thus considers that there is no need to give a separate ruling on the admissibility and merits of the remaining complaint (see </w:t>
      </w:r>
      <w:r w:rsidRPr="002C4EB9" w:rsidR="00C538CD">
        <w:rPr>
          <w:i/>
          <w:iCs/>
        </w:rPr>
        <w:t xml:space="preserve">Centre for Legal Resources on behalf of Valentin </w:t>
      </w:r>
      <w:proofErr w:type="spellStart"/>
      <w:r w:rsidRPr="002C4EB9" w:rsidR="00C538CD">
        <w:rPr>
          <w:i/>
          <w:iCs/>
        </w:rPr>
        <w:t>Câmpeanu</w:t>
      </w:r>
      <w:proofErr w:type="spellEnd"/>
      <w:r w:rsidRPr="002C4EB9" w:rsidR="00C538CD">
        <w:rPr>
          <w:i/>
          <w:iCs/>
        </w:rPr>
        <w:t xml:space="preserve"> v.</w:t>
      </w:r>
      <w:r w:rsidRPr="002C4EB9" w:rsidR="001C3EBC">
        <w:rPr>
          <w:i/>
          <w:iCs/>
        </w:rPr>
        <w:t> </w:t>
      </w:r>
      <w:r w:rsidRPr="002C4EB9" w:rsidR="00C538CD">
        <w:rPr>
          <w:i/>
          <w:iCs/>
        </w:rPr>
        <w:t>Romania</w:t>
      </w:r>
      <w:r w:rsidRPr="002C4EB9" w:rsidR="00C538CD">
        <w:t xml:space="preserve"> [GC], no.</w:t>
      </w:r>
      <w:r w:rsidRPr="002C4EB9" w:rsidR="001C3EBC">
        <w:t> </w:t>
      </w:r>
      <w:r w:rsidRPr="002C4EB9" w:rsidR="00C538CD">
        <w:t>47848/08, § 156, ECHR 2014).</w:t>
      </w:r>
    </w:p>
    <w:p w:rsidRPr="002C4EB9" w:rsidR="00C538CD" w:rsidP="002C4EB9" w:rsidRDefault="00C538CD" w14:paraId="76727291" w14:textId="77777777">
      <w:pPr>
        <w:pStyle w:val="JuHHead"/>
      </w:pPr>
      <w:r w:rsidRPr="002C4EB9">
        <w:t>APPLICATION OF ARTICLE 41 OF THE CONVENTION</w:t>
      </w:r>
    </w:p>
    <w:p w:rsidRPr="002C4EB9" w:rsidR="00C538CD" w:rsidP="002C4EB9" w:rsidRDefault="00B60196" w14:paraId="1FA2246E" w14:textId="4A533599">
      <w:pPr>
        <w:pStyle w:val="JuPara"/>
      </w:pPr>
      <w:r>
        <w:rPr>
          <w:noProof/>
        </w:rPr>
        <w:fldChar w:fldCharType="begin"/>
      </w:r>
      <w:r>
        <w:rPr>
          <w:noProof/>
        </w:rPr>
        <w:instrText xml:space="preserve"> SEQ level0 \*arabic \* MERGEFORMAT </w:instrText>
      </w:r>
      <w:r>
        <w:rPr>
          <w:noProof/>
        </w:rPr>
        <w:fldChar w:fldCharType="separate"/>
      </w:r>
      <w:r w:rsidRPr="002C4EB9" w:rsidR="002C4EB9">
        <w:rPr>
          <w:noProof/>
        </w:rPr>
        <w:t>36</w:t>
      </w:r>
      <w:r>
        <w:rPr>
          <w:noProof/>
        </w:rPr>
        <w:fldChar w:fldCharType="end"/>
      </w:r>
      <w:r w:rsidRPr="002C4EB9" w:rsidR="00C538CD">
        <w:t>.  The applicant claimed 87,974 euros (EUR) in respect of pecuniary damage, which corresponds to salary arrears for the period between 1</w:t>
      </w:r>
      <w:r w:rsidRPr="002C4EB9" w:rsidR="00943CE1">
        <w:t> </w:t>
      </w:r>
      <w:r w:rsidRPr="002C4EB9" w:rsidR="00C538CD">
        <w:t xml:space="preserve">September 1997 and 30 April 2007, together with the accrued statutory default interest. She also sought EUR 150,000 in respect of non-pecuniary damage, 90,258 Croatian </w:t>
      </w:r>
      <w:proofErr w:type="spellStart"/>
      <w:r w:rsidRPr="002C4EB9" w:rsidR="00C538CD">
        <w:t>kunas</w:t>
      </w:r>
      <w:proofErr w:type="spellEnd"/>
      <w:r w:rsidRPr="002C4EB9" w:rsidR="00C538CD">
        <w:t xml:space="preserve"> (HRK) in respect of costs and expenses incurred before the domestic courts and HRK 40,000 for those incurred before the Court. The Government contested these claims.</w:t>
      </w:r>
    </w:p>
    <w:bookmarkStart w:name="para45" w:id="16"/>
    <w:p w:rsidRPr="002C4EB9" w:rsidR="00C538CD" w:rsidP="002C4EB9" w:rsidRDefault="00C538CD" w14:paraId="2A5C5E43" w14:textId="2CB3F6ED">
      <w:pPr>
        <w:pStyle w:val="JuPara"/>
      </w:pPr>
      <w:r w:rsidRPr="002C4EB9">
        <w:fldChar w:fldCharType="begin"/>
      </w:r>
      <w:r w:rsidRPr="002C4EB9">
        <w:instrText xml:space="preserve"> SEQ level0 \*arabic \* MERGEFORMAT </w:instrText>
      </w:r>
      <w:r w:rsidRPr="002C4EB9">
        <w:fldChar w:fldCharType="separate"/>
      </w:r>
      <w:r w:rsidRPr="002C4EB9" w:rsidR="002C4EB9">
        <w:rPr>
          <w:noProof/>
        </w:rPr>
        <w:t>37</w:t>
      </w:r>
      <w:r w:rsidRPr="002C4EB9">
        <w:fldChar w:fldCharType="end"/>
      </w:r>
      <w:bookmarkEnd w:id="16"/>
      <w:r w:rsidRPr="002C4EB9">
        <w:t xml:space="preserve">.  The Court finds that in the present case the most appropriate way of repairing the consequences of the violations found is to reopen the civil proceedings complained of (compare </w:t>
      </w:r>
      <w:proofErr w:type="spellStart"/>
      <w:r w:rsidRPr="002C4EB9">
        <w:rPr>
          <w:i/>
          <w:iCs/>
        </w:rPr>
        <w:t>Čikanović</w:t>
      </w:r>
      <w:proofErr w:type="spellEnd"/>
      <w:r w:rsidRPr="002C4EB9">
        <w:t xml:space="preserve">, cited above, § 66). Since under section 428a of the Croatian Civil Procedure Act an applicant may seek the reopening of the civil proceedings in respect of which the Court has found a violation of the Convention, there is no call to award the applicant any sum in respect of pecuniary damage (see </w:t>
      </w:r>
      <w:proofErr w:type="spellStart"/>
      <w:r w:rsidRPr="002C4EB9">
        <w:rPr>
          <w:i/>
          <w:iCs/>
        </w:rPr>
        <w:t>Iatridis</w:t>
      </w:r>
      <w:proofErr w:type="spellEnd"/>
      <w:r w:rsidRPr="002C4EB9">
        <w:rPr>
          <w:i/>
          <w:iCs/>
        </w:rPr>
        <w:t xml:space="preserve"> v. Greece</w:t>
      </w:r>
      <w:r w:rsidRPr="002C4EB9">
        <w:t xml:space="preserve"> (just satisfaction) </w:t>
      </w:r>
      <w:bookmarkStart w:name="_Hlk94125810" w:id="17"/>
      <w:r w:rsidRPr="002C4EB9">
        <w:t>[</w:t>
      </w:r>
      <w:bookmarkEnd w:id="17"/>
      <w:r w:rsidRPr="002C4EB9">
        <w:t>GC], no. 31107/96, §§ 32-33, ECHR 2000-XI).</w:t>
      </w:r>
    </w:p>
    <w:p w:rsidRPr="002C4EB9" w:rsidR="00C538CD" w:rsidP="002C4EB9" w:rsidRDefault="00B60196" w14:paraId="34990310" w14:textId="44DF9F90">
      <w:pPr>
        <w:pStyle w:val="JuPara"/>
      </w:pPr>
      <w:r>
        <w:rPr>
          <w:noProof/>
        </w:rPr>
        <w:fldChar w:fldCharType="begin"/>
      </w:r>
      <w:r>
        <w:rPr>
          <w:noProof/>
        </w:rPr>
        <w:instrText xml:space="preserve"> SEQ level0 \*arabic \* MERGEFORMAT </w:instrText>
      </w:r>
      <w:r>
        <w:rPr>
          <w:noProof/>
        </w:rPr>
        <w:fldChar w:fldCharType="separate"/>
      </w:r>
      <w:r w:rsidRPr="002C4EB9" w:rsidR="002C4EB9">
        <w:rPr>
          <w:noProof/>
        </w:rPr>
        <w:t>38</w:t>
      </w:r>
      <w:r>
        <w:rPr>
          <w:noProof/>
        </w:rPr>
        <w:fldChar w:fldCharType="end"/>
      </w:r>
      <w:r w:rsidRPr="002C4EB9" w:rsidR="00C538CD">
        <w:t>.  On the other hand, the Court finds that the applicant must have sustained non-pecuniary damage. Ruling on an equitable basis, it awards her EUR 7,800 under that head, plus any tax that may be chargeable on that amount.</w:t>
      </w:r>
    </w:p>
    <w:p w:rsidRPr="002C4EB9" w:rsidR="00C538CD" w:rsidP="002C4EB9" w:rsidRDefault="00B60196" w14:paraId="6D1744AB" w14:textId="609E954D">
      <w:pPr>
        <w:pStyle w:val="JuPara"/>
      </w:pPr>
      <w:r>
        <w:rPr>
          <w:noProof/>
        </w:rPr>
        <w:fldChar w:fldCharType="begin"/>
      </w:r>
      <w:r>
        <w:rPr>
          <w:noProof/>
        </w:rPr>
        <w:instrText xml:space="preserve"> SEQ level0 \*arabic \* MERGEFORMAT </w:instrText>
      </w:r>
      <w:r>
        <w:rPr>
          <w:noProof/>
        </w:rPr>
        <w:fldChar w:fldCharType="separate"/>
      </w:r>
      <w:r w:rsidRPr="002C4EB9" w:rsidR="002C4EB9">
        <w:rPr>
          <w:noProof/>
        </w:rPr>
        <w:t>39</w:t>
      </w:r>
      <w:r>
        <w:rPr>
          <w:noProof/>
        </w:rPr>
        <w:fldChar w:fldCharType="end"/>
      </w:r>
      <w:r w:rsidRPr="002C4EB9" w:rsidR="00C538CD">
        <w:t xml:space="preserve">.  Having regard that the applicant can seek the reopening of the three sets of domestic civil proceedings and thereby obtain a fresh decision on costs before the civil courts and the Supreme Court (see paragraph </w:t>
      </w:r>
      <w:r w:rsidRPr="002C4EB9" w:rsidR="00C538CD">
        <w:fldChar w:fldCharType="begin"/>
      </w:r>
      <w:r w:rsidRPr="002C4EB9" w:rsidR="00C538CD">
        <w:instrText xml:space="preserve"> REF para45 \h </w:instrText>
      </w:r>
      <w:r w:rsidRPr="002C4EB9" w:rsidR="00C538CD">
        <w:fldChar w:fldCharType="separate"/>
      </w:r>
      <w:r w:rsidRPr="002C4EB9" w:rsidR="002C4EB9">
        <w:rPr>
          <w:noProof/>
        </w:rPr>
        <w:t>37</w:t>
      </w:r>
      <w:r w:rsidRPr="002C4EB9" w:rsidR="00C538CD">
        <w:fldChar w:fldCharType="end"/>
      </w:r>
      <w:r w:rsidRPr="002C4EB9" w:rsidR="00C538CD">
        <w:t xml:space="preserve"> above), the Court considers it reasonable to award the sum of EUR 2,600 for the costs and expenses incurred before the Constitutional Court and EUR 4,000 for those incurred before the Court, plus any tax that may be chargeable to the applicant.</w:t>
      </w:r>
    </w:p>
    <w:p w:rsidRPr="002C4EB9" w:rsidR="00C538CD" w:rsidP="002C4EB9" w:rsidRDefault="00C538CD" w14:paraId="30B23561" w14:textId="0BFA638F">
      <w:pPr>
        <w:pStyle w:val="JuHHead"/>
      </w:pPr>
      <w:r w:rsidRPr="002C4EB9">
        <w:t>FOR THESE REASONS, THE COURT, UNANIMOUSLY,</w:t>
      </w:r>
    </w:p>
    <w:p w:rsidRPr="002C4EB9" w:rsidR="00C538CD" w:rsidP="002C4EB9" w:rsidRDefault="00C538CD" w14:paraId="3FB69B63" w14:textId="77777777">
      <w:pPr>
        <w:pStyle w:val="JuList"/>
      </w:pPr>
      <w:r w:rsidRPr="002C4EB9">
        <w:rPr>
          <w:i/>
          <w:iCs/>
        </w:rPr>
        <w:t>Decides</w:t>
      </w:r>
      <w:r w:rsidRPr="002C4EB9">
        <w:rPr>
          <w:i/>
        </w:rPr>
        <w:t xml:space="preserve"> </w:t>
      </w:r>
      <w:r w:rsidRPr="002C4EB9">
        <w:t>to join the applications;</w:t>
      </w:r>
    </w:p>
    <w:p w:rsidRPr="002C4EB9" w:rsidR="00C538CD" w:rsidP="002C4EB9" w:rsidRDefault="00C538CD" w14:paraId="5B73F3F0" w14:textId="7B34434F">
      <w:pPr>
        <w:pStyle w:val="JuList"/>
      </w:pPr>
      <w:r w:rsidRPr="002C4EB9">
        <w:rPr>
          <w:i/>
        </w:rPr>
        <w:t>Declares</w:t>
      </w:r>
      <w:r w:rsidRPr="002C4EB9">
        <w:t xml:space="preserve"> the complaints concerning non-enforcement of a judgment rendered in the applicant</w:t>
      </w:r>
      <w:r w:rsidRPr="002C4EB9" w:rsidR="002C4EB9">
        <w:t>’</w:t>
      </w:r>
      <w:r w:rsidRPr="002C4EB9">
        <w:t>s favour under Article 6 § 1 of the Convention and the rejection of her claims for salary arrears under Article 1 of Protocol No. 1 admissible;</w:t>
      </w:r>
    </w:p>
    <w:p w:rsidRPr="002C4EB9" w:rsidR="00C538CD" w:rsidP="002C4EB9" w:rsidRDefault="00C538CD" w14:paraId="0A622943" w14:textId="731995D6">
      <w:pPr>
        <w:pStyle w:val="JuList"/>
      </w:pPr>
      <w:r w:rsidRPr="002C4EB9">
        <w:rPr>
          <w:i/>
        </w:rPr>
        <w:t>Holds</w:t>
      </w:r>
      <w:r w:rsidRPr="002C4EB9">
        <w:t xml:space="preserve"> that there has been a violation of Article 6 § 1 of the Convention on account of the non-enforcement of the judgment rendered in the applicant</w:t>
      </w:r>
      <w:r w:rsidRPr="002C4EB9" w:rsidR="002C4EB9">
        <w:t>’</w:t>
      </w:r>
      <w:r w:rsidRPr="002C4EB9">
        <w:t>s favour;</w:t>
      </w:r>
    </w:p>
    <w:p w:rsidRPr="002C4EB9" w:rsidR="00C538CD" w:rsidP="002C4EB9" w:rsidRDefault="00C538CD" w14:paraId="72D5B878" w14:textId="14CC06AA">
      <w:pPr>
        <w:pStyle w:val="JuList"/>
      </w:pPr>
      <w:r w:rsidRPr="002C4EB9">
        <w:rPr>
          <w:i/>
        </w:rPr>
        <w:t>Holds</w:t>
      </w:r>
      <w:r w:rsidRPr="002C4EB9">
        <w:rPr>
          <w:color w:val="000000"/>
        </w:rPr>
        <w:t xml:space="preserve"> </w:t>
      </w:r>
      <w:r w:rsidRPr="002C4EB9">
        <w:t>that there has been a violation of Article 1 of Protocol No. 1 of the Convention on account of the rejection of the applicant</w:t>
      </w:r>
      <w:r w:rsidRPr="002C4EB9" w:rsidR="002C4EB9">
        <w:t>’</w:t>
      </w:r>
      <w:r w:rsidRPr="002C4EB9">
        <w:t>s claims for salary arrears;</w:t>
      </w:r>
    </w:p>
    <w:p w:rsidRPr="002C4EB9" w:rsidR="00C538CD" w:rsidP="002C4EB9" w:rsidRDefault="00C538CD" w14:paraId="0C12B83A" w14:textId="77777777">
      <w:pPr>
        <w:pStyle w:val="JuList"/>
      </w:pPr>
      <w:r w:rsidRPr="002C4EB9">
        <w:rPr>
          <w:i/>
        </w:rPr>
        <w:t>Holds</w:t>
      </w:r>
      <w:r w:rsidRPr="002C4EB9">
        <w:rPr>
          <w:color w:val="000000"/>
        </w:rPr>
        <w:t xml:space="preserve"> </w:t>
      </w:r>
      <w:r w:rsidRPr="002C4EB9">
        <w:t>that there is no need to examine the admissibility and merits of the complaint under Article 6 § 1 of the Convention concerning the alleged breach of the principle of legal certainty;</w:t>
      </w:r>
    </w:p>
    <w:p w:rsidRPr="002C4EB9" w:rsidR="00C538CD" w:rsidP="002C4EB9" w:rsidRDefault="00C538CD" w14:paraId="45323A73" w14:textId="77777777">
      <w:pPr>
        <w:pStyle w:val="JuList"/>
      </w:pPr>
      <w:r w:rsidRPr="002C4EB9">
        <w:rPr>
          <w:i/>
          <w:iCs/>
        </w:rPr>
        <w:t>Holds</w:t>
      </w:r>
    </w:p>
    <w:p w:rsidRPr="002C4EB9" w:rsidR="00C538CD" w:rsidP="002C4EB9" w:rsidRDefault="00C538CD" w14:paraId="32F91C27" w14:textId="77777777">
      <w:pPr>
        <w:pStyle w:val="JuLista"/>
        <w:numPr>
          <w:ilvl w:val="1"/>
          <w:numId w:val="1"/>
        </w:numPr>
      </w:pPr>
      <w:r w:rsidRPr="002C4EB9">
        <w:t>that the respondent State is to pay the applicant, within three months, the following amounts, to be converted into the currency of the respondent State at the rate applicable at the date of settlement:</w:t>
      </w:r>
    </w:p>
    <w:p w:rsidRPr="002C4EB9" w:rsidR="00C538CD" w:rsidP="002C4EB9" w:rsidRDefault="00C538CD" w14:paraId="19B9DDDC" w14:textId="77777777">
      <w:pPr>
        <w:pStyle w:val="JuLista"/>
        <w:numPr>
          <w:ilvl w:val="0"/>
          <w:numId w:val="0"/>
        </w:numPr>
        <w:ind w:left="680"/>
      </w:pPr>
      <w:r w:rsidRPr="002C4EB9">
        <w:t>(i) EUR 7,800 (seven thousand eight hundred euros), plus any tax that may be chargeable, in respect of non-pecuniary damage;</w:t>
      </w:r>
    </w:p>
    <w:p w:rsidRPr="002C4EB9" w:rsidR="00C538CD" w:rsidP="002C4EB9" w:rsidRDefault="00C538CD" w14:paraId="1DC44C03" w14:textId="77777777">
      <w:pPr>
        <w:pStyle w:val="JuLista"/>
        <w:numPr>
          <w:ilvl w:val="0"/>
          <w:numId w:val="0"/>
        </w:numPr>
        <w:ind w:left="680"/>
        <w:rPr>
          <w:b/>
        </w:rPr>
      </w:pPr>
      <w:r w:rsidRPr="002C4EB9">
        <w:t>(ii) EUR 6,600 (six thousand six hundred euros), plus any tax that may be chargeable to the applicant, in respect of costs and expenses</w:t>
      </w:r>
      <w:r w:rsidRPr="002C4EB9">
        <w:rPr>
          <w:bCs/>
        </w:rPr>
        <w:t>;</w:t>
      </w:r>
    </w:p>
    <w:p w:rsidRPr="002C4EB9" w:rsidR="00C538CD" w:rsidP="002C4EB9" w:rsidRDefault="00C538CD" w14:paraId="129C82AA" w14:textId="076A8D88">
      <w:pPr>
        <w:pStyle w:val="JuLista"/>
        <w:numPr>
          <w:ilvl w:val="1"/>
          <w:numId w:val="1"/>
        </w:numPr>
      </w:pPr>
      <w:r w:rsidRPr="002C4EB9">
        <w:t>that from the expiry of the above-mentioned three months until settlement simple interest shall be payable on the above amount at a rate equal to the marginal lending rate of the European Central Bank during the default period plus three percentage points;</w:t>
      </w:r>
    </w:p>
    <w:p w:rsidRPr="002C4EB9" w:rsidR="004D0EC7" w:rsidP="002C4EB9" w:rsidRDefault="00C538CD" w14:paraId="194D813D" w14:textId="1531D114">
      <w:pPr>
        <w:pStyle w:val="JuList"/>
      </w:pPr>
      <w:r w:rsidRPr="002C4EB9">
        <w:rPr>
          <w:i/>
        </w:rPr>
        <w:t xml:space="preserve">Dismisses </w:t>
      </w:r>
      <w:r w:rsidRPr="002C4EB9">
        <w:t>the remainder of the applicant</w:t>
      </w:r>
      <w:r w:rsidRPr="002C4EB9" w:rsidR="002C4EB9">
        <w:t>’</w:t>
      </w:r>
      <w:r w:rsidRPr="002C4EB9">
        <w:t>s claim for just satisfaction.</w:t>
      </w:r>
    </w:p>
    <w:p w:rsidRPr="002C4EB9" w:rsidR="008E3A08" w:rsidP="002C4EB9" w:rsidRDefault="007E2C8C" w14:paraId="4D63AD98" w14:textId="7FD7C368">
      <w:pPr>
        <w:pStyle w:val="JuParaLast"/>
      </w:pPr>
      <w:r w:rsidRPr="002C4EB9">
        <w:t xml:space="preserve">Done in English, and notified in writing on </w:t>
      </w:r>
      <w:r w:rsidRPr="002C4EB9" w:rsidR="00C538CD">
        <w:rPr>
          <w:rFonts w:ascii="Times New Roman" w:hAnsi="Times New Roman" w:cs="Times New Roman"/>
        </w:rPr>
        <w:t>19 May 2022</w:t>
      </w:r>
      <w:r w:rsidRPr="002C4EB9">
        <w:t>, pursuant to Rule 77 §§ 2 and 3 of the Rules of Court.</w:t>
      </w:r>
    </w:p>
    <w:p w:rsidRPr="002C4EB9" w:rsidR="008B092C" w:rsidP="002C4EB9" w:rsidRDefault="00281B7C" w14:paraId="04076F0C" w14:textId="2056BAD1">
      <w:pPr>
        <w:pStyle w:val="ECHRPlaceholder"/>
        <w:rPr>
          <w:szCs w:val="22"/>
        </w:rPr>
      </w:pPr>
      <w:r w:rsidRPr="002C4EB9">
        <w:tab/>
      </w:r>
    </w:p>
    <w:p w:rsidRPr="002C4EB9" w:rsidR="00675AF2" w:rsidP="002C4EB9" w:rsidRDefault="002E7764" w14:paraId="0E92A7BA" w14:textId="1268AF27">
      <w:pPr>
        <w:pStyle w:val="JuSigned"/>
      </w:pPr>
      <w:r w:rsidRPr="002C4EB9">
        <w:tab/>
      </w:r>
      <w:r w:rsidRPr="002C4EB9" w:rsidR="00C538CD">
        <w:rPr>
          <w:noProof/>
        </w:rPr>
        <w:t>Liv Tigerstedt</w:t>
      </w:r>
      <w:r w:rsidRPr="002C4EB9" w:rsidR="005879A2">
        <w:t xml:space="preserve"> </w:t>
      </w:r>
      <w:r w:rsidRPr="002C4EB9" w:rsidR="009F4C8F">
        <w:tab/>
      </w:r>
      <w:r w:rsidRPr="002C4EB9" w:rsidR="00C538CD">
        <w:rPr>
          <w:noProof/>
        </w:rPr>
        <w:t>Péter Paczolay</w:t>
      </w:r>
      <w:r w:rsidRPr="002C4EB9" w:rsidR="009F4C8F">
        <w:br/>
      </w:r>
      <w:r w:rsidRPr="002C4EB9" w:rsidR="009F4C8F">
        <w:tab/>
      </w:r>
      <w:r w:rsidRPr="002C4EB9" w:rsidR="00C538CD">
        <w:rPr>
          <w:noProof/>
        </w:rPr>
        <w:t xml:space="preserve">Deputy </w:t>
      </w:r>
      <w:r w:rsidRPr="002C4EB9" w:rsidR="00C538CD">
        <w:rPr>
          <w:iCs/>
          <w:noProof/>
        </w:rPr>
        <w:t>Registrar</w:t>
      </w:r>
      <w:r w:rsidRPr="002C4EB9" w:rsidR="009F4C8F">
        <w:tab/>
        <w:t>President</w:t>
      </w:r>
    </w:p>
    <w:sectPr w:rsidRPr="002C4EB9" w:rsidR="00675AF2"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64C32" w14:textId="77777777" w:rsidR="00C538CD" w:rsidRPr="00C538CD" w:rsidRDefault="00C538CD" w:rsidP="0098410D">
      <w:r w:rsidRPr="00C538CD">
        <w:separator/>
      </w:r>
    </w:p>
  </w:endnote>
  <w:endnote w:type="continuationSeparator" w:id="0">
    <w:p w14:paraId="0F62133F" w14:textId="77777777" w:rsidR="00C538CD" w:rsidRPr="00C538CD" w:rsidRDefault="00C538CD" w:rsidP="0098410D">
      <w:r w:rsidRPr="00C538C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230D" w14:textId="77777777" w:rsidR="00C538CD" w:rsidRDefault="00C538CD">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99B69" w14:textId="43345769" w:rsidR="00C538CD" w:rsidRPr="00150BFA" w:rsidRDefault="00C538CD" w:rsidP="0020718E">
    <w:pPr>
      <w:jc w:val="center"/>
    </w:pPr>
    <w:r>
      <w:rPr>
        <w:noProof/>
        <w:lang w:val="en-US" w:eastAsia="ja-JP"/>
      </w:rPr>
      <w:drawing>
        <wp:inline distT="0" distB="0" distL="0" distR="0" wp14:anchorId="427AC27F" wp14:editId="7A8459CD">
          <wp:extent cx="771525" cy="619125"/>
          <wp:effectExtent l="0" t="0" r="9525" b="9525"/>
          <wp:docPr id="53" name="Picture 5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6DFF512" w14:textId="4275FB3E" w:rsidR="0098410D" w:rsidRPr="00C538CD" w:rsidRDefault="0098410D"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0CFC1" w14:textId="532C991A" w:rsidR="00C538CD" w:rsidRPr="00150BFA" w:rsidRDefault="00C538CD" w:rsidP="0020718E">
    <w:pPr>
      <w:jc w:val="center"/>
    </w:pPr>
    <w:r>
      <w:rPr>
        <w:noProof/>
        <w:lang w:val="en-US" w:eastAsia="ja-JP"/>
      </w:rPr>
      <w:drawing>
        <wp:inline distT="0" distB="0" distL="0" distR="0" wp14:anchorId="5B6B5D8C" wp14:editId="40F0BAB2">
          <wp:extent cx="771525" cy="619125"/>
          <wp:effectExtent l="0" t="0" r="9525" b="9525"/>
          <wp:docPr id="51" name="Picture 5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89ABC07" w14:textId="6E371BA6" w:rsidR="009E7A6F" w:rsidRPr="00C538CD" w:rsidRDefault="009E7A6F"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C029B" w14:textId="39C9DC06" w:rsidR="00182EBA" w:rsidRDefault="00C538CD"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52BD7" w14:textId="08C95B71" w:rsidR="00182EBA" w:rsidRPr="000B7195" w:rsidRDefault="00C538CD"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3D7EE" w14:textId="77777777" w:rsidR="00C538CD" w:rsidRPr="00C538CD" w:rsidRDefault="00C538CD" w:rsidP="0098410D">
      <w:r w:rsidRPr="00C538CD">
        <w:separator/>
      </w:r>
    </w:p>
  </w:footnote>
  <w:footnote w:type="continuationSeparator" w:id="0">
    <w:p w14:paraId="34FF3FC1" w14:textId="77777777" w:rsidR="00C538CD" w:rsidRPr="00C538CD" w:rsidRDefault="00C538CD" w:rsidP="0098410D">
      <w:r w:rsidRPr="00C538C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72B70" w14:textId="77777777" w:rsidR="00C538CD" w:rsidRDefault="00C538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E389" w14:textId="38A6392D" w:rsidR="00C538CD" w:rsidRPr="00A45145" w:rsidRDefault="00C538CD" w:rsidP="00A45145">
    <w:pPr>
      <w:jc w:val="center"/>
    </w:pPr>
    <w:r>
      <w:rPr>
        <w:noProof/>
        <w:lang w:val="en-US" w:eastAsia="ja-JP"/>
      </w:rPr>
      <w:drawing>
        <wp:inline distT="0" distB="0" distL="0" distR="0" wp14:anchorId="6C0413EE" wp14:editId="737D6F91">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E32F364" w14:textId="2E2E1346" w:rsidR="0098410D" w:rsidRPr="00C538CD" w:rsidRDefault="0098410D"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61A50" w14:textId="41B983C1" w:rsidR="00C538CD" w:rsidRPr="00A45145" w:rsidRDefault="00C538CD" w:rsidP="00A45145">
    <w:pPr>
      <w:jc w:val="center"/>
    </w:pPr>
    <w:r>
      <w:rPr>
        <w:noProof/>
        <w:lang w:val="en-US" w:eastAsia="ja-JP"/>
      </w:rPr>
      <w:drawing>
        <wp:inline distT="0" distB="0" distL="0" distR="0" wp14:anchorId="7FB05439" wp14:editId="2A9C1667">
          <wp:extent cx="2962275" cy="1219200"/>
          <wp:effectExtent l="0" t="0" r="9525" b="0"/>
          <wp:docPr id="45" name="Picture 4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216C243" w14:textId="41144575" w:rsidR="0098410D" w:rsidRPr="00C538CD" w:rsidRDefault="00984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39EBA" w14:textId="0895C18E" w:rsidR="00182EBA" w:rsidRPr="004D0EC7" w:rsidRDefault="00C538CD" w:rsidP="004D0EC7">
    <w:pPr>
      <w:pStyle w:val="JuHeader"/>
    </w:pPr>
    <w:r>
      <w:t>ŽIC v. CROATIA</w:t>
    </w:r>
    <w:r w:rsidR="00182EBA" w:rsidRPr="004D0EC7">
      <w:t xml:space="preserve"> </w:t>
    </w:r>
    <w:r w:rsidR="00182EBA">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B3863" w14:textId="529D182B" w:rsidR="00182EBA" w:rsidRPr="00882CD5" w:rsidRDefault="00C538CD" w:rsidP="007D3701">
    <w:pPr>
      <w:pStyle w:val="JuHeader"/>
    </w:pPr>
    <w:r>
      <w:t>ŽIC v. CROATIA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14"/>
  </w:num>
  <w:num w:numId="3">
    <w:abstractNumId w:val="12"/>
  </w:num>
  <w:num w:numId="4">
    <w:abstractNumId w:val="11"/>
  </w:num>
  <w:num w:numId="5">
    <w:abstractNumId w:val="15"/>
  </w:num>
  <w:num w:numId="6">
    <w:abstractNumId w:val="13"/>
  </w:num>
  <w:num w:numId="7">
    <w:abstractNumId w:val="16"/>
  </w:num>
  <w:num w:numId="8">
    <w:abstractNumId w:val="15"/>
  </w:num>
  <w:num w:numId="9">
    <w:abstractNumId w:val="16"/>
  </w:num>
  <w:num w:numId="10">
    <w:abstractNumId w:val="10"/>
  </w:num>
  <w:num w:numId="11">
    <w:abstractNumId w:val="9"/>
  </w:num>
  <w:num w:numId="12">
    <w:abstractNumId w:val="1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3"/>
    <w:docVar w:name="AppNatAutre" w:val="0"/>
    <w:docVar w:name="DocVarPREMATURE" w:val="0"/>
    <w:docVar w:name="EMM" w:val="0"/>
    <w:docVar w:name="ETRANSMISSION" w:val="BY E-TRANSMISSION ONLY"/>
    <w:docVar w:name="L4_1Annex" w:val="0"/>
    <w:docVar w:name="L4_1Anonymity" w:val="0"/>
    <w:docVar w:name="NBApplication" w:val="2"/>
    <w:docVar w:name="NBEMMDOC" w:val="0"/>
    <w:docVar w:name="Plural" w:val="3"/>
    <w:docVar w:name="SignForeName" w:val="0"/>
    <w:docVar w:name="SndCaseNumber" w:val="Error!Nodocumentvariablesupplied."/>
  </w:docVars>
  <w:rsids>
    <w:rsidRoot w:val="00C538CD"/>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C3EBC"/>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4EB9"/>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05F3E"/>
    <w:rsid w:val="00312A30"/>
    <w:rsid w:val="003201D8"/>
    <w:rsid w:val="00320F72"/>
    <w:rsid w:val="0032463E"/>
    <w:rsid w:val="00326224"/>
    <w:rsid w:val="00337EE4"/>
    <w:rsid w:val="00340FFD"/>
    <w:rsid w:val="00345C41"/>
    <w:rsid w:val="003506B1"/>
    <w:rsid w:val="00354832"/>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3CE1"/>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049D1"/>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8CD"/>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672F"/>
    <w:rsid w:val="00D57A4D"/>
    <w:rsid w:val="00D60AA7"/>
    <w:rsid w:val="00D6435F"/>
    <w:rsid w:val="00D66471"/>
    <w:rsid w:val="00D70641"/>
    <w:rsid w:val="00D74888"/>
    <w:rsid w:val="00D7488B"/>
    <w:rsid w:val="00D75E28"/>
    <w:rsid w:val="00D772C2"/>
    <w:rsid w:val="00D8008E"/>
    <w:rsid w:val="00D82C45"/>
    <w:rsid w:val="00D908A8"/>
    <w:rsid w:val="00D977B6"/>
    <w:rsid w:val="00DA1223"/>
    <w:rsid w:val="00DA4A31"/>
    <w:rsid w:val="00DA7B04"/>
    <w:rsid w:val="00DB36C2"/>
    <w:rsid w:val="00DC07BC"/>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E4E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C4EB9"/>
    <w:rPr>
      <w:sz w:val="24"/>
      <w:szCs w:val="24"/>
      <w:lang w:val="en-GB"/>
    </w:rPr>
  </w:style>
  <w:style w:type="paragraph" w:styleId="Heading1">
    <w:name w:val="heading 1"/>
    <w:basedOn w:val="Normal"/>
    <w:next w:val="Normal"/>
    <w:link w:val="Heading1Char"/>
    <w:uiPriority w:val="98"/>
    <w:semiHidden/>
    <w:rsid w:val="002C4EB9"/>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2C4EB9"/>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2C4EB9"/>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2C4EB9"/>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2C4EB9"/>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2C4EB9"/>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2C4EB9"/>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2C4EB9"/>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2C4EB9"/>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2C4EB9"/>
    <w:rPr>
      <w:rFonts w:ascii="Tahoma" w:hAnsi="Tahoma" w:cs="Tahoma"/>
      <w:sz w:val="16"/>
      <w:szCs w:val="16"/>
    </w:rPr>
  </w:style>
  <w:style w:type="character" w:customStyle="1" w:styleId="BalloonTextChar">
    <w:name w:val="Balloon Text Char"/>
    <w:basedOn w:val="DefaultParagraphFont"/>
    <w:link w:val="BalloonText"/>
    <w:uiPriority w:val="98"/>
    <w:semiHidden/>
    <w:rsid w:val="002C4EB9"/>
    <w:rPr>
      <w:rFonts w:ascii="Tahoma" w:hAnsi="Tahoma" w:cs="Tahoma"/>
      <w:sz w:val="16"/>
      <w:szCs w:val="16"/>
      <w:lang w:val="en-GB"/>
    </w:rPr>
  </w:style>
  <w:style w:type="character" w:styleId="BookTitle">
    <w:name w:val="Book Title"/>
    <w:uiPriority w:val="98"/>
    <w:semiHidden/>
    <w:qFormat/>
    <w:rsid w:val="002C4EB9"/>
    <w:rPr>
      <w:i/>
      <w:iCs/>
      <w:smallCaps/>
      <w:spacing w:val="5"/>
    </w:rPr>
  </w:style>
  <w:style w:type="paragraph" w:customStyle="1" w:styleId="JuHeader">
    <w:name w:val="Ju_Header"/>
    <w:aliases w:val="_Header"/>
    <w:basedOn w:val="Header"/>
    <w:uiPriority w:val="29"/>
    <w:qFormat/>
    <w:rsid w:val="002C4EB9"/>
    <w:pPr>
      <w:tabs>
        <w:tab w:val="clear" w:pos="4536"/>
        <w:tab w:val="clear" w:pos="9072"/>
      </w:tabs>
      <w:jc w:val="center"/>
    </w:pPr>
    <w:rPr>
      <w:sz w:val="18"/>
    </w:rPr>
  </w:style>
  <w:style w:type="paragraph" w:customStyle="1" w:styleId="NormalJustified">
    <w:name w:val="Normal_Justified"/>
    <w:basedOn w:val="Normal"/>
    <w:semiHidden/>
    <w:rsid w:val="002C4EB9"/>
    <w:pPr>
      <w:jc w:val="both"/>
    </w:pPr>
  </w:style>
  <w:style w:type="character" w:styleId="Strong">
    <w:name w:val="Strong"/>
    <w:uiPriority w:val="98"/>
    <w:semiHidden/>
    <w:qFormat/>
    <w:rsid w:val="002C4EB9"/>
    <w:rPr>
      <w:b/>
      <w:bCs/>
    </w:rPr>
  </w:style>
  <w:style w:type="paragraph" w:styleId="NoSpacing">
    <w:name w:val="No Spacing"/>
    <w:basedOn w:val="Normal"/>
    <w:link w:val="NoSpacingChar"/>
    <w:uiPriority w:val="98"/>
    <w:semiHidden/>
    <w:qFormat/>
    <w:rsid w:val="002C4EB9"/>
  </w:style>
  <w:style w:type="character" w:customStyle="1" w:styleId="NoSpacingChar">
    <w:name w:val="No Spacing Char"/>
    <w:basedOn w:val="DefaultParagraphFont"/>
    <w:link w:val="NoSpacing"/>
    <w:uiPriority w:val="98"/>
    <w:semiHidden/>
    <w:rsid w:val="002C4EB9"/>
    <w:rPr>
      <w:sz w:val="24"/>
      <w:szCs w:val="24"/>
      <w:lang w:val="en-GB"/>
    </w:rPr>
  </w:style>
  <w:style w:type="paragraph" w:customStyle="1" w:styleId="JuQuot">
    <w:name w:val="Ju_Quot"/>
    <w:aliases w:val="_Quote"/>
    <w:basedOn w:val="NormalJustified"/>
    <w:uiPriority w:val="20"/>
    <w:qFormat/>
    <w:rsid w:val="002C4EB9"/>
    <w:pPr>
      <w:spacing w:before="120" w:after="120"/>
      <w:ind w:left="425" w:firstLine="142"/>
    </w:pPr>
    <w:rPr>
      <w:sz w:val="20"/>
    </w:rPr>
  </w:style>
  <w:style w:type="paragraph" w:customStyle="1" w:styleId="DummyStyle">
    <w:name w:val="Dummy_Style"/>
    <w:aliases w:val="_Dummy"/>
    <w:basedOn w:val="Normal"/>
    <w:semiHidden/>
    <w:qFormat/>
    <w:rsid w:val="002C4EB9"/>
    <w:rPr>
      <w:color w:val="00B050"/>
      <w:sz w:val="22"/>
    </w:rPr>
  </w:style>
  <w:style w:type="paragraph" w:customStyle="1" w:styleId="JuList">
    <w:name w:val="Ju_List"/>
    <w:aliases w:val="_List_1"/>
    <w:basedOn w:val="NormalJustified"/>
    <w:uiPriority w:val="23"/>
    <w:qFormat/>
    <w:rsid w:val="002C4EB9"/>
    <w:pPr>
      <w:numPr>
        <w:numId w:val="11"/>
      </w:numPr>
      <w:spacing w:before="280" w:after="60"/>
    </w:pPr>
  </w:style>
  <w:style w:type="paragraph" w:customStyle="1" w:styleId="JuLista">
    <w:name w:val="Ju_List_a"/>
    <w:aliases w:val="_List_2"/>
    <w:basedOn w:val="NormalJustified"/>
    <w:uiPriority w:val="23"/>
    <w:rsid w:val="002C4EB9"/>
    <w:pPr>
      <w:numPr>
        <w:ilvl w:val="1"/>
        <w:numId w:val="11"/>
      </w:numPr>
    </w:pPr>
  </w:style>
  <w:style w:type="paragraph" w:customStyle="1" w:styleId="JuListi">
    <w:name w:val="Ju_List_i"/>
    <w:aliases w:val="_List_3"/>
    <w:basedOn w:val="NormalJustified"/>
    <w:uiPriority w:val="23"/>
    <w:rsid w:val="002C4EB9"/>
    <w:pPr>
      <w:numPr>
        <w:ilvl w:val="2"/>
        <w:numId w:val="11"/>
      </w:numPr>
    </w:pPr>
  </w:style>
  <w:style w:type="paragraph" w:customStyle="1" w:styleId="JuHArticle">
    <w:name w:val="Ju_H_Article"/>
    <w:aliases w:val="_Title_Quote"/>
    <w:basedOn w:val="Normal"/>
    <w:next w:val="JuQuot"/>
    <w:uiPriority w:val="19"/>
    <w:qFormat/>
    <w:rsid w:val="002C4EB9"/>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2C4EB9"/>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2C4EB9"/>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2C4EB9"/>
    <w:pPr>
      <w:keepNext/>
      <w:keepLines/>
      <w:numPr>
        <w:numId w:val="10"/>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2C4EB9"/>
    <w:pPr>
      <w:numPr>
        <w:numId w:val="5"/>
      </w:numPr>
    </w:pPr>
  </w:style>
  <w:style w:type="paragraph" w:customStyle="1" w:styleId="JuSigned">
    <w:name w:val="Ju_Signed"/>
    <w:aliases w:val="_Signature"/>
    <w:basedOn w:val="Normal"/>
    <w:next w:val="JuPara"/>
    <w:uiPriority w:val="31"/>
    <w:qFormat/>
    <w:rsid w:val="002C4EB9"/>
    <w:pPr>
      <w:tabs>
        <w:tab w:val="center" w:pos="1418"/>
        <w:tab w:val="center" w:pos="5954"/>
      </w:tabs>
      <w:spacing w:before="720"/>
    </w:pPr>
  </w:style>
  <w:style w:type="paragraph" w:styleId="Title">
    <w:name w:val="Title"/>
    <w:basedOn w:val="Normal"/>
    <w:next w:val="Normal"/>
    <w:link w:val="TitleChar"/>
    <w:uiPriority w:val="98"/>
    <w:semiHidden/>
    <w:qFormat/>
    <w:rsid w:val="002C4EB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2C4EB9"/>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2C4EB9"/>
    <w:pPr>
      <w:numPr>
        <w:numId w:val="1"/>
      </w:numPr>
    </w:pPr>
  </w:style>
  <w:style w:type="numbering" w:customStyle="1" w:styleId="ECHRA1StyleNumberedList">
    <w:name w:val="ECHR_A1_Style_Numbered_List"/>
    <w:basedOn w:val="NoList"/>
    <w:rsid w:val="002C4EB9"/>
    <w:pPr>
      <w:numPr>
        <w:numId w:val="7"/>
      </w:numPr>
    </w:pPr>
  </w:style>
  <w:style w:type="table" w:customStyle="1" w:styleId="ECHRTable2019">
    <w:name w:val="ECHR_Table_2019"/>
    <w:basedOn w:val="TableNormal"/>
    <w:uiPriority w:val="99"/>
    <w:rsid w:val="002C4EB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2C4EB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2C4EB9"/>
    <w:pPr>
      <w:keepNext/>
      <w:keepLines/>
      <w:numPr>
        <w:ilvl w:val="1"/>
        <w:numId w:val="10"/>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2C4EB9"/>
    <w:pPr>
      <w:keepNext/>
      <w:keepLines/>
      <w:numPr>
        <w:ilvl w:val="2"/>
        <w:numId w:val="10"/>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2C4EB9"/>
    <w:pPr>
      <w:keepNext/>
      <w:keepLines/>
      <w:numPr>
        <w:ilvl w:val="3"/>
        <w:numId w:val="10"/>
      </w:numPr>
      <w:spacing w:before="100" w:beforeAutospacing="1" w:after="120"/>
      <w:jc w:val="both"/>
    </w:pPr>
    <w:rPr>
      <w:b w:val="0"/>
      <w:color w:val="auto"/>
      <w:sz w:val="24"/>
    </w:rPr>
  </w:style>
  <w:style w:type="paragraph" w:styleId="Header">
    <w:name w:val="header"/>
    <w:basedOn w:val="Normal"/>
    <w:link w:val="HeaderChar"/>
    <w:uiPriority w:val="98"/>
    <w:semiHidden/>
    <w:rsid w:val="002C4EB9"/>
    <w:pPr>
      <w:tabs>
        <w:tab w:val="center" w:pos="4536"/>
        <w:tab w:val="right" w:pos="9072"/>
      </w:tabs>
    </w:pPr>
  </w:style>
  <w:style w:type="character" w:customStyle="1" w:styleId="HeaderChar">
    <w:name w:val="Header Char"/>
    <w:basedOn w:val="DefaultParagraphFont"/>
    <w:link w:val="Header"/>
    <w:uiPriority w:val="98"/>
    <w:semiHidden/>
    <w:rsid w:val="002C4EB9"/>
    <w:rPr>
      <w:sz w:val="24"/>
      <w:szCs w:val="24"/>
      <w:lang w:val="en-GB"/>
    </w:rPr>
  </w:style>
  <w:style w:type="character" w:customStyle="1" w:styleId="Heading1Char">
    <w:name w:val="Heading 1 Char"/>
    <w:basedOn w:val="DefaultParagraphFont"/>
    <w:link w:val="Heading1"/>
    <w:uiPriority w:val="98"/>
    <w:semiHidden/>
    <w:rsid w:val="002C4EB9"/>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2C4EB9"/>
    <w:pPr>
      <w:keepNext/>
      <w:keepLines/>
      <w:numPr>
        <w:ilvl w:val="4"/>
        <w:numId w:val="10"/>
      </w:numPr>
      <w:spacing w:before="100" w:beforeAutospacing="1" w:after="120"/>
      <w:jc w:val="both"/>
    </w:pPr>
    <w:rPr>
      <w:color w:val="auto"/>
      <w:sz w:val="20"/>
    </w:rPr>
  </w:style>
  <w:style w:type="paragraph" w:customStyle="1" w:styleId="JuHi">
    <w:name w:val="Ju_H_i"/>
    <w:aliases w:val="_Head_6"/>
    <w:basedOn w:val="Heading6"/>
    <w:next w:val="JuPara"/>
    <w:uiPriority w:val="17"/>
    <w:rsid w:val="002C4EB9"/>
    <w:pPr>
      <w:keepNext/>
      <w:keepLines/>
      <w:numPr>
        <w:ilvl w:val="5"/>
        <w:numId w:val="10"/>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2C4EB9"/>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2C4EB9"/>
    <w:pPr>
      <w:keepNext/>
      <w:keepLines/>
      <w:numPr>
        <w:ilvl w:val="6"/>
        <w:numId w:val="10"/>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2C4EB9"/>
    <w:pPr>
      <w:keepNext/>
      <w:keepLines/>
      <w:numPr>
        <w:ilvl w:val="7"/>
        <w:numId w:val="10"/>
      </w:numPr>
      <w:spacing w:before="100" w:beforeAutospacing="1" w:after="120"/>
      <w:jc w:val="both"/>
    </w:pPr>
    <w:rPr>
      <w:i/>
    </w:rPr>
  </w:style>
  <w:style w:type="character" w:customStyle="1" w:styleId="Heading3Char">
    <w:name w:val="Heading 3 Char"/>
    <w:basedOn w:val="DefaultParagraphFont"/>
    <w:link w:val="Heading3"/>
    <w:uiPriority w:val="98"/>
    <w:semiHidden/>
    <w:rsid w:val="002C4EB9"/>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2C4EB9"/>
    <w:pPr>
      <w:keepNext/>
      <w:keepLines/>
      <w:spacing w:before="240" w:after="240"/>
      <w:ind w:firstLine="284"/>
    </w:pPr>
  </w:style>
  <w:style w:type="paragraph" w:customStyle="1" w:styleId="JuJudges">
    <w:name w:val="Ju_Judges"/>
    <w:aliases w:val="_Judges"/>
    <w:basedOn w:val="Normal"/>
    <w:uiPriority w:val="32"/>
    <w:qFormat/>
    <w:rsid w:val="002C4EB9"/>
    <w:pPr>
      <w:tabs>
        <w:tab w:val="left" w:pos="567"/>
        <w:tab w:val="left" w:pos="1134"/>
      </w:tabs>
    </w:pPr>
  </w:style>
  <w:style w:type="character" w:customStyle="1" w:styleId="Heading4Char">
    <w:name w:val="Heading 4 Char"/>
    <w:basedOn w:val="DefaultParagraphFont"/>
    <w:link w:val="Heading4"/>
    <w:uiPriority w:val="98"/>
    <w:semiHidden/>
    <w:rsid w:val="002C4EB9"/>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2C4EB9"/>
    <w:pPr>
      <w:tabs>
        <w:tab w:val="center" w:pos="6407"/>
      </w:tabs>
      <w:spacing w:before="720"/>
      <w:jc w:val="right"/>
    </w:pPr>
  </w:style>
  <w:style w:type="character" w:customStyle="1" w:styleId="Heading5Char">
    <w:name w:val="Heading 5 Char"/>
    <w:basedOn w:val="DefaultParagraphFont"/>
    <w:link w:val="Heading5"/>
    <w:uiPriority w:val="98"/>
    <w:semiHidden/>
    <w:rsid w:val="002C4EB9"/>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2C4EB9"/>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2C4EB9"/>
    <w:rPr>
      <w:caps w:val="0"/>
      <w:smallCaps/>
    </w:rPr>
  </w:style>
  <w:style w:type="character" w:styleId="SubtleEmphasis">
    <w:name w:val="Subtle Emphasis"/>
    <w:uiPriority w:val="98"/>
    <w:semiHidden/>
    <w:qFormat/>
    <w:rsid w:val="002C4EB9"/>
    <w:rPr>
      <w:i/>
      <w:iCs/>
    </w:rPr>
  </w:style>
  <w:style w:type="table" w:customStyle="1" w:styleId="ECHRTable">
    <w:name w:val="ECHR_Table"/>
    <w:basedOn w:val="TableNormal"/>
    <w:rsid w:val="002C4EB9"/>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2C4EB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2C4EB9"/>
    <w:rPr>
      <w:b/>
      <w:bCs/>
      <w:i/>
      <w:iCs/>
      <w:spacing w:val="10"/>
      <w:bdr w:val="none" w:sz="0" w:space="0" w:color="auto"/>
      <w:shd w:val="clear" w:color="auto" w:fill="auto"/>
    </w:rPr>
  </w:style>
  <w:style w:type="paragraph" w:styleId="Footer0">
    <w:name w:val="footer"/>
    <w:basedOn w:val="Normal"/>
    <w:link w:val="FooterChar"/>
    <w:uiPriority w:val="98"/>
    <w:semiHidden/>
    <w:rsid w:val="002C4EB9"/>
    <w:pPr>
      <w:tabs>
        <w:tab w:val="center" w:pos="3686"/>
        <w:tab w:val="right" w:pos="7371"/>
      </w:tabs>
    </w:pPr>
  </w:style>
  <w:style w:type="character" w:customStyle="1" w:styleId="FooterChar">
    <w:name w:val="Footer Char"/>
    <w:basedOn w:val="DefaultParagraphFont"/>
    <w:link w:val="Footer0"/>
    <w:uiPriority w:val="98"/>
    <w:semiHidden/>
    <w:rsid w:val="002C4EB9"/>
    <w:rPr>
      <w:sz w:val="24"/>
      <w:szCs w:val="24"/>
      <w:lang w:val="en-GB"/>
    </w:rPr>
  </w:style>
  <w:style w:type="character" w:styleId="FootnoteReference">
    <w:name w:val="footnote reference"/>
    <w:basedOn w:val="DefaultParagraphFont"/>
    <w:uiPriority w:val="98"/>
    <w:semiHidden/>
    <w:rsid w:val="002C4EB9"/>
    <w:rPr>
      <w:vertAlign w:val="superscript"/>
    </w:rPr>
  </w:style>
  <w:style w:type="paragraph" w:styleId="FootnoteText">
    <w:name w:val="footnote text"/>
    <w:basedOn w:val="NormalJustified"/>
    <w:link w:val="FootnoteTextChar"/>
    <w:uiPriority w:val="98"/>
    <w:semiHidden/>
    <w:rsid w:val="002C4EB9"/>
    <w:rPr>
      <w:sz w:val="20"/>
      <w:szCs w:val="20"/>
    </w:rPr>
  </w:style>
  <w:style w:type="character" w:customStyle="1" w:styleId="FootnoteTextChar">
    <w:name w:val="Footnote Text Char"/>
    <w:basedOn w:val="DefaultParagraphFont"/>
    <w:link w:val="FootnoteText"/>
    <w:uiPriority w:val="98"/>
    <w:semiHidden/>
    <w:rsid w:val="002C4EB9"/>
    <w:rPr>
      <w:sz w:val="20"/>
      <w:szCs w:val="20"/>
      <w:lang w:val="en-GB"/>
    </w:rPr>
  </w:style>
  <w:style w:type="character" w:customStyle="1" w:styleId="Heading6Char">
    <w:name w:val="Heading 6 Char"/>
    <w:basedOn w:val="DefaultParagraphFont"/>
    <w:link w:val="Heading6"/>
    <w:uiPriority w:val="98"/>
    <w:semiHidden/>
    <w:rsid w:val="002C4EB9"/>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2C4EB9"/>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2C4EB9"/>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2C4EB9"/>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2C4EB9"/>
    <w:rPr>
      <w:color w:val="0072BC" w:themeColor="hyperlink"/>
      <w:u w:val="single"/>
    </w:rPr>
  </w:style>
  <w:style w:type="character" w:styleId="IntenseEmphasis">
    <w:name w:val="Intense Emphasis"/>
    <w:uiPriority w:val="98"/>
    <w:semiHidden/>
    <w:qFormat/>
    <w:rsid w:val="002C4EB9"/>
    <w:rPr>
      <w:b/>
      <w:bCs/>
    </w:rPr>
  </w:style>
  <w:style w:type="paragraph" w:styleId="IntenseQuote">
    <w:name w:val="Intense Quote"/>
    <w:basedOn w:val="Normal"/>
    <w:next w:val="Normal"/>
    <w:link w:val="IntenseQuoteChar"/>
    <w:uiPriority w:val="98"/>
    <w:semiHidden/>
    <w:qFormat/>
    <w:rsid w:val="002C4EB9"/>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2C4EB9"/>
    <w:rPr>
      <w:b/>
      <w:bCs/>
      <w:i/>
      <w:iCs/>
      <w:sz w:val="24"/>
      <w:szCs w:val="24"/>
      <w:lang w:val="en-GB" w:bidi="en-US"/>
    </w:rPr>
  </w:style>
  <w:style w:type="character" w:styleId="IntenseReference">
    <w:name w:val="Intense Reference"/>
    <w:uiPriority w:val="98"/>
    <w:semiHidden/>
    <w:qFormat/>
    <w:rsid w:val="002C4EB9"/>
    <w:rPr>
      <w:smallCaps/>
      <w:spacing w:val="5"/>
      <w:u w:val="single"/>
    </w:rPr>
  </w:style>
  <w:style w:type="paragraph" w:styleId="ListParagraph">
    <w:name w:val="List Paragraph"/>
    <w:basedOn w:val="Normal"/>
    <w:uiPriority w:val="98"/>
    <w:semiHidden/>
    <w:qFormat/>
    <w:rsid w:val="002C4EB9"/>
    <w:pPr>
      <w:ind w:left="720"/>
      <w:contextualSpacing/>
    </w:pPr>
  </w:style>
  <w:style w:type="table" w:customStyle="1" w:styleId="LtrTableAddress">
    <w:name w:val="Ltr_Table_Address"/>
    <w:aliases w:val="ECHR_Ltr_Table_Address"/>
    <w:basedOn w:val="TableNormal"/>
    <w:uiPriority w:val="99"/>
    <w:rsid w:val="002C4EB9"/>
    <w:rPr>
      <w:sz w:val="24"/>
      <w:szCs w:val="24"/>
    </w:rPr>
    <w:tblPr>
      <w:tblInd w:w="5103" w:type="dxa"/>
    </w:tblPr>
  </w:style>
  <w:style w:type="paragraph" w:styleId="Quote">
    <w:name w:val="Quote"/>
    <w:basedOn w:val="Normal"/>
    <w:next w:val="Normal"/>
    <w:link w:val="QuoteChar"/>
    <w:uiPriority w:val="98"/>
    <w:semiHidden/>
    <w:qFormat/>
    <w:rsid w:val="002C4EB9"/>
    <w:pPr>
      <w:spacing w:before="200"/>
      <w:ind w:left="360" w:right="360"/>
    </w:pPr>
    <w:rPr>
      <w:i/>
      <w:iCs/>
      <w:lang w:bidi="en-US"/>
    </w:rPr>
  </w:style>
  <w:style w:type="character" w:customStyle="1" w:styleId="QuoteChar">
    <w:name w:val="Quote Char"/>
    <w:basedOn w:val="DefaultParagraphFont"/>
    <w:link w:val="Quote"/>
    <w:uiPriority w:val="98"/>
    <w:semiHidden/>
    <w:rsid w:val="002C4EB9"/>
    <w:rPr>
      <w:i/>
      <w:iCs/>
      <w:sz w:val="24"/>
      <w:szCs w:val="24"/>
      <w:lang w:val="en-GB" w:bidi="en-US"/>
    </w:rPr>
  </w:style>
  <w:style w:type="character" w:styleId="SubtleReference">
    <w:name w:val="Subtle Reference"/>
    <w:uiPriority w:val="98"/>
    <w:semiHidden/>
    <w:qFormat/>
    <w:rsid w:val="002C4EB9"/>
    <w:rPr>
      <w:smallCaps/>
    </w:rPr>
  </w:style>
  <w:style w:type="table" w:styleId="TableGrid">
    <w:name w:val="Table Grid"/>
    <w:basedOn w:val="TableNormal"/>
    <w:uiPriority w:val="59"/>
    <w:semiHidden/>
    <w:rsid w:val="002C4EB9"/>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2C4EB9"/>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2C4EB9"/>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2C4EB9"/>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2C4EB9"/>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2C4EB9"/>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2C4EB9"/>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2C4EB9"/>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2C4EB9"/>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2C4EB9"/>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2C4EB9"/>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C4EB9"/>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2C4EB9"/>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2C4EB9"/>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2C4EB9"/>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2C4EB9"/>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2C4EB9"/>
    <w:pPr>
      <w:numPr>
        <w:numId w:val="2"/>
      </w:numPr>
    </w:pPr>
  </w:style>
  <w:style w:type="paragraph" w:customStyle="1" w:styleId="JuPara">
    <w:name w:val="Ju_Para"/>
    <w:aliases w:val="_Para"/>
    <w:basedOn w:val="NormalJustified"/>
    <w:link w:val="JuParaChar"/>
    <w:uiPriority w:val="4"/>
    <w:qFormat/>
    <w:rsid w:val="002C4EB9"/>
    <w:pPr>
      <w:ind w:firstLine="284"/>
    </w:pPr>
  </w:style>
  <w:style w:type="numbering" w:styleId="1ai">
    <w:name w:val="Outline List 1"/>
    <w:basedOn w:val="NoList"/>
    <w:uiPriority w:val="99"/>
    <w:semiHidden/>
    <w:unhideWhenUsed/>
    <w:rsid w:val="002C4EB9"/>
    <w:pPr>
      <w:numPr>
        <w:numId w:val="3"/>
      </w:numPr>
    </w:pPr>
  </w:style>
  <w:style w:type="table" w:customStyle="1" w:styleId="ECHRTableSimpleBox">
    <w:name w:val="ECHR_Table_Simple_Box"/>
    <w:basedOn w:val="TableNormal"/>
    <w:uiPriority w:val="99"/>
    <w:rsid w:val="002C4EB9"/>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2C4EB9"/>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2C4EB9"/>
    <w:pPr>
      <w:numPr>
        <w:numId w:val="4"/>
      </w:numPr>
    </w:pPr>
  </w:style>
  <w:style w:type="table" w:customStyle="1" w:styleId="ECHRTableForInternalUse">
    <w:name w:val="ECHR_Table_For_Internal_Use"/>
    <w:basedOn w:val="TableNormal"/>
    <w:uiPriority w:val="99"/>
    <w:rsid w:val="002C4EB9"/>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2C4EB9"/>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2C4EB9"/>
  </w:style>
  <w:style w:type="paragraph" w:styleId="BlockText">
    <w:name w:val="Block Text"/>
    <w:basedOn w:val="Normal"/>
    <w:uiPriority w:val="98"/>
    <w:semiHidden/>
    <w:rsid w:val="002C4EB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2C4EB9"/>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2C4EB9"/>
    <w:pPr>
      <w:spacing w:after="120"/>
    </w:pPr>
  </w:style>
  <w:style w:type="character" w:customStyle="1" w:styleId="BodyTextChar">
    <w:name w:val="Body Text Char"/>
    <w:basedOn w:val="DefaultParagraphFont"/>
    <w:link w:val="BodyText"/>
    <w:uiPriority w:val="98"/>
    <w:semiHidden/>
    <w:rsid w:val="002C4EB9"/>
    <w:rPr>
      <w:sz w:val="24"/>
      <w:szCs w:val="24"/>
      <w:lang w:val="en-GB"/>
    </w:rPr>
  </w:style>
  <w:style w:type="table" w:customStyle="1" w:styleId="ECHRTableOddBanded">
    <w:name w:val="ECHR_Table_Odd_Banded"/>
    <w:basedOn w:val="TableNormal"/>
    <w:uiPriority w:val="99"/>
    <w:rsid w:val="002C4EB9"/>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2C4EB9"/>
    <w:pPr>
      <w:spacing w:after="120" w:line="480" w:lineRule="auto"/>
    </w:pPr>
  </w:style>
  <w:style w:type="table" w:customStyle="1" w:styleId="ECHRHeaderTableReduced">
    <w:name w:val="ECHR_Header_Table_Reduced"/>
    <w:basedOn w:val="TableNormal"/>
    <w:uiPriority w:val="99"/>
    <w:rsid w:val="002C4EB9"/>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2C4EB9"/>
    <w:pPr>
      <w:ind w:firstLine="284"/>
    </w:pPr>
    <w:rPr>
      <w:b/>
    </w:rPr>
  </w:style>
  <w:style w:type="character" w:styleId="PageNumber">
    <w:name w:val="page number"/>
    <w:uiPriority w:val="98"/>
    <w:semiHidden/>
    <w:rsid w:val="002C4EB9"/>
    <w:rPr>
      <w:sz w:val="18"/>
    </w:rPr>
  </w:style>
  <w:style w:type="paragraph" w:styleId="ListBullet">
    <w:name w:val="List Bullet"/>
    <w:basedOn w:val="Normal"/>
    <w:uiPriority w:val="98"/>
    <w:semiHidden/>
    <w:rsid w:val="002C4EB9"/>
    <w:pPr>
      <w:numPr>
        <w:numId w:val="12"/>
      </w:numPr>
    </w:pPr>
  </w:style>
  <w:style w:type="paragraph" w:styleId="ListBullet3">
    <w:name w:val="List Bullet 3"/>
    <w:basedOn w:val="Normal"/>
    <w:uiPriority w:val="98"/>
    <w:semiHidden/>
    <w:rsid w:val="002C4EB9"/>
    <w:pPr>
      <w:numPr>
        <w:numId w:val="14"/>
      </w:numPr>
      <w:contextualSpacing/>
    </w:pPr>
  </w:style>
  <w:style w:type="character" w:customStyle="1" w:styleId="BodyText2Char">
    <w:name w:val="Body Text 2 Char"/>
    <w:basedOn w:val="DefaultParagraphFont"/>
    <w:link w:val="BodyText2"/>
    <w:uiPriority w:val="98"/>
    <w:semiHidden/>
    <w:rsid w:val="002C4EB9"/>
    <w:rPr>
      <w:sz w:val="24"/>
      <w:szCs w:val="24"/>
      <w:lang w:val="en-GB"/>
    </w:rPr>
  </w:style>
  <w:style w:type="paragraph" w:styleId="BodyText3">
    <w:name w:val="Body Text 3"/>
    <w:basedOn w:val="Normal"/>
    <w:link w:val="BodyText3Char"/>
    <w:uiPriority w:val="98"/>
    <w:semiHidden/>
    <w:rsid w:val="002C4EB9"/>
    <w:pPr>
      <w:spacing w:after="120"/>
    </w:pPr>
    <w:rPr>
      <w:sz w:val="16"/>
      <w:szCs w:val="16"/>
    </w:rPr>
  </w:style>
  <w:style w:type="character" w:customStyle="1" w:styleId="BodyText3Char">
    <w:name w:val="Body Text 3 Char"/>
    <w:basedOn w:val="DefaultParagraphFont"/>
    <w:link w:val="BodyText3"/>
    <w:uiPriority w:val="98"/>
    <w:semiHidden/>
    <w:rsid w:val="002C4EB9"/>
    <w:rPr>
      <w:sz w:val="16"/>
      <w:szCs w:val="16"/>
      <w:lang w:val="en-GB"/>
    </w:rPr>
  </w:style>
  <w:style w:type="paragraph" w:styleId="BodyTextFirstIndent">
    <w:name w:val="Body Text First Indent"/>
    <w:basedOn w:val="BodyText"/>
    <w:link w:val="BodyTextFirstIndentChar"/>
    <w:uiPriority w:val="98"/>
    <w:semiHidden/>
    <w:rsid w:val="002C4EB9"/>
    <w:pPr>
      <w:spacing w:after="0"/>
      <w:ind w:firstLine="360"/>
    </w:pPr>
  </w:style>
  <w:style w:type="character" w:customStyle="1" w:styleId="BodyTextFirstIndentChar">
    <w:name w:val="Body Text First Indent Char"/>
    <w:basedOn w:val="BodyTextChar"/>
    <w:link w:val="BodyTextFirstIndent"/>
    <w:uiPriority w:val="98"/>
    <w:semiHidden/>
    <w:rsid w:val="002C4EB9"/>
    <w:rPr>
      <w:sz w:val="24"/>
      <w:szCs w:val="24"/>
      <w:lang w:val="en-GB"/>
    </w:rPr>
  </w:style>
  <w:style w:type="paragraph" w:styleId="BodyTextIndent">
    <w:name w:val="Body Text Indent"/>
    <w:basedOn w:val="Normal"/>
    <w:link w:val="BodyTextIndentChar"/>
    <w:uiPriority w:val="98"/>
    <w:semiHidden/>
    <w:rsid w:val="002C4EB9"/>
    <w:pPr>
      <w:spacing w:after="120"/>
      <w:ind w:left="283"/>
    </w:pPr>
  </w:style>
  <w:style w:type="character" w:customStyle="1" w:styleId="BodyTextIndentChar">
    <w:name w:val="Body Text Indent Char"/>
    <w:basedOn w:val="DefaultParagraphFont"/>
    <w:link w:val="BodyTextIndent"/>
    <w:uiPriority w:val="98"/>
    <w:semiHidden/>
    <w:rsid w:val="002C4EB9"/>
    <w:rPr>
      <w:sz w:val="24"/>
      <w:szCs w:val="24"/>
      <w:lang w:val="en-GB"/>
    </w:rPr>
  </w:style>
  <w:style w:type="paragraph" w:styleId="BodyTextFirstIndent2">
    <w:name w:val="Body Text First Indent 2"/>
    <w:basedOn w:val="BodyTextIndent"/>
    <w:link w:val="BodyTextFirstIndent2Char"/>
    <w:uiPriority w:val="98"/>
    <w:semiHidden/>
    <w:rsid w:val="002C4EB9"/>
    <w:pPr>
      <w:spacing w:after="0"/>
      <w:ind w:left="360" w:firstLine="360"/>
    </w:pPr>
  </w:style>
  <w:style w:type="character" w:customStyle="1" w:styleId="BodyTextFirstIndent2Char">
    <w:name w:val="Body Text First Indent 2 Char"/>
    <w:basedOn w:val="BodyTextIndentChar"/>
    <w:link w:val="BodyTextFirstIndent2"/>
    <w:uiPriority w:val="98"/>
    <w:semiHidden/>
    <w:rsid w:val="002C4EB9"/>
    <w:rPr>
      <w:sz w:val="24"/>
      <w:szCs w:val="24"/>
      <w:lang w:val="en-GB"/>
    </w:rPr>
  </w:style>
  <w:style w:type="paragraph" w:styleId="BodyTextIndent2">
    <w:name w:val="Body Text Indent 2"/>
    <w:basedOn w:val="Normal"/>
    <w:link w:val="BodyTextIndent2Char"/>
    <w:uiPriority w:val="98"/>
    <w:semiHidden/>
    <w:rsid w:val="002C4EB9"/>
    <w:pPr>
      <w:spacing w:after="120" w:line="480" w:lineRule="auto"/>
      <w:ind w:left="283"/>
    </w:pPr>
  </w:style>
  <w:style w:type="character" w:customStyle="1" w:styleId="BodyTextIndent2Char">
    <w:name w:val="Body Text Indent 2 Char"/>
    <w:basedOn w:val="DefaultParagraphFont"/>
    <w:link w:val="BodyTextIndent2"/>
    <w:uiPriority w:val="98"/>
    <w:semiHidden/>
    <w:rsid w:val="002C4EB9"/>
    <w:rPr>
      <w:sz w:val="24"/>
      <w:szCs w:val="24"/>
      <w:lang w:val="en-GB"/>
    </w:rPr>
  </w:style>
  <w:style w:type="paragraph" w:styleId="BodyTextIndent3">
    <w:name w:val="Body Text Indent 3"/>
    <w:basedOn w:val="Normal"/>
    <w:link w:val="BodyTextIndent3Char"/>
    <w:uiPriority w:val="98"/>
    <w:semiHidden/>
    <w:rsid w:val="002C4EB9"/>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2C4EB9"/>
    <w:rPr>
      <w:sz w:val="16"/>
      <w:szCs w:val="16"/>
      <w:lang w:val="en-GB"/>
    </w:rPr>
  </w:style>
  <w:style w:type="paragraph" w:styleId="Caption">
    <w:name w:val="caption"/>
    <w:basedOn w:val="Normal"/>
    <w:next w:val="Normal"/>
    <w:uiPriority w:val="98"/>
    <w:semiHidden/>
    <w:qFormat/>
    <w:rsid w:val="002C4EB9"/>
    <w:pPr>
      <w:spacing w:after="200"/>
    </w:pPr>
    <w:rPr>
      <w:b/>
      <w:bCs/>
      <w:color w:val="0072BC" w:themeColor="accent1"/>
      <w:sz w:val="18"/>
      <w:szCs w:val="18"/>
    </w:rPr>
  </w:style>
  <w:style w:type="paragraph" w:styleId="Closing">
    <w:name w:val="Closing"/>
    <w:basedOn w:val="Normal"/>
    <w:link w:val="ClosingChar"/>
    <w:uiPriority w:val="98"/>
    <w:semiHidden/>
    <w:rsid w:val="002C4EB9"/>
    <w:pPr>
      <w:ind w:left="4252"/>
    </w:pPr>
  </w:style>
  <w:style w:type="character" w:customStyle="1" w:styleId="ClosingChar">
    <w:name w:val="Closing Char"/>
    <w:basedOn w:val="DefaultParagraphFont"/>
    <w:link w:val="Closing"/>
    <w:uiPriority w:val="98"/>
    <w:semiHidden/>
    <w:rsid w:val="002C4EB9"/>
    <w:rPr>
      <w:sz w:val="24"/>
      <w:szCs w:val="24"/>
      <w:lang w:val="en-GB"/>
    </w:rPr>
  </w:style>
  <w:style w:type="table" w:styleId="ColorfulGrid">
    <w:name w:val="Colorful Grid"/>
    <w:basedOn w:val="TableNormal"/>
    <w:uiPriority w:val="73"/>
    <w:semiHidden/>
    <w:rsid w:val="002C4EB9"/>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C4EB9"/>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2C4EB9"/>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2C4EB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2C4EB9"/>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2C4EB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2C4EB9"/>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2C4EB9"/>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C4EB9"/>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2C4EB9"/>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2C4EB9"/>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2C4EB9"/>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2C4EB9"/>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2C4EB9"/>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2C4EB9"/>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C4EB9"/>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C4EB9"/>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C4EB9"/>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2C4EB9"/>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C4EB9"/>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C4EB9"/>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2C4EB9"/>
    <w:rPr>
      <w:sz w:val="16"/>
      <w:szCs w:val="16"/>
    </w:rPr>
  </w:style>
  <w:style w:type="paragraph" w:styleId="CommentText">
    <w:name w:val="annotation text"/>
    <w:basedOn w:val="Normal"/>
    <w:link w:val="CommentTextChar"/>
    <w:uiPriority w:val="98"/>
    <w:semiHidden/>
    <w:rsid w:val="002C4EB9"/>
    <w:rPr>
      <w:sz w:val="20"/>
      <w:szCs w:val="20"/>
    </w:rPr>
  </w:style>
  <w:style w:type="character" w:customStyle="1" w:styleId="CommentTextChar">
    <w:name w:val="Comment Text Char"/>
    <w:basedOn w:val="DefaultParagraphFont"/>
    <w:link w:val="CommentText"/>
    <w:uiPriority w:val="98"/>
    <w:semiHidden/>
    <w:rsid w:val="002C4EB9"/>
    <w:rPr>
      <w:sz w:val="20"/>
      <w:szCs w:val="20"/>
      <w:lang w:val="en-GB"/>
    </w:rPr>
  </w:style>
  <w:style w:type="paragraph" w:styleId="CommentSubject">
    <w:name w:val="annotation subject"/>
    <w:basedOn w:val="CommentText"/>
    <w:next w:val="CommentText"/>
    <w:link w:val="CommentSubjectChar"/>
    <w:uiPriority w:val="98"/>
    <w:semiHidden/>
    <w:rsid w:val="002C4EB9"/>
    <w:rPr>
      <w:b/>
      <w:bCs/>
    </w:rPr>
  </w:style>
  <w:style w:type="character" w:customStyle="1" w:styleId="CommentSubjectChar">
    <w:name w:val="Comment Subject Char"/>
    <w:basedOn w:val="CommentTextChar"/>
    <w:link w:val="CommentSubject"/>
    <w:uiPriority w:val="98"/>
    <w:semiHidden/>
    <w:rsid w:val="002C4EB9"/>
    <w:rPr>
      <w:b/>
      <w:bCs/>
      <w:sz w:val="20"/>
      <w:szCs w:val="20"/>
      <w:lang w:val="en-GB"/>
    </w:rPr>
  </w:style>
  <w:style w:type="table" w:styleId="DarkList">
    <w:name w:val="Dark List"/>
    <w:basedOn w:val="TableNormal"/>
    <w:uiPriority w:val="70"/>
    <w:semiHidden/>
    <w:rsid w:val="002C4EB9"/>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C4EB9"/>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2C4EB9"/>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2C4EB9"/>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2C4EB9"/>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2C4EB9"/>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2C4EB9"/>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2C4EB9"/>
  </w:style>
  <w:style w:type="character" w:customStyle="1" w:styleId="DateChar">
    <w:name w:val="Date Char"/>
    <w:basedOn w:val="DefaultParagraphFont"/>
    <w:link w:val="Date"/>
    <w:uiPriority w:val="98"/>
    <w:semiHidden/>
    <w:rsid w:val="002C4EB9"/>
    <w:rPr>
      <w:sz w:val="24"/>
      <w:szCs w:val="24"/>
      <w:lang w:val="en-GB"/>
    </w:rPr>
  </w:style>
  <w:style w:type="paragraph" w:styleId="DocumentMap">
    <w:name w:val="Document Map"/>
    <w:basedOn w:val="Normal"/>
    <w:link w:val="DocumentMapChar"/>
    <w:uiPriority w:val="98"/>
    <w:semiHidden/>
    <w:rsid w:val="002C4EB9"/>
    <w:rPr>
      <w:rFonts w:ascii="Tahoma" w:hAnsi="Tahoma" w:cs="Tahoma"/>
      <w:sz w:val="16"/>
      <w:szCs w:val="16"/>
    </w:rPr>
  </w:style>
  <w:style w:type="character" w:customStyle="1" w:styleId="DocumentMapChar">
    <w:name w:val="Document Map Char"/>
    <w:basedOn w:val="DefaultParagraphFont"/>
    <w:link w:val="DocumentMap"/>
    <w:uiPriority w:val="98"/>
    <w:semiHidden/>
    <w:rsid w:val="002C4EB9"/>
    <w:rPr>
      <w:rFonts w:ascii="Tahoma" w:hAnsi="Tahoma" w:cs="Tahoma"/>
      <w:sz w:val="16"/>
      <w:szCs w:val="16"/>
      <w:lang w:val="en-GB"/>
    </w:rPr>
  </w:style>
  <w:style w:type="paragraph" w:styleId="E-mailSignature">
    <w:name w:val="E-mail Signature"/>
    <w:basedOn w:val="Normal"/>
    <w:link w:val="E-mailSignatureChar"/>
    <w:uiPriority w:val="98"/>
    <w:semiHidden/>
    <w:rsid w:val="002C4EB9"/>
  </w:style>
  <w:style w:type="character" w:customStyle="1" w:styleId="E-mailSignatureChar">
    <w:name w:val="E-mail Signature Char"/>
    <w:basedOn w:val="DefaultParagraphFont"/>
    <w:link w:val="E-mailSignature"/>
    <w:uiPriority w:val="98"/>
    <w:semiHidden/>
    <w:rsid w:val="002C4EB9"/>
    <w:rPr>
      <w:sz w:val="24"/>
      <w:szCs w:val="24"/>
      <w:lang w:val="en-GB"/>
    </w:rPr>
  </w:style>
  <w:style w:type="character" w:styleId="EndnoteReference">
    <w:name w:val="endnote reference"/>
    <w:basedOn w:val="DefaultParagraphFont"/>
    <w:uiPriority w:val="98"/>
    <w:semiHidden/>
    <w:rsid w:val="002C4EB9"/>
    <w:rPr>
      <w:vertAlign w:val="superscript"/>
    </w:rPr>
  </w:style>
  <w:style w:type="paragraph" w:styleId="EndnoteText">
    <w:name w:val="endnote text"/>
    <w:basedOn w:val="Normal"/>
    <w:link w:val="EndnoteTextChar"/>
    <w:uiPriority w:val="98"/>
    <w:semiHidden/>
    <w:rsid w:val="002C4EB9"/>
    <w:rPr>
      <w:sz w:val="20"/>
      <w:szCs w:val="20"/>
    </w:rPr>
  </w:style>
  <w:style w:type="character" w:customStyle="1" w:styleId="EndnoteTextChar">
    <w:name w:val="Endnote Text Char"/>
    <w:basedOn w:val="DefaultParagraphFont"/>
    <w:link w:val="EndnoteText"/>
    <w:uiPriority w:val="98"/>
    <w:semiHidden/>
    <w:rsid w:val="002C4EB9"/>
    <w:rPr>
      <w:sz w:val="20"/>
      <w:szCs w:val="20"/>
      <w:lang w:val="en-GB"/>
    </w:rPr>
  </w:style>
  <w:style w:type="paragraph" w:styleId="EnvelopeAddress">
    <w:name w:val="envelope address"/>
    <w:basedOn w:val="Normal"/>
    <w:uiPriority w:val="98"/>
    <w:semiHidden/>
    <w:rsid w:val="002C4EB9"/>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2C4EB9"/>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2C4EB9"/>
    <w:rPr>
      <w:color w:val="7030A0" w:themeColor="followedHyperlink"/>
      <w:u w:val="single"/>
    </w:rPr>
  </w:style>
  <w:style w:type="character" w:styleId="HTMLAcronym">
    <w:name w:val="HTML Acronym"/>
    <w:basedOn w:val="DefaultParagraphFont"/>
    <w:uiPriority w:val="98"/>
    <w:semiHidden/>
    <w:rsid w:val="002C4EB9"/>
  </w:style>
  <w:style w:type="paragraph" w:styleId="HTMLAddress">
    <w:name w:val="HTML Address"/>
    <w:basedOn w:val="Normal"/>
    <w:link w:val="HTMLAddressChar"/>
    <w:uiPriority w:val="98"/>
    <w:semiHidden/>
    <w:rsid w:val="002C4EB9"/>
    <w:rPr>
      <w:i/>
      <w:iCs/>
    </w:rPr>
  </w:style>
  <w:style w:type="character" w:customStyle="1" w:styleId="HTMLAddressChar">
    <w:name w:val="HTML Address Char"/>
    <w:basedOn w:val="DefaultParagraphFont"/>
    <w:link w:val="HTMLAddress"/>
    <w:uiPriority w:val="98"/>
    <w:semiHidden/>
    <w:rsid w:val="002C4EB9"/>
    <w:rPr>
      <w:i/>
      <w:iCs/>
      <w:sz w:val="24"/>
      <w:szCs w:val="24"/>
      <w:lang w:val="en-GB"/>
    </w:rPr>
  </w:style>
  <w:style w:type="character" w:styleId="HTMLCite">
    <w:name w:val="HTML Cite"/>
    <w:basedOn w:val="DefaultParagraphFont"/>
    <w:uiPriority w:val="98"/>
    <w:semiHidden/>
    <w:rsid w:val="002C4EB9"/>
    <w:rPr>
      <w:i/>
      <w:iCs/>
    </w:rPr>
  </w:style>
  <w:style w:type="character" w:styleId="HTMLCode">
    <w:name w:val="HTML Code"/>
    <w:basedOn w:val="DefaultParagraphFont"/>
    <w:uiPriority w:val="98"/>
    <w:semiHidden/>
    <w:rsid w:val="002C4EB9"/>
    <w:rPr>
      <w:rFonts w:ascii="Consolas" w:hAnsi="Consolas" w:cs="Consolas"/>
      <w:sz w:val="20"/>
      <w:szCs w:val="20"/>
    </w:rPr>
  </w:style>
  <w:style w:type="character" w:styleId="HTMLDefinition">
    <w:name w:val="HTML Definition"/>
    <w:basedOn w:val="DefaultParagraphFont"/>
    <w:uiPriority w:val="98"/>
    <w:semiHidden/>
    <w:rsid w:val="002C4EB9"/>
    <w:rPr>
      <w:i/>
      <w:iCs/>
    </w:rPr>
  </w:style>
  <w:style w:type="character" w:styleId="HTMLKeyboard">
    <w:name w:val="HTML Keyboard"/>
    <w:basedOn w:val="DefaultParagraphFont"/>
    <w:uiPriority w:val="98"/>
    <w:semiHidden/>
    <w:rsid w:val="002C4EB9"/>
    <w:rPr>
      <w:rFonts w:ascii="Consolas" w:hAnsi="Consolas" w:cs="Consolas"/>
      <w:sz w:val="20"/>
      <w:szCs w:val="20"/>
    </w:rPr>
  </w:style>
  <w:style w:type="paragraph" w:styleId="HTMLPreformatted">
    <w:name w:val="HTML Preformatted"/>
    <w:basedOn w:val="Normal"/>
    <w:link w:val="HTMLPreformattedChar"/>
    <w:uiPriority w:val="98"/>
    <w:semiHidden/>
    <w:rsid w:val="002C4EB9"/>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2C4EB9"/>
    <w:rPr>
      <w:rFonts w:ascii="Consolas" w:hAnsi="Consolas" w:cs="Consolas"/>
      <w:sz w:val="20"/>
      <w:szCs w:val="20"/>
      <w:lang w:val="en-GB"/>
    </w:rPr>
  </w:style>
  <w:style w:type="character" w:styleId="HTMLSample">
    <w:name w:val="HTML Sample"/>
    <w:basedOn w:val="DefaultParagraphFont"/>
    <w:uiPriority w:val="98"/>
    <w:semiHidden/>
    <w:rsid w:val="002C4EB9"/>
    <w:rPr>
      <w:rFonts w:ascii="Consolas" w:hAnsi="Consolas" w:cs="Consolas"/>
      <w:sz w:val="24"/>
      <w:szCs w:val="24"/>
    </w:rPr>
  </w:style>
  <w:style w:type="character" w:styleId="HTMLTypewriter">
    <w:name w:val="HTML Typewriter"/>
    <w:basedOn w:val="DefaultParagraphFont"/>
    <w:uiPriority w:val="98"/>
    <w:semiHidden/>
    <w:rsid w:val="002C4EB9"/>
    <w:rPr>
      <w:rFonts w:ascii="Consolas" w:hAnsi="Consolas" w:cs="Consolas"/>
      <w:sz w:val="20"/>
      <w:szCs w:val="20"/>
    </w:rPr>
  </w:style>
  <w:style w:type="character" w:styleId="HTMLVariable">
    <w:name w:val="HTML Variable"/>
    <w:basedOn w:val="DefaultParagraphFont"/>
    <w:uiPriority w:val="98"/>
    <w:semiHidden/>
    <w:rsid w:val="002C4EB9"/>
    <w:rPr>
      <w:i/>
      <w:iCs/>
    </w:rPr>
  </w:style>
  <w:style w:type="paragraph" w:styleId="Index1">
    <w:name w:val="index 1"/>
    <w:basedOn w:val="Normal"/>
    <w:next w:val="Normal"/>
    <w:autoRedefine/>
    <w:uiPriority w:val="98"/>
    <w:semiHidden/>
    <w:rsid w:val="002C4EB9"/>
    <w:pPr>
      <w:ind w:left="240" w:hanging="240"/>
    </w:pPr>
  </w:style>
  <w:style w:type="paragraph" w:styleId="Index2">
    <w:name w:val="index 2"/>
    <w:basedOn w:val="Normal"/>
    <w:next w:val="Normal"/>
    <w:autoRedefine/>
    <w:uiPriority w:val="98"/>
    <w:semiHidden/>
    <w:rsid w:val="002C4EB9"/>
    <w:pPr>
      <w:ind w:left="480" w:hanging="240"/>
    </w:pPr>
  </w:style>
  <w:style w:type="paragraph" w:styleId="Index3">
    <w:name w:val="index 3"/>
    <w:basedOn w:val="Normal"/>
    <w:next w:val="Normal"/>
    <w:autoRedefine/>
    <w:uiPriority w:val="98"/>
    <w:semiHidden/>
    <w:rsid w:val="002C4EB9"/>
    <w:pPr>
      <w:ind w:left="720" w:hanging="240"/>
    </w:pPr>
  </w:style>
  <w:style w:type="paragraph" w:styleId="Index4">
    <w:name w:val="index 4"/>
    <w:basedOn w:val="Normal"/>
    <w:next w:val="Normal"/>
    <w:autoRedefine/>
    <w:uiPriority w:val="98"/>
    <w:semiHidden/>
    <w:rsid w:val="002C4EB9"/>
    <w:pPr>
      <w:ind w:left="960" w:hanging="240"/>
    </w:pPr>
  </w:style>
  <w:style w:type="paragraph" w:styleId="Index5">
    <w:name w:val="index 5"/>
    <w:basedOn w:val="Normal"/>
    <w:next w:val="Normal"/>
    <w:autoRedefine/>
    <w:uiPriority w:val="98"/>
    <w:semiHidden/>
    <w:rsid w:val="002C4EB9"/>
    <w:pPr>
      <w:ind w:left="1200" w:hanging="240"/>
    </w:pPr>
  </w:style>
  <w:style w:type="paragraph" w:styleId="Index6">
    <w:name w:val="index 6"/>
    <w:basedOn w:val="Normal"/>
    <w:next w:val="Normal"/>
    <w:autoRedefine/>
    <w:uiPriority w:val="98"/>
    <w:semiHidden/>
    <w:rsid w:val="002C4EB9"/>
    <w:pPr>
      <w:ind w:left="1440" w:hanging="240"/>
    </w:pPr>
  </w:style>
  <w:style w:type="paragraph" w:styleId="Index7">
    <w:name w:val="index 7"/>
    <w:basedOn w:val="Normal"/>
    <w:next w:val="Normal"/>
    <w:autoRedefine/>
    <w:uiPriority w:val="98"/>
    <w:semiHidden/>
    <w:rsid w:val="002C4EB9"/>
    <w:pPr>
      <w:ind w:left="1680" w:hanging="240"/>
    </w:pPr>
  </w:style>
  <w:style w:type="paragraph" w:styleId="Index8">
    <w:name w:val="index 8"/>
    <w:basedOn w:val="Normal"/>
    <w:next w:val="Normal"/>
    <w:autoRedefine/>
    <w:uiPriority w:val="98"/>
    <w:semiHidden/>
    <w:rsid w:val="002C4EB9"/>
    <w:pPr>
      <w:ind w:left="1920" w:hanging="240"/>
    </w:pPr>
  </w:style>
  <w:style w:type="paragraph" w:styleId="Index9">
    <w:name w:val="index 9"/>
    <w:basedOn w:val="Normal"/>
    <w:next w:val="Normal"/>
    <w:autoRedefine/>
    <w:uiPriority w:val="98"/>
    <w:semiHidden/>
    <w:rsid w:val="002C4EB9"/>
    <w:pPr>
      <w:ind w:left="2160" w:hanging="240"/>
    </w:pPr>
  </w:style>
  <w:style w:type="paragraph" w:styleId="IndexHeading">
    <w:name w:val="index heading"/>
    <w:basedOn w:val="Normal"/>
    <w:next w:val="Index1"/>
    <w:uiPriority w:val="98"/>
    <w:semiHidden/>
    <w:rsid w:val="002C4EB9"/>
    <w:rPr>
      <w:rFonts w:asciiTheme="majorHAnsi" w:eastAsiaTheme="majorEastAsia" w:hAnsiTheme="majorHAnsi" w:cstheme="majorBidi"/>
      <w:b/>
      <w:bCs/>
    </w:rPr>
  </w:style>
  <w:style w:type="table" w:styleId="LightGrid">
    <w:name w:val="Light Grid"/>
    <w:basedOn w:val="TableNormal"/>
    <w:uiPriority w:val="62"/>
    <w:semiHidden/>
    <w:rsid w:val="002C4EB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C4EB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2C4EB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2C4EB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2C4EB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2C4EB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2C4EB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2C4EB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2C4EB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2C4EB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2C4EB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2C4EB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2C4EB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2C4EB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2C4EB9"/>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2C4EB9"/>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2C4EB9"/>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2C4EB9"/>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2C4EB9"/>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2C4EB9"/>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2C4EB9"/>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2C4EB9"/>
  </w:style>
  <w:style w:type="paragraph" w:styleId="List">
    <w:name w:val="List"/>
    <w:basedOn w:val="Normal"/>
    <w:uiPriority w:val="98"/>
    <w:semiHidden/>
    <w:rsid w:val="002C4EB9"/>
    <w:pPr>
      <w:ind w:left="283" w:hanging="283"/>
      <w:contextualSpacing/>
    </w:pPr>
  </w:style>
  <w:style w:type="paragraph" w:styleId="List2">
    <w:name w:val="List 2"/>
    <w:basedOn w:val="Normal"/>
    <w:uiPriority w:val="98"/>
    <w:semiHidden/>
    <w:rsid w:val="002C4EB9"/>
    <w:pPr>
      <w:ind w:left="566" w:hanging="283"/>
      <w:contextualSpacing/>
    </w:pPr>
  </w:style>
  <w:style w:type="paragraph" w:styleId="List3">
    <w:name w:val="List 3"/>
    <w:basedOn w:val="Normal"/>
    <w:uiPriority w:val="98"/>
    <w:semiHidden/>
    <w:rsid w:val="002C4EB9"/>
    <w:pPr>
      <w:ind w:left="849" w:hanging="283"/>
      <w:contextualSpacing/>
    </w:pPr>
  </w:style>
  <w:style w:type="paragraph" w:styleId="List4">
    <w:name w:val="List 4"/>
    <w:basedOn w:val="Normal"/>
    <w:uiPriority w:val="98"/>
    <w:semiHidden/>
    <w:rsid w:val="002C4EB9"/>
    <w:pPr>
      <w:ind w:left="1132" w:hanging="283"/>
      <w:contextualSpacing/>
    </w:pPr>
  </w:style>
  <w:style w:type="paragraph" w:styleId="List5">
    <w:name w:val="List 5"/>
    <w:basedOn w:val="Normal"/>
    <w:uiPriority w:val="98"/>
    <w:semiHidden/>
    <w:rsid w:val="002C4EB9"/>
    <w:pPr>
      <w:ind w:left="1415" w:hanging="283"/>
      <w:contextualSpacing/>
    </w:pPr>
  </w:style>
  <w:style w:type="paragraph" w:styleId="ListBullet2">
    <w:name w:val="List Bullet 2"/>
    <w:basedOn w:val="Normal"/>
    <w:uiPriority w:val="98"/>
    <w:semiHidden/>
    <w:rsid w:val="002C4EB9"/>
    <w:pPr>
      <w:numPr>
        <w:numId w:val="13"/>
      </w:numPr>
      <w:contextualSpacing/>
    </w:pPr>
  </w:style>
  <w:style w:type="paragraph" w:styleId="ListBullet4">
    <w:name w:val="List Bullet 4"/>
    <w:basedOn w:val="Normal"/>
    <w:uiPriority w:val="98"/>
    <w:semiHidden/>
    <w:rsid w:val="002C4EB9"/>
    <w:pPr>
      <w:numPr>
        <w:numId w:val="15"/>
      </w:numPr>
      <w:contextualSpacing/>
    </w:pPr>
  </w:style>
  <w:style w:type="paragraph" w:styleId="ListBullet5">
    <w:name w:val="List Bullet 5"/>
    <w:basedOn w:val="Normal"/>
    <w:uiPriority w:val="98"/>
    <w:semiHidden/>
    <w:rsid w:val="002C4EB9"/>
    <w:pPr>
      <w:numPr>
        <w:numId w:val="16"/>
      </w:numPr>
      <w:contextualSpacing/>
    </w:pPr>
  </w:style>
  <w:style w:type="paragraph" w:styleId="ListContinue">
    <w:name w:val="List Continue"/>
    <w:basedOn w:val="Normal"/>
    <w:uiPriority w:val="98"/>
    <w:semiHidden/>
    <w:rsid w:val="002C4EB9"/>
    <w:pPr>
      <w:spacing w:after="120"/>
      <w:ind w:left="283"/>
      <w:contextualSpacing/>
    </w:pPr>
  </w:style>
  <w:style w:type="paragraph" w:styleId="ListContinue2">
    <w:name w:val="List Continue 2"/>
    <w:basedOn w:val="Normal"/>
    <w:uiPriority w:val="98"/>
    <w:semiHidden/>
    <w:rsid w:val="002C4EB9"/>
    <w:pPr>
      <w:spacing w:after="120"/>
      <w:ind w:left="566"/>
      <w:contextualSpacing/>
    </w:pPr>
  </w:style>
  <w:style w:type="paragraph" w:styleId="ListContinue3">
    <w:name w:val="List Continue 3"/>
    <w:basedOn w:val="Normal"/>
    <w:uiPriority w:val="98"/>
    <w:semiHidden/>
    <w:rsid w:val="002C4EB9"/>
    <w:pPr>
      <w:spacing w:after="120"/>
      <w:ind w:left="849"/>
      <w:contextualSpacing/>
    </w:pPr>
  </w:style>
  <w:style w:type="paragraph" w:styleId="ListContinue4">
    <w:name w:val="List Continue 4"/>
    <w:basedOn w:val="Normal"/>
    <w:uiPriority w:val="98"/>
    <w:semiHidden/>
    <w:rsid w:val="002C4EB9"/>
    <w:pPr>
      <w:spacing w:after="120"/>
      <w:ind w:left="1132"/>
      <w:contextualSpacing/>
    </w:pPr>
  </w:style>
  <w:style w:type="paragraph" w:styleId="ListContinue5">
    <w:name w:val="List Continue 5"/>
    <w:basedOn w:val="Normal"/>
    <w:uiPriority w:val="98"/>
    <w:semiHidden/>
    <w:rsid w:val="002C4EB9"/>
    <w:pPr>
      <w:spacing w:after="120"/>
      <w:ind w:left="1415"/>
      <w:contextualSpacing/>
    </w:pPr>
  </w:style>
  <w:style w:type="paragraph" w:styleId="ListNumber">
    <w:name w:val="List Number"/>
    <w:basedOn w:val="Normal"/>
    <w:uiPriority w:val="98"/>
    <w:semiHidden/>
    <w:rsid w:val="002C4EB9"/>
    <w:pPr>
      <w:numPr>
        <w:numId w:val="17"/>
      </w:numPr>
      <w:contextualSpacing/>
    </w:pPr>
  </w:style>
  <w:style w:type="paragraph" w:styleId="ListNumber2">
    <w:name w:val="List Number 2"/>
    <w:basedOn w:val="Normal"/>
    <w:uiPriority w:val="98"/>
    <w:semiHidden/>
    <w:rsid w:val="002C4EB9"/>
    <w:pPr>
      <w:numPr>
        <w:numId w:val="18"/>
      </w:numPr>
      <w:contextualSpacing/>
    </w:pPr>
  </w:style>
  <w:style w:type="paragraph" w:styleId="ListNumber3">
    <w:name w:val="List Number 3"/>
    <w:basedOn w:val="Normal"/>
    <w:uiPriority w:val="98"/>
    <w:semiHidden/>
    <w:rsid w:val="002C4EB9"/>
    <w:pPr>
      <w:numPr>
        <w:numId w:val="19"/>
      </w:numPr>
      <w:contextualSpacing/>
    </w:pPr>
  </w:style>
  <w:style w:type="paragraph" w:styleId="ListNumber4">
    <w:name w:val="List Number 4"/>
    <w:basedOn w:val="Normal"/>
    <w:uiPriority w:val="98"/>
    <w:semiHidden/>
    <w:rsid w:val="002C4EB9"/>
    <w:pPr>
      <w:numPr>
        <w:numId w:val="20"/>
      </w:numPr>
      <w:contextualSpacing/>
    </w:pPr>
  </w:style>
  <w:style w:type="paragraph" w:styleId="ListNumber5">
    <w:name w:val="List Number 5"/>
    <w:basedOn w:val="Normal"/>
    <w:uiPriority w:val="98"/>
    <w:semiHidden/>
    <w:rsid w:val="002C4EB9"/>
    <w:pPr>
      <w:numPr>
        <w:numId w:val="21"/>
      </w:numPr>
      <w:contextualSpacing/>
    </w:pPr>
  </w:style>
  <w:style w:type="paragraph" w:styleId="MacroText">
    <w:name w:val="macro"/>
    <w:link w:val="MacroTextChar"/>
    <w:uiPriority w:val="98"/>
    <w:semiHidden/>
    <w:rsid w:val="002C4EB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2C4EB9"/>
    <w:rPr>
      <w:rFonts w:ascii="Consolas" w:eastAsiaTheme="minorEastAsia" w:hAnsi="Consolas" w:cs="Consolas"/>
      <w:sz w:val="20"/>
      <w:szCs w:val="20"/>
    </w:rPr>
  </w:style>
  <w:style w:type="table" w:styleId="MediumGrid1">
    <w:name w:val="Medium Grid 1"/>
    <w:basedOn w:val="TableNormal"/>
    <w:uiPriority w:val="67"/>
    <w:semiHidden/>
    <w:rsid w:val="002C4EB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C4EB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2C4EB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2C4EB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2C4EB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2C4EB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2C4EB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2C4EB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2C4EB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2C4EB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2C4EB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2C4EB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2C4EB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2C4EB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2C4EB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2C4EB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2C4EB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2C4EB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2C4EB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2C4EB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2C4EB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2C4EB9"/>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C4EB9"/>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2C4EB9"/>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2C4EB9"/>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2C4EB9"/>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2C4EB9"/>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2C4EB9"/>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2C4EB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C4EB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C4EB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C4EB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C4EB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C4EB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C4EB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2C4EB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C4EB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C4EB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C4EB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C4EB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C4EB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C4EB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C4EB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C4EB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C4EB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C4EB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C4EB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C4EB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C4EB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2C4EB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2C4EB9"/>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2C4EB9"/>
    <w:rPr>
      <w:rFonts w:ascii="Times New Roman" w:hAnsi="Times New Roman" w:cs="Times New Roman"/>
    </w:rPr>
  </w:style>
  <w:style w:type="paragraph" w:styleId="NormalIndent">
    <w:name w:val="Normal Indent"/>
    <w:basedOn w:val="Normal"/>
    <w:uiPriority w:val="98"/>
    <w:semiHidden/>
    <w:rsid w:val="002C4EB9"/>
    <w:pPr>
      <w:ind w:left="720"/>
    </w:pPr>
  </w:style>
  <w:style w:type="paragraph" w:styleId="NoteHeading">
    <w:name w:val="Note Heading"/>
    <w:basedOn w:val="Normal"/>
    <w:next w:val="Normal"/>
    <w:link w:val="NoteHeadingChar"/>
    <w:uiPriority w:val="98"/>
    <w:semiHidden/>
    <w:rsid w:val="002C4EB9"/>
  </w:style>
  <w:style w:type="character" w:customStyle="1" w:styleId="NoteHeadingChar">
    <w:name w:val="Note Heading Char"/>
    <w:basedOn w:val="DefaultParagraphFont"/>
    <w:link w:val="NoteHeading"/>
    <w:uiPriority w:val="98"/>
    <w:semiHidden/>
    <w:rsid w:val="002C4EB9"/>
    <w:rPr>
      <w:sz w:val="24"/>
      <w:szCs w:val="24"/>
      <w:lang w:val="en-GB"/>
    </w:rPr>
  </w:style>
  <w:style w:type="character" w:styleId="PlaceholderText">
    <w:name w:val="Placeholder Text"/>
    <w:basedOn w:val="DefaultParagraphFont"/>
    <w:uiPriority w:val="98"/>
    <w:semiHidden/>
    <w:rsid w:val="002C4EB9"/>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2C4EB9"/>
    <w:rPr>
      <w:rFonts w:ascii="Consolas" w:hAnsi="Consolas" w:cs="Consolas"/>
      <w:sz w:val="21"/>
      <w:szCs w:val="21"/>
    </w:rPr>
  </w:style>
  <w:style w:type="character" w:customStyle="1" w:styleId="PlainTextChar">
    <w:name w:val="Plain Text Char"/>
    <w:basedOn w:val="DefaultParagraphFont"/>
    <w:link w:val="PlainText"/>
    <w:uiPriority w:val="98"/>
    <w:semiHidden/>
    <w:rsid w:val="002C4EB9"/>
    <w:rPr>
      <w:rFonts w:ascii="Consolas" w:hAnsi="Consolas" w:cs="Consolas"/>
      <w:sz w:val="21"/>
      <w:szCs w:val="21"/>
      <w:lang w:val="en-GB"/>
    </w:rPr>
  </w:style>
  <w:style w:type="paragraph" w:styleId="Salutation">
    <w:name w:val="Salutation"/>
    <w:basedOn w:val="Normal"/>
    <w:next w:val="Normal"/>
    <w:link w:val="SalutationChar"/>
    <w:uiPriority w:val="98"/>
    <w:semiHidden/>
    <w:rsid w:val="002C4EB9"/>
  </w:style>
  <w:style w:type="character" w:customStyle="1" w:styleId="SalutationChar">
    <w:name w:val="Salutation Char"/>
    <w:basedOn w:val="DefaultParagraphFont"/>
    <w:link w:val="Salutation"/>
    <w:uiPriority w:val="98"/>
    <w:semiHidden/>
    <w:rsid w:val="002C4EB9"/>
    <w:rPr>
      <w:sz w:val="24"/>
      <w:szCs w:val="24"/>
      <w:lang w:val="en-GB"/>
    </w:rPr>
  </w:style>
  <w:style w:type="paragraph" w:styleId="Signature">
    <w:name w:val="Signature"/>
    <w:basedOn w:val="Normal"/>
    <w:link w:val="SignatureChar"/>
    <w:uiPriority w:val="98"/>
    <w:semiHidden/>
    <w:rsid w:val="002C4EB9"/>
    <w:pPr>
      <w:ind w:left="4252"/>
    </w:pPr>
  </w:style>
  <w:style w:type="character" w:customStyle="1" w:styleId="SignatureChar">
    <w:name w:val="Signature Char"/>
    <w:basedOn w:val="DefaultParagraphFont"/>
    <w:link w:val="Signature"/>
    <w:uiPriority w:val="98"/>
    <w:semiHidden/>
    <w:rsid w:val="002C4EB9"/>
    <w:rPr>
      <w:sz w:val="24"/>
      <w:szCs w:val="24"/>
      <w:lang w:val="en-GB"/>
    </w:rPr>
  </w:style>
  <w:style w:type="table" w:styleId="Table3Deffects1">
    <w:name w:val="Table 3D effects 1"/>
    <w:basedOn w:val="TableNormal"/>
    <w:uiPriority w:val="99"/>
    <w:semiHidden/>
    <w:unhideWhenUsed/>
    <w:rsid w:val="002C4EB9"/>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EB9"/>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EB9"/>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EB9"/>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EB9"/>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EB9"/>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EB9"/>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EB9"/>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EB9"/>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EB9"/>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EB9"/>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EB9"/>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EB9"/>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EB9"/>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EB9"/>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EB9"/>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EB9"/>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EB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EB9"/>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EB9"/>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EB9"/>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EB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EB9"/>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EB9"/>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EB9"/>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C4EB9"/>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EB9"/>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EB9"/>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EB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EB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EB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EB9"/>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EB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2C4EB9"/>
    <w:pPr>
      <w:ind w:left="240" w:hanging="240"/>
    </w:pPr>
  </w:style>
  <w:style w:type="paragraph" w:styleId="TableofFigures">
    <w:name w:val="table of figures"/>
    <w:basedOn w:val="Normal"/>
    <w:next w:val="Normal"/>
    <w:uiPriority w:val="98"/>
    <w:semiHidden/>
    <w:rsid w:val="002C4EB9"/>
  </w:style>
  <w:style w:type="table" w:styleId="TableProfessional">
    <w:name w:val="Table Professional"/>
    <w:basedOn w:val="TableNormal"/>
    <w:uiPriority w:val="99"/>
    <w:semiHidden/>
    <w:unhideWhenUsed/>
    <w:rsid w:val="002C4EB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EB9"/>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EB9"/>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EB9"/>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EB9"/>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EB9"/>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EB9"/>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4EB9"/>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EB9"/>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EB9"/>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2C4EB9"/>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2C4EB9"/>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2C4EB9"/>
    <w:pPr>
      <w:spacing w:after="100"/>
      <w:ind w:left="1680"/>
    </w:pPr>
  </w:style>
  <w:style w:type="paragraph" w:styleId="TOC9">
    <w:name w:val="toc 9"/>
    <w:basedOn w:val="Normal"/>
    <w:next w:val="Normal"/>
    <w:autoRedefine/>
    <w:uiPriority w:val="98"/>
    <w:semiHidden/>
    <w:rsid w:val="002C4EB9"/>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2C4EB9"/>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C4EB9"/>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2C4EB9"/>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2C4EB9"/>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2C4EB9"/>
    <w:pPr>
      <w:numPr>
        <w:numId w:val="8"/>
      </w:numPr>
      <w:spacing w:before="60" w:after="60"/>
    </w:pPr>
  </w:style>
  <w:style w:type="paragraph" w:customStyle="1" w:styleId="ECHRBullet2">
    <w:name w:val="ECHR_Bullet_2"/>
    <w:aliases w:val="_Bul_2"/>
    <w:basedOn w:val="ECHRBullet1"/>
    <w:uiPriority w:val="23"/>
    <w:semiHidden/>
    <w:rsid w:val="002C4EB9"/>
    <w:pPr>
      <w:numPr>
        <w:ilvl w:val="1"/>
      </w:numPr>
    </w:pPr>
  </w:style>
  <w:style w:type="paragraph" w:customStyle="1" w:styleId="ECHRBullet3">
    <w:name w:val="ECHR_Bullet_3"/>
    <w:aliases w:val="_Bul_3"/>
    <w:basedOn w:val="ECHRBullet2"/>
    <w:uiPriority w:val="23"/>
    <w:semiHidden/>
    <w:rsid w:val="002C4EB9"/>
    <w:pPr>
      <w:numPr>
        <w:ilvl w:val="2"/>
      </w:numPr>
    </w:pPr>
  </w:style>
  <w:style w:type="paragraph" w:customStyle="1" w:styleId="ECHRBullet4">
    <w:name w:val="ECHR_Bullet_4"/>
    <w:aliases w:val="_Bul_4"/>
    <w:basedOn w:val="ECHRBullet3"/>
    <w:uiPriority w:val="23"/>
    <w:semiHidden/>
    <w:rsid w:val="002C4EB9"/>
    <w:pPr>
      <w:numPr>
        <w:ilvl w:val="3"/>
      </w:numPr>
    </w:pPr>
  </w:style>
  <w:style w:type="paragraph" w:customStyle="1" w:styleId="ECHRConfidential">
    <w:name w:val="ECHR_Confidential"/>
    <w:aliases w:val="_Confidential"/>
    <w:basedOn w:val="Normal"/>
    <w:next w:val="Normal"/>
    <w:uiPriority w:val="42"/>
    <w:semiHidden/>
    <w:qFormat/>
    <w:rsid w:val="002C4EB9"/>
    <w:pPr>
      <w:jc w:val="right"/>
    </w:pPr>
    <w:rPr>
      <w:color w:val="C00000"/>
      <w:sz w:val="20"/>
    </w:rPr>
  </w:style>
  <w:style w:type="paragraph" w:customStyle="1" w:styleId="ECHRDecisionBody">
    <w:name w:val="ECHR_Decision_Body"/>
    <w:aliases w:val="_Decision_Body"/>
    <w:basedOn w:val="NormalJustified"/>
    <w:uiPriority w:val="54"/>
    <w:semiHidden/>
    <w:rsid w:val="002C4EB9"/>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2C4EB9"/>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2C4EB9"/>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2C4EB9"/>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2C4EB9"/>
    <w:pPr>
      <w:jc w:val="right"/>
    </w:pPr>
    <w:rPr>
      <w:sz w:val="20"/>
    </w:rPr>
  </w:style>
  <w:style w:type="paragraph" w:customStyle="1" w:styleId="ECHRHeaderRefIt">
    <w:name w:val="ECHR_Header_Ref_It"/>
    <w:aliases w:val="_Ref_Ital"/>
    <w:basedOn w:val="Normal"/>
    <w:next w:val="ECHRHeaderDate"/>
    <w:uiPriority w:val="43"/>
    <w:semiHidden/>
    <w:qFormat/>
    <w:rsid w:val="002C4EB9"/>
    <w:pPr>
      <w:jc w:val="right"/>
    </w:pPr>
    <w:rPr>
      <w:i/>
      <w:sz w:val="20"/>
    </w:rPr>
  </w:style>
  <w:style w:type="paragraph" w:customStyle="1" w:styleId="ECHRHeading9">
    <w:name w:val="ECHR_Heading_9"/>
    <w:aliases w:val="_Head_9"/>
    <w:basedOn w:val="Heading9"/>
    <w:uiPriority w:val="17"/>
    <w:semiHidden/>
    <w:rsid w:val="002C4EB9"/>
    <w:pPr>
      <w:keepNext/>
      <w:keepLines/>
      <w:numPr>
        <w:ilvl w:val="8"/>
        <w:numId w:val="10"/>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2C4EB9"/>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2C4EB9"/>
    <w:pPr>
      <w:numPr>
        <w:numId w:val="9"/>
      </w:numPr>
      <w:spacing w:before="60" w:after="60"/>
    </w:pPr>
  </w:style>
  <w:style w:type="paragraph" w:customStyle="1" w:styleId="ECHRNumberedList2">
    <w:name w:val="ECHR_Numbered_List_2"/>
    <w:aliases w:val="_Num_2"/>
    <w:basedOn w:val="ECHRNumberedList1"/>
    <w:uiPriority w:val="23"/>
    <w:semiHidden/>
    <w:rsid w:val="002C4EB9"/>
    <w:pPr>
      <w:numPr>
        <w:ilvl w:val="1"/>
      </w:numPr>
    </w:pPr>
  </w:style>
  <w:style w:type="paragraph" w:customStyle="1" w:styleId="ECHRNumberedList3">
    <w:name w:val="ECHR_Numbered_List_3"/>
    <w:aliases w:val="_Num_3"/>
    <w:basedOn w:val="ECHRNumberedList2"/>
    <w:uiPriority w:val="23"/>
    <w:semiHidden/>
    <w:rsid w:val="002C4EB9"/>
    <w:pPr>
      <w:numPr>
        <w:ilvl w:val="2"/>
      </w:numPr>
    </w:pPr>
  </w:style>
  <w:style w:type="paragraph" w:customStyle="1" w:styleId="ECHRParaHanging">
    <w:name w:val="ECHR_Para_Hanging"/>
    <w:aliases w:val="_Hanging"/>
    <w:basedOn w:val="NormalJustified"/>
    <w:uiPriority w:val="8"/>
    <w:semiHidden/>
    <w:qFormat/>
    <w:rsid w:val="002C4EB9"/>
    <w:pPr>
      <w:ind w:left="567" w:hanging="567"/>
    </w:pPr>
  </w:style>
  <w:style w:type="paragraph" w:customStyle="1" w:styleId="ECHRParaIndent">
    <w:name w:val="ECHR_Para_Indent"/>
    <w:aliases w:val="_Indent"/>
    <w:basedOn w:val="NormalJustified"/>
    <w:uiPriority w:val="7"/>
    <w:semiHidden/>
    <w:qFormat/>
    <w:rsid w:val="002C4EB9"/>
    <w:pPr>
      <w:spacing w:before="120" w:after="120"/>
      <w:ind w:left="284"/>
    </w:pPr>
  </w:style>
  <w:style w:type="character" w:customStyle="1" w:styleId="ECHRRed">
    <w:name w:val="ECHR_Red"/>
    <w:aliases w:val="_Red"/>
    <w:basedOn w:val="DefaultParagraphFont"/>
    <w:uiPriority w:val="15"/>
    <w:semiHidden/>
    <w:qFormat/>
    <w:rsid w:val="002C4EB9"/>
    <w:rPr>
      <w:color w:val="C00000" w:themeColor="accent2"/>
    </w:rPr>
  </w:style>
  <w:style w:type="paragraph" w:customStyle="1" w:styleId="DecList">
    <w:name w:val="Dec_List"/>
    <w:aliases w:val="_List"/>
    <w:basedOn w:val="JuList"/>
    <w:uiPriority w:val="22"/>
    <w:rsid w:val="002C4EB9"/>
    <w:pPr>
      <w:numPr>
        <w:numId w:val="0"/>
      </w:numPr>
      <w:ind w:left="284"/>
    </w:pPr>
  </w:style>
  <w:style w:type="table" w:customStyle="1" w:styleId="ECHRTable2">
    <w:name w:val="ECHR_Table_2"/>
    <w:basedOn w:val="TableNormal"/>
    <w:uiPriority w:val="99"/>
    <w:rsid w:val="002C4EB9"/>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2C4EB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2C4EB9"/>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2C4EB9"/>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2C4EB9"/>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2C4EB9"/>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2C4EB9"/>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2C4EB9"/>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2C4EB9"/>
    <w:pPr>
      <w:outlineLvl w:val="0"/>
    </w:pPr>
  </w:style>
  <w:style w:type="paragraph" w:customStyle="1" w:styleId="ECHRTitleTOC1">
    <w:name w:val="ECHR_Title_TOC_1"/>
    <w:aliases w:val="_Title_L_TOC"/>
    <w:basedOn w:val="ECHRTitle1"/>
    <w:next w:val="Normal"/>
    <w:uiPriority w:val="27"/>
    <w:semiHidden/>
    <w:qFormat/>
    <w:rsid w:val="002C4EB9"/>
    <w:pPr>
      <w:outlineLvl w:val="0"/>
    </w:pPr>
  </w:style>
  <w:style w:type="paragraph" w:customStyle="1" w:styleId="ECHRPlaceholder">
    <w:name w:val="ECHR_Placeholder"/>
    <w:aliases w:val="_Placeholder"/>
    <w:basedOn w:val="JuSigned"/>
    <w:uiPriority w:val="31"/>
    <w:rsid w:val="002C4EB9"/>
    <w:rPr>
      <w:color w:val="FFFFFF"/>
    </w:rPr>
  </w:style>
  <w:style w:type="paragraph" w:customStyle="1" w:styleId="ECHRSpacer">
    <w:name w:val="ECHR_Spacer"/>
    <w:aliases w:val="_Spacer"/>
    <w:basedOn w:val="Normal"/>
    <w:uiPriority w:val="45"/>
    <w:semiHidden/>
    <w:rsid w:val="002C4EB9"/>
    <w:rPr>
      <w:sz w:val="4"/>
    </w:rPr>
  </w:style>
  <w:style w:type="table" w:customStyle="1" w:styleId="ECHRTableGrey">
    <w:name w:val="ECHR_Table_Grey"/>
    <w:basedOn w:val="TableNormal"/>
    <w:uiPriority w:val="99"/>
    <w:rsid w:val="002C4EB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2C4EB9"/>
    <w:rPr>
      <w:color w:val="605E5C"/>
      <w:shd w:val="clear" w:color="auto" w:fill="E1DFDD"/>
    </w:rPr>
  </w:style>
  <w:style w:type="character" w:customStyle="1" w:styleId="JuParaChar">
    <w:name w:val="Ju_Para Char"/>
    <w:aliases w:val="_Para Char"/>
    <w:link w:val="JuPara"/>
    <w:uiPriority w:val="4"/>
    <w:rsid w:val="00C538CD"/>
    <w:rPr>
      <w:sz w:val="24"/>
      <w:szCs w:val="24"/>
      <w:lang w:val="en-GB"/>
    </w:rPr>
  </w:style>
  <w:style w:type="table" w:styleId="GridTable1Light">
    <w:name w:val="Grid Table 1 Light"/>
    <w:basedOn w:val="TableNormal"/>
    <w:uiPriority w:val="46"/>
    <w:semiHidden/>
    <w:rsid w:val="00D567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D5672F"/>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D5672F"/>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D5672F"/>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D5672F"/>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D5672F"/>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D5672F"/>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D567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D5672F"/>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D5672F"/>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D5672F"/>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D5672F"/>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D5672F"/>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D5672F"/>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D567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D5672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D5672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D5672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D5672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D5672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D5672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D567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D5672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D5672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D5672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D5672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D5672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D5672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D5672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D5672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D5672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D5672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D5672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D5672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D5672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D5672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D5672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D5672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D5672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D5672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D5672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D5672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D5672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D5672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D5672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D5672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D5672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D5672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D5672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D5672F"/>
    <w:rPr>
      <w:color w:val="2B579A"/>
      <w:shd w:val="clear" w:color="auto" w:fill="E1DFDD"/>
    </w:rPr>
  </w:style>
  <w:style w:type="table" w:styleId="ListTable1Light">
    <w:name w:val="List Table 1 Light"/>
    <w:basedOn w:val="TableNormal"/>
    <w:uiPriority w:val="46"/>
    <w:semiHidden/>
    <w:rsid w:val="00D5672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D5672F"/>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D5672F"/>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D5672F"/>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D5672F"/>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D5672F"/>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D5672F"/>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D5672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D5672F"/>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D5672F"/>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D5672F"/>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D5672F"/>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D5672F"/>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D5672F"/>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D5672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D5672F"/>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D5672F"/>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D5672F"/>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D5672F"/>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D5672F"/>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D5672F"/>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D567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D5672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D5672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D5672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D5672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D5672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D5672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D5672F"/>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D5672F"/>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D5672F"/>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D5672F"/>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D5672F"/>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D5672F"/>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D5672F"/>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D5672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D5672F"/>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D5672F"/>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D5672F"/>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D5672F"/>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D5672F"/>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D5672F"/>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D5672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D5672F"/>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D5672F"/>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D5672F"/>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D5672F"/>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D5672F"/>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D5672F"/>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D5672F"/>
    <w:rPr>
      <w:color w:val="2B579A"/>
      <w:shd w:val="clear" w:color="auto" w:fill="E1DFDD"/>
    </w:rPr>
  </w:style>
  <w:style w:type="table" w:styleId="PlainTable1">
    <w:name w:val="Plain Table 1"/>
    <w:basedOn w:val="TableNormal"/>
    <w:uiPriority w:val="41"/>
    <w:semiHidden/>
    <w:rsid w:val="00D5672F"/>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D5672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D5672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D567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D5672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D5672F"/>
    <w:rPr>
      <w:u w:val="dotted"/>
    </w:rPr>
  </w:style>
  <w:style w:type="character" w:customStyle="1" w:styleId="SmartLink">
    <w:name w:val="Smart Link"/>
    <w:basedOn w:val="DefaultParagraphFont"/>
    <w:uiPriority w:val="99"/>
    <w:semiHidden/>
    <w:unhideWhenUsed/>
    <w:rsid w:val="00D5672F"/>
    <w:rPr>
      <w:color w:val="0000FF"/>
      <w:u w:val="single"/>
      <w:shd w:val="clear" w:color="auto" w:fill="F3F2F1"/>
    </w:rPr>
  </w:style>
  <w:style w:type="table" w:styleId="TableGridLight">
    <w:name w:val="Grid Table Light"/>
    <w:basedOn w:val="TableNormal"/>
    <w:uiPriority w:val="40"/>
    <w:semiHidden/>
    <w:rsid w:val="00D5672F"/>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2AEBD-1B34-41C9-A927-14CFDE005D61}">
  <ds:schemaRefs>
    <ds:schemaRef ds:uri="http://schemas.openxmlformats.org/officeDocument/2006/bibliography"/>
  </ds:schemaRefs>
</ds:datastoreItem>
</file>

<file path=customXml/itemProps2.xml><?xml version="1.0" encoding="utf-8"?>
<ds:datastoreItem xmlns:ds="http://schemas.openxmlformats.org/officeDocument/2006/customXml" ds:itemID="{4EF21482-5DD2-40E7-8B5E-3249113AC122}"/>
</file>

<file path=customXml/itemProps3.xml><?xml version="1.0" encoding="utf-8"?>
<ds:datastoreItem xmlns:ds="http://schemas.openxmlformats.org/officeDocument/2006/customXml" ds:itemID="{E14C9F81-09E0-43AC-97EB-B01347711CA0}"/>
</file>

<file path=customXml/itemProps4.xml><?xml version="1.0" encoding="utf-8"?>
<ds:datastoreItem xmlns:ds="http://schemas.openxmlformats.org/officeDocument/2006/customXml" ds:itemID="{59D7EFE5-E1F8-4188-AC89-761A46A939D9}"/>
</file>

<file path=docProps/app.xml><?xml version="1.0" encoding="utf-8"?>
<Properties xmlns="http://schemas.openxmlformats.org/officeDocument/2006/extended-properties" xmlns:vt="http://schemas.openxmlformats.org/officeDocument/2006/docPropsVTypes">
  <Template>Normal.dotm</Template>
  <TotalTime>0</TotalTime>
  <Pages>1</Pages>
  <Words>2701</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18063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2022-05-19T07:50:00Z</dcterms:created>
  <dcterms:modified xsi:type="dcterms:W3CDTF">2022-05-19T07:50:00Z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54115/15</vt:lpwstr>
  </property>
  <property fmtid="{D5CDD505-2E9C-101B-9397-08002B2CF9AE}" pid="4" name="CASEID">
    <vt:lpwstr>1164473</vt:lpwstr>
  </property>
  <property fmtid="{D5CDD505-2E9C-101B-9397-08002B2CF9AE}" pid="5" name="ContentTypeId">
    <vt:lpwstr>0x010100558EB02BDB9E204AB350EDD385B68E10</vt:lpwstr>
  </property>
</Properties>
</file>