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34CD" w:rsidR="001E3741" w:rsidP="006F34CD" w:rsidRDefault="001E3741" w14:paraId="5171144F" w14:textId="5142128C">
      <w:pPr>
        <w:tabs>
          <w:tab w:val="left" w:pos="5670"/>
        </w:tabs>
        <w:ind w:left="4320" w:right="-439" w:hanging="4320"/>
        <w:rPr>
          <w:b/>
        </w:rPr>
      </w:pPr>
    </w:p>
    <w:p w:rsidRPr="006F34CD" w:rsidR="00F76A5B" w:rsidP="006F34CD" w:rsidRDefault="00F76A5B" w14:paraId="156B9364" w14:textId="77777777">
      <w:pPr>
        <w:pStyle w:val="DecHTitle"/>
        <w:keepNext w:val="0"/>
        <w:keepLines w:val="0"/>
      </w:pPr>
      <w:bookmarkStart w:name="To" w:id="0"/>
      <w:r w:rsidRPr="006F34CD">
        <w:t>THIRD SECTION</w:t>
      </w:r>
    </w:p>
    <w:p w:rsidRPr="006F34CD" w:rsidR="001E754B" w:rsidP="006F34CD" w:rsidRDefault="00816DC0" w14:paraId="67940FAD" w14:textId="52688D81">
      <w:pPr>
        <w:pStyle w:val="JuTitle"/>
        <w:keepNext w:val="0"/>
        <w:keepLines w:val="0"/>
      </w:pPr>
      <w:r w:rsidRPr="006F34CD">
        <w:t xml:space="preserve">CASE OF </w:t>
      </w:r>
      <w:bookmarkEnd w:id="0"/>
      <w:r w:rsidRPr="006F34CD" w:rsidR="008B54C0">
        <w:t>TAGANROG LRO AND OTHERS</w:t>
      </w:r>
      <w:r w:rsidRPr="006F34CD" w:rsidR="001370AA">
        <w:t xml:space="preserve"> v. R</w:t>
      </w:r>
      <w:r w:rsidRPr="006F34CD" w:rsidR="008B54C0">
        <w:t>USSIA</w:t>
      </w:r>
    </w:p>
    <w:p w:rsidRPr="006F34CD" w:rsidR="00816DC0" w:rsidP="006F34CD" w:rsidRDefault="00816DC0" w14:paraId="362A5F74" w14:textId="77777777">
      <w:pPr>
        <w:pStyle w:val="ECHRCoverTitle4"/>
        <w:keepNext w:val="0"/>
        <w:keepLines w:val="0"/>
      </w:pPr>
      <w:r w:rsidRPr="006F34CD">
        <w:t>(Application</w:t>
      </w:r>
      <w:r w:rsidRPr="006F34CD" w:rsidR="008B54C0">
        <w:t>s</w:t>
      </w:r>
      <w:r w:rsidRPr="006F34CD">
        <w:t xml:space="preserve"> </w:t>
      </w:r>
      <w:r w:rsidRPr="006F34CD" w:rsidR="001370AA">
        <w:t>nos. 3</w:t>
      </w:r>
      <w:r w:rsidRPr="006F34CD" w:rsidR="008B54C0">
        <w:t xml:space="preserve">2401/10 and </w:t>
      </w:r>
      <w:r w:rsidRPr="006F34CD" w:rsidR="009A1FD8">
        <w:t>19</w:t>
      </w:r>
      <w:r w:rsidRPr="006F34CD" w:rsidR="008B54C0">
        <w:t xml:space="preserve"> others – see appended list</w:t>
      </w:r>
      <w:r w:rsidRPr="006F34CD">
        <w:t>)</w:t>
      </w:r>
    </w:p>
    <w:p w:rsidRPr="006F34CD" w:rsidR="001621EE" w:rsidP="006F34CD" w:rsidRDefault="001621EE" w14:paraId="0110A4B8" w14:textId="77777777">
      <w:pPr>
        <w:pStyle w:val="DecHCase"/>
        <w:keepNext w:val="0"/>
        <w:keepLines w:val="0"/>
      </w:pPr>
    </w:p>
    <w:p w:rsidRPr="006F34CD" w:rsidR="001621EE" w:rsidP="006F34CD" w:rsidRDefault="00844790" w14:paraId="4E003E4C" w14:textId="3856303D">
      <w:pPr>
        <w:pStyle w:val="DecHCase"/>
        <w:keepNext w:val="0"/>
        <w:keepLines w:val="0"/>
      </w:pPr>
      <w:r w:rsidRPr="006F34CD">
        <w:t>JUDGMENT</w:t>
      </w:r>
    </w:p>
    <w:p w:rsidRPr="006F34CD" w:rsidR="006F34CD" w:rsidP="006F34CD" w:rsidRDefault="006F34CD" w14:paraId="0F0DE58F" w14:textId="625D2418">
      <w:pPr>
        <w:pBdr>
          <w:top w:val="single" w:color="auto" w:sz="4" w:space="1"/>
          <w:left w:val="single" w:color="auto" w:sz="4" w:space="4"/>
          <w:bottom w:val="single" w:color="auto" w:sz="4" w:space="1"/>
          <w:right w:val="single" w:color="auto" w:sz="4" w:space="4"/>
        </w:pBdr>
        <w:jc w:val="both"/>
        <w:rPr>
          <w:sz w:val="19"/>
          <w:szCs w:val="19"/>
        </w:rPr>
      </w:pPr>
      <w:bookmarkStart w:name="_Hlk105140396" w:id="1"/>
      <w:r w:rsidRPr="006F34CD">
        <w:rPr>
          <w:sz w:val="19"/>
          <w:szCs w:val="19"/>
        </w:rPr>
        <w:t>Art 9 (read in light of Art 11) ● Art 10 ● Freedom of religion ● Freedom to impart information ● Forced dissolution of a Jehovah’s Witnesses’ (JW) local religious organisation (LRO) ● Declaration of JW’ publications as “extremist”</w:t>
      </w:r>
      <w:bookmarkStart w:name="_Hlk105076307" w:id="2"/>
      <w:r w:rsidRPr="006F34CD">
        <w:rPr>
          <w:sz w:val="19"/>
          <w:szCs w:val="19"/>
        </w:rPr>
        <w:t xml:space="preserve"> </w:t>
      </w:r>
      <w:bookmarkStart w:name="_Hlk105079538" w:id="3"/>
      <w:bookmarkEnd w:id="2"/>
      <w:r w:rsidRPr="006F34CD">
        <w:rPr>
          <w:sz w:val="19"/>
          <w:szCs w:val="19"/>
        </w:rPr>
        <w:t>● Not “prescribed by law” and necessary in democratic society</w:t>
      </w:r>
      <w:bookmarkEnd w:id="3"/>
    </w:p>
    <w:p w:rsidRPr="006F34CD" w:rsidR="006F34CD" w:rsidP="006F34CD" w:rsidRDefault="006F34CD" w14:paraId="34FC1170" w14:textId="77777777">
      <w:pPr>
        <w:pBdr>
          <w:top w:val="single" w:color="auto" w:sz="4" w:space="1"/>
          <w:left w:val="single" w:color="auto" w:sz="4" w:space="4"/>
          <w:bottom w:val="single" w:color="auto" w:sz="4" w:space="1"/>
          <w:right w:val="single" w:color="auto" w:sz="4" w:space="4"/>
        </w:pBdr>
        <w:jc w:val="both"/>
        <w:rPr>
          <w:sz w:val="19"/>
          <w:szCs w:val="19"/>
        </w:rPr>
      </w:pPr>
      <w:r w:rsidRPr="006F34CD">
        <w:rPr>
          <w:sz w:val="19"/>
          <w:szCs w:val="19"/>
        </w:rPr>
        <w:t>Art 10+11 (read in light of Art 9) ● Freedom of expression ● Freedom of association ● Domestic courts’ failure to provide relevant and sufficient reasons and to uphold adversarial nature of proceedings when declaring JW’ publications “extremist” and prosecuting individual JW applicants ● No balancing exercise conducted by domestic courts for dissolution of a LRO for using those publications</w:t>
      </w:r>
    </w:p>
    <w:p w:rsidRPr="006F34CD" w:rsidR="006F34CD" w:rsidP="006F34CD" w:rsidRDefault="006F34CD" w14:paraId="75603CE8" w14:textId="6545773B">
      <w:pPr>
        <w:pBdr>
          <w:top w:val="single" w:color="auto" w:sz="4" w:space="1"/>
          <w:left w:val="single" w:color="auto" w:sz="4" w:space="4"/>
          <w:bottom w:val="single" w:color="auto" w:sz="4" w:space="1"/>
          <w:right w:val="single" w:color="auto" w:sz="4" w:space="4"/>
        </w:pBdr>
        <w:jc w:val="both"/>
        <w:rPr>
          <w:sz w:val="19"/>
          <w:szCs w:val="19"/>
        </w:rPr>
      </w:pPr>
      <w:r w:rsidRPr="006F34CD">
        <w:rPr>
          <w:sz w:val="19"/>
          <w:szCs w:val="19"/>
        </w:rPr>
        <w:t>Art 10 (read in light of Art 9) ● Freedom to impart and receive information ● Withdrawal of distribution permit and prosecution of JW for distributing unregistered media ● Declaration of JW’ international website as “extremist” ● Neither “prescribed by law” nor necessary in democratic society</w:t>
      </w:r>
    </w:p>
    <w:p w:rsidRPr="006F34CD" w:rsidR="006F34CD" w:rsidP="006F34CD" w:rsidRDefault="006F34CD" w14:paraId="3BB7E79B" w14:textId="77777777">
      <w:pPr>
        <w:pBdr>
          <w:top w:val="single" w:color="auto" w:sz="4" w:space="1"/>
          <w:left w:val="single" w:color="auto" w:sz="4" w:space="4"/>
          <w:bottom w:val="single" w:color="auto" w:sz="4" w:space="1"/>
          <w:right w:val="single" w:color="auto" w:sz="4" w:space="4"/>
        </w:pBdr>
        <w:jc w:val="both"/>
        <w:rPr>
          <w:sz w:val="19"/>
          <w:szCs w:val="19"/>
        </w:rPr>
      </w:pPr>
      <w:r w:rsidRPr="006F34CD">
        <w:rPr>
          <w:sz w:val="19"/>
          <w:szCs w:val="19"/>
        </w:rPr>
        <w:t xml:space="preserve">Art 9 (read in light of Art 11) ● Dissolution of JW’ Administrative Centre and LROs ● </w:t>
      </w:r>
      <w:bookmarkStart w:name="_Hlk105076688" w:id="4"/>
      <w:r w:rsidRPr="006F34CD">
        <w:rPr>
          <w:sz w:val="19"/>
          <w:szCs w:val="19"/>
        </w:rPr>
        <w:t>Policy of intolerance by authorities ● Failure to act in good faith and breach of State’s duty of neutrality and impartiality</w:t>
      </w:r>
      <w:bookmarkEnd w:id="4"/>
    </w:p>
    <w:p w:rsidRPr="006F34CD" w:rsidR="006F34CD" w:rsidP="006F34CD" w:rsidRDefault="006F34CD" w14:paraId="0972CD8F" w14:textId="4535CAF5">
      <w:pPr>
        <w:pBdr>
          <w:top w:val="single" w:color="auto" w:sz="4" w:space="1"/>
          <w:left w:val="single" w:color="auto" w:sz="4" w:space="4"/>
          <w:bottom w:val="single" w:color="auto" w:sz="4" w:space="1"/>
          <w:right w:val="single" w:color="auto" w:sz="4" w:space="4"/>
        </w:pBdr>
        <w:jc w:val="both"/>
        <w:rPr>
          <w:sz w:val="19"/>
          <w:szCs w:val="19"/>
        </w:rPr>
      </w:pPr>
      <w:r w:rsidRPr="006F34CD">
        <w:rPr>
          <w:sz w:val="19"/>
          <w:szCs w:val="19"/>
        </w:rPr>
        <w:t>Art 9 ● Art 5 ● Arbitrary criminal prosecution of applicants for continuing to practice their religion ● Unlawful pre-trial detention of individual applicant</w:t>
      </w:r>
    </w:p>
    <w:p w:rsidRPr="006F34CD" w:rsidR="006F34CD" w:rsidP="006F34CD" w:rsidRDefault="006F34CD" w14:paraId="5171A4DE" w14:textId="77777777">
      <w:pPr>
        <w:pBdr>
          <w:top w:val="single" w:color="auto" w:sz="4" w:space="1"/>
          <w:left w:val="single" w:color="auto" w:sz="4" w:space="4"/>
          <w:bottom w:val="single" w:color="auto" w:sz="4" w:space="1"/>
          <w:right w:val="single" w:color="auto" w:sz="4" w:space="4"/>
        </w:pBdr>
        <w:jc w:val="both"/>
        <w:rPr>
          <w:sz w:val="19"/>
          <w:szCs w:val="19"/>
        </w:rPr>
      </w:pPr>
      <w:r w:rsidRPr="006F34CD">
        <w:rPr>
          <w:sz w:val="19"/>
          <w:szCs w:val="19"/>
        </w:rPr>
        <w:t>Art 1 P1 ● Peaceful enjoyment of possessions ● No legal basis for seizure of publications, immovable and personal property</w:t>
      </w:r>
    </w:p>
    <w:p w:rsidRPr="006F34CD" w:rsidR="001621EE" w:rsidP="006F34CD" w:rsidRDefault="006F34CD" w14:paraId="3B55546A" w14:textId="193CED8B">
      <w:pPr>
        <w:pBdr>
          <w:top w:val="single" w:color="auto" w:sz="4" w:space="1"/>
          <w:left w:val="single" w:color="auto" w:sz="4" w:space="4"/>
          <w:bottom w:val="single" w:color="auto" w:sz="4" w:space="1"/>
          <w:right w:val="single" w:color="auto" w:sz="4" w:space="4"/>
        </w:pBdr>
        <w:jc w:val="both"/>
        <w:rPr>
          <w:sz w:val="19"/>
          <w:szCs w:val="19"/>
        </w:rPr>
      </w:pPr>
      <w:r w:rsidRPr="006F34CD">
        <w:rPr>
          <w:sz w:val="19"/>
          <w:szCs w:val="19"/>
        </w:rPr>
        <w:t>Art 46 • Individual measures • Respondent state required to take measures to secure the discontinuation of pending criminal proceedings against JW and release of all imprisoned JW</w:t>
      </w:r>
      <w:bookmarkEnd w:id="1"/>
    </w:p>
    <w:p w:rsidRPr="006F34CD" w:rsidR="001621EE" w:rsidP="006F34CD" w:rsidRDefault="001621EE" w14:paraId="05F2C946" w14:textId="77777777">
      <w:pPr>
        <w:pStyle w:val="DecHCase"/>
        <w:keepNext w:val="0"/>
        <w:keepLines w:val="0"/>
        <w:rPr>
          <w:lang w:val="en-US"/>
        </w:rPr>
      </w:pPr>
    </w:p>
    <w:p w:rsidRPr="006F34CD" w:rsidR="00844790" w:rsidP="006F34CD" w:rsidRDefault="00844790" w14:paraId="49A55412" w14:textId="26CC47FF">
      <w:pPr>
        <w:pStyle w:val="DecHCase"/>
        <w:keepNext w:val="0"/>
        <w:keepLines w:val="0"/>
        <w:rPr>
          <w:b/>
          <w:lang w:val="en-US"/>
        </w:rPr>
      </w:pPr>
      <w:r w:rsidRPr="006F34CD">
        <w:rPr>
          <w:lang w:val="en-US"/>
        </w:rPr>
        <w:t>STRASBOURG</w:t>
      </w:r>
    </w:p>
    <w:p w:rsidRPr="006F34CD" w:rsidR="00844790" w:rsidP="006F34CD" w:rsidRDefault="006E5193" w14:paraId="1F7BE685" w14:textId="2427CF10">
      <w:pPr>
        <w:pStyle w:val="JuCase"/>
        <w:ind w:firstLine="0"/>
        <w:jc w:val="center"/>
        <w:rPr>
          <w:b w:val="0"/>
          <w:lang w:val="en-US"/>
        </w:rPr>
      </w:pPr>
      <w:r w:rsidRPr="006F34CD">
        <w:rPr>
          <w:b w:val="0"/>
          <w:lang w:val="en-US"/>
        </w:rPr>
        <w:t>7 June 2022</w:t>
      </w:r>
    </w:p>
    <w:p w:rsidRPr="006F34CD" w:rsidR="00F76A5B" w:rsidP="006F34CD" w:rsidRDefault="00F76A5B" w14:paraId="2C007A91" w14:textId="77777777">
      <w:pPr>
        <w:pStyle w:val="JuPara"/>
        <w:rPr>
          <w:lang w:val="en-US"/>
        </w:rPr>
      </w:pPr>
    </w:p>
    <w:p w:rsidRPr="006F34CD" w:rsidR="00367968" w:rsidP="006F34CD" w:rsidRDefault="00844790" w14:paraId="45A33003" w14:textId="4771B334">
      <w:pPr>
        <w:pStyle w:val="JuCase"/>
        <w:ind w:firstLine="0"/>
        <w:rPr>
          <w:b w:val="0"/>
          <w:lang w:val="en-US"/>
        </w:rPr>
      </w:pPr>
      <w:r w:rsidRPr="006F34CD">
        <w:rPr>
          <w:b w:val="0"/>
          <w:i/>
          <w:sz w:val="22"/>
          <w:lang w:val="en-US"/>
        </w:rPr>
        <w:t xml:space="preserve">This judgment will become final in the circumstances set out in Article 44 </w:t>
      </w:r>
      <w:r w:rsidRPr="006F34CD" w:rsidR="006E5193">
        <w:rPr>
          <w:b w:val="0"/>
          <w:i/>
          <w:sz w:val="22"/>
          <w:lang w:val="en-US"/>
        </w:rPr>
        <w:t>§ 2</w:t>
      </w:r>
      <w:r w:rsidRPr="006F34CD">
        <w:rPr>
          <w:b w:val="0"/>
          <w:i/>
          <w:sz w:val="22"/>
          <w:lang w:val="en-US"/>
        </w:rPr>
        <w:t xml:space="preserve"> of the Convention. It may be subject to editorial revision.</w:t>
      </w:r>
    </w:p>
    <w:p w:rsidRPr="006F34CD" w:rsidR="0052552A" w:rsidP="006F34CD" w:rsidRDefault="0052552A" w14:paraId="02CE0388" w14:textId="77777777">
      <w:pPr>
        <w:pStyle w:val="JuCase"/>
        <w:sectPr w:rsidRPr="006F34CD" w:rsidR="0052552A" w:rsidSect="001D6F4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oddPage"/>
          <w:pgSz w:w="11906" w:h="16838" w:code="9"/>
          <w:pgMar w:top="2274" w:right="2274" w:bottom="2274" w:left="2274" w:header="1701" w:footer="720" w:gutter="0"/>
          <w:cols w:space="720"/>
          <w:titlePg/>
          <w:docGrid w:linePitch="326"/>
        </w:sectPr>
      </w:pPr>
    </w:p>
    <w:p w:rsidRPr="006F34CD" w:rsidR="00816DC0" w:rsidP="006F34CD" w:rsidRDefault="00816DC0" w14:paraId="7CD65E7A" w14:textId="1188AF13">
      <w:pPr>
        <w:pStyle w:val="JuCase"/>
        <w:rPr>
          <w:bCs/>
        </w:rPr>
      </w:pPr>
      <w:r w:rsidRPr="006F34CD">
        <w:t xml:space="preserve">In the case of </w:t>
      </w:r>
      <w:r w:rsidRPr="006F34CD" w:rsidR="008B54C0">
        <w:t>Taganrog L</w:t>
      </w:r>
      <w:r w:rsidRPr="006F34CD" w:rsidR="00AC156D">
        <w:t>RO</w:t>
      </w:r>
      <w:r w:rsidRPr="006F34CD" w:rsidR="008B54C0">
        <w:t xml:space="preserve"> and Others</w:t>
      </w:r>
      <w:r w:rsidRPr="006F34CD" w:rsidR="001370AA">
        <w:t xml:space="preserve"> v. R</w:t>
      </w:r>
      <w:r w:rsidRPr="006F34CD" w:rsidR="008B54C0">
        <w:t>ussia</w:t>
      </w:r>
      <w:r w:rsidRPr="006F34CD">
        <w:t>,</w:t>
      </w:r>
    </w:p>
    <w:p w:rsidRPr="006F34CD" w:rsidR="00816DC0" w:rsidP="006F34CD" w:rsidRDefault="00816DC0" w14:paraId="46F3617C" w14:textId="77777777">
      <w:pPr>
        <w:pStyle w:val="JuPara"/>
      </w:pPr>
      <w:r w:rsidRPr="006F34CD">
        <w:t>The European Court of Human Rights (</w:t>
      </w:r>
      <w:r w:rsidRPr="006F34CD" w:rsidR="008B54C0">
        <w:t>Third Section</w:t>
      </w:r>
      <w:r w:rsidRPr="006F34CD">
        <w:t xml:space="preserve">), sitting as a </w:t>
      </w:r>
      <w:r w:rsidRPr="006F34CD" w:rsidR="008B54C0">
        <w:t>Chamber</w:t>
      </w:r>
      <w:r w:rsidRPr="006F34CD">
        <w:t xml:space="preserve"> composed of:</w:t>
      </w:r>
    </w:p>
    <w:p w:rsidRPr="006F34CD" w:rsidR="00816DC0" w:rsidP="006F34CD" w:rsidRDefault="00A05A52" w14:paraId="01EFB2EF" w14:textId="465E153F">
      <w:pPr>
        <w:pStyle w:val="JuJudges"/>
      </w:pPr>
      <w:r w:rsidRPr="006F34CD">
        <w:tab/>
        <w:t>Georges Ravarani,</w:t>
      </w:r>
      <w:r w:rsidRPr="006F34CD">
        <w:rPr>
          <w:i/>
        </w:rPr>
        <w:t xml:space="preserve"> President,</w:t>
      </w:r>
      <w:r w:rsidRPr="006F34CD">
        <w:rPr>
          <w:i/>
        </w:rPr>
        <w:br/>
      </w:r>
      <w:r w:rsidRPr="006F34CD">
        <w:tab/>
        <w:t>Georgios A. Serghides,</w:t>
      </w:r>
      <w:r w:rsidRPr="006F34CD">
        <w:rPr>
          <w:i/>
        </w:rPr>
        <w:br/>
      </w:r>
      <w:r w:rsidRPr="006F34CD">
        <w:tab/>
        <w:t>Darian Pavli,</w:t>
      </w:r>
      <w:r w:rsidRPr="006F34CD">
        <w:rPr>
          <w:i/>
        </w:rPr>
        <w:br/>
      </w:r>
      <w:r w:rsidRPr="006F34CD">
        <w:tab/>
        <w:t>Peeter Roosma,</w:t>
      </w:r>
      <w:r w:rsidRPr="006F34CD">
        <w:rPr>
          <w:i/>
        </w:rPr>
        <w:br/>
      </w:r>
      <w:r w:rsidRPr="006F34CD">
        <w:tab/>
        <w:t>Andreas Zünd,</w:t>
      </w:r>
      <w:r w:rsidRPr="006F34CD">
        <w:rPr>
          <w:i/>
        </w:rPr>
        <w:br/>
      </w:r>
      <w:r w:rsidRPr="006F34CD">
        <w:tab/>
        <w:t>Frédéric Krenc,</w:t>
      </w:r>
      <w:r w:rsidRPr="006F34CD">
        <w:rPr>
          <w:i/>
        </w:rPr>
        <w:br/>
      </w:r>
      <w:r w:rsidRPr="006F34CD">
        <w:tab/>
        <w:t>Mikhail Lobov,</w:t>
      </w:r>
      <w:r w:rsidRPr="006F34CD">
        <w:rPr>
          <w:i/>
        </w:rPr>
        <w:t xml:space="preserve"> judges,</w:t>
      </w:r>
    </w:p>
    <w:p w:rsidRPr="006F34CD" w:rsidR="00134516" w:rsidP="006F34CD" w:rsidRDefault="00816DC0" w14:paraId="63B028FA" w14:textId="77777777">
      <w:pPr>
        <w:pStyle w:val="JuPara"/>
        <w:rPr>
          <w:i/>
          <w:iCs/>
        </w:rPr>
      </w:pPr>
      <w:r w:rsidRPr="006F34CD">
        <w:t xml:space="preserve">and </w:t>
      </w:r>
      <w:r w:rsidRPr="006F34CD" w:rsidR="008B54C0">
        <w:t>Milan Blaško</w:t>
      </w:r>
      <w:r w:rsidRPr="006F34CD" w:rsidR="00134516">
        <w:t xml:space="preserve">, </w:t>
      </w:r>
      <w:r w:rsidRPr="006F34CD" w:rsidR="00134516">
        <w:rPr>
          <w:i/>
        </w:rPr>
        <w:t xml:space="preserve">Section </w:t>
      </w:r>
      <w:r w:rsidRPr="006F34CD" w:rsidR="00134516">
        <w:rPr>
          <w:i/>
          <w:iCs/>
        </w:rPr>
        <w:t>Registrar,</w:t>
      </w:r>
    </w:p>
    <w:p w:rsidRPr="006F34CD" w:rsidR="00816DC0" w:rsidP="006F34CD" w:rsidRDefault="00816DC0" w14:paraId="7820FAD3" w14:textId="08918158">
      <w:pPr>
        <w:pStyle w:val="JuPara"/>
      </w:pPr>
      <w:r w:rsidRPr="006F34CD">
        <w:t>Having regard to:</w:t>
      </w:r>
    </w:p>
    <w:p w:rsidRPr="006F34CD" w:rsidR="00F27848" w:rsidP="006F34CD" w:rsidRDefault="00D4790D" w14:paraId="24437919" w14:textId="5B65B988">
      <w:pPr>
        <w:pStyle w:val="JuPara"/>
      </w:pPr>
      <w:r w:rsidRPr="006F34CD">
        <w:t>the twenty</w:t>
      </w:r>
      <w:r w:rsidRPr="006F34CD" w:rsidR="005678CB">
        <w:t xml:space="preserve"> </w:t>
      </w:r>
      <w:r w:rsidRPr="006F34CD" w:rsidR="008B54C0">
        <w:t xml:space="preserve">applications </w:t>
      </w:r>
      <w:r w:rsidRPr="006F34CD" w:rsidR="00F27848">
        <w:t>against the Russian Federation</w:t>
      </w:r>
      <w:r w:rsidRPr="006F34CD">
        <w:t xml:space="preserve"> (see </w:t>
      </w:r>
      <w:r w:rsidRPr="006F34CD" w:rsidR="003F46AA">
        <w:t xml:space="preserve">the </w:t>
      </w:r>
      <w:r w:rsidRPr="006F34CD">
        <w:t xml:space="preserve">list </w:t>
      </w:r>
      <w:r w:rsidRPr="006F34CD" w:rsidR="00A57583">
        <w:t xml:space="preserve">of applications </w:t>
      </w:r>
      <w:r w:rsidRPr="006F34CD">
        <w:t xml:space="preserve">in Appendix I) </w:t>
      </w:r>
      <w:r w:rsidRPr="006F34CD" w:rsidR="00F27848">
        <w:t xml:space="preserve">lodged with the Court under </w:t>
      </w:r>
      <w:r w:rsidRPr="006F34CD" w:rsidR="001370AA">
        <w:t>Article 3</w:t>
      </w:r>
      <w:r w:rsidRPr="006F34CD" w:rsidR="00F27848">
        <w:t>4 of the Convention for the Protection of Human Rights and Fundamental Freedoms (“the Convention”) by religious organisations of Jehovah</w:t>
      </w:r>
      <w:r w:rsidRPr="006F34CD" w:rsidR="006F34CD">
        <w:t>’</w:t>
      </w:r>
      <w:r w:rsidRPr="006F34CD" w:rsidR="00F27848">
        <w:t>s Witnesses</w:t>
      </w:r>
      <w:r w:rsidRPr="006F34CD" w:rsidR="0059510D">
        <w:t>, publishers of religious literature</w:t>
      </w:r>
      <w:r w:rsidRPr="006F34CD" w:rsidR="00F27848">
        <w:t xml:space="preserve"> and individual followers </w:t>
      </w:r>
      <w:r w:rsidRPr="006F34CD">
        <w:t xml:space="preserve">(see </w:t>
      </w:r>
      <w:r w:rsidRPr="006F34CD" w:rsidR="00A57583">
        <w:t>a</w:t>
      </w:r>
      <w:r w:rsidRPr="006F34CD">
        <w:t xml:space="preserve"> list </w:t>
      </w:r>
      <w:r w:rsidRPr="006F34CD" w:rsidR="00A57583">
        <w:t xml:space="preserve">of applicants </w:t>
      </w:r>
      <w:r w:rsidRPr="006F34CD">
        <w:t>in</w:t>
      </w:r>
      <w:r w:rsidRPr="006F34CD" w:rsidR="00FA2E8F">
        <w:t xml:space="preserve"> </w:t>
      </w:r>
      <w:r w:rsidRPr="006F34CD" w:rsidR="001370AA">
        <w:t>Appendix I</w:t>
      </w:r>
      <w:r w:rsidRPr="006F34CD" w:rsidR="00FA2E8F">
        <w:t>I</w:t>
      </w:r>
      <w:r w:rsidRPr="006F34CD">
        <w:t>)</w:t>
      </w:r>
      <w:r w:rsidRPr="006F34CD" w:rsidR="009A11EB">
        <w:t xml:space="preserve"> (“the applicants”)</w:t>
      </w:r>
      <w:r w:rsidRPr="006F34CD" w:rsidR="00F27848">
        <w:t>;</w:t>
      </w:r>
    </w:p>
    <w:p w:rsidRPr="006F34CD" w:rsidR="00F27848" w:rsidP="006F34CD" w:rsidRDefault="00F27848" w14:paraId="4B898514" w14:textId="77777777">
      <w:pPr>
        <w:pStyle w:val="JuPara"/>
      </w:pPr>
      <w:r w:rsidRPr="006F34CD">
        <w:t>the decision to give notice to the Russian Government (“the Government”) of the complaints relating to the alleged violations of the rights to freedom of religion</w:t>
      </w:r>
      <w:r w:rsidRPr="006F34CD" w:rsidR="00B24CEC">
        <w:t xml:space="preserve">, </w:t>
      </w:r>
      <w:r w:rsidRPr="006F34CD">
        <w:t>expression</w:t>
      </w:r>
      <w:r w:rsidRPr="006F34CD" w:rsidR="00B24CEC">
        <w:t xml:space="preserve"> and association</w:t>
      </w:r>
      <w:r w:rsidRPr="006F34CD">
        <w:t xml:space="preserve">, the right to a fair trial, the right to peaceful enjoyment of possessions and the right to be protected against discrimination, and to declare </w:t>
      </w:r>
      <w:r w:rsidRPr="006F34CD" w:rsidR="006C787D">
        <w:rPr>
          <w:rFonts w:ascii="Times New Roman" w:hAnsi="Times New Roman" w:eastAsia="Times New Roman" w:cs="Times New Roman"/>
        </w:rPr>
        <w:t xml:space="preserve">inadmissible </w:t>
      </w:r>
      <w:r w:rsidRPr="006F34CD">
        <w:rPr>
          <w:rFonts w:ascii="Times New Roman" w:hAnsi="Times New Roman" w:eastAsia="Times New Roman" w:cs="Times New Roman"/>
        </w:rPr>
        <w:t xml:space="preserve">the remainder of applications </w:t>
      </w:r>
      <w:r w:rsidRPr="006F34CD" w:rsidR="006C787D">
        <w:rPr>
          <w:rFonts w:ascii="Times New Roman" w:hAnsi="Times New Roman" w:eastAsia="Times New Roman" w:cs="Times New Roman"/>
        </w:rPr>
        <w:t xml:space="preserve">marked with an asterisk in </w:t>
      </w:r>
      <w:r w:rsidRPr="006F34CD" w:rsidR="0011451F">
        <w:rPr>
          <w:rFonts w:ascii="Times New Roman" w:hAnsi="Times New Roman" w:eastAsia="Times New Roman" w:cs="Times New Roman"/>
        </w:rPr>
        <w:t>Appendix </w:t>
      </w:r>
      <w:r w:rsidRPr="006F34CD" w:rsidR="006C787D">
        <w:rPr>
          <w:rFonts w:ascii="Times New Roman" w:hAnsi="Times New Roman" w:eastAsia="Times New Roman" w:cs="Times New Roman"/>
        </w:rPr>
        <w:t>I</w:t>
      </w:r>
      <w:r w:rsidRPr="006F34CD">
        <w:t>;</w:t>
      </w:r>
    </w:p>
    <w:p w:rsidRPr="006F34CD" w:rsidR="008B54C0" w:rsidP="006F34CD" w:rsidRDefault="00F27848" w14:paraId="75C337AA" w14:textId="77777777">
      <w:pPr>
        <w:pStyle w:val="JuPara"/>
      </w:pPr>
      <w:r w:rsidRPr="006F34CD">
        <w:t xml:space="preserve">the decision to give priority to applications </w:t>
      </w:r>
      <w:r w:rsidRPr="006F34CD" w:rsidR="001370AA">
        <w:t>nos. 1</w:t>
      </w:r>
      <w:r w:rsidRPr="006F34CD" w:rsidR="007E26EA">
        <w:t xml:space="preserve">0188/17 and 3215/18 </w:t>
      </w:r>
      <w:r w:rsidRPr="006F34CD" w:rsidR="008B54C0">
        <w:t>(</w:t>
      </w:r>
      <w:r w:rsidRPr="006F34CD" w:rsidR="001370AA">
        <w:t>Rule 4</w:t>
      </w:r>
      <w:r w:rsidRPr="006F34CD" w:rsidR="008B54C0">
        <w:t>1 of the Rules of Court);</w:t>
      </w:r>
    </w:p>
    <w:p w:rsidRPr="006F34CD" w:rsidR="000A06C4" w:rsidP="006F34CD" w:rsidRDefault="000A06C4" w14:paraId="5D3B6812" w14:textId="77777777">
      <w:pPr>
        <w:pStyle w:val="JuPara"/>
      </w:pPr>
      <w:r w:rsidRPr="006F34CD">
        <w:t xml:space="preserve">the decision by the </w:t>
      </w:r>
      <w:r w:rsidRPr="006F34CD" w:rsidR="00712509">
        <w:t xml:space="preserve">Danish </w:t>
      </w:r>
      <w:r w:rsidRPr="006F34CD">
        <w:t xml:space="preserve">Government to exercise their right to intervene in the proceedings involving their national, </w:t>
      </w:r>
      <w:r w:rsidRPr="006F34CD" w:rsidR="001C659E">
        <w:t>Mr C</w:t>
      </w:r>
      <w:r w:rsidRPr="006F34CD">
        <w:t>hristensen;</w:t>
      </w:r>
    </w:p>
    <w:p w:rsidRPr="006F34CD" w:rsidR="00F27848" w:rsidP="006F34CD" w:rsidRDefault="007E26EA" w14:paraId="4B14695C" w14:textId="5172EC34">
      <w:pPr>
        <w:pStyle w:val="JuPara"/>
      </w:pPr>
      <w:r w:rsidRPr="006F34CD">
        <w:t xml:space="preserve">the decision by the German Government </w:t>
      </w:r>
      <w:r w:rsidRPr="006F34CD" w:rsidR="00F27848">
        <w:t xml:space="preserve">not to exercise their right to intervene in the proceedings </w:t>
      </w:r>
      <w:r w:rsidRPr="006F34CD" w:rsidR="000A06C4">
        <w:t xml:space="preserve">involving </w:t>
      </w:r>
      <w:r w:rsidRPr="006F34CD" w:rsidR="001D11F6">
        <w:t>the</w:t>
      </w:r>
      <w:r w:rsidRPr="006F34CD" w:rsidR="000A06C4">
        <w:t xml:space="preserve"> German </w:t>
      </w:r>
      <w:r w:rsidRPr="006F34CD" w:rsidR="001D11F6">
        <w:t xml:space="preserve">company publishing </w:t>
      </w:r>
      <w:r w:rsidRPr="006F34CD" w:rsidR="000A06C4">
        <w:t>the Jehovah</w:t>
      </w:r>
      <w:r w:rsidRPr="006F34CD" w:rsidR="006F34CD">
        <w:t>’</w:t>
      </w:r>
      <w:r w:rsidRPr="006F34CD" w:rsidR="000A06C4">
        <w:t>s Witnesses</w:t>
      </w:r>
      <w:r w:rsidRPr="006F34CD" w:rsidR="006F34CD">
        <w:t>’</w:t>
      </w:r>
      <w:r w:rsidRPr="006F34CD" w:rsidR="000A06C4">
        <w:t xml:space="preserve"> religious literature</w:t>
      </w:r>
      <w:r w:rsidRPr="006F34CD" w:rsidR="00F27848">
        <w:t>;</w:t>
      </w:r>
    </w:p>
    <w:p w:rsidRPr="006F34CD" w:rsidR="007E26EA" w:rsidP="006F34CD" w:rsidRDefault="00F27848" w14:paraId="691ABAB2" w14:textId="77777777">
      <w:pPr>
        <w:pStyle w:val="JuPara"/>
      </w:pPr>
      <w:r w:rsidRPr="006F34CD">
        <w:t>the comments by a third-party intervener</w:t>
      </w:r>
      <w:r w:rsidRPr="006F34CD" w:rsidR="007E3B37">
        <w:t>, ADF International,</w:t>
      </w:r>
      <w:r w:rsidRPr="006F34CD">
        <w:t xml:space="preserve"> which was granted leave to intervene </w:t>
      </w:r>
      <w:r w:rsidRPr="006F34CD" w:rsidR="00037256">
        <w:t>by the President of the Section</w:t>
      </w:r>
      <w:r w:rsidRPr="006F34CD" w:rsidR="007E26EA">
        <w:t>;</w:t>
      </w:r>
    </w:p>
    <w:p w:rsidRPr="006F34CD" w:rsidR="00DE37A0" w:rsidP="006F34CD" w:rsidRDefault="008B54C0" w14:paraId="41793B6B" w14:textId="634F2265">
      <w:pPr>
        <w:pStyle w:val="JuPara"/>
      </w:pPr>
      <w:r w:rsidRPr="006F34CD">
        <w:t>the parties</w:t>
      </w:r>
      <w:r w:rsidRPr="006F34CD" w:rsidR="006F34CD">
        <w:t>’</w:t>
      </w:r>
      <w:r w:rsidRPr="006F34CD">
        <w:t xml:space="preserve"> observations</w:t>
      </w:r>
      <w:r w:rsidRPr="006F34CD" w:rsidR="00B146D6">
        <w:t>;</w:t>
      </w:r>
    </w:p>
    <w:p w:rsidRPr="006F34CD" w:rsidR="00816DC0" w:rsidP="006F34CD" w:rsidRDefault="00816DC0" w14:paraId="62E96244" w14:textId="1222B241">
      <w:pPr>
        <w:pStyle w:val="JuPara"/>
      </w:pPr>
      <w:r w:rsidRPr="006F34CD">
        <w:t xml:space="preserve">Having deliberated in private on </w:t>
      </w:r>
      <w:r w:rsidRPr="006F34CD" w:rsidR="00A05A52">
        <w:t xml:space="preserve">5 April and </w:t>
      </w:r>
      <w:r w:rsidRPr="006F34CD" w:rsidR="006E5193">
        <w:t>3 May 2022</w:t>
      </w:r>
      <w:r w:rsidRPr="006F34CD">
        <w:t>,</w:t>
      </w:r>
    </w:p>
    <w:p w:rsidRPr="006F34CD" w:rsidR="00816DC0" w:rsidP="006F34CD" w:rsidRDefault="00816DC0" w14:paraId="2E6BC836" w14:textId="04F69DA8">
      <w:pPr>
        <w:pStyle w:val="JuPara"/>
      </w:pPr>
      <w:r w:rsidRPr="006F34CD">
        <w:t>Delivers the following judgment, which was adopted on th</w:t>
      </w:r>
      <w:r w:rsidRPr="006F34CD" w:rsidR="00A05A52">
        <w:t>e last-mentioned</w:t>
      </w:r>
      <w:r w:rsidRPr="006F34CD">
        <w:t xml:space="preserve"> date:</w:t>
      </w:r>
    </w:p>
    <w:p w:rsidRPr="006F34CD" w:rsidR="00A65BDD" w:rsidP="006F34CD" w:rsidRDefault="00A65BDD" w14:paraId="77EC7C9B" w14:textId="77777777">
      <w:pPr>
        <w:pStyle w:val="JuHHead"/>
        <w:numPr>
          <w:ilvl w:val="0"/>
          <w:numId w:val="0"/>
        </w:numPr>
      </w:pPr>
      <w:bookmarkStart w:name="_Toc97301893" w:id="5"/>
      <w:r w:rsidRPr="006F34CD">
        <w:t>INTRODUCTION</w:t>
      </w:r>
      <w:bookmarkEnd w:id="5"/>
    </w:p>
    <w:p w:rsidRPr="006F34CD" w:rsidR="00A65BDD" w:rsidP="006F34CD" w:rsidRDefault="007B75CF" w14:paraId="467540F7" w14:textId="5C07B2C8">
      <w:pPr>
        <w:pStyle w:val="JuPara"/>
      </w:pPr>
      <w:r w:rsidRPr="006F34CD">
        <w:fldChar w:fldCharType="begin"/>
      </w:r>
      <w:r w:rsidRPr="006F34CD">
        <w:instrText xml:space="preserve"> SEQ level0 \*arabic </w:instrText>
      </w:r>
      <w:r w:rsidRPr="006F34CD">
        <w:fldChar w:fldCharType="separate"/>
      </w:r>
      <w:r w:rsidRPr="006F34CD" w:rsidR="006F34CD">
        <w:rPr>
          <w:noProof/>
        </w:rPr>
        <w:t>1</w:t>
      </w:r>
      <w:r w:rsidRPr="006F34CD">
        <w:fldChar w:fldCharType="end"/>
      </w:r>
      <w:r w:rsidRPr="006F34CD">
        <w:t>.</w:t>
      </w:r>
      <w:r w:rsidRPr="006F34CD" w:rsidR="001370AA">
        <w:t>  </w:t>
      </w:r>
      <w:r w:rsidRPr="006F34CD" w:rsidR="00B97F3A">
        <w:t>The case concerns the forced dissolution of Jehovah</w:t>
      </w:r>
      <w:r w:rsidRPr="006F34CD" w:rsidR="006F34CD">
        <w:t>’</w:t>
      </w:r>
      <w:r w:rsidRPr="006F34CD" w:rsidR="00B97F3A">
        <w:t xml:space="preserve">s Witnesses religious organisations in Russia, the banning of their religious literature and international website on </w:t>
      </w:r>
      <w:r w:rsidRPr="006F34CD" w:rsidR="00FA2E8F">
        <w:t>charges of</w:t>
      </w:r>
      <w:r w:rsidRPr="006F34CD" w:rsidR="00B97F3A">
        <w:t xml:space="preserve"> extremism, </w:t>
      </w:r>
      <w:r w:rsidRPr="006F34CD" w:rsidR="00FA2E8F">
        <w:t>the</w:t>
      </w:r>
      <w:r w:rsidRPr="006F34CD" w:rsidR="00B97F3A">
        <w:t xml:space="preserve"> revocation of the permit </w:t>
      </w:r>
      <w:r w:rsidRPr="006F34CD" w:rsidR="00FA2E8F">
        <w:t>to</w:t>
      </w:r>
      <w:r w:rsidRPr="006F34CD" w:rsidR="00B97F3A">
        <w:t xml:space="preserve"> distribut</w:t>
      </w:r>
      <w:r w:rsidRPr="006F34CD" w:rsidR="00FA2E8F">
        <w:t>e</w:t>
      </w:r>
      <w:r w:rsidRPr="006F34CD" w:rsidR="00B97F3A">
        <w:t xml:space="preserve"> religious magazines, </w:t>
      </w:r>
      <w:r w:rsidRPr="006F34CD" w:rsidR="00FA2E8F">
        <w:t xml:space="preserve">the </w:t>
      </w:r>
      <w:r w:rsidRPr="006F34CD" w:rsidR="00B97F3A">
        <w:t>criminal prosecution of individual Jehovah</w:t>
      </w:r>
      <w:r w:rsidRPr="006F34CD" w:rsidR="006F34CD">
        <w:t>’</w:t>
      </w:r>
      <w:r w:rsidRPr="006F34CD" w:rsidR="00B97F3A">
        <w:t xml:space="preserve">s Witnesses, and </w:t>
      </w:r>
      <w:r w:rsidRPr="006F34CD" w:rsidR="00FA2E8F">
        <w:t xml:space="preserve">the </w:t>
      </w:r>
      <w:r w:rsidRPr="006F34CD" w:rsidR="00B97F3A">
        <w:t>confiscation of their property.</w:t>
      </w:r>
    </w:p>
    <w:p w:rsidRPr="006F34CD" w:rsidR="00816DC0" w:rsidP="006F34CD" w:rsidRDefault="00FA7416" w14:paraId="1B4A2AE9" w14:textId="77777777">
      <w:pPr>
        <w:pStyle w:val="JuHHead"/>
      </w:pPr>
      <w:bookmarkStart w:name="_Toc97301894" w:id="6"/>
      <w:r w:rsidRPr="006F34CD">
        <w:t>THE FACTS</w:t>
      </w:r>
      <w:bookmarkEnd w:id="6"/>
    </w:p>
    <w:p w:rsidRPr="006F34CD" w:rsidR="001E754B" w:rsidP="006F34CD" w:rsidRDefault="008B54C0" w14:paraId="075CE4B2" w14:textId="6150AAEA">
      <w:pPr>
        <w:pStyle w:val="JuPara"/>
      </w:pPr>
      <w:r w:rsidRPr="006F34CD">
        <w:fldChar w:fldCharType="begin"/>
      </w:r>
      <w:r w:rsidRPr="006F34CD">
        <w:instrText xml:space="preserve"> SEQ level0 \*arabic </w:instrText>
      </w:r>
      <w:r w:rsidRPr="006F34CD">
        <w:fldChar w:fldCharType="separate"/>
      </w:r>
      <w:r w:rsidRPr="006F34CD" w:rsidR="006F34CD">
        <w:rPr>
          <w:noProof/>
        </w:rPr>
        <w:t>2</w:t>
      </w:r>
      <w:r w:rsidRPr="006F34CD">
        <w:fldChar w:fldCharType="end"/>
      </w:r>
      <w:r w:rsidRPr="006F34CD" w:rsidR="00816DC0">
        <w:t>.</w:t>
      </w:r>
      <w:r w:rsidRPr="006F34CD" w:rsidR="001370AA">
        <w:t>  </w:t>
      </w:r>
      <w:r w:rsidRPr="006F34CD" w:rsidR="000C5E9E">
        <w:t>The applicant</w:t>
      </w:r>
      <w:r w:rsidRPr="006F34CD">
        <w:t xml:space="preserve">s </w:t>
      </w:r>
      <w:r w:rsidRPr="006F34CD" w:rsidR="00E3786E">
        <w:t xml:space="preserve">were represented by a </w:t>
      </w:r>
      <w:r w:rsidRPr="006F34CD" w:rsidR="00AD1FE0">
        <w:t xml:space="preserve">legal </w:t>
      </w:r>
      <w:r w:rsidRPr="006F34CD" w:rsidR="00E3786E">
        <w:t xml:space="preserve">team led by </w:t>
      </w:r>
      <w:r w:rsidRPr="006F34CD" w:rsidR="001370AA">
        <w:t>Dr P</w:t>
      </w:r>
      <w:r w:rsidRPr="006F34CD" w:rsidR="00E3786E">
        <w:t>etr</w:t>
      </w:r>
      <w:r w:rsidRPr="006F34CD" w:rsidR="001621EE">
        <w:t> </w:t>
      </w:r>
      <w:r w:rsidRPr="006F34CD" w:rsidR="00E3786E">
        <w:t xml:space="preserve">Muzny, professor </w:t>
      </w:r>
      <w:r w:rsidRPr="006F34CD" w:rsidR="00AD1FE0">
        <w:t xml:space="preserve">of law </w:t>
      </w:r>
      <w:r w:rsidRPr="006F34CD" w:rsidR="00E3786E">
        <w:t>at the University of Geneva, Switzerland.</w:t>
      </w:r>
    </w:p>
    <w:p w:rsidRPr="006F34CD" w:rsidR="00E3786E" w:rsidP="006F34CD" w:rsidRDefault="00E3786E" w14:paraId="11BE2F0C" w14:textId="179C48AC">
      <w:pPr>
        <w:pStyle w:val="JuPara"/>
      </w:pPr>
      <w:r w:rsidRPr="006F34CD">
        <w:fldChar w:fldCharType="begin"/>
      </w:r>
      <w:r w:rsidRPr="006F34CD">
        <w:instrText xml:space="preserve"> SEQ level0 \*arabic </w:instrText>
      </w:r>
      <w:r w:rsidRPr="006F34CD">
        <w:fldChar w:fldCharType="separate"/>
      </w:r>
      <w:r w:rsidRPr="006F34CD" w:rsidR="006F34CD">
        <w:rPr>
          <w:noProof/>
        </w:rPr>
        <w:t>3</w:t>
      </w:r>
      <w:r w:rsidRPr="006F34CD">
        <w:fldChar w:fldCharType="end"/>
      </w:r>
      <w:r w:rsidRPr="006F34CD">
        <w:t>.</w:t>
      </w:r>
      <w:r w:rsidRPr="006F34CD" w:rsidR="001370AA">
        <w:t>  </w:t>
      </w:r>
      <w:r w:rsidRPr="006F34CD">
        <w:t xml:space="preserve">The Government were </w:t>
      </w:r>
      <w:r w:rsidRPr="006F34CD" w:rsidR="005D082E">
        <w:t xml:space="preserve">initially represented by </w:t>
      </w:r>
      <w:r w:rsidRPr="006F34CD" w:rsidR="001370AA">
        <w:t>Mr M</w:t>
      </w:r>
      <w:r w:rsidRPr="006F34CD" w:rsidR="005D082E">
        <w:t xml:space="preserve">. Galperin, </w:t>
      </w:r>
      <w:r w:rsidRPr="006F34CD" w:rsidR="007D32EF">
        <w:t>the then</w:t>
      </w:r>
      <w:r w:rsidRPr="006F34CD" w:rsidR="005D082E">
        <w:t xml:space="preserve"> Representative of the Russian Federation to the European Court of Human Rights, and later by </w:t>
      </w:r>
      <w:r w:rsidRPr="006F34CD" w:rsidR="001370AA">
        <w:t>Mr </w:t>
      </w:r>
      <w:r w:rsidRPr="006F34CD" w:rsidR="00DA4C61">
        <w:t>M. Vinogradov</w:t>
      </w:r>
      <w:r w:rsidRPr="006F34CD" w:rsidR="007D32EF">
        <w:t>, his successor in this office</w:t>
      </w:r>
      <w:r w:rsidRPr="006F34CD" w:rsidR="005D082E">
        <w:t>.</w:t>
      </w:r>
    </w:p>
    <w:p w:rsidRPr="006F34CD" w:rsidR="00274B2B" w:rsidP="006F34CD" w:rsidRDefault="008B54C0" w14:paraId="481FA38B" w14:textId="0C109BE6">
      <w:pPr>
        <w:pStyle w:val="JuPara"/>
      </w:pPr>
      <w:r w:rsidRPr="006F34CD">
        <w:fldChar w:fldCharType="begin"/>
      </w:r>
      <w:r w:rsidRPr="006F34CD">
        <w:instrText xml:space="preserve"> SEQ level0 \*arabic </w:instrText>
      </w:r>
      <w:r w:rsidRPr="006F34CD">
        <w:fldChar w:fldCharType="separate"/>
      </w:r>
      <w:r w:rsidRPr="006F34CD" w:rsidR="006F34CD">
        <w:rPr>
          <w:noProof/>
        </w:rPr>
        <w:t>4</w:t>
      </w:r>
      <w:r w:rsidRPr="006F34CD">
        <w:fldChar w:fldCharType="end"/>
      </w:r>
      <w:r w:rsidRPr="006F34CD" w:rsidR="000C5E9E">
        <w:t>.</w:t>
      </w:r>
      <w:r w:rsidRPr="006F34CD" w:rsidR="001370AA">
        <w:t>  </w:t>
      </w:r>
      <w:r w:rsidRPr="006F34CD" w:rsidR="00F12D06">
        <w:t>The facts of the case, as submitted by the parties, may be summarised as follows.</w:t>
      </w:r>
    </w:p>
    <w:p w:rsidRPr="006F34CD" w:rsidR="00B97F3A" w:rsidP="006F34CD" w:rsidRDefault="00A053F4" w14:paraId="00D1F094" w14:textId="146E58E1">
      <w:pPr>
        <w:pStyle w:val="JuHIRoman"/>
      </w:pPr>
      <w:bookmarkStart w:name="_Toc97301895" w:id="7"/>
      <w:r w:rsidRPr="006F34CD">
        <w:t>JEHOVAH</w:t>
      </w:r>
      <w:r w:rsidRPr="006F34CD" w:rsidR="006F34CD">
        <w:t>’</w:t>
      </w:r>
      <w:r w:rsidRPr="006F34CD">
        <w:t>S WITNESSES IN RUSSIA</w:t>
      </w:r>
      <w:bookmarkEnd w:id="7"/>
    </w:p>
    <w:p w:rsidRPr="006F34CD" w:rsidR="00B97F3A" w:rsidP="006F34CD" w:rsidRDefault="00B97F3A" w14:paraId="11071285" w14:textId="3D03CFDC">
      <w:pPr>
        <w:pStyle w:val="JuPara"/>
      </w:pPr>
      <w:r w:rsidRPr="006F34CD">
        <w:fldChar w:fldCharType="begin"/>
      </w:r>
      <w:r w:rsidRPr="006F34CD">
        <w:instrText xml:space="preserve"> SEQ level0 \*arabic </w:instrText>
      </w:r>
      <w:r w:rsidRPr="006F34CD">
        <w:fldChar w:fldCharType="separate"/>
      </w:r>
      <w:r w:rsidRPr="006F34CD" w:rsidR="006F34CD">
        <w:rPr>
          <w:noProof/>
        </w:rPr>
        <w:t>5</w:t>
      </w:r>
      <w:r w:rsidRPr="006F34CD">
        <w:fldChar w:fldCharType="end"/>
      </w:r>
      <w:r w:rsidRPr="006F34CD">
        <w:t>.</w:t>
      </w:r>
      <w:r w:rsidRPr="006F34CD" w:rsidR="001370AA">
        <w:t>  </w:t>
      </w:r>
      <w:r w:rsidRPr="006F34CD">
        <w:t>Jehovah</w:t>
      </w:r>
      <w:r w:rsidRPr="006F34CD" w:rsidR="006F34CD">
        <w:t>’</w:t>
      </w:r>
      <w:r w:rsidRPr="006F34CD">
        <w:t xml:space="preserve">s Witnesses have been present in Russia since 1891. They were banned after the </w:t>
      </w:r>
      <w:r w:rsidRPr="006F34CD" w:rsidR="00A04415">
        <w:t>Bolshevik</w:t>
      </w:r>
      <w:r w:rsidRPr="006F34CD">
        <w:t xml:space="preserve"> Revolution in 1917 and criminally prosecuted for </w:t>
      </w:r>
      <w:r w:rsidRPr="006F34CD" w:rsidR="00150A1E">
        <w:t>practising their faith</w:t>
      </w:r>
      <w:r w:rsidRPr="006F34CD">
        <w:t xml:space="preserve"> in the USSR.</w:t>
      </w:r>
    </w:p>
    <w:p w:rsidRPr="006F34CD" w:rsidR="00B97F3A" w:rsidP="006F34CD" w:rsidRDefault="00B97F3A" w14:paraId="575E26FF" w14:textId="2394C6FE">
      <w:pPr>
        <w:pStyle w:val="JuPara"/>
      </w:pPr>
      <w:r w:rsidRPr="006F34CD">
        <w:fldChar w:fldCharType="begin"/>
      </w:r>
      <w:r w:rsidRPr="006F34CD">
        <w:instrText xml:space="preserve"> SEQ level0 \*arabic </w:instrText>
      </w:r>
      <w:r w:rsidRPr="006F34CD">
        <w:fldChar w:fldCharType="separate"/>
      </w:r>
      <w:r w:rsidRPr="006F34CD" w:rsidR="006F34CD">
        <w:rPr>
          <w:noProof/>
        </w:rPr>
        <w:t>6</w:t>
      </w:r>
      <w:r w:rsidRPr="006F34CD">
        <w:fldChar w:fldCharType="end"/>
      </w:r>
      <w:r w:rsidRPr="006F34CD">
        <w:t>.</w:t>
      </w:r>
      <w:r w:rsidRPr="006F34CD" w:rsidR="001370AA">
        <w:t>  </w:t>
      </w:r>
      <w:r w:rsidRPr="006F34CD">
        <w:t xml:space="preserve">After the USSR Freedom of Conscience and Religious Organisations </w:t>
      </w:r>
      <w:r w:rsidRPr="006F34CD" w:rsidR="000B6D76">
        <w:t xml:space="preserve">Act </w:t>
      </w:r>
      <w:r w:rsidRPr="006F34CD">
        <w:t xml:space="preserve">was enacted in 1990, the RSFSR Ministry of Justice registered the Administrative Centre of </w:t>
      </w:r>
      <w:r w:rsidRPr="006F34CD" w:rsidR="000B6D76">
        <w:t>t</w:t>
      </w:r>
      <w:r w:rsidRPr="006F34CD">
        <w:t>he Religious Organisation</w:t>
      </w:r>
      <w:r w:rsidRPr="006F34CD" w:rsidR="000B6D76">
        <w:t>s</w:t>
      </w:r>
      <w:r w:rsidRPr="006F34CD">
        <w:t xml:space="preserve"> of Jehovah</w:t>
      </w:r>
      <w:r w:rsidRPr="006F34CD" w:rsidR="006F34CD">
        <w:t>’</w:t>
      </w:r>
      <w:r w:rsidRPr="006F34CD">
        <w:t xml:space="preserve">s Witnesses in the USSR. </w:t>
      </w:r>
      <w:r w:rsidRPr="006F34CD" w:rsidR="000A06C4">
        <w:t xml:space="preserve">On </w:t>
      </w:r>
      <w:r w:rsidRPr="006F34CD" w:rsidR="001C659E">
        <w:t>29 April 1999</w:t>
      </w:r>
      <w:r w:rsidRPr="006F34CD" w:rsidR="000A06C4">
        <w:t xml:space="preserve"> that national religious entity was re-registered as the Administrative Centre of Jehovah</w:t>
      </w:r>
      <w:r w:rsidRPr="006F34CD" w:rsidR="006F34CD">
        <w:t>’</w:t>
      </w:r>
      <w:r w:rsidRPr="006F34CD" w:rsidR="000A06C4">
        <w:t>s Witnesses in Russia (“the Administrative Centre”), under Russia</w:t>
      </w:r>
      <w:r w:rsidRPr="006F34CD" w:rsidR="006F34CD">
        <w:t>’</w:t>
      </w:r>
      <w:r w:rsidRPr="006F34CD" w:rsidR="000A06C4">
        <w:t>s new Religions Act.</w:t>
      </w:r>
    </w:p>
    <w:p w:rsidRPr="006F34CD" w:rsidR="00F27848" w:rsidP="006F34CD" w:rsidRDefault="00B97F3A" w14:paraId="520AF032" w14:textId="5EAF7494">
      <w:pPr>
        <w:pStyle w:val="JuPara"/>
      </w:pPr>
      <w:r w:rsidRPr="006F34CD">
        <w:fldChar w:fldCharType="begin"/>
      </w:r>
      <w:r w:rsidRPr="006F34CD">
        <w:instrText xml:space="preserve"> SEQ level0 \*arabic </w:instrText>
      </w:r>
      <w:r w:rsidRPr="006F34CD">
        <w:fldChar w:fldCharType="separate"/>
      </w:r>
      <w:r w:rsidRPr="006F34CD" w:rsidR="006F34CD">
        <w:rPr>
          <w:noProof/>
        </w:rPr>
        <w:t>7</w:t>
      </w:r>
      <w:r w:rsidRPr="006F34CD">
        <w:fldChar w:fldCharType="end"/>
      </w:r>
      <w:r w:rsidRPr="006F34CD">
        <w:t>.</w:t>
      </w:r>
      <w:r w:rsidRPr="006F34CD" w:rsidR="001370AA">
        <w:t>  </w:t>
      </w:r>
      <w:r w:rsidRPr="006F34CD">
        <w:t>In order to carry out their religious worship and practice throughout Russia, religious associations of Jehovah</w:t>
      </w:r>
      <w:r w:rsidRPr="006F34CD" w:rsidR="006F34CD">
        <w:t>’</w:t>
      </w:r>
      <w:r w:rsidRPr="006F34CD">
        <w:t xml:space="preserve">s Witnesses </w:t>
      </w:r>
      <w:r w:rsidRPr="006F34CD" w:rsidR="00021F26">
        <w:t>were</w:t>
      </w:r>
      <w:r w:rsidRPr="006F34CD">
        <w:t xml:space="preserve"> formed into groups or communities, called “congregations”. They operate</w:t>
      </w:r>
      <w:r w:rsidRPr="006F34CD" w:rsidR="00021F26">
        <w:t>d</w:t>
      </w:r>
      <w:r w:rsidRPr="006F34CD">
        <w:t xml:space="preserve"> </w:t>
      </w:r>
      <w:r w:rsidRPr="006F34CD" w:rsidR="00021F26">
        <w:t>under the authority</w:t>
      </w:r>
      <w:r w:rsidRPr="006F34CD">
        <w:t xml:space="preserve"> of the Administrative Centre, an umbrella organisation for the Russian Jehovah</w:t>
      </w:r>
      <w:r w:rsidRPr="006F34CD" w:rsidR="006F34CD">
        <w:t>’</w:t>
      </w:r>
      <w:r w:rsidRPr="006F34CD">
        <w:t>s Witnesses. There were approximately 400 local congregations and 17</w:t>
      </w:r>
      <w:r w:rsidRPr="006F34CD" w:rsidR="0005433E">
        <w:t>5</w:t>
      </w:r>
      <w:r w:rsidRPr="006F34CD">
        <w:t>,000 individual Jehovah</w:t>
      </w:r>
      <w:r w:rsidRPr="006F34CD" w:rsidR="006F34CD">
        <w:t>’</w:t>
      </w:r>
      <w:r w:rsidRPr="006F34CD">
        <w:t>s Witnesses in Russia.</w:t>
      </w:r>
      <w:r w:rsidRPr="006F34CD" w:rsidR="00C960A8">
        <w:t xml:space="preserve"> Their places of worship </w:t>
      </w:r>
      <w:r w:rsidRPr="006F34CD" w:rsidR="00021F26">
        <w:t>were</w:t>
      </w:r>
      <w:r w:rsidRPr="006F34CD" w:rsidR="000B6D76">
        <w:t xml:space="preserve"> </w:t>
      </w:r>
      <w:r w:rsidRPr="006F34CD" w:rsidR="00C960A8">
        <w:t>k</w:t>
      </w:r>
      <w:r w:rsidRPr="006F34CD" w:rsidR="00F27848">
        <w:t>nown as “Kingdom Halls”.</w:t>
      </w:r>
    </w:p>
    <w:bookmarkStart w:name="paragraph00008" w:id="8"/>
    <w:p w:rsidRPr="006F34CD" w:rsidR="00F27848" w:rsidP="006F34CD" w:rsidRDefault="00F27848" w14:paraId="08AD915F" w14:textId="1AA62FF0">
      <w:pPr>
        <w:pStyle w:val="JuPara"/>
      </w:pPr>
      <w:r w:rsidRPr="006F34CD">
        <w:fldChar w:fldCharType="begin"/>
      </w:r>
      <w:r w:rsidRPr="006F34CD">
        <w:instrText xml:space="preserve"> SEQ level0 \*arabic </w:instrText>
      </w:r>
      <w:r w:rsidRPr="006F34CD">
        <w:fldChar w:fldCharType="separate"/>
      </w:r>
      <w:r w:rsidRPr="006F34CD" w:rsidR="006F34CD">
        <w:rPr>
          <w:noProof/>
        </w:rPr>
        <w:t>8</w:t>
      </w:r>
      <w:r w:rsidRPr="006F34CD">
        <w:fldChar w:fldCharType="end"/>
      </w:r>
      <w:bookmarkEnd w:id="8"/>
      <w:r w:rsidRPr="006F34CD">
        <w:t>.</w:t>
      </w:r>
      <w:r w:rsidRPr="006F34CD" w:rsidR="001370AA">
        <w:t>  </w:t>
      </w:r>
      <w:r w:rsidRPr="006F34CD">
        <w:t xml:space="preserve">In January 2007 a </w:t>
      </w:r>
      <w:r w:rsidRPr="006F34CD" w:rsidR="002F3DDF">
        <w:t>deputy Prosecutor General</w:t>
      </w:r>
      <w:r w:rsidRPr="006F34CD">
        <w:t xml:space="preserve"> sent </w:t>
      </w:r>
      <w:r w:rsidRPr="006F34CD" w:rsidR="00486F2C">
        <w:t xml:space="preserve">out </w:t>
      </w:r>
      <w:r w:rsidRPr="006F34CD">
        <w:t xml:space="preserve">a circular letter to </w:t>
      </w:r>
      <w:r w:rsidRPr="006F34CD" w:rsidR="00C52B9F">
        <w:t xml:space="preserve">regional </w:t>
      </w:r>
      <w:r w:rsidRPr="006F34CD">
        <w:t>prosecutors, assert</w:t>
      </w:r>
      <w:r w:rsidRPr="006F34CD" w:rsidR="00C52B9F">
        <w:t>ing</w:t>
      </w:r>
      <w:r w:rsidRPr="006F34CD">
        <w:t xml:space="preserve"> that Jehovah</w:t>
      </w:r>
      <w:r w:rsidRPr="006F34CD" w:rsidR="006F34CD">
        <w:t>’</w:t>
      </w:r>
      <w:r w:rsidRPr="006F34CD">
        <w:t>s Witnesses represented a public threat:</w:t>
      </w:r>
    </w:p>
    <w:p w:rsidRPr="006F34CD" w:rsidR="00B97F3A" w:rsidP="006F34CD" w:rsidRDefault="00F27848" w14:paraId="05AEAFE0" w14:textId="64466888">
      <w:pPr>
        <w:pStyle w:val="JuQuot"/>
      </w:pPr>
      <w:r w:rsidRPr="006F34CD">
        <w:t>“</w:t>
      </w:r>
      <w:r w:rsidRPr="006F34CD" w:rsidR="00D53CBA">
        <w:t>V</w:t>
      </w:r>
      <w:r w:rsidRPr="006F34CD">
        <w:t xml:space="preserve">arious branches of foreign religious and charitable organisations </w:t>
      </w:r>
      <w:r w:rsidRPr="006F34CD" w:rsidR="00D53CBA">
        <w:t xml:space="preserve">operate in </w:t>
      </w:r>
      <w:r w:rsidRPr="006F34CD">
        <w:t>Russia</w:t>
      </w:r>
      <w:r w:rsidRPr="006F34CD" w:rsidR="00D53CBA">
        <w:t xml:space="preserve">, </w:t>
      </w:r>
      <w:r w:rsidRPr="006F34CD">
        <w:t xml:space="preserve">whose activities do not formally violate the provisions of Russian </w:t>
      </w:r>
      <w:r w:rsidRPr="006F34CD" w:rsidR="00D53CBA">
        <w:t>law</w:t>
      </w:r>
      <w:r w:rsidRPr="006F34CD">
        <w:t xml:space="preserve"> but quite often </w:t>
      </w:r>
      <w:r w:rsidRPr="006F34CD" w:rsidR="00D53CBA">
        <w:t>contribute to</w:t>
      </w:r>
      <w:r w:rsidRPr="006F34CD">
        <w:t xml:space="preserve"> </w:t>
      </w:r>
      <w:r w:rsidRPr="006F34CD" w:rsidR="00D53CBA">
        <w:t>the</w:t>
      </w:r>
      <w:r w:rsidRPr="006F34CD">
        <w:t xml:space="preserve"> escalation of tension</w:t>
      </w:r>
      <w:r w:rsidRPr="006F34CD" w:rsidR="00D53CBA">
        <w:t>s</w:t>
      </w:r>
      <w:r w:rsidRPr="006F34CD">
        <w:t xml:space="preserve"> in society.</w:t>
      </w:r>
      <w:r w:rsidRPr="006F34CD" w:rsidR="001370AA">
        <w:t xml:space="preserve"> </w:t>
      </w:r>
      <w:r w:rsidRPr="006F34CD" w:rsidR="00B97F3A">
        <w:t>Representatives of foreign religious associations (Jehovah</w:t>
      </w:r>
      <w:r w:rsidRPr="006F34CD" w:rsidR="006F34CD">
        <w:t>’</w:t>
      </w:r>
      <w:r w:rsidRPr="006F34CD" w:rsidR="00B97F3A">
        <w:t xml:space="preserve">s Witnesses, Unification Church, Church of Scientology, etc.), followers of various </w:t>
      </w:r>
      <w:r w:rsidRPr="006F34CD" w:rsidR="00D53CBA">
        <w:t>Oriental beliefs</w:t>
      </w:r>
      <w:r w:rsidRPr="006F34CD" w:rsidR="00B97F3A">
        <w:t xml:space="preserve">, and followers of Satanism form branches that frequently carry out activities </w:t>
      </w:r>
      <w:r w:rsidRPr="006F34CD" w:rsidR="00D53CBA">
        <w:t>harmful to</w:t>
      </w:r>
      <w:r w:rsidRPr="006F34CD" w:rsidR="00B97F3A">
        <w:t xml:space="preserve"> the moral, mental, and physical health of their members.”</w:t>
      </w:r>
    </w:p>
    <w:p w:rsidRPr="006F34CD" w:rsidR="00B97F3A" w:rsidP="006F34CD" w:rsidRDefault="00B97F3A" w14:paraId="199DC6FF" w14:textId="77777777">
      <w:pPr>
        <w:pStyle w:val="JuPara"/>
      </w:pPr>
      <w:r w:rsidRPr="006F34CD">
        <w:t>He directed subordinate prosecutors as follows:</w:t>
      </w:r>
    </w:p>
    <w:p w:rsidRPr="006F34CD" w:rsidR="00B97F3A" w:rsidP="006F34CD" w:rsidRDefault="00B97F3A" w14:paraId="54E7D4F7" w14:textId="339B5251">
      <w:pPr>
        <w:pStyle w:val="JuQuot"/>
      </w:pPr>
      <w:r w:rsidRPr="006F34CD">
        <w:t xml:space="preserve">“To </w:t>
      </w:r>
      <w:r w:rsidRPr="006F34CD" w:rsidR="00D53CBA">
        <w:t>check</w:t>
      </w:r>
      <w:r w:rsidRPr="006F34CD">
        <w:t xml:space="preserve"> whether </w:t>
      </w:r>
      <w:r w:rsidRPr="006F34CD" w:rsidR="00D53CBA">
        <w:t>territorial bodies</w:t>
      </w:r>
      <w:r w:rsidRPr="006F34CD">
        <w:t xml:space="preserve"> of the </w:t>
      </w:r>
      <w:r w:rsidRPr="006F34CD" w:rsidR="00C960A8">
        <w:t>[telecoms regulator Roskomnadzor]</w:t>
      </w:r>
      <w:r w:rsidRPr="006F34CD">
        <w:t xml:space="preserve"> </w:t>
      </w:r>
      <w:r w:rsidRPr="006F34CD" w:rsidR="001E754B">
        <w:t>...</w:t>
      </w:r>
      <w:r w:rsidRPr="006F34CD">
        <w:t xml:space="preserve"> properly </w:t>
      </w:r>
      <w:r w:rsidRPr="006F34CD" w:rsidR="00D53CBA">
        <w:t>execute</w:t>
      </w:r>
      <w:r w:rsidRPr="006F34CD">
        <w:t xml:space="preserve"> their legal duty to </w:t>
      </w:r>
      <w:r w:rsidRPr="006F34CD" w:rsidR="00EC02E0">
        <w:t>uncover</w:t>
      </w:r>
      <w:r w:rsidRPr="006F34CD">
        <w:t xml:space="preserve"> extremist material in the media </w:t>
      </w:r>
      <w:r w:rsidRPr="006F34CD" w:rsidR="00D53CBA">
        <w:t>belonging to</w:t>
      </w:r>
      <w:r w:rsidRPr="006F34CD">
        <w:t xml:space="preserve"> religious associations (Church of Scientology, Jehovah</w:t>
      </w:r>
      <w:r w:rsidRPr="006F34CD" w:rsidR="006F34CD">
        <w:t>’</w:t>
      </w:r>
      <w:r w:rsidRPr="006F34CD">
        <w:t xml:space="preserve">s Witnesses, and other religious organisations that have their own printing </w:t>
      </w:r>
      <w:r w:rsidRPr="006F34CD" w:rsidR="00C960A8">
        <w:t>facilities</w:t>
      </w:r>
      <w:r w:rsidRPr="006F34CD">
        <w:t>).”</w:t>
      </w:r>
    </w:p>
    <w:p w:rsidRPr="006F34CD" w:rsidR="009D175E" w:rsidP="006F34CD" w:rsidRDefault="009D175E" w14:paraId="5CE1E7A3" w14:textId="77777777">
      <w:pPr>
        <w:pStyle w:val="JuHIRoman"/>
      </w:pPr>
      <w:bookmarkStart w:name="_Toc97301896" w:id="9"/>
      <w:r w:rsidRPr="006F34CD">
        <w:t>CIRCUMSTANCES OF INDIVIDUAL CASES</w:t>
      </w:r>
      <w:bookmarkEnd w:id="9"/>
    </w:p>
    <w:p w:rsidRPr="006F34CD" w:rsidR="00F27848" w:rsidP="006F34CD" w:rsidRDefault="00B97F3A" w14:paraId="6180453C" w14:textId="77777777">
      <w:pPr>
        <w:pStyle w:val="JuHA"/>
      </w:pPr>
      <w:bookmarkStart w:name="_Ref76487359" w:id="10"/>
      <w:bookmarkStart w:name="_Toc97301897" w:id="11"/>
      <w:r w:rsidRPr="006F34CD">
        <w:t xml:space="preserve">Forced dissolution of the Taganrog organisation, confiscation of its property and banning of publications (application </w:t>
      </w:r>
      <w:r w:rsidRPr="006F34CD" w:rsidR="001370AA">
        <w:t>no. 3</w:t>
      </w:r>
      <w:r w:rsidRPr="006F34CD" w:rsidR="00F27848">
        <w:t>2401/10)</w:t>
      </w:r>
      <w:bookmarkEnd w:id="10"/>
      <w:bookmarkEnd w:id="11"/>
    </w:p>
    <w:p w:rsidRPr="006F34CD" w:rsidR="00B97F3A" w:rsidP="006F34CD" w:rsidRDefault="00F27848" w14:paraId="10ECF3A7" w14:textId="0ACB7D80">
      <w:pPr>
        <w:pStyle w:val="JuPara"/>
      </w:pPr>
      <w:r w:rsidRPr="006F34CD">
        <w:fldChar w:fldCharType="begin"/>
      </w:r>
      <w:r w:rsidRPr="006F34CD">
        <w:instrText xml:space="preserve"> SEQ level0 \*arabic </w:instrText>
      </w:r>
      <w:r w:rsidRPr="006F34CD">
        <w:fldChar w:fldCharType="separate"/>
      </w:r>
      <w:r w:rsidRPr="006F34CD" w:rsidR="006F34CD">
        <w:rPr>
          <w:noProof/>
        </w:rPr>
        <w:t>9</w:t>
      </w:r>
      <w:r w:rsidRPr="006F34CD">
        <w:fldChar w:fldCharType="end"/>
      </w:r>
      <w:r w:rsidRPr="006F34CD">
        <w:t>.</w:t>
      </w:r>
      <w:r w:rsidRPr="006F34CD" w:rsidR="001370AA">
        <w:t>  </w:t>
      </w:r>
      <w:r w:rsidRPr="006F34CD">
        <w:t>The first applicant, the Taganrog local religious organisation of Jehovah</w:t>
      </w:r>
      <w:r w:rsidRPr="006F34CD" w:rsidR="006F34CD">
        <w:t>’</w:t>
      </w:r>
      <w:r w:rsidRPr="006F34CD">
        <w:t>s Witnesses (the “Taganrog LRO”), was originally registered in 1992 as an independent religious association.</w:t>
      </w:r>
      <w:r w:rsidRPr="006F34CD" w:rsidR="001370AA">
        <w:t xml:space="preserve"> </w:t>
      </w:r>
      <w:r w:rsidRPr="006F34CD" w:rsidR="00B97F3A">
        <w:t>In 1998 it was re-registered as a local religious organisation operating within the structure of the Administrative Centre</w:t>
      </w:r>
      <w:r w:rsidRPr="006F34CD" w:rsidR="00657FAB">
        <w:t xml:space="preserve"> (the second applicant)</w:t>
      </w:r>
      <w:r w:rsidRPr="006F34CD" w:rsidR="00B97F3A">
        <w:t>. The third and fourth applicants are the German and US publishers of Jehovah</w:t>
      </w:r>
      <w:r w:rsidRPr="006F34CD" w:rsidR="006F34CD">
        <w:t>’</w:t>
      </w:r>
      <w:r w:rsidRPr="006F34CD" w:rsidR="00B97F3A">
        <w:t>s Witnesses religious literature. The fifth to sixteenth applicants are twelve congregations in Taganrog which share</w:t>
      </w:r>
      <w:r w:rsidRPr="006F34CD" w:rsidR="00C960A8">
        <w:t>d</w:t>
      </w:r>
      <w:r w:rsidRPr="006F34CD" w:rsidR="00B97F3A">
        <w:t xml:space="preserve"> the Kingdom Hall with </w:t>
      </w:r>
      <w:r w:rsidRPr="006F34CD" w:rsidR="00C960A8">
        <w:t>the Taganrog LRO</w:t>
      </w:r>
      <w:r w:rsidRPr="006F34CD" w:rsidR="00B97F3A">
        <w:t>.</w:t>
      </w:r>
    </w:p>
    <w:bookmarkStart w:name="paragraph00010" w:id="12"/>
    <w:p w:rsidRPr="006F34CD" w:rsidR="00B97F3A" w:rsidP="006F34CD" w:rsidRDefault="00B97F3A" w14:paraId="6D4C13E0" w14:textId="27B43C15">
      <w:pPr>
        <w:pStyle w:val="JuPara"/>
      </w:pPr>
      <w:r w:rsidRPr="006F34CD">
        <w:fldChar w:fldCharType="begin"/>
      </w:r>
      <w:r w:rsidRPr="006F34CD">
        <w:instrText xml:space="preserve"> SEQ level0 \*arabic </w:instrText>
      </w:r>
      <w:r w:rsidRPr="006F34CD">
        <w:fldChar w:fldCharType="separate"/>
      </w:r>
      <w:r w:rsidRPr="006F34CD" w:rsidR="006F34CD">
        <w:rPr>
          <w:noProof/>
        </w:rPr>
        <w:t>10</w:t>
      </w:r>
      <w:r w:rsidRPr="006F34CD">
        <w:fldChar w:fldCharType="end"/>
      </w:r>
      <w:bookmarkEnd w:id="12"/>
      <w:r w:rsidRPr="006F34CD">
        <w:t>.</w:t>
      </w:r>
      <w:r w:rsidRPr="006F34CD" w:rsidR="001370AA">
        <w:t>  </w:t>
      </w:r>
      <w:r w:rsidRPr="006F34CD" w:rsidR="009D175E">
        <w:t>Reacting</w:t>
      </w:r>
      <w:r w:rsidRPr="006F34CD">
        <w:t xml:space="preserve"> to the letter from the </w:t>
      </w:r>
      <w:r w:rsidRPr="006F34CD" w:rsidR="002F3DDF">
        <w:t>deputy Prosecutor General</w:t>
      </w:r>
      <w:r w:rsidRPr="006F34CD">
        <w:t xml:space="preserve">, on </w:t>
      </w:r>
      <w:r w:rsidRPr="006F34CD" w:rsidR="001370AA">
        <w:t>13 September 2007</w:t>
      </w:r>
      <w:r w:rsidRPr="006F34CD">
        <w:t xml:space="preserve"> a deputy Rostov Regional Prosecutor directed all town and district prosecutors to carry out inspections of the religious organisations of Jehovah</w:t>
      </w:r>
      <w:r w:rsidRPr="006F34CD" w:rsidR="006F34CD">
        <w:t>’</w:t>
      </w:r>
      <w:r w:rsidRPr="006F34CD">
        <w:t>s Witnesses:</w:t>
      </w:r>
    </w:p>
    <w:p w:rsidRPr="006F34CD" w:rsidR="001E754B" w:rsidP="006F34CD" w:rsidRDefault="00B97F3A" w14:paraId="1AA359C9" w14:textId="4E4766E8">
      <w:pPr>
        <w:pStyle w:val="JuQuot"/>
      </w:pPr>
      <w:r w:rsidRPr="006F34CD">
        <w:t>“Structures of the foreign religious organisation (FRO) of Jehovah</w:t>
      </w:r>
      <w:r w:rsidRPr="006F34CD" w:rsidR="006F34CD">
        <w:t>’</w:t>
      </w:r>
      <w:r w:rsidRPr="006F34CD">
        <w:t xml:space="preserve">s Witnesses, registered </w:t>
      </w:r>
      <w:r w:rsidRPr="006F34CD" w:rsidR="001E754B">
        <w:t>...</w:t>
      </w:r>
      <w:r w:rsidRPr="006F34CD">
        <w:t xml:space="preserve"> in the Rostov Region, are actively functioning in the territory of Rostov Region. The organisation, as a matter of course, refuses to recognise the State authority in the countries in which its branches are located. The activity of the FRO has been banned in several jurisdictions.</w:t>
      </w:r>
    </w:p>
    <w:p w:rsidRPr="006F34CD" w:rsidR="00B97F3A" w:rsidP="006F34CD" w:rsidRDefault="00B97F3A" w14:paraId="07B82C98" w14:textId="53DB6B2C">
      <w:pPr>
        <w:pStyle w:val="JuQuot"/>
      </w:pPr>
      <w:r w:rsidRPr="006F34CD">
        <w:t xml:space="preserve">Despite having official registration, </w:t>
      </w:r>
      <w:r w:rsidRPr="006F34CD" w:rsidR="001B0257">
        <w:t>by</w:t>
      </w:r>
      <w:r w:rsidRPr="006F34CD">
        <w:t xml:space="preserve"> carrying out their cult activity followers of the FRO of Jehovah</w:t>
      </w:r>
      <w:r w:rsidRPr="006F34CD" w:rsidR="006F34CD">
        <w:t>’</w:t>
      </w:r>
      <w:r w:rsidRPr="006F34CD">
        <w:t xml:space="preserve">s Witnesses regularly commit violations of Russian law. In particular, they preach refusal to fulfil civil responsibilities (serving in the army, paying taxes, commission of administrative and criminal offences). They forbid their followers from accepting medical assistance in the form of blood transfusions resulting in death or serious harm being caused to their health, including that of children. A </w:t>
      </w:r>
      <w:r w:rsidRPr="006F34CD" w:rsidR="001B0257">
        <w:t>characteristic</w:t>
      </w:r>
      <w:r w:rsidRPr="006F34CD">
        <w:t xml:space="preserve"> feature of the organisation is the aggression it openly displays towards representatives of other religious confessions </w:t>
      </w:r>
      <w:r w:rsidRPr="006F34CD" w:rsidR="001E754B">
        <w:t>...</w:t>
      </w:r>
    </w:p>
    <w:p w:rsidRPr="006F34CD" w:rsidR="00B97F3A" w:rsidP="006F34CD" w:rsidRDefault="00B97F3A" w14:paraId="3F937C04" w14:textId="77777777">
      <w:pPr>
        <w:pStyle w:val="JuQuot"/>
      </w:pPr>
      <w:r w:rsidRPr="006F34CD">
        <w:t xml:space="preserve">The findings of a religious expert study of several printed publications that had been distributed by the Jehovists in the Rostov Region, carried out in August of this year by the Rostov Center for Court Expert Studies indicate that they contain </w:t>
      </w:r>
      <w:r w:rsidRPr="006F34CD" w:rsidR="001B0257">
        <w:t>indicators</w:t>
      </w:r>
      <w:r w:rsidRPr="006F34CD">
        <w:t xml:space="preserve"> of incitement to religious enmity.</w:t>
      </w:r>
    </w:p>
    <w:p w:rsidRPr="006F34CD" w:rsidR="00B97F3A" w:rsidP="006F34CD" w:rsidRDefault="00B97F3A" w14:paraId="18097328" w14:textId="7672C017">
      <w:pPr>
        <w:pStyle w:val="JuQuot"/>
      </w:pPr>
      <w:r w:rsidRPr="006F34CD">
        <w:t xml:space="preserve">On the basis of the above, it is necessary for you to organise and conduct </w:t>
      </w:r>
      <w:r w:rsidRPr="006F34CD" w:rsidR="001B0257">
        <w:t xml:space="preserve">a </w:t>
      </w:r>
      <w:r w:rsidRPr="006F34CD">
        <w:t>thorough investigation of local religious organisations of Jehovah</w:t>
      </w:r>
      <w:r w:rsidRPr="006F34CD" w:rsidR="006F34CD">
        <w:t>’</w:t>
      </w:r>
      <w:r w:rsidRPr="006F34CD">
        <w:t xml:space="preserve">s Witnesses located in your jurisdictions, together with the territorial agencies of the Federal Security [Service] and the registration service, and to take all possible reactive measures, including examining the question of preparing and sending to courts applications to liquidate local organisations </w:t>
      </w:r>
      <w:r w:rsidRPr="006F34CD" w:rsidR="001B0257">
        <w:t>for</w:t>
      </w:r>
      <w:r w:rsidRPr="006F34CD">
        <w:t xml:space="preserve"> violations of law</w:t>
      </w:r>
      <w:r w:rsidRPr="006F34CD" w:rsidR="001B0257">
        <w:t xml:space="preserve"> they committed</w:t>
      </w:r>
      <w:r w:rsidRPr="006F34CD">
        <w:t>, and to inform the regional prosecutor</w:t>
      </w:r>
      <w:r w:rsidRPr="006F34CD" w:rsidR="006F34CD">
        <w:t>’</w:t>
      </w:r>
      <w:r w:rsidRPr="006F34CD">
        <w:t xml:space="preserve">s office with details of reactive measures by </w:t>
      </w:r>
      <w:r w:rsidRPr="006F34CD" w:rsidR="001370AA">
        <w:t>10 October 2007</w:t>
      </w:r>
      <w:r w:rsidRPr="006F34CD">
        <w:t>.”</w:t>
      </w:r>
    </w:p>
    <w:p w:rsidRPr="006F34CD" w:rsidR="00F27848" w:rsidP="006F34CD" w:rsidRDefault="00B97F3A" w14:paraId="3D9386DF" w14:textId="2EADD388">
      <w:pPr>
        <w:pStyle w:val="JuPara"/>
      </w:pPr>
      <w:r w:rsidRPr="006F34CD">
        <w:fldChar w:fldCharType="begin"/>
      </w:r>
      <w:r w:rsidRPr="006F34CD">
        <w:instrText xml:space="preserve"> SEQ level0 \*arabic </w:instrText>
      </w:r>
      <w:r w:rsidRPr="006F34CD">
        <w:fldChar w:fldCharType="separate"/>
      </w:r>
      <w:r w:rsidRPr="006F34CD" w:rsidR="006F34CD">
        <w:rPr>
          <w:noProof/>
        </w:rPr>
        <w:t>11</w:t>
      </w:r>
      <w:r w:rsidRPr="006F34CD">
        <w:fldChar w:fldCharType="end"/>
      </w:r>
      <w:r w:rsidRPr="006F34CD">
        <w:t>.</w:t>
      </w:r>
      <w:r w:rsidRPr="006F34CD" w:rsidR="001370AA">
        <w:t>  </w:t>
      </w:r>
      <w:r w:rsidRPr="006F34CD">
        <w:t xml:space="preserve">The expert study to which the deputy prosecutor referred, had been commissioned on </w:t>
      </w:r>
      <w:r w:rsidRPr="006F34CD" w:rsidR="001370AA">
        <w:t>2 August 2007</w:t>
      </w:r>
      <w:r w:rsidRPr="006F34CD">
        <w:t xml:space="preserve"> by </w:t>
      </w:r>
      <w:r w:rsidRPr="006F34CD" w:rsidR="00820C9A">
        <w:t>the</w:t>
      </w:r>
      <w:r w:rsidRPr="006F34CD">
        <w:t xml:space="preserve"> acting prosecutor </w:t>
      </w:r>
      <w:r w:rsidRPr="006F34CD" w:rsidR="004E1E1F">
        <w:t xml:space="preserve">in the </w:t>
      </w:r>
      <w:r w:rsidRPr="006F34CD">
        <w:t xml:space="preserve">Tarasovskiy district with a view to determining whether or </w:t>
      </w:r>
      <w:r w:rsidRPr="006F34CD" w:rsidR="00F27848">
        <w:t>not a number of Jehovah</w:t>
      </w:r>
      <w:r w:rsidRPr="006F34CD" w:rsidR="006F34CD">
        <w:t>’</w:t>
      </w:r>
      <w:r w:rsidRPr="006F34CD" w:rsidR="00F27848">
        <w:t>s Witnesses</w:t>
      </w:r>
      <w:r w:rsidRPr="006F34CD" w:rsidR="006F34CD">
        <w:t>’</w:t>
      </w:r>
      <w:r w:rsidRPr="006F34CD" w:rsidR="00F27848">
        <w:t xml:space="preserve"> books and magazines contained “</w:t>
      </w:r>
      <w:r w:rsidRPr="006F34CD" w:rsidR="00820C9A">
        <w:t>indicators</w:t>
      </w:r>
      <w:r w:rsidRPr="006F34CD" w:rsidR="00F27848">
        <w:t xml:space="preserve"> of inciting hatred or hostility, or of debasing human dignity on account of one</w:t>
      </w:r>
      <w:r w:rsidRPr="006F34CD" w:rsidR="006F34CD">
        <w:t>’</w:t>
      </w:r>
      <w:r w:rsidRPr="006F34CD" w:rsidR="00F27848">
        <w:t>s attitude toward religion, or of advocating the exclusivity of one religion in comparison with another”.</w:t>
      </w:r>
      <w:r w:rsidRPr="006F34CD" w:rsidR="001370AA">
        <w:t xml:space="preserve"> </w:t>
      </w:r>
      <w:r w:rsidRPr="006F34CD">
        <w:t>An expert from the Rostov Centre for Forensic Studies found that, while the texts studied contained elements of hatred towards the “Christendom”, that is all religious movements recognising Jesus Christ and the Bible except Jehovah</w:t>
      </w:r>
      <w:r w:rsidRPr="006F34CD" w:rsidR="006F34CD">
        <w:t>’</w:t>
      </w:r>
      <w:r w:rsidRPr="006F34CD">
        <w:t xml:space="preserve">s Witnesses, there were </w:t>
      </w:r>
      <w:r w:rsidRPr="006F34CD" w:rsidR="00F27848">
        <w:t xml:space="preserve">no expressions inciting hostility which could </w:t>
      </w:r>
      <w:r w:rsidRPr="006F34CD" w:rsidR="00820C9A">
        <w:t>“</w:t>
      </w:r>
      <w:r w:rsidRPr="006F34CD" w:rsidR="00F27848">
        <w:t>encourage readers to take action aimed at the destruction of the object of hatred</w:t>
      </w:r>
      <w:r w:rsidRPr="006F34CD" w:rsidR="00820C9A">
        <w:t>”</w:t>
      </w:r>
      <w:r w:rsidRPr="006F34CD" w:rsidR="00F27848">
        <w:t>.</w:t>
      </w:r>
      <w:r w:rsidRPr="006F34CD" w:rsidR="001370AA">
        <w:t xml:space="preserve"> </w:t>
      </w:r>
      <w:r w:rsidRPr="006F34CD">
        <w:t>The texts also advocated the exclusivity of one religion, inasmuch as the Jehovah</w:t>
      </w:r>
      <w:r w:rsidRPr="006F34CD" w:rsidR="006F34CD">
        <w:t>’</w:t>
      </w:r>
      <w:r w:rsidRPr="006F34CD">
        <w:t>s Witnesses</w:t>
      </w:r>
      <w:r w:rsidRPr="006F34CD" w:rsidR="006F34CD">
        <w:t>’</w:t>
      </w:r>
      <w:r w:rsidRPr="006F34CD">
        <w:t xml:space="preserve"> movement pro</w:t>
      </w:r>
      <w:r w:rsidRPr="006F34CD" w:rsidR="00F27848">
        <w:t>nounced itself to be the only true religion, whereas all other Christian religions were seen to be Satanic.</w:t>
      </w:r>
    </w:p>
    <w:p w:rsidRPr="006F34CD" w:rsidR="00B97F3A" w:rsidP="006F34CD" w:rsidRDefault="00F27848" w14:paraId="5FA9DB79" w14:textId="4972077F">
      <w:pPr>
        <w:pStyle w:val="JuPara"/>
      </w:pPr>
      <w:r w:rsidRPr="006F34CD">
        <w:fldChar w:fldCharType="begin"/>
      </w:r>
      <w:r w:rsidRPr="006F34CD">
        <w:instrText xml:space="preserve"> SEQ level0 \*arabic </w:instrText>
      </w:r>
      <w:r w:rsidRPr="006F34CD">
        <w:fldChar w:fldCharType="separate"/>
      </w:r>
      <w:r w:rsidRPr="006F34CD" w:rsidR="006F34CD">
        <w:rPr>
          <w:noProof/>
        </w:rPr>
        <w:t>12</w:t>
      </w:r>
      <w:r w:rsidRPr="006F34CD">
        <w:fldChar w:fldCharType="end"/>
      </w:r>
      <w:r w:rsidRPr="006F34CD">
        <w:t>.</w:t>
      </w:r>
      <w:r w:rsidRPr="006F34CD" w:rsidR="001370AA">
        <w:t>  </w:t>
      </w:r>
      <w:r w:rsidRPr="006F34CD">
        <w:t xml:space="preserve">In pursuance of the Rostov Regional </w:t>
      </w:r>
      <w:r w:rsidRPr="006F34CD" w:rsidR="00021F26">
        <w:t xml:space="preserve">deputy </w:t>
      </w:r>
      <w:r w:rsidRPr="006F34CD">
        <w:t>prosecutor</w:t>
      </w:r>
      <w:r w:rsidRPr="006F34CD" w:rsidR="006F34CD">
        <w:t>’</w:t>
      </w:r>
      <w:r w:rsidRPr="006F34CD">
        <w:t xml:space="preserve">s letter of </w:t>
      </w:r>
      <w:r w:rsidRPr="006F34CD" w:rsidR="001370AA">
        <w:t>13 </w:t>
      </w:r>
      <w:r w:rsidRPr="006F34CD" w:rsidR="00021F26">
        <w:t xml:space="preserve">September </w:t>
      </w:r>
      <w:r w:rsidRPr="006F34CD" w:rsidR="001370AA">
        <w:t>2007</w:t>
      </w:r>
      <w:r w:rsidRPr="006F34CD">
        <w:t xml:space="preserve"> and referring to the findings of the expert study, on </w:t>
      </w:r>
      <w:r w:rsidRPr="006F34CD" w:rsidR="001370AA">
        <w:t>31 October 2007</w:t>
      </w:r>
      <w:r w:rsidRPr="006F34CD">
        <w:t xml:space="preserve"> the acting deputy Taganrog prosecutor issued a warning to the Taganrog LRO, advising it “to stop extremist activities”.</w:t>
      </w:r>
      <w:r w:rsidRPr="006F34CD" w:rsidR="001370AA">
        <w:t xml:space="preserve"> </w:t>
      </w:r>
      <w:r w:rsidRPr="006F34CD" w:rsidR="00B97F3A">
        <w:t>The Taganrog LRO sent a written reply, considering the warning to be unlawful.</w:t>
      </w:r>
    </w:p>
    <w:p w:rsidRPr="006F34CD" w:rsidR="00F27848" w:rsidP="006F34CD" w:rsidRDefault="00B97F3A" w14:paraId="12558F38" w14:textId="41DFDB83">
      <w:pPr>
        <w:pStyle w:val="JuPara"/>
      </w:pPr>
      <w:r w:rsidRPr="006F34CD">
        <w:fldChar w:fldCharType="begin"/>
      </w:r>
      <w:r w:rsidRPr="006F34CD">
        <w:instrText xml:space="preserve"> SEQ level0 \*arabic </w:instrText>
      </w:r>
      <w:r w:rsidRPr="006F34CD">
        <w:fldChar w:fldCharType="separate"/>
      </w:r>
      <w:r w:rsidRPr="006F34CD" w:rsidR="006F34CD">
        <w:rPr>
          <w:noProof/>
        </w:rPr>
        <w:t>13</w:t>
      </w:r>
      <w:r w:rsidRPr="006F34CD">
        <w:fldChar w:fldCharType="end"/>
      </w:r>
      <w:r w:rsidRPr="006F34CD">
        <w:t>.</w:t>
      </w:r>
      <w:r w:rsidRPr="006F34CD" w:rsidR="001370AA">
        <w:t>  </w:t>
      </w:r>
      <w:r w:rsidRPr="006F34CD">
        <w:t>The Taganrog prosecutor also pursued other lines of investigation into the activities of Jehovah</w:t>
      </w:r>
      <w:r w:rsidRPr="006F34CD" w:rsidR="006F34CD">
        <w:t>’</w:t>
      </w:r>
      <w:r w:rsidRPr="006F34CD">
        <w:t xml:space="preserve">s Witnesses in the region. </w:t>
      </w:r>
      <w:r w:rsidRPr="006F34CD" w:rsidR="004E1E1F">
        <w:t>O</w:t>
      </w:r>
      <w:r w:rsidRPr="006F34CD">
        <w:t xml:space="preserve">n </w:t>
      </w:r>
      <w:r w:rsidRPr="006F34CD" w:rsidR="001370AA">
        <w:t>17 October 2007</w:t>
      </w:r>
      <w:r w:rsidRPr="006F34CD">
        <w:t xml:space="preserve"> </w:t>
      </w:r>
      <w:r w:rsidRPr="006F34CD" w:rsidR="00B2458E">
        <w:t>his</w:t>
      </w:r>
      <w:r w:rsidRPr="006F34CD">
        <w:t xml:space="preserve"> senior assistant requested the head doctor of the city hospital to provide a copy of the medical record of </w:t>
      </w:r>
      <w:r w:rsidRPr="006F34CD" w:rsidR="001370AA">
        <w:t>Ms S</w:t>
      </w:r>
      <w:r w:rsidRPr="006F34CD">
        <w:t xml:space="preserve">. who had been treated in the hospital in 2004, </w:t>
      </w:r>
      <w:r w:rsidRPr="006F34CD" w:rsidR="007C158F">
        <w:t>and</w:t>
      </w:r>
      <w:r w:rsidRPr="006F34CD">
        <w:t xml:space="preserve"> the contact details of the </w:t>
      </w:r>
      <w:r w:rsidRPr="006F34CD" w:rsidR="007C158F">
        <w:t>medical staff</w:t>
      </w:r>
      <w:r w:rsidRPr="006F34CD">
        <w:t xml:space="preserve"> in charge of the treatment. S. had been one of the founding members of the Taganrog LRO; on </w:t>
      </w:r>
      <w:r w:rsidRPr="006F34CD" w:rsidR="001370AA">
        <w:t>17 March 2004</w:t>
      </w:r>
      <w:r w:rsidRPr="006F34CD">
        <w:t xml:space="preserve"> she had been admitted to the hospital following a serious traffic accident. Throughout her treatment, she requested that the doctors should refrain from administering blood products. On </w:t>
      </w:r>
      <w:r w:rsidRPr="006F34CD" w:rsidR="001370AA">
        <w:t>8 April 2004</w:t>
      </w:r>
      <w:r w:rsidRPr="006F34CD" w:rsidR="007F1B78">
        <w:t xml:space="preserve"> she</w:t>
      </w:r>
      <w:r w:rsidRPr="006F34CD">
        <w:t xml:space="preserve"> died due to her extensive injuries. Both the post-mortem diag</w:t>
      </w:r>
      <w:r w:rsidRPr="006F34CD" w:rsidR="00F27848">
        <w:t xml:space="preserve">nosis and the medical examiner who conducted forensic autopsy for the purposes of a criminal investigation against the driver </w:t>
      </w:r>
      <w:r w:rsidRPr="006F34CD" w:rsidR="007C158F">
        <w:t xml:space="preserve">had </w:t>
      </w:r>
      <w:r w:rsidRPr="006F34CD" w:rsidR="00F27848">
        <w:t>concurred that her death had been caused by trauma, blood loss and multiple organ failure.</w:t>
      </w:r>
    </w:p>
    <w:p w:rsidRPr="006F34CD" w:rsidR="00B97F3A" w:rsidP="006F34CD" w:rsidRDefault="00F27848" w14:paraId="77641E26" w14:textId="2B3EE864">
      <w:pPr>
        <w:pStyle w:val="JuPara"/>
      </w:pPr>
      <w:r w:rsidRPr="006F34CD">
        <w:fldChar w:fldCharType="begin"/>
      </w:r>
      <w:r w:rsidRPr="006F34CD">
        <w:instrText xml:space="preserve"> SEQ level0 \*arabic </w:instrText>
      </w:r>
      <w:r w:rsidRPr="006F34CD">
        <w:fldChar w:fldCharType="separate"/>
      </w:r>
      <w:r w:rsidRPr="006F34CD" w:rsidR="006F34CD">
        <w:rPr>
          <w:noProof/>
        </w:rPr>
        <w:t>14</w:t>
      </w:r>
      <w:r w:rsidRPr="006F34CD">
        <w:fldChar w:fldCharType="end"/>
      </w:r>
      <w:r w:rsidRPr="006F34CD">
        <w:t>.</w:t>
      </w:r>
      <w:r w:rsidRPr="006F34CD" w:rsidR="001370AA">
        <w:t>  </w:t>
      </w:r>
      <w:r w:rsidRPr="006F34CD">
        <w:t xml:space="preserve">On </w:t>
      </w:r>
      <w:r w:rsidRPr="006F34CD" w:rsidR="001370AA">
        <w:t>9 June 2008</w:t>
      </w:r>
      <w:r w:rsidRPr="006F34CD">
        <w:t xml:space="preserve"> the Rostov Regional Prosecutor</w:t>
      </w:r>
      <w:r w:rsidRPr="006F34CD" w:rsidR="006F34CD">
        <w:t>’</w:t>
      </w:r>
      <w:r w:rsidRPr="006F34CD">
        <w:t>s office filed a claim in the Rostov Regional Court to liquidate the Taganrog LRO.</w:t>
      </w:r>
      <w:r w:rsidRPr="006F34CD" w:rsidR="001370AA">
        <w:t xml:space="preserve"> </w:t>
      </w:r>
      <w:r w:rsidRPr="006F34CD" w:rsidR="00B97F3A">
        <w:t>The stated grounds for liquidation were:</w:t>
      </w:r>
    </w:p>
    <w:p w:rsidRPr="006F34CD" w:rsidR="00B97F3A" w:rsidP="006F34CD" w:rsidRDefault="00B97F3A" w14:paraId="56E58A98" w14:textId="77777777">
      <w:pPr>
        <w:pStyle w:val="JuPara"/>
      </w:pPr>
      <w:r w:rsidRPr="006F34CD">
        <w:t>(a)</w:t>
      </w:r>
      <w:r w:rsidRPr="006F34CD" w:rsidR="001370AA">
        <w:t>  </w:t>
      </w:r>
      <w:r w:rsidRPr="006F34CD">
        <w:t>the death of S. which was alleged to have been the consequence of her refusal of blood transfusion;</w:t>
      </w:r>
    </w:p>
    <w:p w:rsidRPr="006F34CD" w:rsidR="00B97F3A" w:rsidP="006F34CD" w:rsidRDefault="00B97F3A" w14:paraId="3F02CD8C" w14:textId="77777777">
      <w:pPr>
        <w:pStyle w:val="JuPara"/>
      </w:pPr>
      <w:r w:rsidRPr="006F34CD">
        <w:t>(b)</w:t>
      </w:r>
      <w:r w:rsidRPr="006F34CD" w:rsidR="001370AA">
        <w:t>  </w:t>
      </w:r>
      <w:r w:rsidRPr="006F34CD">
        <w:t xml:space="preserve">the </w:t>
      </w:r>
      <w:r w:rsidRPr="006F34CD" w:rsidR="007F1B78">
        <w:t>ongoing</w:t>
      </w:r>
      <w:r w:rsidRPr="006F34CD">
        <w:t xml:space="preserve"> distribut</w:t>
      </w:r>
      <w:r w:rsidRPr="006F34CD" w:rsidR="007F1B78">
        <w:t>ion</w:t>
      </w:r>
      <w:r w:rsidRPr="006F34CD">
        <w:t xml:space="preserve"> of religious literature which the expert study had found to contain </w:t>
      </w:r>
      <w:r w:rsidRPr="006F34CD" w:rsidR="007F1B78">
        <w:t>indicators</w:t>
      </w:r>
      <w:r w:rsidRPr="006F34CD">
        <w:t xml:space="preserve"> of extremism;</w:t>
      </w:r>
    </w:p>
    <w:p w:rsidRPr="006F34CD" w:rsidR="00B97F3A" w:rsidP="006F34CD" w:rsidRDefault="00B97F3A" w14:paraId="69945603" w14:textId="77777777">
      <w:pPr>
        <w:pStyle w:val="JuPara"/>
      </w:pPr>
      <w:r w:rsidRPr="006F34CD">
        <w:t xml:space="preserve">(c) the fact that the Taganrog LRO had held services of worship outside </w:t>
      </w:r>
      <w:r w:rsidRPr="006F34CD" w:rsidR="00110D29">
        <w:t>the area of operation indicated in its documents</w:t>
      </w:r>
      <w:r w:rsidRPr="006F34CD">
        <w:t>;</w:t>
      </w:r>
    </w:p>
    <w:p w:rsidRPr="006F34CD" w:rsidR="00B97F3A" w:rsidP="006F34CD" w:rsidRDefault="00B97F3A" w14:paraId="7AB4AF57" w14:textId="77777777">
      <w:pPr>
        <w:pStyle w:val="JuPara"/>
      </w:pPr>
      <w:r w:rsidRPr="006F34CD">
        <w:t>(d)</w:t>
      </w:r>
      <w:r w:rsidRPr="006F34CD" w:rsidR="001370AA">
        <w:t>  </w:t>
      </w:r>
      <w:r w:rsidRPr="006F34CD">
        <w:t xml:space="preserve">the materials of a criminal case against </w:t>
      </w:r>
      <w:r w:rsidRPr="006F34CD" w:rsidR="001370AA">
        <w:t>Mr G</w:t>
      </w:r>
      <w:r w:rsidRPr="006F34CD">
        <w:t>. who had been convicted of refusing to accept alternative civilian service which was to be carried out at a factory connected with the military;</w:t>
      </w:r>
    </w:p>
    <w:p w:rsidRPr="006F34CD" w:rsidR="00B97F3A" w:rsidP="006F34CD" w:rsidRDefault="00B97F3A" w14:paraId="00B79F49" w14:textId="1377EB1B">
      <w:pPr>
        <w:pStyle w:val="JuPara"/>
      </w:pPr>
      <w:r w:rsidRPr="006F34CD">
        <w:t>(e)</w:t>
      </w:r>
      <w:r w:rsidRPr="006F34CD" w:rsidR="00A076A6">
        <w:t>  </w:t>
      </w:r>
      <w:r w:rsidRPr="006F34CD">
        <w:t>the failure to amend the list of founders of the Taganrog LRO following S.</w:t>
      </w:r>
      <w:r w:rsidRPr="006F34CD" w:rsidR="006F34CD">
        <w:t>’</w:t>
      </w:r>
      <w:r w:rsidRPr="006F34CD">
        <w:t>s death;</w:t>
      </w:r>
    </w:p>
    <w:p w:rsidRPr="006F34CD" w:rsidR="00B97F3A" w:rsidP="006F34CD" w:rsidRDefault="00B97F3A" w14:paraId="1F665E9B" w14:textId="1602079B">
      <w:pPr>
        <w:pStyle w:val="JuPara"/>
      </w:pPr>
      <w:r w:rsidRPr="006F34CD">
        <w:t>(f)</w:t>
      </w:r>
      <w:r w:rsidRPr="006F34CD" w:rsidR="001370AA">
        <w:t>  </w:t>
      </w:r>
      <w:r w:rsidRPr="006F34CD">
        <w:t>the omission of the full details of the publish</w:t>
      </w:r>
      <w:r w:rsidRPr="006F34CD" w:rsidR="0031377D">
        <w:t>er</w:t>
      </w:r>
      <w:r w:rsidRPr="006F34CD">
        <w:t xml:space="preserve"> religious organisation in </w:t>
      </w:r>
      <w:r w:rsidRPr="006F34CD" w:rsidR="0031377D">
        <w:t>certain</w:t>
      </w:r>
      <w:r w:rsidRPr="006F34CD">
        <w:t xml:space="preserve"> printed materials of Jehovah</w:t>
      </w:r>
      <w:r w:rsidRPr="006F34CD" w:rsidR="006F34CD">
        <w:t>’</w:t>
      </w:r>
      <w:r w:rsidRPr="006F34CD">
        <w:t>s Witnesses.</w:t>
      </w:r>
    </w:p>
    <w:p w:rsidRPr="006F34CD" w:rsidR="00B97F3A" w:rsidP="006F34CD" w:rsidRDefault="00B97F3A" w14:paraId="354824CC" w14:textId="4BB58DDD">
      <w:pPr>
        <w:pStyle w:val="JuPara"/>
      </w:pPr>
      <w:r w:rsidRPr="006F34CD">
        <w:fldChar w:fldCharType="begin"/>
      </w:r>
      <w:r w:rsidRPr="006F34CD">
        <w:instrText xml:space="preserve"> SEQ level0 \*arabic </w:instrText>
      </w:r>
      <w:r w:rsidRPr="006F34CD">
        <w:fldChar w:fldCharType="separate"/>
      </w:r>
      <w:r w:rsidRPr="006F34CD" w:rsidR="006F34CD">
        <w:rPr>
          <w:noProof/>
        </w:rPr>
        <w:t>15</w:t>
      </w:r>
      <w:r w:rsidRPr="006F34CD">
        <w:fldChar w:fldCharType="end"/>
      </w:r>
      <w:r w:rsidRPr="006F34CD">
        <w:t>.</w:t>
      </w:r>
      <w:r w:rsidRPr="006F34CD" w:rsidR="001370AA">
        <w:t>  </w:t>
      </w:r>
      <w:r w:rsidRPr="006F34CD">
        <w:t>The Taganrog LRO sought to join the Administrative Centre and two publishers of religious literature as parties to the proceedings since they were responsible for the printing, publishing, and distribution of the religious literature of Jehovah</w:t>
      </w:r>
      <w:r w:rsidRPr="006F34CD" w:rsidR="006F34CD">
        <w:t>’</w:t>
      </w:r>
      <w:r w:rsidRPr="006F34CD">
        <w:t xml:space="preserve">s Witnesses in Russia. All such </w:t>
      </w:r>
      <w:r w:rsidRPr="006F34CD" w:rsidR="005E33F7">
        <w:t>applications</w:t>
      </w:r>
      <w:r w:rsidRPr="006F34CD">
        <w:t xml:space="preserve"> were denied.</w:t>
      </w:r>
    </w:p>
    <w:p w:rsidRPr="006F34CD" w:rsidR="00F27848" w:rsidP="006F34CD" w:rsidRDefault="00B97F3A" w14:paraId="2BB865D6" w14:textId="7CDD1769">
      <w:pPr>
        <w:pStyle w:val="JuPara"/>
      </w:pPr>
      <w:r w:rsidRPr="006F34CD">
        <w:fldChar w:fldCharType="begin"/>
      </w:r>
      <w:r w:rsidRPr="006F34CD">
        <w:instrText xml:space="preserve"> SEQ level0 \*arabic </w:instrText>
      </w:r>
      <w:r w:rsidRPr="006F34CD">
        <w:fldChar w:fldCharType="separate"/>
      </w:r>
      <w:r w:rsidRPr="006F34CD" w:rsidR="006F34CD">
        <w:rPr>
          <w:noProof/>
        </w:rPr>
        <w:t>16</w:t>
      </w:r>
      <w:r w:rsidRPr="006F34CD">
        <w:fldChar w:fldCharType="end"/>
      </w:r>
      <w:r w:rsidRPr="006F34CD">
        <w:t>.</w:t>
      </w:r>
      <w:r w:rsidRPr="006F34CD" w:rsidR="001370AA">
        <w:t>  </w:t>
      </w:r>
      <w:r w:rsidRPr="006F34CD">
        <w:t xml:space="preserve">On </w:t>
      </w:r>
      <w:r w:rsidRPr="006F34CD" w:rsidR="001370AA">
        <w:t>11 August 2009</w:t>
      </w:r>
      <w:r w:rsidRPr="006F34CD">
        <w:t xml:space="preserve"> the prosecutor supplemented his claim in the case with the request that </w:t>
      </w:r>
      <w:r w:rsidRPr="006F34CD" w:rsidR="0031377D">
        <w:t>the</w:t>
      </w:r>
      <w:r w:rsidRPr="006F34CD">
        <w:t xml:space="preserve"> sixty-eight publications of Jehovah</w:t>
      </w:r>
      <w:r w:rsidRPr="006F34CD" w:rsidR="006F34CD">
        <w:t>’</w:t>
      </w:r>
      <w:r w:rsidRPr="006F34CD">
        <w:t xml:space="preserve">s Witnesses submitted for a composite study be declared extremist material. </w:t>
      </w:r>
      <w:r w:rsidRPr="006F34CD" w:rsidR="0031377D">
        <w:t>O</w:t>
      </w:r>
      <w:r w:rsidRPr="006F34CD">
        <w:t xml:space="preserve">n </w:t>
      </w:r>
      <w:r w:rsidRPr="006F34CD" w:rsidR="001370AA">
        <w:t>7 September 2009</w:t>
      </w:r>
      <w:r w:rsidRPr="006F34CD">
        <w:t xml:space="preserve"> the prosecutor again amended </w:t>
      </w:r>
      <w:r w:rsidRPr="006F34CD" w:rsidR="00E0172C">
        <w:t xml:space="preserve">the </w:t>
      </w:r>
      <w:r w:rsidRPr="006F34CD">
        <w:t xml:space="preserve">claim by requesting that the Taganrog LRO </w:t>
      </w:r>
      <w:r w:rsidRPr="006F34CD" w:rsidR="00F27848">
        <w:t>not only be liquidated but also be declared an extremist organisation</w:t>
      </w:r>
      <w:r w:rsidRPr="006F34CD" w:rsidR="005E33F7">
        <w:t xml:space="preserve"> and</w:t>
      </w:r>
      <w:r w:rsidRPr="006F34CD" w:rsidR="00F27848">
        <w:t xml:space="preserve"> that its property </w:t>
      </w:r>
      <w:r w:rsidRPr="006F34CD" w:rsidR="005E33F7">
        <w:t>and</w:t>
      </w:r>
      <w:r w:rsidRPr="006F34CD" w:rsidR="00F27848">
        <w:t xml:space="preserve"> </w:t>
      </w:r>
      <w:r w:rsidRPr="006F34CD" w:rsidR="005E33F7">
        <w:t xml:space="preserve">all existing </w:t>
      </w:r>
      <w:r w:rsidRPr="006F34CD" w:rsidR="00F72379">
        <w:t xml:space="preserve">copies of the </w:t>
      </w:r>
      <w:r w:rsidRPr="006F34CD" w:rsidR="00F27848">
        <w:t>sixty-eight religious publications be confiscated.</w:t>
      </w:r>
    </w:p>
    <w:p w:rsidRPr="006F34CD" w:rsidR="00B97F3A" w:rsidP="006F34CD" w:rsidRDefault="00F27848" w14:paraId="5C279C05" w14:textId="26C4EEE8">
      <w:pPr>
        <w:pStyle w:val="JuPara"/>
        <w:rPr>
          <w:bCs/>
        </w:rPr>
      </w:pPr>
      <w:r w:rsidRPr="006F34CD">
        <w:rPr>
          <w:bCs/>
        </w:rPr>
        <w:fldChar w:fldCharType="begin"/>
      </w:r>
      <w:r w:rsidRPr="006F34CD">
        <w:rPr>
          <w:bCs/>
        </w:rPr>
        <w:instrText xml:space="preserve"> SEQ level0 \*arabic </w:instrText>
      </w:r>
      <w:r w:rsidRPr="006F34CD">
        <w:rPr>
          <w:bCs/>
        </w:rPr>
        <w:fldChar w:fldCharType="separate"/>
      </w:r>
      <w:r w:rsidRPr="006F34CD" w:rsidR="006F34CD">
        <w:rPr>
          <w:bCs/>
          <w:noProof/>
        </w:rPr>
        <w:t>17</w:t>
      </w:r>
      <w:r w:rsidRPr="006F34CD">
        <w:rPr>
          <w:bCs/>
        </w:rPr>
        <w:fldChar w:fldCharType="end"/>
      </w:r>
      <w:r w:rsidRPr="006F34CD">
        <w:rPr>
          <w:bCs/>
        </w:rPr>
        <w:t>.</w:t>
      </w:r>
      <w:r w:rsidRPr="006F34CD" w:rsidR="001370AA">
        <w:rPr>
          <w:bCs/>
        </w:rPr>
        <w:t>  </w:t>
      </w:r>
      <w:r w:rsidRPr="006F34CD">
        <w:rPr>
          <w:bCs/>
        </w:rPr>
        <w:t xml:space="preserve">By judgment of </w:t>
      </w:r>
      <w:r w:rsidRPr="006F34CD" w:rsidR="001370AA">
        <w:rPr>
          <w:bCs/>
        </w:rPr>
        <w:t>11 September 2009</w:t>
      </w:r>
      <w:r w:rsidRPr="006F34CD">
        <w:rPr>
          <w:bCs/>
        </w:rPr>
        <w:t>, the Rostov Regional Court granted the prosecutor</w:t>
      </w:r>
      <w:r w:rsidRPr="006F34CD" w:rsidR="006F34CD">
        <w:rPr>
          <w:bCs/>
        </w:rPr>
        <w:t>’</w:t>
      </w:r>
      <w:r w:rsidRPr="006F34CD">
        <w:rPr>
          <w:bCs/>
        </w:rPr>
        <w:t>s claim, ordering the liquidation of the Taganrog LRO as an extremist organisation and the banning of its activities.</w:t>
      </w:r>
      <w:r w:rsidRPr="006F34CD" w:rsidR="001370AA">
        <w:t xml:space="preserve"> </w:t>
      </w:r>
      <w:r w:rsidRPr="006F34CD" w:rsidR="00B97F3A">
        <w:rPr>
          <w:bCs/>
        </w:rPr>
        <w:t>The Regional Court founded its judgment on the following evidence.</w:t>
      </w:r>
    </w:p>
    <w:bookmarkStart w:name="paragraph00018" w:id="13"/>
    <w:p w:rsidRPr="006F34CD" w:rsidR="00B97F3A" w:rsidP="006F34CD" w:rsidRDefault="00B97F3A" w14:paraId="769942C5" w14:textId="6FC581DC">
      <w:pPr>
        <w:pStyle w:val="JuPara"/>
        <w:rPr>
          <w:bCs/>
        </w:rPr>
      </w:pPr>
      <w:r w:rsidRPr="006F34CD">
        <w:rPr>
          <w:bCs/>
        </w:rPr>
        <w:fldChar w:fldCharType="begin"/>
      </w:r>
      <w:r w:rsidRPr="006F34CD">
        <w:rPr>
          <w:bCs/>
        </w:rPr>
        <w:instrText xml:space="preserve"> SEQ level0 \*arabic </w:instrText>
      </w:r>
      <w:r w:rsidRPr="006F34CD">
        <w:rPr>
          <w:bCs/>
        </w:rPr>
        <w:fldChar w:fldCharType="separate"/>
      </w:r>
      <w:r w:rsidRPr="006F34CD" w:rsidR="006F34CD">
        <w:rPr>
          <w:bCs/>
          <w:noProof/>
        </w:rPr>
        <w:t>18</w:t>
      </w:r>
      <w:r w:rsidRPr="006F34CD">
        <w:rPr>
          <w:bCs/>
        </w:rPr>
        <w:fldChar w:fldCharType="end"/>
      </w:r>
      <w:bookmarkEnd w:id="13"/>
      <w:r w:rsidRPr="006F34CD">
        <w:rPr>
          <w:bCs/>
        </w:rPr>
        <w:t>.</w:t>
      </w:r>
      <w:r w:rsidRPr="006F34CD" w:rsidR="001370AA">
        <w:rPr>
          <w:bCs/>
        </w:rPr>
        <w:t>  </w:t>
      </w:r>
      <w:r w:rsidRPr="006F34CD" w:rsidR="00CF5A4B">
        <w:rPr>
          <w:bCs/>
        </w:rPr>
        <w:t>On the charge of extremism, t</w:t>
      </w:r>
      <w:r w:rsidRPr="006F34CD">
        <w:rPr>
          <w:bCs/>
        </w:rPr>
        <w:t xml:space="preserve">he Regional Court </w:t>
      </w:r>
      <w:r w:rsidRPr="006F34CD" w:rsidR="00CF5A4B">
        <w:rPr>
          <w:bCs/>
        </w:rPr>
        <w:t>reproduced</w:t>
      </w:r>
      <w:r w:rsidRPr="006F34CD">
        <w:rPr>
          <w:bCs/>
        </w:rPr>
        <w:t xml:space="preserve"> the findings of the composite expert study which established that thirty-four</w:t>
      </w:r>
      <w:r w:rsidRPr="006F34CD" w:rsidR="005E33F7">
        <w:rPr>
          <w:bCs/>
        </w:rPr>
        <w:t xml:space="preserve"> – out of a total of sixty-eight –</w:t>
      </w:r>
      <w:r w:rsidRPr="006F34CD">
        <w:rPr>
          <w:bCs/>
        </w:rPr>
        <w:t xml:space="preserve"> publications of Jehovah</w:t>
      </w:r>
      <w:r w:rsidRPr="006F34CD" w:rsidR="006F34CD">
        <w:rPr>
          <w:bCs/>
        </w:rPr>
        <w:t>’</w:t>
      </w:r>
      <w:r w:rsidRPr="006F34CD">
        <w:rPr>
          <w:bCs/>
        </w:rPr>
        <w:t>s Witnesses contained “</w:t>
      </w:r>
      <w:r w:rsidRPr="006F34CD" w:rsidR="006D7689">
        <w:rPr>
          <w:bCs/>
        </w:rPr>
        <w:t>indicators</w:t>
      </w:r>
      <w:r w:rsidRPr="006F34CD">
        <w:rPr>
          <w:bCs/>
        </w:rPr>
        <w:t xml:space="preserve"> of inciting religious discord”:</w:t>
      </w:r>
    </w:p>
    <w:p w:rsidRPr="006F34CD" w:rsidR="00B97F3A" w:rsidP="006F34CD" w:rsidRDefault="00B97F3A" w14:paraId="70A364B8" w14:textId="453A91CB">
      <w:pPr>
        <w:pStyle w:val="JuQuot"/>
      </w:pPr>
      <w:r w:rsidRPr="006F34CD">
        <w:t xml:space="preserve">“Assessing the research conducted by the experts and their oral </w:t>
      </w:r>
      <w:r w:rsidRPr="006F34CD" w:rsidR="00212660">
        <w:t>evidence</w:t>
      </w:r>
      <w:r w:rsidRPr="006F34CD">
        <w:t xml:space="preserve"> </w:t>
      </w:r>
      <w:r w:rsidRPr="006F34CD" w:rsidR="00212660">
        <w:t>before it</w:t>
      </w:r>
      <w:r w:rsidRPr="006F34CD">
        <w:t xml:space="preserve">, the court has reached the conclusion that part of the literature and printed publications distributed by the [Taganrog] LRO contain a number of expressions </w:t>
      </w:r>
      <w:r w:rsidRPr="006F34CD" w:rsidR="001E754B">
        <w:t>...</w:t>
      </w:r>
      <w:r w:rsidRPr="006F34CD">
        <w:t xml:space="preserve"> demonstrating the negative attitude of Jehovah</w:t>
      </w:r>
      <w:r w:rsidRPr="006F34CD" w:rsidR="006F34CD">
        <w:t>’</w:t>
      </w:r>
      <w:r w:rsidRPr="006F34CD">
        <w:t>s Witnesses toward various elements of traditional Christianity, a negative image of Catholicism as a traditional Christian de</w:t>
      </w:r>
      <w:r w:rsidRPr="006F34CD" w:rsidR="00F27848">
        <w:t>nomination, and a sharply negative assessment by one religious group, including accompanying illustrations directed at the Roman Catholic Church and the Russian Orthodox Church.</w:t>
      </w:r>
      <w:r w:rsidRPr="006F34CD" w:rsidR="001370AA">
        <w:t xml:space="preserve"> </w:t>
      </w:r>
      <w:r w:rsidRPr="006F34CD">
        <w:t>The literature contains information capable of undermining the reader</w:t>
      </w:r>
      <w:r w:rsidRPr="006F34CD" w:rsidR="006F34CD">
        <w:t>’</w:t>
      </w:r>
      <w:r w:rsidRPr="006F34CD">
        <w:t>s respect for Christian religions (except Jehovah</w:t>
      </w:r>
      <w:r w:rsidRPr="006F34CD" w:rsidR="006F34CD">
        <w:t>’</w:t>
      </w:r>
      <w:r w:rsidRPr="006F34CD">
        <w:t>s Witnesses) and for their Christian religious figures, and also contains expressions and content urging [people] to leave other Christian religions (false religions) and to join the religion of Jehovah</w:t>
      </w:r>
      <w:r w:rsidRPr="006F34CD" w:rsidR="006F34CD">
        <w:t>’</w:t>
      </w:r>
      <w:r w:rsidRPr="006F34CD">
        <w:t>s Witnesses. Such appeals are expressed in various forms</w:t>
      </w:r>
      <w:r w:rsidRPr="006F34CD" w:rsidR="00986303">
        <w:t xml:space="preserve"> </w:t>
      </w:r>
      <w:r w:rsidRPr="006F34CD">
        <w:t>–</w:t>
      </w:r>
      <w:r w:rsidRPr="006F34CD" w:rsidR="00212660">
        <w:t xml:space="preserve"> </w:t>
      </w:r>
      <w:r w:rsidRPr="006F34CD">
        <w:t xml:space="preserve">declarations of intent, directives, pleading, appeals, and advice. </w:t>
      </w:r>
      <w:r w:rsidRPr="006F34CD" w:rsidR="00986303">
        <w:t>Manipulative devices are used t</w:t>
      </w:r>
      <w:r w:rsidRPr="006F34CD">
        <w:t>o exert psychological influence on the consciousness of the perceiver</w:t>
      </w:r>
      <w:r w:rsidRPr="006F34CD" w:rsidR="00986303">
        <w:t>.</w:t>
      </w:r>
      <w:r w:rsidRPr="006F34CD">
        <w:t>”</w:t>
      </w:r>
    </w:p>
    <w:p w:rsidRPr="006F34CD" w:rsidR="00B97F3A" w:rsidP="006F34CD" w:rsidRDefault="00B97F3A" w14:paraId="475BC913" w14:textId="54D7D214">
      <w:pPr>
        <w:pStyle w:val="JuPara"/>
      </w:pPr>
      <w:r w:rsidRPr="006F34CD">
        <w:t>The Regional Court referred to the statements by two Orthodox priests and five Orthodox believers who claimed having been offended by the Witnesses</w:t>
      </w:r>
      <w:r w:rsidRPr="006F34CD" w:rsidR="006F34CD">
        <w:t>’</w:t>
      </w:r>
      <w:r w:rsidRPr="006F34CD">
        <w:t xml:space="preserve"> criticism of Orthodox Christianity. On the basis of their testimony, the Regional Court found that the Witnesses</w:t>
      </w:r>
      <w:r w:rsidRPr="006F34CD" w:rsidR="006F34CD">
        <w:t>’</w:t>
      </w:r>
      <w:r w:rsidRPr="006F34CD">
        <w:t xml:space="preserve"> literature and views “outrage religious feelings, provoke conflict on interreligious grounds, and inflame religious discord”.</w:t>
      </w:r>
    </w:p>
    <w:bookmarkStart w:name="paragraph00019" w:id="14"/>
    <w:p w:rsidRPr="006F34CD" w:rsidR="00B97F3A" w:rsidP="006F34CD" w:rsidRDefault="00B97F3A" w14:paraId="273DBCD7" w14:textId="7DB65980">
      <w:pPr>
        <w:pStyle w:val="JuPara"/>
      </w:pPr>
      <w:r w:rsidRPr="006F34CD">
        <w:fldChar w:fldCharType="begin"/>
      </w:r>
      <w:r w:rsidRPr="006F34CD">
        <w:instrText xml:space="preserve"> SEQ level0 \*arabic </w:instrText>
      </w:r>
      <w:r w:rsidRPr="006F34CD">
        <w:fldChar w:fldCharType="separate"/>
      </w:r>
      <w:r w:rsidRPr="006F34CD" w:rsidR="006F34CD">
        <w:rPr>
          <w:noProof/>
        </w:rPr>
        <w:t>19</w:t>
      </w:r>
      <w:r w:rsidRPr="006F34CD">
        <w:fldChar w:fldCharType="end"/>
      </w:r>
      <w:bookmarkEnd w:id="14"/>
      <w:r w:rsidRPr="006F34CD">
        <w:t>.</w:t>
      </w:r>
      <w:r w:rsidRPr="006F34CD" w:rsidR="001370AA">
        <w:t>  </w:t>
      </w:r>
      <w:r w:rsidRPr="006F34CD" w:rsidR="00CF5A4B">
        <w:t xml:space="preserve">The Regional Court then turned to the grounds for the liquidation of a religious organisation established in the Religions Act. </w:t>
      </w:r>
      <w:r w:rsidRPr="006F34CD">
        <w:t xml:space="preserve">On the charge of incitement to refuse medical assistance, the </w:t>
      </w:r>
      <w:r w:rsidRPr="006F34CD" w:rsidR="00CF5A4B">
        <w:t>c</w:t>
      </w:r>
      <w:r w:rsidRPr="006F34CD">
        <w:t xml:space="preserve">ourt took evidence from </w:t>
      </w:r>
      <w:r w:rsidRPr="006F34CD" w:rsidR="001370AA">
        <w:t>Ms S</w:t>
      </w:r>
      <w:r w:rsidRPr="006F34CD">
        <w:t>.</w:t>
      </w:r>
      <w:r w:rsidRPr="006F34CD" w:rsidR="006F34CD">
        <w:t>’</w:t>
      </w:r>
      <w:r w:rsidRPr="006F34CD">
        <w:t xml:space="preserve">s husband and the head of emergency unit. They confirmed that after the accident </w:t>
      </w:r>
      <w:r w:rsidRPr="006F34CD" w:rsidR="001370AA">
        <w:t>Ms S</w:t>
      </w:r>
      <w:r w:rsidRPr="006F34CD">
        <w:t>. had been repeatedly offered blood transfusion which she had firmly refused, citing her religious duty as a Jehovah</w:t>
      </w:r>
      <w:r w:rsidRPr="006F34CD" w:rsidR="006F34CD">
        <w:t>’</w:t>
      </w:r>
      <w:r w:rsidRPr="006F34CD">
        <w:t>s Witness. In the doctor</w:t>
      </w:r>
      <w:r w:rsidRPr="006F34CD" w:rsidR="006F34CD">
        <w:t>’</w:t>
      </w:r>
      <w:r w:rsidRPr="006F34CD">
        <w:t xml:space="preserve">s opinion, the medicine her fellow believers had brought for her had </w:t>
      </w:r>
      <w:r w:rsidRPr="006F34CD" w:rsidR="00F27848">
        <w:t>not been the kind of the blood substitutes she had needed.</w:t>
      </w:r>
      <w:r w:rsidRPr="006F34CD" w:rsidR="001370AA">
        <w:t xml:space="preserve"> </w:t>
      </w:r>
      <w:r w:rsidRPr="006F34CD">
        <w:t xml:space="preserve">On the basis of the above-mentioned expert study, the testimony by witnesses and </w:t>
      </w:r>
      <w:r w:rsidRPr="006F34CD" w:rsidR="001370AA">
        <w:t>Ms S</w:t>
      </w:r>
      <w:r w:rsidRPr="006F34CD">
        <w:t>.</w:t>
      </w:r>
      <w:r w:rsidRPr="006F34CD" w:rsidR="006F34CD">
        <w:t>’</w:t>
      </w:r>
      <w:r w:rsidRPr="006F34CD">
        <w:t>s medical record, the Regional Court considered it established that –</w:t>
      </w:r>
    </w:p>
    <w:p w:rsidRPr="006F34CD" w:rsidR="00B97F3A" w:rsidP="006F34CD" w:rsidRDefault="00B97F3A" w14:paraId="06823CE8" w14:textId="77777777">
      <w:pPr>
        <w:pStyle w:val="JuQuot"/>
      </w:pPr>
      <w:r w:rsidRPr="006F34CD">
        <w:t>“</w:t>
      </w:r>
      <w:r w:rsidRPr="006F34CD" w:rsidR="001E754B">
        <w:t>...</w:t>
      </w:r>
      <w:r w:rsidRPr="006F34CD" w:rsidR="00652890">
        <w:t xml:space="preserve"> </w:t>
      </w:r>
      <w:r w:rsidRPr="006F34CD">
        <w:t xml:space="preserve">the refusal of a blood transfusion did lead to a fatal outcome since other methods of treatment turned out to be ineffective. [The court] </w:t>
      </w:r>
      <w:r w:rsidRPr="006F34CD" w:rsidR="00652890">
        <w:t>considers</w:t>
      </w:r>
      <w:r w:rsidRPr="006F34CD">
        <w:t xml:space="preserve"> that the establishment of </w:t>
      </w:r>
      <w:r w:rsidRPr="006F34CD" w:rsidR="00652890">
        <w:t>injury to</w:t>
      </w:r>
      <w:r w:rsidRPr="006F34CD">
        <w:t xml:space="preserve"> health of at least one person is a proven gross violation of law which would be incompatible with </w:t>
      </w:r>
      <w:r w:rsidRPr="006F34CD" w:rsidR="00652890">
        <w:t xml:space="preserve">the </w:t>
      </w:r>
      <w:r w:rsidRPr="006F34CD">
        <w:t xml:space="preserve">continued </w:t>
      </w:r>
      <w:r w:rsidRPr="006F34CD" w:rsidR="00652890">
        <w:t>operation</w:t>
      </w:r>
      <w:r w:rsidRPr="006F34CD">
        <w:t xml:space="preserve"> of the LRO.”</w:t>
      </w:r>
    </w:p>
    <w:bookmarkStart w:name="paragraph00020" w:id="15"/>
    <w:p w:rsidRPr="006F34CD" w:rsidR="00B97F3A" w:rsidP="006F34CD" w:rsidRDefault="00B97F3A" w14:paraId="4D67379E" w14:textId="798A2B2B">
      <w:pPr>
        <w:pStyle w:val="JuPara"/>
      </w:pPr>
      <w:r w:rsidRPr="006F34CD">
        <w:fldChar w:fldCharType="begin"/>
      </w:r>
      <w:r w:rsidRPr="006F34CD">
        <w:instrText xml:space="preserve"> SEQ level0 \*arabic </w:instrText>
      </w:r>
      <w:r w:rsidRPr="006F34CD">
        <w:fldChar w:fldCharType="separate"/>
      </w:r>
      <w:r w:rsidRPr="006F34CD" w:rsidR="006F34CD">
        <w:rPr>
          <w:noProof/>
        </w:rPr>
        <w:t>20</w:t>
      </w:r>
      <w:r w:rsidRPr="006F34CD">
        <w:fldChar w:fldCharType="end"/>
      </w:r>
      <w:bookmarkEnd w:id="15"/>
      <w:r w:rsidRPr="006F34CD">
        <w:t>.</w:t>
      </w:r>
      <w:r w:rsidRPr="006F34CD" w:rsidR="001370AA">
        <w:t>  </w:t>
      </w:r>
      <w:r w:rsidRPr="006F34CD">
        <w:t xml:space="preserve">On the issue whether the Taganrog LRO advocated abandonment of civic duties, the Regional Court again referred to the expert study and also heard an official of the Taganrog military drafting office. He stated that in 2007 </w:t>
      </w:r>
      <w:r w:rsidRPr="006F34CD" w:rsidR="001370AA">
        <w:t>Mr G</w:t>
      </w:r>
      <w:r w:rsidRPr="006F34CD">
        <w:t>. had been one of ten conscripts who professed the religion of Jehovah</w:t>
      </w:r>
      <w:r w:rsidRPr="006F34CD" w:rsidR="006F34CD">
        <w:t>’</w:t>
      </w:r>
      <w:r w:rsidRPr="006F34CD">
        <w:t xml:space="preserve">s Witnesses. He had learnt of the existence of the Taganrog LRO from two young men who were on their way to serve when “attempts were made to influence them </w:t>
      </w:r>
      <w:r w:rsidRPr="006F34CD" w:rsidR="00F27848">
        <w:t>not to serve”.</w:t>
      </w:r>
      <w:r w:rsidRPr="006F34CD" w:rsidR="001370AA">
        <w:t xml:space="preserve"> Mr G</w:t>
      </w:r>
      <w:r w:rsidRPr="006F34CD">
        <w:t xml:space="preserve">. had refused a specific assignment to perform alternative civilian service, for which he was found criminally liable. The Regional Court found this evidence sufficient to conclude that a breach of the law on the part of </w:t>
      </w:r>
      <w:r w:rsidRPr="006F34CD" w:rsidR="001370AA">
        <w:t>Mr G</w:t>
      </w:r>
      <w:r w:rsidRPr="006F34CD">
        <w:t>. had been the product of the influence of the Taganrog LRO:</w:t>
      </w:r>
    </w:p>
    <w:p w:rsidRPr="006F34CD" w:rsidR="00B97F3A" w:rsidP="006F34CD" w:rsidRDefault="00B97F3A" w14:paraId="0BCD901A" w14:textId="77777777">
      <w:pPr>
        <w:pStyle w:val="JuQuot"/>
      </w:pPr>
      <w:r w:rsidRPr="006F34CD">
        <w:t>“</w:t>
      </w:r>
      <w:r w:rsidRPr="006F34CD" w:rsidR="001E754B">
        <w:t>...</w:t>
      </w:r>
      <w:r w:rsidRPr="006F34CD" w:rsidR="00E2389F">
        <w:t xml:space="preserve"> </w:t>
      </w:r>
      <w:r w:rsidRPr="006F34CD">
        <w:t xml:space="preserve">the evidence produced at the trial confirms the fact that the Taganrog LRO committed actions inciting citizens to refuse to fulfil civic duties established by law. Those actions included distributing among believers of literature containing such appeals </w:t>
      </w:r>
      <w:r w:rsidRPr="006F34CD" w:rsidR="001E754B">
        <w:t>...</w:t>
      </w:r>
      <w:r w:rsidRPr="006F34CD">
        <w:t xml:space="preserve"> and the influencing of citizens of conscription age </w:t>
      </w:r>
      <w:r w:rsidRPr="006F34CD" w:rsidR="00F27848">
        <w:t>not professing the said religion to refuse to perform military service.</w:t>
      </w:r>
      <w:r w:rsidRPr="006F34CD" w:rsidR="001370AA">
        <w:t xml:space="preserve"> </w:t>
      </w:r>
      <w:r w:rsidRPr="006F34CD">
        <w:t xml:space="preserve">The last allegation is based on the testimony of the witness </w:t>
      </w:r>
      <w:r w:rsidRPr="006F34CD" w:rsidR="001E754B">
        <w:t>...</w:t>
      </w:r>
      <w:r w:rsidRPr="006F34CD">
        <w:t xml:space="preserve"> from the Taganrog military drafting office [who] testified that he learned of the existence of conscripted believers in the spring of 2007 during the spring call-up, when conscripted young men approached him and said that other conscripted persons were influencing them to refuse to undergo service in the army.”</w:t>
      </w:r>
    </w:p>
    <w:bookmarkStart w:name="paragraph00021" w:id="16"/>
    <w:p w:rsidRPr="006F34CD" w:rsidR="00B97F3A" w:rsidP="006F34CD" w:rsidRDefault="00B97F3A" w14:paraId="681DF7E8" w14:textId="262B28DE">
      <w:pPr>
        <w:pStyle w:val="JuPara"/>
      </w:pPr>
      <w:r w:rsidRPr="006F34CD">
        <w:fldChar w:fldCharType="begin"/>
      </w:r>
      <w:r w:rsidRPr="006F34CD">
        <w:instrText xml:space="preserve"> SEQ level0 \*arabic </w:instrText>
      </w:r>
      <w:r w:rsidRPr="006F34CD">
        <w:fldChar w:fldCharType="separate"/>
      </w:r>
      <w:r w:rsidRPr="006F34CD" w:rsidR="006F34CD">
        <w:rPr>
          <w:noProof/>
        </w:rPr>
        <w:t>21</w:t>
      </w:r>
      <w:r w:rsidRPr="006F34CD">
        <w:fldChar w:fldCharType="end"/>
      </w:r>
      <w:bookmarkEnd w:id="16"/>
      <w:r w:rsidRPr="006F34CD">
        <w:t>.</w:t>
      </w:r>
      <w:r w:rsidRPr="006F34CD" w:rsidR="001370AA">
        <w:t>  </w:t>
      </w:r>
      <w:r w:rsidRPr="006F34CD">
        <w:t>The Regional Court further considered the prosecutor</w:t>
      </w:r>
      <w:r w:rsidRPr="006F34CD" w:rsidR="006F34CD">
        <w:t>’</w:t>
      </w:r>
      <w:r w:rsidRPr="006F34CD">
        <w:t>s allegation that the Taganrog LRO involved mi</w:t>
      </w:r>
      <w:r w:rsidRPr="006F34CD" w:rsidR="00F27848">
        <w:t>nors in its activities.</w:t>
      </w:r>
      <w:r w:rsidRPr="006F34CD" w:rsidR="001370AA">
        <w:t xml:space="preserve"> </w:t>
      </w:r>
      <w:r w:rsidRPr="006F34CD">
        <w:t xml:space="preserve">The prosecution produced two witnesses: </w:t>
      </w:r>
      <w:r w:rsidRPr="006F34CD" w:rsidR="001370AA">
        <w:t>Mr S</w:t>
      </w:r>
      <w:r w:rsidRPr="006F34CD">
        <w:t>., former husband of a Jehovah</w:t>
      </w:r>
      <w:r w:rsidRPr="006F34CD" w:rsidR="006F34CD">
        <w:t>’</w:t>
      </w:r>
      <w:r w:rsidRPr="006F34CD">
        <w:t xml:space="preserve">s Witness, stated that his former wife involved their child in the religious activities, despite his objections. He had sought a judicial order for amending the custody arrangements but it had been refused because his former wife and </w:t>
      </w:r>
      <w:r w:rsidRPr="006F34CD" w:rsidR="00E0172C">
        <w:t xml:space="preserve">the </w:t>
      </w:r>
      <w:r w:rsidRPr="006F34CD">
        <w:t xml:space="preserve">child had “excellent living conditions”. The second witness, </w:t>
      </w:r>
      <w:r w:rsidRPr="006F34CD" w:rsidR="001370AA">
        <w:t>Ms B</w:t>
      </w:r>
      <w:r w:rsidRPr="006F34CD">
        <w:t xml:space="preserve">., an official of the Child Protection Authority, </w:t>
      </w:r>
      <w:r w:rsidRPr="006F34CD" w:rsidR="00C0319C">
        <w:t>reported</w:t>
      </w:r>
      <w:r w:rsidRPr="006F34CD">
        <w:t xml:space="preserve"> the case of a sixteen</w:t>
      </w:r>
      <w:r w:rsidRPr="006F34CD" w:rsidR="00DD29B3">
        <w:noBreakHyphen/>
      </w:r>
      <w:r w:rsidRPr="006F34CD">
        <w:t xml:space="preserve">year-old student who had fallen behind in her studies because she had missed classes twice a week to visit a Sunday school. In the end the child </w:t>
      </w:r>
      <w:r w:rsidRPr="006F34CD" w:rsidR="00286436">
        <w:t>had been</w:t>
      </w:r>
      <w:r w:rsidRPr="006F34CD">
        <w:t xml:space="preserve"> helped and </w:t>
      </w:r>
      <w:r w:rsidRPr="006F34CD" w:rsidR="00286436">
        <w:t xml:space="preserve">had </w:t>
      </w:r>
      <w:r w:rsidRPr="006F34CD">
        <w:t xml:space="preserve">finished school. Two witnesses for the </w:t>
      </w:r>
      <w:r w:rsidRPr="006F34CD" w:rsidR="00C0319C">
        <w:t>Taganrog LRO</w:t>
      </w:r>
      <w:r w:rsidRPr="006F34CD">
        <w:t xml:space="preserve">, the former wife of </w:t>
      </w:r>
      <w:r w:rsidRPr="006F34CD" w:rsidR="001370AA">
        <w:t>Mr S</w:t>
      </w:r>
      <w:r w:rsidRPr="006F34CD">
        <w:t>. and a</w:t>
      </w:r>
      <w:r w:rsidRPr="006F34CD" w:rsidR="00F27848">
        <w:t>nother Witness mother, told the court that they read Bible together with their children and attended religious meetings twice a week but they did not celebrate birthdays or State holidays.</w:t>
      </w:r>
      <w:r w:rsidRPr="006F34CD" w:rsidR="001370AA">
        <w:t xml:space="preserve"> </w:t>
      </w:r>
      <w:r w:rsidRPr="006F34CD">
        <w:t>The Regional Court drew the following conclusion from the testimony before it:</w:t>
      </w:r>
    </w:p>
    <w:p w:rsidRPr="006F34CD" w:rsidR="00F27848" w:rsidP="006F34CD" w:rsidRDefault="00B97F3A" w14:paraId="60BC5D8A" w14:textId="7EDBC54C">
      <w:pPr>
        <w:pStyle w:val="JuQuot"/>
      </w:pPr>
      <w:r w:rsidRPr="006F34CD">
        <w:t xml:space="preserve">“The testimony </w:t>
      </w:r>
      <w:r w:rsidRPr="006F34CD" w:rsidR="001E754B">
        <w:t>...</w:t>
      </w:r>
      <w:r w:rsidRPr="006F34CD">
        <w:t xml:space="preserve"> objectively confirms the arguments in the application regarding mi</w:t>
      </w:r>
      <w:r w:rsidRPr="006F34CD" w:rsidR="00F27848">
        <w:t>nor children being lured into the organisation</w:t>
      </w:r>
      <w:r w:rsidRPr="006F34CD" w:rsidR="006F34CD">
        <w:t>’</w:t>
      </w:r>
      <w:r w:rsidRPr="006F34CD" w:rsidR="00F27848">
        <w:t xml:space="preserve">s activity, including into the preaching activity, as small or minor children are being obliged, together with their parents, regardless of weather or time of </w:t>
      </w:r>
      <w:r w:rsidRPr="006F34CD" w:rsidR="00FA04D0">
        <w:t xml:space="preserve">the </w:t>
      </w:r>
      <w:r w:rsidRPr="006F34CD" w:rsidR="00F27848">
        <w:t xml:space="preserve">year, to go on the streets and to apartments with the goal of distributing literature, and to be present for long periods of time at </w:t>
      </w:r>
      <w:r w:rsidRPr="006F34CD" w:rsidR="00FA04D0">
        <w:t xml:space="preserve">[religious] </w:t>
      </w:r>
      <w:r w:rsidRPr="006F34CD" w:rsidR="00F27848">
        <w:t xml:space="preserve">meetings </w:t>
      </w:r>
      <w:r w:rsidRPr="006F34CD" w:rsidR="001E754B">
        <w:t>...</w:t>
      </w:r>
    </w:p>
    <w:p w:rsidRPr="006F34CD" w:rsidR="00F27848" w:rsidP="006F34CD" w:rsidRDefault="00F27848" w14:paraId="355D644E" w14:textId="77777777">
      <w:pPr>
        <w:pStyle w:val="JuQuot"/>
      </w:pPr>
      <w:r w:rsidRPr="006F34CD">
        <w:t>The circumstances established during the trial testify to the violation by the religious organisation and its members of the provisions of the Convention on the Rights of the Child, the Constitution, and the Family Code, as they involve very young children in the religious organisation without the consent of the other parent, who has equal rights and duties in the upbringing of the children, and do not consider the opinion and interests of the children.</w:t>
      </w:r>
    </w:p>
    <w:p w:rsidRPr="006F34CD" w:rsidR="00F27848" w:rsidP="006F34CD" w:rsidRDefault="00F27848" w14:paraId="5ADDD0C3" w14:textId="77777777">
      <w:pPr>
        <w:pStyle w:val="JuQuot"/>
      </w:pPr>
      <w:r w:rsidRPr="006F34CD">
        <w:t xml:space="preserve">The actions of the members of the Taganrog LRO constitute a direct violation of the provisions of </w:t>
      </w:r>
      <w:r w:rsidRPr="006F34CD" w:rsidR="001370AA">
        <w:t>Article 3</w:t>
      </w:r>
      <w:r w:rsidRPr="006F34CD">
        <w:t xml:space="preserve">1 of the Convention on the Rights of the Child, which establishes that the States Parties recognise the right of the child to rest and leisure, to engage in play and recreational activities appropriate to the age of the child, and to participate </w:t>
      </w:r>
      <w:r w:rsidRPr="006F34CD" w:rsidR="00BB561D">
        <w:t>fully</w:t>
      </w:r>
      <w:r w:rsidRPr="006F34CD">
        <w:t xml:space="preserve"> in cultural </w:t>
      </w:r>
      <w:r w:rsidRPr="006F34CD" w:rsidR="00BB561D">
        <w:t xml:space="preserve">and </w:t>
      </w:r>
      <w:r w:rsidRPr="006F34CD">
        <w:t>art</w:t>
      </w:r>
      <w:r w:rsidRPr="006F34CD" w:rsidR="00BB561D">
        <w:t>istic life</w:t>
      </w:r>
      <w:r w:rsidRPr="006F34CD">
        <w:t>.</w:t>
      </w:r>
    </w:p>
    <w:p w:rsidRPr="006F34CD" w:rsidR="00B97F3A" w:rsidP="006F34CD" w:rsidRDefault="00F27848" w14:paraId="0A9EAD2C" w14:textId="64B3642C">
      <w:pPr>
        <w:pStyle w:val="JuQuot"/>
      </w:pPr>
      <w:r w:rsidRPr="006F34CD">
        <w:t>The testimony of the witnesses who are members of the organisation, to the effect that they visit the park with their children, take trips to the zoo, and spend time with their children in nature, does not attest to the parents</w:t>
      </w:r>
      <w:r w:rsidRPr="006F34CD" w:rsidR="006F34CD">
        <w:t>’</w:t>
      </w:r>
      <w:r w:rsidRPr="006F34CD">
        <w:t xml:space="preserve"> ensuring conditions for the full and comprehensive development of the children, since all these activities only take place with the participation of other members of the organisation.</w:t>
      </w:r>
      <w:r w:rsidRPr="006F34CD" w:rsidR="001370AA">
        <w:t xml:space="preserve"> </w:t>
      </w:r>
      <w:r w:rsidRPr="006F34CD" w:rsidR="00B97F3A">
        <w:t>Not one of the witnesses demonstrated that their children actively participate in sports or in any type of sports leagues, are receiving a musical education, or are interested in and attending hobby groups of any kind, all of which are necessary for a comprehensive development of personality, abilities, and interests.”</w:t>
      </w:r>
    </w:p>
    <w:bookmarkStart w:name="paragraph00022" w:id="17"/>
    <w:p w:rsidRPr="006F34CD" w:rsidR="00F27848" w:rsidP="006F34CD" w:rsidRDefault="00B97F3A" w14:paraId="04662CC8" w14:textId="79214DF2">
      <w:pPr>
        <w:pStyle w:val="JuPara"/>
      </w:pPr>
      <w:r w:rsidRPr="006F34CD">
        <w:fldChar w:fldCharType="begin"/>
      </w:r>
      <w:r w:rsidRPr="006F34CD">
        <w:instrText xml:space="preserve"> SEQ level0 \*arabic </w:instrText>
      </w:r>
      <w:r w:rsidRPr="006F34CD">
        <w:fldChar w:fldCharType="separate"/>
      </w:r>
      <w:r w:rsidRPr="006F34CD" w:rsidR="006F34CD">
        <w:rPr>
          <w:noProof/>
        </w:rPr>
        <w:t>22</w:t>
      </w:r>
      <w:r w:rsidRPr="006F34CD">
        <w:fldChar w:fldCharType="end"/>
      </w:r>
      <w:bookmarkEnd w:id="17"/>
      <w:r w:rsidRPr="006F34CD">
        <w:t>.</w:t>
      </w:r>
      <w:r w:rsidRPr="006F34CD" w:rsidR="001370AA">
        <w:t>  </w:t>
      </w:r>
      <w:r w:rsidRPr="006F34CD">
        <w:t>The Regional Court also found that the activities of the Taganrog LRO led to destruction of family relations on account of religious differences. The court referred to the findings of the expert study to the effect that “faith in God takes priority over family relationships” and that “</w:t>
      </w:r>
      <w:r w:rsidRPr="006F34CD" w:rsidR="00F27848">
        <w:t xml:space="preserve">non-belief on the part of a spouse or children is considered to be a basis for marital instability </w:t>
      </w:r>
      <w:r w:rsidRPr="006F34CD" w:rsidR="00587DCF">
        <w:t>...</w:t>
      </w:r>
      <w:r w:rsidRPr="006F34CD" w:rsidR="00F27848">
        <w:t xml:space="preserve"> and also for termination of relations with the non</w:t>
      </w:r>
      <w:r w:rsidRPr="006F34CD" w:rsidR="00AC1B15">
        <w:noBreakHyphen/>
      </w:r>
      <w:r w:rsidRPr="006F34CD" w:rsidR="00F27848">
        <w:t>believing family member”.</w:t>
      </w:r>
      <w:r w:rsidRPr="006F34CD" w:rsidR="001370AA">
        <w:t xml:space="preserve"> </w:t>
      </w:r>
      <w:r w:rsidRPr="006F34CD">
        <w:t xml:space="preserve">It also took evidence from </w:t>
      </w:r>
      <w:r w:rsidRPr="006F34CD" w:rsidR="001370AA">
        <w:t>Mr S</w:t>
      </w:r>
      <w:r w:rsidRPr="006F34CD">
        <w:t xml:space="preserve">t., director of the Consultative Centre, an entity under the patronage of the Orthodox Church, who told the court that </w:t>
      </w:r>
      <w:r w:rsidRPr="006F34CD" w:rsidR="001370AA">
        <w:t>Mr S</w:t>
      </w:r>
      <w:r w:rsidRPr="006F34CD">
        <w:t xml:space="preserve">. (see </w:t>
      </w:r>
      <w:r w:rsidRPr="006F34CD" w:rsidR="00D97A89">
        <w:t>the preceding paragraph</w:t>
      </w:r>
      <w:r w:rsidRPr="006F34CD">
        <w:t xml:space="preserve">) and </w:t>
      </w:r>
      <w:r w:rsidRPr="006F34CD" w:rsidR="001370AA">
        <w:t>Mr K</w:t>
      </w:r>
      <w:r w:rsidRPr="006F34CD">
        <w:t>. had sought his advice on how to prevent their families from breaking-up because of their wives</w:t>
      </w:r>
      <w:r w:rsidRPr="006F34CD" w:rsidR="006F34CD">
        <w:t>’</w:t>
      </w:r>
      <w:r w:rsidRPr="006F34CD">
        <w:t xml:space="preserve"> involvement in Jehovah</w:t>
      </w:r>
      <w:r w:rsidRPr="006F34CD" w:rsidR="006F34CD">
        <w:t>’</w:t>
      </w:r>
      <w:r w:rsidRPr="006F34CD">
        <w:t>s Witnesses</w:t>
      </w:r>
      <w:r w:rsidRPr="006F34CD" w:rsidR="006F34CD">
        <w:t>’</w:t>
      </w:r>
      <w:r w:rsidRPr="006F34CD">
        <w:t xml:space="preserve"> work. </w:t>
      </w:r>
      <w:r w:rsidRPr="006F34CD" w:rsidR="001370AA">
        <w:t>Mr S</w:t>
      </w:r>
      <w:r w:rsidRPr="006F34CD">
        <w:t xml:space="preserve">. and </w:t>
      </w:r>
      <w:r w:rsidRPr="006F34CD" w:rsidR="001370AA">
        <w:t>Mr K</w:t>
      </w:r>
      <w:r w:rsidRPr="006F34CD">
        <w:t xml:space="preserve">. confirmed that before the court. Five </w:t>
      </w:r>
      <w:r w:rsidRPr="006F34CD" w:rsidR="00816351">
        <w:t>witnesses for the defence</w:t>
      </w:r>
      <w:r w:rsidRPr="006F34CD">
        <w:t xml:space="preserve"> who testified about their harmonious relationships with their spouses were deemed unreliable by the Regional Court: according to the court, </w:t>
      </w:r>
      <w:r w:rsidRPr="006F34CD" w:rsidR="001370AA">
        <w:t>Mr V</w:t>
      </w:r>
      <w:r w:rsidRPr="006F34CD">
        <w:t xml:space="preserve">., a </w:t>
      </w:r>
      <w:r w:rsidRPr="006F34CD" w:rsidR="00F27848">
        <w:t xml:space="preserve">non-believer, did not speak the truth because “his wife was in attendance in the courtroom during his testimony” and the four </w:t>
      </w:r>
      <w:r w:rsidRPr="006F34CD" w:rsidR="00816351">
        <w:t>Jehovah</w:t>
      </w:r>
      <w:r w:rsidRPr="006F34CD" w:rsidR="006F34CD">
        <w:t>’</w:t>
      </w:r>
      <w:r w:rsidRPr="006F34CD" w:rsidR="00816351">
        <w:t xml:space="preserve">s Witnesses </w:t>
      </w:r>
      <w:r w:rsidRPr="006F34CD" w:rsidR="00F27848">
        <w:t>had a vested interest in “continuing the activities of the organisation of which they were members”.</w:t>
      </w:r>
    </w:p>
    <w:bookmarkStart w:name="paragraph00023" w:id="18"/>
    <w:p w:rsidRPr="006F34CD" w:rsidR="00B97F3A" w:rsidP="006F34CD" w:rsidRDefault="00F27848" w14:paraId="5ED0A62F" w14:textId="6F0DA53A">
      <w:pPr>
        <w:pStyle w:val="JuPara"/>
      </w:pPr>
      <w:r w:rsidRPr="006F34CD">
        <w:fldChar w:fldCharType="begin"/>
      </w:r>
      <w:r w:rsidRPr="006F34CD">
        <w:instrText xml:space="preserve"> SEQ level0 \*arabic </w:instrText>
      </w:r>
      <w:r w:rsidRPr="006F34CD">
        <w:fldChar w:fldCharType="separate"/>
      </w:r>
      <w:r w:rsidRPr="006F34CD" w:rsidR="006F34CD">
        <w:rPr>
          <w:noProof/>
        </w:rPr>
        <w:t>23</w:t>
      </w:r>
      <w:r w:rsidRPr="006F34CD">
        <w:fldChar w:fldCharType="end"/>
      </w:r>
      <w:bookmarkEnd w:id="18"/>
      <w:r w:rsidRPr="006F34CD">
        <w:t>.</w:t>
      </w:r>
      <w:r w:rsidRPr="006F34CD" w:rsidR="001370AA">
        <w:t>  </w:t>
      </w:r>
      <w:r w:rsidRPr="006F34CD" w:rsidR="003D4BB0">
        <w:t>Lastly</w:t>
      </w:r>
      <w:r w:rsidRPr="006F34CD">
        <w:t>, the Regional Court considered it established that the Taganrog LRO “had encroached on the personality, rights and freedoms of citizens”.</w:t>
      </w:r>
      <w:r w:rsidRPr="006F34CD" w:rsidR="001370AA">
        <w:t xml:space="preserve"> </w:t>
      </w:r>
      <w:r w:rsidRPr="006F34CD" w:rsidR="00B97F3A">
        <w:t xml:space="preserve">That charge had two facets: </w:t>
      </w:r>
      <w:r w:rsidRPr="006F34CD" w:rsidR="00E0172C">
        <w:t>first</w:t>
      </w:r>
      <w:r w:rsidRPr="006F34CD" w:rsidR="00B97F3A">
        <w:t>, the Taganrog LRO “determined how the believers</w:t>
      </w:r>
      <w:r w:rsidRPr="006F34CD" w:rsidR="006F34CD">
        <w:t>’</w:t>
      </w:r>
      <w:r w:rsidRPr="006F34CD" w:rsidR="00B97F3A">
        <w:t xml:space="preserve"> free time [was to be] spent and forbade them to celebrate holidays and birthdays”, and </w:t>
      </w:r>
      <w:r w:rsidRPr="006F34CD" w:rsidR="00E0172C">
        <w:t>second</w:t>
      </w:r>
      <w:r w:rsidRPr="006F34CD" w:rsidR="00B97F3A">
        <w:t xml:space="preserve">, the members of the LRO preached at homes </w:t>
      </w:r>
      <w:r w:rsidRPr="006F34CD" w:rsidR="004D0C3B">
        <w:t>uninvited</w:t>
      </w:r>
      <w:r w:rsidRPr="006F34CD" w:rsidR="00B97F3A">
        <w:t>, “without giving heed to the opinion of persons whom they visited and whose private life they interfered with”.</w:t>
      </w:r>
    </w:p>
    <w:bookmarkStart w:name="paragraph00024" w:id="19"/>
    <w:p w:rsidRPr="006F34CD" w:rsidR="00B97F3A" w:rsidP="006F34CD" w:rsidRDefault="00B97F3A" w14:paraId="05843564" w14:textId="0944CF13">
      <w:pPr>
        <w:pStyle w:val="JuPara"/>
      </w:pPr>
      <w:r w:rsidRPr="006F34CD">
        <w:fldChar w:fldCharType="begin"/>
      </w:r>
      <w:r w:rsidRPr="006F34CD">
        <w:instrText xml:space="preserve"> SEQ level0 \*arabic </w:instrText>
      </w:r>
      <w:r w:rsidRPr="006F34CD">
        <w:fldChar w:fldCharType="separate"/>
      </w:r>
      <w:r w:rsidRPr="006F34CD" w:rsidR="006F34CD">
        <w:rPr>
          <w:noProof/>
        </w:rPr>
        <w:t>24</w:t>
      </w:r>
      <w:r w:rsidRPr="006F34CD">
        <w:fldChar w:fldCharType="end"/>
      </w:r>
      <w:bookmarkEnd w:id="19"/>
      <w:r w:rsidRPr="006F34CD">
        <w:t>.</w:t>
      </w:r>
      <w:r w:rsidRPr="006F34CD" w:rsidR="001370AA">
        <w:t>  </w:t>
      </w:r>
      <w:r w:rsidRPr="006F34CD">
        <w:t>On the strength of the above evidence, the Regional Court pro</w:t>
      </w:r>
      <w:r w:rsidRPr="006F34CD" w:rsidR="00F27848">
        <w:t xml:space="preserve">nounced the Taganrog LRO to be an extremist organisation and ordered that it be liquidated, its activities </w:t>
      </w:r>
      <w:r w:rsidRPr="006F34CD" w:rsidR="003D4BB0">
        <w:t>banned</w:t>
      </w:r>
      <w:r w:rsidRPr="006F34CD" w:rsidR="00F27848">
        <w:t xml:space="preserve"> and its property, including the “Kingdom Hall” and the adjacent plot of land, confiscated and transferred to the State.</w:t>
      </w:r>
      <w:r w:rsidRPr="006F34CD" w:rsidR="001370AA">
        <w:t xml:space="preserve"> </w:t>
      </w:r>
      <w:r w:rsidRPr="006F34CD">
        <w:t>Thirty-four publications of Jehovah</w:t>
      </w:r>
      <w:r w:rsidRPr="006F34CD" w:rsidR="006F34CD">
        <w:t>’</w:t>
      </w:r>
      <w:r w:rsidRPr="006F34CD">
        <w:t>s Witnesses were declared extremist material and also confiscated.</w:t>
      </w:r>
    </w:p>
    <w:p w:rsidRPr="006F34CD" w:rsidR="00B97F3A" w:rsidP="006F34CD" w:rsidRDefault="00B97F3A" w14:paraId="3C00E86A" w14:textId="620774D2">
      <w:pPr>
        <w:pStyle w:val="JuPara"/>
      </w:pPr>
      <w:r w:rsidRPr="006F34CD">
        <w:fldChar w:fldCharType="begin"/>
      </w:r>
      <w:r w:rsidRPr="006F34CD">
        <w:instrText xml:space="preserve"> SEQ level0 \*arabic </w:instrText>
      </w:r>
      <w:r w:rsidRPr="006F34CD">
        <w:fldChar w:fldCharType="separate"/>
      </w:r>
      <w:r w:rsidRPr="006F34CD" w:rsidR="006F34CD">
        <w:rPr>
          <w:noProof/>
        </w:rPr>
        <w:t>25</w:t>
      </w:r>
      <w:r w:rsidRPr="006F34CD">
        <w:fldChar w:fldCharType="end"/>
      </w:r>
      <w:r w:rsidRPr="006F34CD">
        <w:t>.</w:t>
      </w:r>
      <w:r w:rsidRPr="006F34CD" w:rsidR="001370AA">
        <w:t>  </w:t>
      </w:r>
      <w:r w:rsidRPr="006F34CD">
        <w:t>The Taganrog LRO filed a 125-page statement of appeal, in which it dissected the Regional Court</w:t>
      </w:r>
      <w:r w:rsidRPr="006F34CD" w:rsidR="006F34CD">
        <w:t>’</w:t>
      </w:r>
      <w:r w:rsidRPr="006F34CD">
        <w:t>s judgment and complained in particular that the Jehovah</w:t>
      </w:r>
      <w:r w:rsidRPr="006F34CD" w:rsidR="006F34CD">
        <w:t>’</w:t>
      </w:r>
      <w:r w:rsidRPr="006F34CD">
        <w:t>s Witnesses had been singled out for persecution and discrimination. It referred to the prosecutor</w:t>
      </w:r>
      <w:r w:rsidRPr="006F34CD" w:rsidR="006F34CD">
        <w:t>’</w:t>
      </w:r>
      <w:r w:rsidRPr="006F34CD">
        <w:t xml:space="preserve">s letters which explicitly targeted the organisation, to the press publications about the trial, and to the fact that the Regional Court took evidence from Orthodox priests, avowedly Orthodox Cossacks and the director of an Orthodox-affiliated centre </w:t>
      </w:r>
      <w:r w:rsidRPr="006F34CD" w:rsidR="001370AA">
        <w:t>Mr S</w:t>
      </w:r>
      <w:r w:rsidRPr="006F34CD">
        <w:t>t.</w:t>
      </w:r>
    </w:p>
    <w:p w:rsidRPr="006F34CD" w:rsidR="00B97F3A" w:rsidP="006F34CD" w:rsidRDefault="00B97F3A" w14:paraId="09E0EEFF" w14:textId="275A3190">
      <w:pPr>
        <w:pStyle w:val="JuPara"/>
      </w:pPr>
      <w:r w:rsidRPr="006F34CD">
        <w:fldChar w:fldCharType="begin"/>
      </w:r>
      <w:r w:rsidRPr="006F34CD">
        <w:instrText xml:space="preserve"> SEQ level0 \*arabic </w:instrText>
      </w:r>
      <w:r w:rsidRPr="006F34CD">
        <w:fldChar w:fldCharType="separate"/>
      </w:r>
      <w:r w:rsidRPr="006F34CD" w:rsidR="006F34CD">
        <w:rPr>
          <w:noProof/>
        </w:rPr>
        <w:t>26</w:t>
      </w:r>
      <w:r w:rsidRPr="006F34CD">
        <w:fldChar w:fldCharType="end"/>
      </w:r>
      <w:r w:rsidRPr="006F34CD">
        <w:t>.</w:t>
      </w:r>
      <w:r w:rsidRPr="006F34CD" w:rsidR="001370AA">
        <w:t>  </w:t>
      </w:r>
      <w:r w:rsidRPr="006F34CD">
        <w:t xml:space="preserve">On </w:t>
      </w:r>
      <w:r w:rsidRPr="006F34CD" w:rsidR="001370AA">
        <w:t>8 December 2009</w:t>
      </w:r>
      <w:r w:rsidRPr="006F34CD">
        <w:t xml:space="preserve"> the Supreme Court of the Russian Federation rejected the appeal in a summary fashion, without addressing </w:t>
      </w:r>
      <w:r w:rsidRPr="006F34CD" w:rsidR="00744862">
        <w:t>the</w:t>
      </w:r>
      <w:r w:rsidRPr="006F34CD">
        <w:t xml:space="preserve"> arguments in detail. On the same day it rejected an application by the Administrative Centre requesting that it be heard as a party to the proceedings.</w:t>
      </w:r>
    </w:p>
    <w:p w:rsidRPr="006F34CD" w:rsidR="00587DCF" w:rsidP="006F34CD" w:rsidRDefault="00B97F3A" w14:paraId="43E0DA10" w14:textId="77777777">
      <w:pPr>
        <w:pStyle w:val="JuHA"/>
      </w:pPr>
      <w:bookmarkStart w:name="_Toc97301898" w:id="20"/>
      <w:bookmarkStart w:name="_Ref76487375" w:id="21"/>
      <w:r w:rsidRPr="006F34CD">
        <w:t xml:space="preserve">Banning and confiscation of </w:t>
      </w:r>
      <w:r w:rsidRPr="006F34CD" w:rsidR="002B2493">
        <w:t xml:space="preserve">religious </w:t>
      </w:r>
      <w:r w:rsidRPr="006F34CD">
        <w:t>publications</w:t>
      </w:r>
      <w:bookmarkEnd w:id="20"/>
    </w:p>
    <w:bookmarkStart w:name="paragraph00027" w:id="22"/>
    <w:p w:rsidRPr="006F34CD" w:rsidR="00587DCF" w:rsidP="006F34CD" w:rsidRDefault="00C971F2" w14:paraId="26AEF805" w14:textId="4C451DD4">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27</w:t>
      </w:r>
      <w:r w:rsidRPr="006F34CD">
        <w:rPr>
          <w:noProof/>
        </w:rPr>
        <w:fldChar w:fldCharType="end"/>
      </w:r>
      <w:bookmarkEnd w:id="22"/>
      <w:r w:rsidRPr="006F34CD" w:rsidR="00F212C6">
        <w:t>.  The applicants in the below cases include the local religious organisations of Jehovah</w:t>
      </w:r>
      <w:r w:rsidRPr="006F34CD" w:rsidR="006F34CD">
        <w:t>’</w:t>
      </w:r>
      <w:r w:rsidRPr="006F34CD" w:rsidR="00F212C6">
        <w:t>s Witnesses</w:t>
      </w:r>
      <w:r w:rsidRPr="006F34CD" w:rsidR="00406F2F">
        <w:t xml:space="preserve"> (LROs)</w:t>
      </w:r>
      <w:r w:rsidRPr="006F34CD" w:rsidR="00F212C6">
        <w:t>, individual members of the affected congregations, the Administrative Centre, and the German and US publishers of the Jehovah</w:t>
      </w:r>
      <w:r w:rsidRPr="006F34CD" w:rsidR="006F34CD">
        <w:t>’</w:t>
      </w:r>
      <w:r w:rsidRPr="006F34CD" w:rsidR="00F212C6">
        <w:t>s Witnesses</w:t>
      </w:r>
      <w:r w:rsidRPr="006F34CD" w:rsidR="006F34CD">
        <w:t>’</w:t>
      </w:r>
      <w:r w:rsidRPr="006F34CD" w:rsidR="00F212C6">
        <w:t xml:space="preserve"> literature.</w:t>
      </w:r>
    </w:p>
    <w:p w:rsidRPr="006F34CD" w:rsidR="002B2493" w:rsidP="006F34CD" w:rsidRDefault="002B2493" w14:paraId="685D8F8C" w14:textId="12861346">
      <w:pPr>
        <w:pStyle w:val="JuH1"/>
      </w:pPr>
      <w:bookmarkStart w:name="_Toc97301899" w:id="23"/>
      <w:bookmarkEnd w:id="21"/>
      <w:r w:rsidRPr="006F34CD">
        <w:t>Banning of eighteen publications in the Altay Region (application no. 44285/10)</w:t>
      </w:r>
      <w:bookmarkEnd w:id="23"/>
    </w:p>
    <w:p w:rsidRPr="006F34CD" w:rsidR="00B97F3A" w:rsidP="006F34CD" w:rsidRDefault="00F27848" w14:paraId="6858E644" w14:textId="07041481">
      <w:pPr>
        <w:pStyle w:val="JuPara"/>
      </w:pPr>
      <w:r w:rsidRPr="006F34CD">
        <w:fldChar w:fldCharType="begin"/>
      </w:r>
      <w:r w:rsidRPr="006F34CD">
        <w:instrText xml:space="preserve"> SEQ level0 \*arabic </w:instrText>
      </w:r>
      <w:r w:rsidRPr="006F34CD">
        <w:fldChar w:fldCharType="separate"/>
      </w:r>
      <w:r w:rsidRPr="006F34CD" w:rsidR="006F34CD">
        <w:rPr>
          <w:noProof/>
        </w:rPr>
        <w:t>28</w:t>
      </w:r>
      <w:r w:rsidRPr="006F34CD">
        <w:fldChar w:fldCharType="end"/>
      </w:r>
      <w:r w:rsidRPr="006F34CD">
        <w:t>.</w:t>
      </w:r>
      <w:r w:rsidRPr="006F34CD" w:rsidR="001370AA">
        <w:t>  </w:t>
      </w:r>
      <w:r w:rsidRPr="006F34CD">
        <w:t xml:space="preserve">On </w:t>
      </w:r>
      <w:r w:rsidRPr="006F34CD" w:rsidR="001370AA">
        <w:t>22 December 2008</w:t>
      </w:r>
      <w:r w:rsidRPr="006F34CD">
        <w:t xml:space="preserve"> the town prosecutor</w:t>
      </w:r>
      <w:r w:rsidRPr="006F34CD" w:rsidR="002B2493">
        <w:t xml:space="preserve"> in</w:t>
      </w:r>
      <w:r w:rsidRPr="006F34CD">
        <w:t xml:space="preserve"> </w:t>
      </w:r>
      <w:r w:rsidRPr="006F34CD" w:rsidR="002B2493">
        <w:t xml:space="preserve">Gorno-Altaysk </w:t>
      </w:r>
      <w:r w:rsidRPr="006F34CD" w:rsidR="00CC2E89">
        <w:t xml:space="preserve">in the Altay Region </w:t>
      </w:r>
      <w:r w:rsidRPr="006F34CD">
        <w:t xml:space="preserve">filed an application with the Gorno-Altaysk Town Court to declare extremist </w:t>
      </w:r>
      <w:r w:rsidRPr="006F34CD" w:rsidR="00192AFD">
        <w:t>twenty-seven</w:t>
      </w:r>
      <w:r w:rsidRPr="006F34CD">
        <w:t xml:space="preserve"> religious publications of Jehovah</w:t>
      </w:r>
      <w:r w:rsidRPr="006F34CD" w:rsidR="006F34CD">
        <w:t>’</w:t>
      </w:r>
      <w:r w:rsidRPr="006F34CD">
        <w:t>s Witnesses.</w:t>
      </w:r>
      <w:r w:rsidRPr="006F34CD" w:rsidR="001370AA">
        <w:t xml:space="preserve"> </w:t>
      </w:r>
      <w:r w:rsidRPr="006F34CD" w:rsidR="00B97F3A">
        <w:t xml:space="preserve">He relied on </w:t>
      </w:r>
      <w:r w:rsidRPr="006F34CD" w:rsidR="00B04173">
        <w:t>an</w:t>
      </w:r>
      <w:r w:rsidRPr="006F34CD" w:rsidR="00B97F3A">
        <w:t xml:space="preserve"> expert</w:t>
      </w:r>
      <w:r w:rsidRPr="006F34CD" w:rsidR="00B04173">
        <w:t xml:space="preserve"> assessment</w:t>
      </w:r>
      <w:r w:rsidRPr="006F34CD" w:rsidR="00B97F3A">
        <w:t xml:space="preserve"> </w:t>
      </w:r>
      <w:r w:rsidRPr="006F34CD" w:rsidR="00B04173">
        <w:t xml:space="preserve">which </w:t>
      </w:r>
      <w:r w:rsidRPr="006F34CD" w:rsidR="00B97F3A">
        <w:t>determined that the publications proclaim</w:t>
      </w:r>
      <w:r w:rsidRPr="006F34CD" w:rsidR="002B2493">
        <w:t>ed</w:t>
      </w:r>
      <w:r w:rsidRPr="006F34CD" w:rsidR="00B97F3A">
        <w:t xml:space="preserve"> the superiority of the religion </w:t>
      </w:r>
      <w:r w:rsidRPr="006F34CD" w:rsidR="002B2493">
        <w:t>of Jehovah</w:t>
      </w:r>
      <w:r w:rsidRPr="006F34CD" w:rsidR="006F34CD">
        <w:t>’</w:t>
      </w:r>
      <w:r w:rsidRPr="006F34CD" w:rsidR="002B2493">
        <w:t>s Witnesses. T</w:t>
      </w:r>
      <w:r w:rsidRPr="006F34CD" w:rsidR="00B97F3A">
        <w:t xml:space="preserve">he number of publications </w:t>
      </w:r>
      <w:r w:rsidRPr="006F34CD" w:rsidR="002B2493">
        <w:t xml:space="preserve">was later reduced </w:t>
      </w:r>
      <w:r w:rsidRPr="006F34CD" w:rsidR="00B97F3A">
        <w:t>to eighteen, by withdrawing from consideration the publications held to be extremist by the Rostov court.</w:t>
      </w:r>
    </w:p>
    <w:bookmarkStart w:name="paragraph00029" w:id="24"/>
    <w:p w:rsidRPr="006F34CD" w:rsidR="00F27848" w:rsidP="006F34CD" w:rsidRDefault="00B97F3A" w14:paraId="3586BAEF" w14:textId="2DC23082">
      <w:pPr>
        <w:pStyle w:val="JuPara"/>
      </w:pPr>
      <w:r w:rsidRPr="006F34CD">
        <w:fldChar w:fldCharType="begin"/>
      </w:r>
      <w:r w:rsidRPr="006F34CD">
        <w:instrText xml:space="preserve"> SEQ level0 \*arabic </w:instrText>
      </w:r>
      <w:r w:rsidRPr="006F34CD">
        <w:fldChar w:fldCharType="separate"/>
      </w:r>
      <w:r w:rsidRPr="006F34CD" w:rsidR="006F34CD">
        <w:rPr>
          <w:noProof/>
        </w:rPr>
        <w:t>29</w:t>
      </w:r>
      <w:r w:rsidRPr="006F34CD">
        <w:fldChar w:fldCharType="end"/>
      </w:r>
      <w:bookmarkEnd w:id="24"/>
      <w:r w:rsidRPr="006F34CD">
        <w:t>.</w:t>
      </w:r>
      <w:r w:rsidRPr="006F34CD" w:rsidR="001370AA">
        <w:t>  </w:t>
      </w:r>
      <w:r w:rsidRPr="006F34CD">
        <w:t xml:space="preserve">On </w:t>
      </w:r>
      <w:r w:rsidRPr="006F34CD" w:rsidR="001370AA">
        <w:t>7 June 2009</w:t>
      </w:r>
      <w:r w:rsidRPr="006F34CD">
        <w:t xml:space="preserve"> the police searched the place of worship of Jehovah</w:t>
      </w:r>
      <w:r w:rsidRPr="006F34CD" w:rsidR="006F34CD">
        <w:t>’</w:t>
      </w:r>
      <w:r w:rsidRPr="006F34CD">
        <w:t>s Witnesses in Gor</w:t>
      </w:r>
      <w:r w:rsidRPr="006F34CD" w:rsidR="00F27848">
        <w:t>no-Altaysk confiscating hundreds of items of religious literature.</w:t>
      </w:r>
      <w:r w:rsidRPr="006F34CD" w:rsidR="001370AA">
        <w:t xml:space="preserve"> </w:t>
      </w:r>
      <w:r w:rsidRPr="006F34CD">
        <w:t>They also searched the homes of the legal representative of the Gor</w:t>
      </w:r>
      <w:r w:rsidRPr="006F34CD" w:rsidR="00F27848">
        <w:t xml:space="preserve">no-Altaysk </w:t>
      </w:r>
      <w:r w:rsidRPr="006F34CD" w:rsidR="00406F2F">
        <w:t>LRO</w:t>
      </w:r>
      <w:r w:rsidRPr="006F34CD" w:rsidR="00F27848">
        <w:t xml:space="preserve">, and of </w:t>
      </w:r>
      <w:r w:rsidRPr="006F34CD" w:rsidR="000A0747">
        <w:t>another Jehovah</w:t>
      </w:r>
      <w:r w:rsidRPr="006F34CD" w:rsidR="006F34CD">
        <w:t>’</w:t>
      </w:r>
      <w:r w:rsidRPr="006F34CD" w:rsidR="000A0747">
        <w:t>s Witness</w:t>
      </w:r>
      <w:r w:rsidRPr="006F34CD" w:rsidR="00F27848">
        <w:t xml:space="preserve">, seizing religious literature and </w:t>
      </w:r>
      <w:r w:rsidRPr="006F34CD" w:rsidR="000A0747">
        <w:t xml:space="preserve">their </w:t>
      </w:r>
      <w:r w:rsidRPr="006F34CD" w:rsidR="00F27848">
        <w:t>personal property.</w:t>
      </w:r>
    </w:p>
    <w:bookmarkStart w:name="paragraph00030" w:id="25"/>
    <w:p w:rsidRPr="006F34CD" w:rsidR="00F27848" w:rsidP="006F34CD" w:rsidRDefault="000A0747" w14:paraId="0CBE42D0" w14:textId="0EC02AD1">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30</w:t>
      </w:r>
      <w:r w:rsidRPr="006F34CD">
        <w:fldChar w:fldCharType="end"/>
      </w:r>
      <w:bookmarkEnd w:id="25"/>
      <w:r w:rsidRPr="006F34CD">
        <w:t>.  </w:t>
      </w:r>
      <w:r w:rsidRPr="006F34CD" w:rsidR="00F27848">
        <w:t xml:space="preserve">On </w:t>
      </w:r>
      <w:r w:rsidRPr="006F34CD" w:rsidR="001370AA">
        <w:t>1 October 2009</w:t>
      </w:r>
      <w:r w:rsidRPr="006F34CD" w:rsidR="00F27848">
        <w:t xml:space="preserve"> the Town Court declared extremist eighteen religious publications of Jehovah</w:t>
      </w:r>
      <w:r w:rsidRPr="006F34CD" w:rsidR="006F34CD">
        <w:t>’</w:t>
      </w:r>
      <w:r w:rsidRPr="006F34CD" w:rsidR="00F27848">
        <w:t xml:space="preserve">s Witnesses (one brochure, seven </w:t>
      </w:r>
      <w:r w:rsidRPr="006F34CD" w:rsidR="00F27848">
        <w:rPr>
          <w:i/>
          <w:iCs/>
        </w:rPr>
        <w:t xml:space="preserve">Awake! </w:t>
      </w:r>
      <w:r w:rsidRPr="006F34CD" w:rsidR="00F27848">
        <w:t xml:space="preserve">magazines, and ten </w:t>
      </w:r>
      <w:r w:rsidRPr="006F34CD" w:rsidR="00F27848">
        <w:rPr>
          <w:i/>
          <w:iCs/>
        </w:rPr>
        <w:t xml:space="preserve">Watchtower </w:t>
      </w:r>
      <w:r w:rsidRPr="006F34CD" w:rsidR="00F27848">
        <w:t>magazines).</w:t>
      </w:r>
      <w:r w:rsidRPr="006F34CD" w:rsidR="001370AA">
        <w:t xml:space="preserve"> </w:t>
      </w:r>
      <w:r w:rsidRPr="006F34CD" w:rsidR="00B97F3A">
        <w:t xml:space="preserve">The court endorsed in their entirety the findings of the expert </w:t>
      </w:r>
      <w:r w:rsidRPr="006F34CD" w:rsidR="00DF025B">
        <w:t>assessment</w:t>
      </w:r>
      <w:r w:rsidRPr="006F34CD" w:rsidR="00B97F3A">
        <w:t xml:space="preserve"> </w:t>
      </w:r>
      <w:r w:rsidRPr="006F34CD" w:rsidR="00217B1C">
        <w:t>to the effect that the publications promoted</w:t>
      </w:r>
      <w:r w:rsidRPr="006F34CD" w:rsidR="00B97F3A">
        <w:t xml:space="preserve"> </w:t>
      </w:r>
      <w:r w:rsidRPr="006F34CD" w:rsidR="00217B1C">
        <w:t xml:space="preserve">“the </w:t>
      </w:r>
      <w:r w:rsidRPr="006F34CD" w:rsidR="00B97F3A">
        <w:t>superiority of Jehovah</w:t>
      </w:r>
      <w:r w:rsidRPr="006F34CD" w:rsidR="006F34CD">
        <w:t>’</w:t>
      </w:r>
      <w:r w:rsidRPr="006F34CD" w:rsidR="00B97F3A">
        <w:t>s Witnesses</w:t>
      </w:r>
      <w:r w:rsidRPr="006F34CD" w:rsidR="006F34CD">
        <w:t>’</w:t>
      </w:r>
      <w:r w:rsidRPr="006F34CD" w:rsidR="00B97F3A">
        <w:t xml:space="preserve"> teachings and the inferiority of other religions.”</w:t>
      </w:r>
      <w:r w:rsidRPr="006F34CD" w:rsidR="00217B1C">
        <w:t xml:space="preserve"> It </w:t>
      </w:r>
      <w:r w:rsidRPr="006F34CD" w:rsidR="00B97F3A">
        <w:t xml:space="preserve">ordered that the publications be confiscated and </w:t>
      </w:r>
      <w:r w:rsidRPr="006F34CD" w:rsidR="00217B1C">
        <w:t xml:space="preserve">added to </w:t>
      </w:r>
      <w:r w:rsidRPr="006F34CD" w:rsidR="00B97F3A">
        <w:t>the federal List of Extremist Materials.</w:t>
      </w:r>
      <w:r w:rsidRPr="006F34CD" w:rsidR="00217B1C">
        <w:t xml:space="preserve"> </w:t>
      </w:r>
      <w:r w:rsidRPr="006F34CD" w:rsidR="00F27848">
        <w:t xml:space="preserve">On </w:t>
      </w:r>
      <w:r w:rsidRPr="006F34CD" w:rsidR="001370AA">
        <w:t>27 January 2010</w:t>
      </w:r>
      <w:r w:rsidRPr="006F34CD" w:rsidR="00F27848">
        <w:t xml:space="preserve"> the Supreme Court of the Altay Republic </w:t>
      </w:r>
      <w:r w:rsidRPr="006F34CD" w:rsidR="00DF025B">
        <w:t>dismissed</w:t>
      </w:r>
      <w:r w:rsidRPr="006F34CD" w:rsidR="00F27848">
        <w:t xml:space="preserve"> the appeal</w:t>
      </w:r>
      <w:r w:rsidRPr="006F34CD" w:rsidR="00217B1C">
        <w:t xml:space="preserve"> </w:t>
      </w:r>
      <w:r w:rsidRPr="006F34CD" w:rsidR="00F27848">
        <w:t>in a summary fashion.</w:t>
      </w:r>
    </w:p>
    <w:p w:rsidRPr="006F34CD" w:rsidR="002B2493" w:rsidP="006F34CD" w:rsidRDefault="002B2493" w14:paraId="7A15CCD2" w14:textId="77777777">
      <w:pPr>
        <w:pStyle w:val="JuH1"/>
      </w:pPr>
      <w:bookmarkStart w:name="_Toc97301900" w:id="26"/>
      <w:r w:rsidRPr="006F34CD">
        <w:t>Banning of three publications in the Rostov Region (application no. 2269/12)</w:t>
      </w:r>
      <w:bookmarkEnd w:id="26"/>
    </w:p>
    <w:bookmarkStart w:name="paragraph00031" w:id="27"/>
    <w:p w:rsidRPr="006F34CD" w:rsidR="002B2493" w:rsidP="006F34CD" w:rsidRDefault="002B2493" w14:paraId="315F9B63" w14:textId="64B59815">
      <w:pPr>
        <w:pStyle w:val="JuPara"/>
      </w:pPr>
      <w:r w:rsidRPr="006F34CD">
        <w:fldChar w:fldCharType="begin"/>
      </w:r>
      <w:r w:rsidRPr="006F34CD">
        <w:instrText xml:space="preserve"> SEQ level0 \*arabic </w:instrText>
      </w:r>
      <w:r w:rsidRPr="006F34CD">
        <w:fldChar w:fldCharType="separate"/>
      </w:r>
      <w:r w:rsidRPr="006F34CD" w:rsidR="006F34CD">
        <w:rPr>
          <w:noProof/>
        </w:rPr>
        <w:t>31</w:t>
      </w:r>
      <w:r w:rsidRPr="006F34CD">
        <w:fldChar w:fldCharType="end"/>
      </w:r>
      <w:bookmarkEnd w:id="27"/>
      <w:r w:rsidRPr="006F34CD">
        <w:t>.  Following a complaint by a member of the public asserting that certain publications of Jehovah</w:t>
      </w:r>
      <w:r w:rsidRPr="006F34CD" w:rsidR="006F34CD">
        <w:t>’</w:t>
      </w:r>
      <w:r w:rsidRPr="006F34CD">
        <w:t xml:space="preserve">s Witnesses proclaim the superiority of their religion over others, the </w:t>
      </w:r>
      <w:r w:rsidRPr="006F34CD" w:rsidR="00830046">
        <w:t>t</w:t>
      </w:r>
      <w:r w:rsidRPr="006F34CD">
        <w:t xml:space="preserve">own </w:t>
      </w:r>
      <w:r w:rsidRPr="006F34CD" w:rsidR="00830046">
        <w:t>p</w:t>
      </w:r>
      <w:r w:rsidRPr="006F34CD">
        <w:t xml:space="preserve">rosecutor </w:t>
      </w:r>
      <w:r w:rsidRPr="006F34CD" w:rsidR="00830046">
        <w:t xml:space="preserve">in Salsk </w:t>
      </w:r>
      <w:r w:rsidRPr="006F34CD" w:rsidR="00F212C6">
        <w:t xml:space="preserve">in the Rostov Region </w:t>
      </w:r>
      <w:r w:rsidRPr="006F34CD" w:rsidR="00830046">
        <w:t xml:space="preserve">asked </w:t>
      </w:r>
      <w:r w:rsidRPr="006F34CD">
        <w:t xml:space="preserve">a linguistic expert </w:t>
      </w:r>
      <w:r w:rsidRPr="006F34CD" w:rsidR="00830046">
        <w:t xml:space="preserve">to conduct a </w:t>
      </w:r>
      <w:r w:rsidRPr="006F34CD">
        <w:t xml:space="preserve">study on the literature concerned. </w:t>
      </w:r>
      <w:r w:rsidRPr="006F34CD" w:rsidR="00830046">
        <w:t>The</w:t>
      </w:r>
      <w:r w:rsidRPr="006F34CD">
        <w:t xml:space="preserve"> expert concluded that the texts did not contain signs of extremism but that they </w:t>
      </w:r>
      <w:r w:rsidRPr="006F34CD" w:rsidR="00830046">
        <w:t>could “</w:t>
      </w:r>
      <w:r w:rsidRPr="006F34CD">
        <w:t xml:space="preserve">cause the incitement of hostility to other religions” and </w:t>
      </w:r>
      <w:r w:rsidRPr="006F34CD" w:rsidR="00830046">
        <w:t>did contain</w:t>
      </w:r>
      <w:r w:rsidRPr="006F34CD">
        <w:t xml:space="preserve"> </w:t>
      </w:r>
      <w:r w:rsidRPr="006F34CD" w:rsidR="00830046">
        <w:t>“</w:t>
      </w:r>
      <w:r w:rsidRPr="006F34CD">
        <w:t>traces of propaganda of the superiority of one religion over others”. A subsequent court-appointed study concluded that four publications contained statements capable of “undermining respect, or of evoking hostile feelings, towards religions other than Jehovah</w:t>
      </w:r>
      <w:r w:rsidRPr="006F34CD" w:rsidR="006F34CD">
        <w:t>’</w:t>
      </w:r>
      <w:r w:rsidRPr="006F34CD">
        <w:t>s Witnesses” and information “about the exclusivity and moral superiority of Jehovah</w:t>
      </w:r>
      <w:r w:rsidRPr="006F34CD" w:rsidR="006F34CD">
        <w:t>’</w:t>
      </w:r>
      <w:r w:rsidRPr="006F34CD">
        <w:t>s Witnesses”.</w:t>
      </w:r>
      <w:r w:rsidRPr="006F34CD" w:rsidR="00830046">
        <w:t xml:space="preserve"> The prosecutor filed an application with a court to have the publications declared extremist.</w:t>
      </w:r>
    </w:p>
    <w:p w:rsidRPr="006F34CD" w:rsidR="002B2493" w:rsidP="006F34CD" w:rsidRDefault="00CB6108" w14:paraId="3BD8EB9F" w14:textId="5CCB3A4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32</w:t>
      </w:r>
      <w:r>
        <w:rPr>
          <w:noProof/>
        </w:rPr>
        <w:fldChar w:fldCharType="end"/>
      </w:r>
      <w:r w:rsidRPr="006F34CD" w:rsidR="00612FC8">
        <w:t>.  </w:t>
      </w:r>
      <w:r w:rsidRPr="006F34CD" w:rsidR="002B2493">
        <w:t xml:space="preserve">On 27 June 2011 the </w:t>
      </w:r>
      <w:r w:rsidRPr="006F34CD" w:rsidR="002105AC">
        <w:t xml:space="preserve">Salsk </w:t>
      </w:r>
      <w:r w:rsidRPr="006F34CD" w:rsidR="002B2493">
        <w:t>Town Court granted the prosecutor</w:t>
      </w:r>
      <w:r w:rsidRPr="006F34CD" w:rsidR="006F34CD">
        <w:t>’</w:t>
      </w:r>
      <w:r w:rsidRPr="006F34CD" w:rsidR="002B2493">
        <w:t>s application in part, ruling to pronounce the nine of the twelve publications extremist</w:t>
      </w:r>
      <w:r w:rsidRPr="006F34CD" w:rsidR="00830046">
        <w:t xml:space="preserve">, </w:t>
      </w:r>
      <w:r w:rsidRPr="006F34CD" w:rsidR="002B2493">
        <w:t>extensive</w:t>
      </w:r>
      <w:r w:rsidRPr="006F34CD" w:rsidR="00830046">
        <w:t>ly</w:t>
      </w:r>
      <w:r w:rsidRPr="006F34CD" w:rsidR="002B2493">
        <w:t xml:space="preserve"> quot</w:t>
      </w:r>
      <w:r w:rsidRPr="006F34CD" w:rsidR="00830046">
        <w:t>ing</w:t>
      </w:r>
      <w:r w:rsidRPr="006F34CD" w:rsidR="002B2493">
        <w:t xml:space="preserve"> from, and fully endors</w:t>
      </w:r>
      <w:r w:rsidRPr="006F34CD" w:rsidR="00830046">
        <w:t>ing</w:t>
      </w:r>
      <w:r w:rsidRPr="006F34CD" w:rsidR="002B2493">
        <w:t xml:space="preserve"> the findings of, the expert studies.</w:t>
      </w:r>
      <w:r w:rsidRPr="006F34CD" w:rsidR="00830046">
        <w:t xml:space="preserve"> Following an appeal hearing on </w:t>
      </w:r>
      <w:r w:rsidRPr="006F34CD" w:rsidR="00F50F6F">
        <w:t>13 October 2011</w:t>
      </w:r>
      <w:r w:rsidRPr="006F34CD" w:rsidR="00830046">
        <w:t>, the Regional Court amended</w:t>
      </w:r>
      <w:r w:rsidRPr="006F34CD" w:rsidR="002B2493">
        <w:t xml:space="preserve"> the judgment </w:t>
      </w:r>
      <w:r w:rsidRPr="006F34CD" w:rsidR="00830046">
        <w:t xml:space="preserve">in the part concerning </w:t>
      </w:r>
      <w:r w:rsidRPr="006F34CD" w:rsidR="002B2493">
        <w:t xml:space="preserve">the six publications </w:t>
      </w:r>
      <w:r w:rsidRPr="006F34CD" w:rsidR="00830046">
        <w:t xml:space="preserve">which </w:t>
      </w:r>
      <w:r w:rsidRPr="006F34CD" w:rsidR="002B2493">
        <w:t>were already on the Federal List of Extremist Materials</w:t>
      </w:r>
      <w:r w:rsidRPr="006F34CD" w:rsidR="00CA6EE3">
        <w:t xml:space="preserve"> and upheld the finding of an extremist nature of the remaining three publications</w:t>
      </w:r>
      <w:r w:rsidRPr="006F34CD" w:rsidR="002B2493">
        <w:t>.</w:t>
      </w:r>
    </w:p>
    <w:p w:rsidRPr="006F34CD" w:rsidR="002B2493" w:rsidP="006F34CD" w:rsidRDefault="002B2493" w14:paraId="0BD4179E" w14:textId="77777777">
      <w:pPr>
        <w:pStyle w:val="JuH1"/>
      </w:pPr>
      <w:bookmarkStart w:name="_Toc97301901" w:id="28"/>
      <w:r w:rsidRPr="006F34CD">
        <w:t>Banning of four publications in Krasnodar (application no. 2269/12)</w:t>
      </w:r>
      <w:bookmarkEnd w:id="28"/>
    </w:p>
    <w:p w:rsidRPr="006F34CD" w:rsidR="002B2493" w:rsidP="006F34CD" w:rsidRDefault="002B2493" w14:paraId="629ACE9B" w14:textId="3995E6D8">
      <w:pPr>
        <w:pStyle w:val="JuPara"/>
      </w:pPr>
      <w:r w:rsidRPr="006F34CD">
        <w:fldChar w:fldCharType="begin"/>
      </w:r>
      <w:r w:rsidRPr="006F34CD">
        <w:instrText xml:space="preserve"> SEQ level0 \*arabic </w:instrText>
      </w:r>
      <w:r w:rsidRPr="006F34CD">
        <w:fldChar w:fldCharType="separate"/>
      </w:r>
      <w:r w:rsidRPr="006F34CD" w:rsidR="006F34CD">
        <w:rPr>
          <w:noProof/>
        </w:rPr>
        <w:t>33</w:t>
      </w:r>
      <w:r w:rsidRPr="006F34CD">
        <w:fldChar w:fldCharType="end"/>
      </w:r>
      <w:r w:rsidRPr="006F34CD">
        <w:t>.  On 11 March 2009 the Krasnodar regional prosecutor filed an application with the Pervomayskiy District Court of Krasnodar, requesting that four publications of Jehovah</w:t>
      </w:r>
      <w:r w:rsidRPr="006F34CD" w:rsidR="006F34CD">
        <w:t>’</w:t>
      </w:r>
      <w:r w:rsidRPr="006F34CD">
        <w:t xml:space="preserve">s Witnesses – which had been allegedly discovered in a public park – be pronounced extremist: </w:t>
      </w:r>
      <w:r w:rsidRPr="006F34CD" w:rsidR="005E33F7">
        <w:t xml:space="preserve">three issues </w:t>
      </w:r>
      <w:r w:rsidRPr="006F34CD">
        <w:t xml:space="preserve">of </w:t>
      </w:r>
      <w:r w:rsidRPr="006F34CD">
        <w:rPr>
          <w:i/>
          <w:iCs/>
        </w:rPr>
        <w:t xml:space="preserve">The Watchtower </w:t>
      </w:r>
      <w:r w:rsidRPr="006F34CD">
        <w:t xml:space="preserve">magazine, and the book </w:t>
      </w:r>
      <w:r w:rsidRPr="006F34CD">
        <w:rPr>
          <w:i/>
          <w:iCs/>
        </w:rPr>
        <w:t>Draw Close to Jehovah</w:t>
      </w:r>
      <w:r w:rsidRPr="006F34CD">
        <w:t>. The claim was based on the findings of a linguist from the Krasnodar regional police</w:t>
      </w:r>
      <w:r w:rsidRPr="006F34CD" w:rsidR="005E33F7">
        <w:t xml:space="preserve"> and concerned one issue of </w:t>
      </w:r>
      <w:r w:rsidRPr="006F34CD" w:rsidR="005E33F7">
        <w:rPr>
          <w:i/>
          <w:iCs/>
        </w:rPr>
        <w:t>The Watchtower</w:t>
      </w:r>
      <w:r w:rsidRPr="006F34CD" w:rsidR="005E33F7">
        <w:t xml:space="preserve"> magazine which had been pronounced as not containing signs of extremism in the Rostov proceedings (see paragraph </w:t>
      </w:r>
      <w:r w:rsidRPr="006F34CD" w:rsidR="005E33F7">
        <w:fldChar w:fldCharType="begin"/>
      </w:r>
      <w:r w:rsidRPr="006F34CD" w:rsidR="006E5193">
        <w:instrText xml:space="preserve">REF paragraph00018 \h \* CharFormat </w:instrText>
      </w:r>
      <w:r w:rsidRPr="006F34CD" w:rsidR="005E33F7">
        <w:fldChar w:fldCharType="separate"/>
      </w:r>
      <w:r w:rsidRPr="006F34CD" w:rsidR="006F34CD">
        <w:t>18</w:t>
      </w:r>
      <w:r w:rsidRPr="006F34CD" w:rsidR="005E33F7">
        <w:fldChar w:fldCharType="end"/>
      </w:r>
      <w:r w:rsidRPr="006F34CD" w:rsidR="005E33F7">
        <w:t xml:space="preserve"> above)</w:t>
      </w:r>
      <w:r w:rsidRPr="006F34CD">
        <w:t>.</w:t>
      </w:r>
    </w:p>
    <w:bookmarkStart w:name="paragraph00034" w:id="29"/>
    <w:p w:rsidRPr="006F34CD" w:rsidR="002B2493" w:rsidP="006F34CD" w:rsidRDefault="002B2493" w14:paraId="67F4F1B7" w14:textId="2AB7A8FF">
      <w:pPr>
        <w:pStyle w:val="JuPara"/>
      </w:pPr>
      <w:r w:rsidRPr="006F34CD">
        <w:fldChar w:fldCharType="begin"/>
      </w:r>
      <w:r w:rsidRPr="006F34CD">
        <w:instrText xml:space="preserve"> SEQ level0 \*arabic </w:instrText>
      </w:r>
      <w:r w:rsidRPr="006F34CD">
        <w:fldChar w:fldCharType="separate"/>
      </w:r>
      <w:r w:rsidRPr="006F34CD" w:rsidR="006F34CD">
        <w:rPr>
          <w:noProof/>
        </w:rPr>
        <w:t>34</w:t>
      </w:r>
      <w:r w:rsidRPr="006F34CD">
        <w:fldChar w:fldCharType="end"/>
      </w:r>
      <w:bookmarkEnd w:id="29"/>
      <w:r w:rsidRPr="006F34CD">
        <w:t xml:space="preserve">.  On 29 June 2009 the District Court appointed a psychological linguistic </w:t>
      </w:r>
      <w:r w:rsidRPr="006F34CD" w:rsidR="00EA5E5F">
        <w:t xml:space="preserve">assessment </w:t>
      </w:r>
      <w:r w:rsidRPr="006F34CD">
        <w:t>of the publications</w:t>
      </w:r>
      <w:r w:rsidRPr="006F34CD" w:rsidR="00EA5E5F">
        <w:t xml:space="preserve"> which</w:t>
      </w:r>
      <w:r w:rsidRPr="006F34CD">
        <w:t xml:space="preserve"> was completed on 18 February 2011. The experts found that the </w:t>
      </w:r>
      <w:r w:rsidRPr="006F34CD" w:rsidR="00EA5E5F">
        <w:t>publications</w:t>
      </w:r>
      <w:r w:rsidRPr="006F34CD">
        <w:t xml:space="preserve"> contained indications of disrespectful or hostile attitude to religions other than Jehovah</w:t>
      </w:r>
      <w:r w:rsidRPr="006F34CD" w:rsidR="006F34CD">
        <w:t>’</w:t>
      </w:r>
      <w:r w:rsidRPr="006F34CD">
        <w:t>s Witnesses and of their superiority over other religions, but that there were no statements inciting religious hatred or calls for enmity or violent acts against any other social or religious group.</w:t>
      </w:r>
    </w:p>
    <w:bookmarkStart w:name="paragraph00035" w:id="30"/>
    <w:p w:rsidRPr="006F34CD" w:rsidR="002B2493" w:rsidP="006F34CD" w:rsidRDefault="002B2493" w14:paraId="3AE9D86A" w14:textId="0727B5F3">
      <w:pPr>
        <w:pStyle w:val="JuPara"/>
      </w:pPr>
      <w:r w:rsidRPr="006F34CD">
        <w:fldChar w:fldCharType="begin"/>
      </w:r>
      <w:r w:rsidRPr="006F34CD">
        <w:instrText xml:space="preserve"> SEQ level0 \*arabic </w:instrText>
      </w:r>
      <w:r w:rsidRPr="006F34CD">
        <w:fldChar w:fldCharType="separate"/>
      </w:r>
      <w:r w:rsidRPr="006F34CD" w:rsidR="006F34CD">
        <w:rPr>
          <w:noProof/>
        </w:rPr>
        <w:t>35</w:t>
      </w:r>
      <w:r w:rsidRPr="006F34CD">
        <w:fldChar w:fldCharType="end"/>
      </w:r>
      <w:bookmarkEnd w:id="30"/>
      <w:r w:rsidRPr="006F34CD">
        <w:t>.  Relying on the findings of the expert study, on 22 April 2011 the District Court granted the prosecutor</w:t>
      </w:r>
      <w:r w:rsidRPr="006F34CD" w:rsidR="006F34CD">
        <w:t>’</w:t>
      </w:r>
      <w:r w:rsidRPr="006F34CD">
        <w:t>s application in full and pronounced the four publications extremist. It rejected the expert studies that had been supplied by the defence on the grounds</w:t>
      </w:r>
      <w:r w:rsidRPr="006F34CD" w:rsidR="00612FC8">
        <w:t>, in particular,</w:t>
      </w:r>
      <w:r w:rsidRPr="006F34CD">
        <w:t xml:space="preserve"> that the studies had been carried out at the request of a party to the case. On 16 August 2011 the Krasnodar Regional Court </w:t>
      </w:r>
      <w:r w:rsidRPr="006F34CD" w:rsidR="00CF20B5">
        <w:t xml:space="preserve">upheld </w:t>
      </w:r>
      <w:r w:rsidRPr="006F34CD">
        <w:t xml:space="preserve">the judgment </w:t>
      </w:r>
      <w:r w:rsidRPr="006F34CD" w:rsidR="00CF20B5">
        <w:t>on appeal.</w:t>
      </w:r>
    </w:p>
    <w:p w:rsidRPr="006F34CD" w:rsidR="002B2493" w:rsidP="006F34CD" w:rsidRDefault="002B2493" w14:paraId="382039AB" w14:textId="77777777">
      <w:pPr>
        <w:pStyle w:val="JuH1"/>
      </w:pPr>
      <w:bookmarkStart w:name="_Toc97301902" w:id="31"/>
      <w:r w:rsidRPr="006F34CD">
        <w:t>Banning of six publications in Kemerovo (application no. 2269/12)</w:t>
      </w:r>
      <w:bookmarkEnd w:id="31"/>
    </w:p>
    <w:bookmarkStart w:name="paragraph00036" w:id="32"/>
    <w:p w:rsidRPr="006F34CD" w:rsidR="002B2493" w:rsidP="006F34CD" w:rsidRDefault="002B2493" w14:paraId="475122D2" w14:textId="22A6FCC9">
      <w:pPr>
        <w:pStyle w:val="JuPara"/>
      </w:pPr>
      <w:r w:rsidRPr="006F34CD">
        <w:fldChar w:fldCharType="begin"/>
      </w:r>
      <w:r w:rsidRPr="006F34CD">
        <w:instrText xml:space="preserve"> SEQ level0 \*arabic </w:instrText>
      </w:r>
      <w:r w:rsidRPr="006F34CD">
        <w:fldChar w:fldCharType="separate"/>
      </w:r>
      <w:r w:rsidRPr="006F34CD" w:rsidR="006F34CD">
        <w:rPr>
          <w:noProof/>
        </w:rPr>
        <w:t>36</w:t>
      </w:r>
      <w:r w:rsidRPr="006F34CD">
        <w:fldChar w:fldCharType="end"/>
      </w:r>
      <w:bookmarkEnd w:id="32"/>
      <w:r w:rsidRPr="006F34CD">
        <w:t>.  </w:t>
      </w:r>
      <w:r w:rsidRPr="006F34CD" w:rsidR="00CC29CB">
        <w:t xml:space="preserve">On </w:t>
      </w:r>
      <w:r w:rsidRPr="006F34CD" w:rsidR="00F50F6F">
        <w:t>22 September 2010</w:t>
      </w:r>
      <w:r w:rsidRPr="006F34CD">
        <w:t xml:space="preserve"> the Zavodskiy district prosecutor </w:t>
      </w:r>
      <w:r w:rsidRPr="006F34CD" w:rsidR="00CC29CB">
        <w:t xml:space="preserve">in Kemerovo asked </w:t>
      </w:r>
      <w:r w:rsidRPr="006F34CD">
        <w:t xml:space="preserve">the Zavodskiy District Court </w:t>
      </w:r>
      <w:r w:rsidRPr="006F34CD" w:rsidR="00CC29CB">
        <w:t xml:space="preserve">to declare </w:t>
      </w:r>
      <w:r w:rsidRPr="006F34CD">
        <w:t xml:space="preserve">six publications </w:t>
      </w:r>
      <w:r w:rsidRPr="006F34CD" w:rsidR="00CC29CB">
        <w:t>of Jehovah</w:t>
      </w:r>
      <w:r w:rsidRPr="006F34CD" w:rsidR="006F34CD">
        <w:t>’</w:t>
      </w:r>
      <w:r w:rsidRPr="006F34CD" w:rsidR="00CC29CB">
        <w:t xml:space="preserve">s Witnesses (the book </w:t>
      </w:r>
      <w:r w:rsidRPr="006F34CD" w:rsidR="00CC29CB">
        <w:rPr>
          <w:i/>
          <w:iCs/>
        </w:rPr>
        <w:t>The Bible—God</w:t>
      </w:r>
      <w:r w:rsidRPr="006F34CD" w:rsidR="006F34CD">
        <w:rPr>
          <w:i/>
          <w:iCs/>
        </w:rPr>
        <w:t>’</w:t>
      </w:r>
      <w:r w:rsidRPr="006F34CD" w:rsidR="00CC29CB">
        <w:rPr>
          <w:i/>
          <w:iCs/>
        </w:rPr>
        <w:t>s Word or Man</w:t>
      </w:r>
      <w:r w:rsidRPr="006F34CD" w:rsidR="006F34CD">
        <w:rPr>
          <w:i/>
          <w:iCs/>
        </w:rPr>
        <w:t>’</w:t>
      </w:r>
      <w:r w:rsidRPr="006F34CD" w:rsidR="00CC29CB">
        <w:rPr>
          <w:i/>
          <w:iCs/>
        </w:rPr>
        <w:t>s?</w:t>
      </w:r>
      <w:r w:rsidRPr="006F34CD" w:rsidR="00CC29CB">
        <w:t xml:space="preserve">, the brochure </w:t>
      </w:r>
      <w:r w:rsidRPr="006F34CD" w:rsidR="00CC29CB">
        <w:rPr>
          <w:i/>
          <w:iCs/>
        </w:rPr>
        <w:t>Keep on the Watch!</w:t>
      </w:r>
      <w:r w:rsidRPr="006F34CD" w:rsidR="00CC29CB">
        <w:t xml:space="preserve">, and four issues of the </w:t>
      </w:r>
      <w:r w:rsidRPr="006F34CD" w:rsidR="00CC29CB">
        <w:rPr>
          <w:i/>
          <w:iCs/>
        </w:rPr>
        <w:t xml:space="preserve">Watchtower </w:t>
      </w:r>
      <w:r w:rsidRPr="006F34CD" w:rsidR="00CC29CB">
        <w:t xml:space="preserve">and </w:t>
      </w:r>
      <w:r w:rsidRPr="006F34CD" w:rsidR="00CC29CB">
        <w:rPr>
          <w:i/>
          <w:iCs/>
        </w:rPr>
        <w:t xml:space="preserve">Awake! </w:t>
      </w:r>
      <w:r w:rsidRPr="006F34CD" w:rsidR="00CC29CB">
        <w:t xml:space="preserve">magazines) to be </w:t>
      </w:r>
      <w:r w:rsidRPr="006F34CD">
        <w:t>extremist. </w:t>
      </w:r>
      <w:r w:rsidRPr="006F34CD" w:rsidR="00CC29CB">
        <w:t xml:space="preserve">The application rested on a linguistic assessment which concluded that the publications incited to enmity and hatred towards Catholicism and Catholic priests but did not contain calls to violence or other unlawful actions. Members of the local congregation, the Administrative Centre or the publishers were not </w:t>
      </w:r>
      <w:r w:rsidRPr="006F34CD">
        <w:t>summoned to participate as parties to the case. On the basis of the expert</w:t>
      </w:r>
      <w:r w:rsidRPr="006F34CD" w:rsidR="006F34CD">
        <w:t>’</w:t>
      </w:r>
      <w:r w:rsidRPr="006F34CD">
        <w:t xml:space="preserve">s report as the sole piece of evidence, </w:t>
      </w:r>
      <w:r w:rsidRPr="006F34CD" w:rsidR="00CC29CB">
        <w:t xml:space="preserve">on </w:t>
      </w:r>
      <w:r w:rsidRPr="006F34CD" w:rsidR="00F50F6F">
        <w:t>28 October 2010</w:t>
      </w:r>
      <w:r w:rsidRPr="006F34CD" w:rsidR="00CC29CB">
        <w:t xml:space="preserve"> </w:t>
      </w:r>
      <w:r w:rsidRPr="006F34CD">
        <w:t>the District Court granted the prosecutor</w:t>
      </w:r>
      <w:r w:rsidRPr="006F34CD" w:rsidR="006F34CD">
        <w:t>’</w:t>
      </w:r>
      <w:r w:rsidRPr="006F34CD">
        <w:t>s application and declared the publications extremist.</w:t>
      </w:r>
    </w:p>
    <w:bookmarkStart w:name="paragraph00037" w:id="33"/>
    <w:p w:rsidRPr="006F34CD" w:rsidR="002B2493" w:rsidP="006F34CD" w:rsidRDefault="002B2493" w14:paraId="0EB1B9FE" w14:textId="014C39E4">
      <w:pPr>
        <w:pStyle w:val="JuPara"/>
      </w:pPr>
      <w:r w:rsidRPr="006F34CD">
        <w:fldChar w:fldCharType="begin"/>
      </w:r>
      <w:r w:rsidRPr="006F34CD">
        <w:instrText xml:space="preserve"> SEQ level0 \*arabic </w:instrText>
      </w:r>
      <w:r w:rsidRPr="006F34CD">
        <w:fldChar w:fldCharType="separate"/>
      </w:r>
      <w:r w:rsidRPr="006F34CD" w:rsidR="006F34CD">
        <w:rPr>
          <w:noProof/>
        </w:rPr>
        <w:t>37</w:t>
      </w:r>
      <w:r w:rsidRPr="006F34CD">
        <w:fldChar w:fldCharType="end"/>
      </w:r>
      <w:bookmarkEnd w:id="33"/>
      <w:r w:rsidRPr="006F34CD">
        <w:t xml:space="preserve">.  The applicants only became aware of the decision when the publications appeared on the Federal List of Extremist Materials after it had been updated on 18 January 2011 on the </w:t>
      </w:r>
      <w:r w:rsidRPr="006F34CD" w:rsidR="00CC29CB">
        <w:t>w</w:t>
      </w:r>
      <w:r w:rsidRPr="006F34CD">
        <w:t>eb site of the Ministry of Justice.</w:t>
      </w:r>
    </w:p>
    <w:bookmarkStart w:name="paragraph00038" w:id="34"/>
    <w:p w:rsidRPr="006F34CD" w:rsidR="002B2493" w:rsidP="006F34CD" w:rsidRDefault="002B2493" w14:paraId="533907BC" w14:textId="58692422">
      <w:pPr>
        <w:pStyle w:val="JuPara"/>
      </w:pPr>
      <w:r w:rsidRPr="006F34CD">
        <w:fldChar w:fldCharType="begin"/>
      </w:r>
      <w:r w:rsidRPr="006F34CD">
        <w:instrText xml:space="preserve"> SEQ level0 \*arabic </w:instrText>
      </w:r>
      <w:r w:rsidRPr="006F34CD">
        <w:fldChar w:fldCharType="separate"/>
      </w:r>
      <w:r w:rsidRPr="006F34CD" w:rsidR="006F34CD">
        <w:rPr>
          <w:noProof/>
        </w:rPr>
        <w:t>38</w:t>
      </w:r>
      <w:r w:rsidRPr="006F34CD">
        <w:fldChar w:fldCharType="end"/>
      </w:r>
      <w:bookmarkEnd w:id="34"/>
      <w:r w:rsidRPr="006F34CD">
        <w:t>.  Between 25 and 27 January 2011 fifteen Jehovah</w:t>
      </w:r>
      <w:r w:rsidRPr="006F34CD" w:rsidR="006F34CD">
        <w:t>’</w:t>
      </w:r>
      <w:r w:rsidRPr="006F34CD">
        <w:t>s Witnesses from Kemerovo, the Administrative Centre and the publishing houses filed statements of appeal. On 28 March 2011 the District Court rejected the appeals, holding that</w:t>
      </w:r>
      <w:r w:rsidRPr="006F34CD" w:rsidR="00F212C6">
        <w:t>,</w:t>
      </w:r>
      <w:r w:rsidRPr="006F34CD">
        <w:t xml:space="preserve"> as the applicants had not participated in the 28 October 2010 hearing, they did not have the right to appeal against the decision.</w:t>
      </w:r>
    </w:p>
    <w:bookmarkStart w:name="paragraph00039" w:id="35"/>
    <w:p w:rsidRPr="006F34CD" w:rsidR="002B2493" w:rsidP="006F34CD" w:rsidRDefault="000D765C" w14:paraId="4DEA958E" w14:textId="4872A28F">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39</w:t>
      </w:r>
      <w:r w:rsidRPr="006F34CD">
        <w:rPr>
          <w:noProof/>
        </w:rPr>
        <w:fldChar w:fldCharType="end"/>
      </w:r>
      <w:bookmarkEnd w:id="35"/>
      <w:r w:rsidRPr="006F34CD" w:rsidR="00284AC3">
        <w:t>.  </w:t>
      </w:r>
      <w:r w:rsidRPr="006F34CD" w:rsidR="002B2493">
        <w:t>The applicants challenged the refusal to consider their appeals before the Regional Court. On 8 July 2011 the Kemerovo Regional Court rejected the complaint, finding that the District Court</w:t>
      </w:r>
      <w:r w:rsidRPr="006F34CD" w:rsidR="006F34CD">
        <w:t>’</w:t>
      </w:r>
      <w:r w:rsidRPr="006F34CD" w:rsidR="002B2493">
        <w:t>s judgment did not interfere with the applicants</w:t>
      </w:r>
      <w:r w:rsidRPr="006F34CD" w:rsidR="006F34CD">
        <w:t>’</w:t>
      </w:r>
      <w:r w:rsidRPr="006F34CD" w:rsidR="002B2493">
        <w:t xml:space="preserve"> right to freedom of religion.</w:t>
      </w:r>
    </w:p>
    <w:p w:rsidRPr="006F34CD" w:rsidR="002B2493" w:rsidP="006F34CD" w:rsidRDefault="002B2493" w14:paraId="3B7855C2" w14:textId="77777777">
      <w:pPr>
        <w:pStyle w:val="JuH1"/>
      </w:pPr>
      <w:bookmarkStart w:name="_Toc97301903" w:id="36"/>
      <w:r w:rsidRPr="006F34CD">
        <w:t>Banning of a new edition of the same book in Krasnoyarsk (application no.</w:t>
      </w:r>
      <w:r w:rsidRPr="006F34CD">
        <w:rPr>
          <w:b/>
        </w:rPr>
        <w:t> </w:t>
      </w:r>
      <w:r w:rsidRPr="006F34CD">
        <w:t>74387/13)</w:t>
      </w:r>
      <w:bookmarkEnd w:id="36"/>
    </w:p>
    <w:bookmarkStart w:name="paragraph00040" w:id="37"/>
    <w:p w:rsidRPr="006F34CD" w:rsidR="002B2493" w:rsidP="006F34CD" w:rsidRDefault="002B2493" w14:paraId="127EBFE8" w14:textId="5390DA50">
      <w:pPr>
        <w:pStyle w:val="JuPara"/>
      </w:pPr>
      <w:r w:rsidRPr="006F34CD">
        <w:fldChar w:fldCharType="begin"/>
      </w:r>
      <w:r w:rsidRPr="006F34CD">
        <w:instrText xml:space="preserve"> SEQ level0 \*arabic </w:instrText>
      </w:r>
      <w:r w:rsidRPr="006F34CD">
        <w:fldChar w:fldCharType="separate"/>
      </w:r>
      <w:r w:rsidRPr="006F34CD" w:rsidR="006F34CD">
        <w:rPr>
          <w:noProof/>
        </w:rPr>
        <w:t>40</w:t>
      </w:r>
      <w:r w:rsidRPr="006F34CD">
        <w:fldChar w:fldCharType="end"/>
      </w:r>
      <w:bookmarkEnd w:id="37"/>
      <w:r w:rsidRPr="006F34CD">
        <w:t xml:space="preserve">.  On 20 March 2012 the head of the Central Military District of the Federal Security Service </w:t>
      </w:r>
      <w:r w:rsidRPr="006F34CD" w:rsidR="00D6567D">
        <w:t xml:space="preserve">(FSB) </w:t>
      </w:r>
      <w:r w:rsidRPr="006F34CD">
        <w:t>wrote to the Sovetskiy district prosecutor in Krasnoyarsk that they had been carrying out “operational-investigative measures aimed at suppressing the extremist activity of followers of the Jehovah</w:t>
      </w:r>
      <w:r w:rsidRPr="006F34CD" w:rsidR="006F34CD">
        <w:t>’</w:t>
      </w:r>
      <w:r w:rsidRPr="006F34CD">
        <w:t>s Witnesses” to prevent them from “recruiting military personnel of military units of the Krasnoyarsk garrison into the destructive activity of the religious organisation of Jehovah</w:t>
      </w:r>
      <w:r w:rsidRPr="006F34CD" w:rsidR="006F34CD">
        <w:t>’</w:t>
      </w:r>
      <w:r w:rsidRPr="006F34CD">
        <w:t xml:space="preserve">s Witnesses”. As a result of these measures, they seized a copy of the book </w:t>
      </w:r>
      <w:r w:rsidRPr="006F34CD">
        <w:rPr>
          <w:i/>
        </w:rPr>
        <w:t>What Does the Bible Really Teach?</w:t>
      </w:r>
      <w:r w:rsidRPr="006F34CD">
        <w:t xml:space="preserve"> published in Germany in 2009, that was identical in its contents to the earlier 2005 edition which had already been pronounced to be extremist by the Rostov Regional Court in 2009 (see paragraph </w:t>
      </w:r>
      <w:r w:rsidRPr="006F34CD" w:rsidR="00284AC3">
        <w:fldChar w:fldCharType="begin"/>
      </w:r>
      <w:r w:rsidRPr="006F34CD" w:rsidR="006E5193">
        <w:instrText xml:space="preserve">REF paragraph00018 \h \* CharFormat </w:instrText>
      </w:r>
      <w:r w:rsidRPr="006F34CD" w:rsidR="00284AC3">
        <w:fldChar w:fldCharType="separate"/>
      </w:r>
      <w:r w:rsidRPr="006F34CD" w:rsidR="006F34CD">
        <w:t>18</w:t>
      </w:r>
      <w:r w:rsidRPr="006F34CD" w:rsidR="00284AC3">
        <w:fldChar w:fldCharType="end"/>
      </w:r>
      <w:r w:rsidRPr="006F34CD" w:rsidR="00284AC3">
        <w:t xml:space="preserve"> </w:t>
      </w:r>
      <w:r w:rsidRPr="006F34CD">
        <w:t>above). The FSB requested the prosecutor to institute judicial proceedings to have the 2009 edition also declared extremist.</w:t>
      </w:r>
    </w:p>
    <w:p w:rsidRPr="006F34CD" w:rsidR="002B2493" w:rsidP="006F34CD" w:rsidRDefault="002B2493" w14:paraId="2394E540" w14:textId="555606B8">
      <w:pPr>
        <w:pStyle w:val="JuPara"/>
      </w:pPr>
      <w:r w:rsidRPr="006F34CD">
        <w:fldChar w:fldCharType="begin"/>
      </w:r>
      <w:r w:rsidRPr="006F34CD">
        <w:instrText xml:space="preserve"> SEQ level0 \*arabic </w:instrText>
      </w:r>
      <w:r w:rsidRPr="006F34CD">
        <w:fldChar w:fldCharType="separate"/>
      </w:r>
      <w:r w:rsidRPr="006F34CD" w:rsidR="006F34CD">
        <w:rPr>
          <w:noProof/>
        </w:rPr>
        <w:t>41</w:t>
      </w:r>
      <w:r w:rsidRPr="006F34CD">
        <w:fldChar w:fldCharType="end"/>
      </w:r>
      <w:r w:rsidRPr="006F34CD">
        <w:t>.  On 28 April 2012 the prosecutor filed such an application with the Sovetskiy District Court of Krasnoyarsk. By judgment of 14 February 2013, the District Court granted the prosecutor</w:t>
      </w:r>
      <w:r w:rsidRPr="006F34CD" w:rsidR="006F34CD">
        <w:t>’</w:t>
      </w:r>
      <w:r w:rsidRPr="006F34CD">
        <w:t>s application, finding that the 2009 edition was identical in its contents to the 2005 edition which had been pronounced extremist.</w:t>
      </w:r>
      <w:r w:rsidRPr="006F34CD" w:rsidR="00284AC3">
        <w:t xml:space="preserve"> On </w:t>
      </w:r>
      <w:r w:rsidRPr="006F34CD" w:rsidR="00F50F6F">
        <w:t>20 May 2013</w:t>
      </w:r>
      <w:r w:rsidRPr="006F34CD" w:rsidR="00284AC3">
        <w:t xml:space="preserve"> the Krasnoyarsk Regional Court upheld the judgment on appeal.</w:t>
      </w:r>
    </w:p>
    <w:p w:rsidRPr="006F34CD" w:rsidR="002B2493" w:rsidP="006F34CD" w:rsidRDefault="002B2493" w14:paraId="222B840C" w14:textId="77777777">
      <w:pPr>
        <w:pStyle w:val="JuH1"/>
      </w:pPr>
      <w:bookmarkStart w:name="_Toc97301904" w:id="38"/>
      <w:r w:rsidRPr="006F34CD">
        <w:t xml:space="preserve">Banning of </w:t>
      </w:r>
      <w:r w:rsidRPr="006F34CD" w:rsidR="005F1F3E">
        <w:t>a</w:t>
      </w:r>
      <w:r w:rsidRPr="006F34CD">
        <w:t xml:space="preserve"> brochure in Krasnoyarsk (application no. 79240/13)</w:t>
      </w:r>
      <w:bookmarkEnd w:id="38"/>
    </w:p>
    <w:p w:rsidRPr="006F34CD" w:rsidR="002B2493" w:rsidP="006F34CD" w:rsidRDefault="00CB6108" w14:paraId="7A7571E2" w14:textId="790D1841">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42</w:t>
      </w:r>
      <w:r>
        <w:rPr>
          <w:noProof/>
        </w:rPr>
        <w:fldChar w:fldCharType="end"/>
      </w:r>
      <w:r w:rsidRPr="006F34CD" w:rsidR="00B04173">
        <w:t>.  </w:t>
      </w:r>
      <w:r w:rsidRPr="006F34CD" w:rsidR="002B2493">
        <w:t>On 13 June 2012 the FSB wrote to the Sovetskiy district prosecutor that they had prevented the Jehovah</w:t>
      </w:r>
      <w:r w:rsidRPr="006F34CD" w:rsidR="006F34CD">
        <w:t>’</w:t>
      </w:r>
      <w:r w:rsidRPr="006F34CD" w:rsidR="002B2493">
        <w:t>s Witnesses from carrying out extremist activities and recruiting military personnel and had seized thirteen publications which had the characteristics of extremist material.</w:t>
      </w:r>
    </w:p>
    <w:bookmarkStart w:name="paragraph00043" w:id="39"/>
    <w:p w:rsidRPr="006F34CD" w:rsidR="002B2493" w:rsidP="006F34CD" w:rsidRDefault="002B2493" w14:paraId="069EEDC8" w14:textId="6707A2FC">
      <w:pPr>
        <w:pStyle w:val="JuPara"/>
      </w:pPr>
      <w:r w:rsidRPr="006F34CD">
        <w:fldChar w:fldCharType="begin"/>
      </w:r>
      <w:r w:rsidRPr="006F34CD">
        <w:instrText xml:space="preserve"> SEQ level0 \*arabic </w:instrText>
      </w:r>
      <w:r w:rsidRPr="006F34CD">
        <w:fldChar w:fldCharType="separate"/>
      </w:r>
      <w:r w:rsidRPr="006F34CD" w:rsidR="006F34CD">
        <w:rPr>
          <w:noProof/>
        </w:rPr>
        <w:t>43</w:t>
      </w:r>
      <w:r w:rsidRPr="006F34CD">
        <w:fldChar w:fldCharType="end"/>
      </w:r>
      <w:bookmarkEnd w:id="39"/>
      <w:r w:rsidRPr="006F34CD">
        <w:t xml:space="preserve">.  On 25 June 2012 the prosecutor </w:t>
      </w:r>
      <w:r w:rsidRPr="006F34CD" w:rsidR="005F1F3E">
        <w:t xml:space="preserve">in Krasnoyarsk </w:t>
      </w:r>
      <w:r w:rsidRPr="006F34CD">
        <w:t xml:space="preserve">filed an application with </w:t>
      </w:r>
      <w:r w:rsidRPr="006F34CD" w:rsidR="005F1F3E">
        <w:t>a c</w:t>
      </w:r>
      <w:r w:rsidRPr="006F34CD">
        <w:t>ourt</w:t>
      </w:r>
      <w:r w:rsidRPr="006F34CD" w:rsidR="005F1F3E">
        <w:t>, seeking a declaration that</w:t>
      </w:r>
      <w:r w:rsidRPr="006F34CD">
        <w:t xml:space="preserve"> the brochure </w:t>
      </w:r>
      <w:r w:rsidRPr="006F34CD">
        <w:rPr>
          <w:i/>
        </w:rPr>
        <w:t>Will You Follow Jehovah</w:t>
      </w:r>
      <w:r w:rsidRPr="006F34CD" w:rsidR="006F34CD">
        <w:rPr>
          <w:i/>
        </w:rPr>
        <w:t>’</w:t>
      </w:r>
      <w:r w:rsidRPr="006F34CD">
        <w:rPr>
          <w:i/>
        </w:rPr>
        <w:t>s Loving Guidance?</w:t>
      </w:r>
      <w:r w:rsidRPr="006F34CD">
        <w:t xml:space="preserve"> </w:t>
      </w:r>
      <w:r w:rsidRPr="006F34CD" w:rsidR="005F1F3E">
        <w:t xml:space="preserve">was extremist. </w:t>
      </w:r>
      <w:r w:rsidRPr="006F34CD">
        <w:t xml:space="preserve">By way of justification, the prosecutor referred to </w:t>
      </w:r>
      <w:r w:rsidRPr="006F34CD" w:rsidR="005F1F3E">
        <w:t>an expert assessment. The expert found that the brochure “contained calls to reject one</w:t>
      </w:r>
      <w:r w:rsidRPr="006F34CD" w:rsidR="006F34CD">
        <w:t>’</w:t>
      </w:r>
      <w:r w:rsidRPr="006F34CD" w:rsidR="005F1F3E">
        <w:t>s own religion in favour of that of Jehovah</w:t>
      </w:r>
      <w:r w:rsidRPr="006F34CD" w:rsidR="006F34CD">
        <w:t>’</w:t>
      </w:r>
      <w:r w:rsidRPr="006F34CD" w:rsidR="005F1F3E">
        <w:t>s Witnesses” through declaring that “all non-Christian religions [were] clearly false” and “emphasising the true nature of the teachings of Jehovah</w:t>
      </w:r>
      <w:r w:rsidRPr="006F34CD" w:rsidR="006F34CD">
        <w:t>’</w:t>
      </w:r>
      <w:r w:rsidRPr="006F34CD" w:rsidR="005F1F3E">
        <w:t>s Witnesses”.</w:t>
      </w:r>
    </w:p>
    <w:p w:rsidRPr="006F34CD" w:rsidR="005F1F3E" w:rsidP="006F34CD" w:rsidRDefault="00CB6108" w14:paraId="1A14BCBE" w14:textId="2921424F">
      <w:pPr>
        <w:pStyle w:val="JuPara"/>
      </w:pPr>
      <w:r>
        <w:rPr>
          <w:noProof/>
        </w:rPr>
        <w:fldChar w:fldCharType="begin"/>
      </w:r>
      <w:r>
        <w:rPr>
          <w:noProof/>
        </w:rPr>
        <w:instrText xml:space="preserve"> SEQ level0 \*arabi</w:instrText>
      </w:r>
      <w:r>
        <w:rPr>
          <w:noProof/>
        </w:rPr>
        <w:instrText xml:space="preserve">c \* MERGEFORMAT </w:instrText>
      </w:r>
      <w:r>
        <w:rPr>
          <w:noProof/>
        </w:rPr>
        <w:fldChar w:fldCharType="separate"/>
      </w:r>
      <w:r w:rsidRPr="006F34CD" w:rsidR="006F34CD">
        <w:rPr>
          <w:noProof/>
        </w:rPr>
        <w:t>44</w:t>
      </w:r>
      <w:r>
        <w:rPr>
          <w:noProof/>
        </w:rPr>
        <w:fldChar w:fldCharType="end"/>
      </w:r>
      <w:r w:rsidRPr="006F34CD" w:rsidR="005F1F3E">
        <w:t>.  </w:t>
      </w:r>
      <w:r w:rsidRPr="006F34CD" w:rsidR="002B2493">
        <w:t>On 24 January 2013 the Sovetskiy District Court granted the application, fully endorsing the findings contained in the expert opinion</w:t>
      </w:r>
      <w:r w:rsidRPr="006F34CD" w:rsidR="005F1F3E">
        <w:t xml:space="preserve">. On </w:t>
      </w:r>
      <w:r w:rsidRPr="006F34CD" w:rsidR="00F50F6F">
        <w:t>24 July 2013</w:t>
      </w:r>
      <w:r w:rsidRPr="006F34CD" w:rsidR="005F1F3E">
        <w:t xml:space="preserve"> the Regional Court upheld the judgment on appeal.</w:t>
      </w:r>
    </w:p>
    <w:p w:rsidRPr="006F34CD" w:rsidR="009B7AE8" w:rsidP="006F34CD" w:rsidRDefault="009B7AE8" w14:paraId="28998982" w14:textId="67D33699">
      <w:pPr>
        <w:pStyle w:val="JuH1"/>
      </w:pPr>
      <w:bookmarkStart w:name="_Toc97301905" w:id="40"/>
      <w:r w:rsidRPr="006F34CD">
        <w:t xml:space="preserve">Banning of the book </w:t>
      </w:r>
      <w:r w:rsidRPr="006F34CD">
        <w:rPr>
          <w:i w:val="0"/>
          <w:iCs w:val="0"/>
        </w:rPr>
        <w:t>“Bearing Thorough Witness” About God</w:t>
      </w:r>
      <w:r w:rsidRPr="006F34CD" w:rsidR="006F34CD">
        <w:rPr>
          <w:i w:val="0"/>
          <w:iCs w:val="0"/>
        </w:rPr>
        <w:t>’</w:t>
      </w:r>
      <w:r w:rsidRPr="006F34CD">
        <w:rPr>
          <w:i w:val="0"/>
          <w:iCs w:val="0"/>
        </w:rPr>
        <w:t>s Kingdom</w:t>
      </w:r>
      <w:r w:rsidRPr="006F34CD">
        <w:t xml:space="preserve"> (application no. 28108/14)</w:t>
      </w:r>
      <w:bookmarkEnd w:id="40"/>
    </w:p>
    <w:bookmarkStart w:name="paragraph00045" w:id="41"/>
    <w:p w:rsidRPr="006F34CD" w:rsidR="009B7AE8" w:rsidP="006F34CD" w:rsidRDefault="009B7AE8" w14:paraId="253D1AD1" w14:textId="6FFAE3EE">
      <w:pPr>
        <w:pStyle w:val="JuPara"/>
      </w:pPr>
      <w:r w:rsidRPr="006F34CD">
        <w:fldChar w:fldCharType="begin"/>
      </w:r>
      <w:r w:rsidRPr="006F34CD">
        <w:instrText xml:space="preserve"> SEQ level0 \*arabic </w:instrText>
      </w:r>
      <w:r w:rsidRPr="006F34CD">
        <w:fldChar w:fldCharType="separate"/>
      </w:r>
      <w:r w:rsidRPr="006F34CD" w:rsidR="006F34CD">
        <w:rPr>
          <w:noProof/>
        </w:rPr>
        <w:t>45</w:t>
      </w:r>
      <w:r w:rsidRPr="006F34CD">
        <w:fldChar w:fldCharType="end"/>
      </w:r>
      <w:bookmarkEnd w:id="41"/>
      <w:r w:rsidRPr="006F34CD">
        <w:t xml:space="preserve">.  On </w:t>
      </w:r>
      <w:r w:rsidRPr="006F34CD" w:rsidR="0011451F">
        <w:t>2 November 2011</w:t>
      </w:r>
      <w:r w:rsidRPr="006F34CD" w:rsidR="000A0747">
        <w:t xml:space="preserve"> a district </w:t>
      </w:r>
      <w:r w:rsidRPr="006F34CD">
        <w:t>prosecutor of the Krasnodar Region asked the Uspenskiy District Court to declare extremist the Jehovah</w:t>
      </w:r>
      <w:r w:rsidRPr="006F34CD" w:rsidR="006F34CD">
        <w:t>’</w:t>
      </w:r>
      <w:r w:rsidRPr="006F34CD">
        <w:t>s Witnesses</w:t>
      </w:r>
      <w:r w:rsidRPr="006F34CD" w:rsidR="006F34CD">
        <w:t>’</w:t>
      </w:r>
      <w:r w:rsidRPr="006F34CD">
        <w:t xml:space="preserve"> book </w:t>
      </w:r>
      <w:r w:rsidRPr="006F34CD">
        <w:rPr>
          <w:i/>
        </w:rPr>
        <w:t>“Bearing Thorough Witness” About God</w:t>
      </w:r>
      <w:r w:rsidRPr="006F34CD" w:rsidR="006F34CD">
        <w:rPr>
          <w:i/>
        </w:rPr>
        <w:t>’</w:t>
      </w:r>
      <w:r w:rsidRPr="006F34CD">
        <w:rPr>
          <w:i/>
        </w:rPr>
        <w:t>s Kingdom</w:t>
      </w:r>
      <w:r w:rsidRPr="006F34CD">
        <w:t xml:space="preserve">. </w:t>
      </w:r>
      <w:r w:rsidRPr="006F34CD" w:rsidR="000A0747">
        <w:t>A</w:t>
      </w:r>
      <w:r w:rsidRPr="006F34CD" w:rsidR="001621EE">
        <w:t xml:space="preserve"> </w:t>
      </w:r>
      <w:r w:rsidRPr="006F34CD" w:rsidR="000A0747">
        <w:t xml:space="preserve">first court-commissioned expert assessment concluded </w:t>
      </w:r>
      <w:r w:rsidRPr="006F34CD">
        <w:t>that the book did not contain calls to enmity and hatred or any statements degrading the dignity of others.</w:t>
      </w:r>
      <w:r w:rsidRPr="006F34CD" w:rsidR="000A0747">
        <w:t xml:space="preserve"> The second assessment appointed at the prosecutor</w:t>
      </w:r>
      <w:r w:rsidRPr="006F34CD" w:rsidR="006F34CD">
        <w:t>’</w:t>
      </w:r>
      <w:r w:rsidRPr="006F34CD" w:rsidR="000A0747">
        <w:t xml:space="preserve">s request found </w:t>
      </w:r>
      <w:r w:rsidRPr="006F34CD">
        <w:t>that the book contained “indicators of indirectly inciting citizens to refuse to perform lawfully established civic obligations, in particular non-compliance with judicial decisions and government bans conflicting with the principles of the religious teachings of Jehovah</w:t>
      </w:r>
      <w:r w:rsidRPr="006F34CD" w:rsidR="006F34CD">
        <w:t>’</w:t>
      </w:r>
      <w:r w:rsidRPr="006F34CD">
        <w:t>s Witnesses” and statements “capable of creating in the reader a negative perception ... of ministers of traditional Christian denominations”. An Orthodox priest, heard at the request of the prosecutor, was of the view that the book had an extremist character.</w:t>
      </w:r>
    </w:p>
    <w:p w:rsidRPr="006F34CD" w:rsidR="009B7AE8" w:rsidP="006F34CD" w:rsidRDefault="00CB6108" w14:paraId="343A8E8E" w14:textId="2CA8B90E">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46</w:t>
      </w:r>
      <w:r>
        <w:rPr>
          <w:noProof/>
        </w:rPr>
        <w:fldChar w:fldCharType="end"/>
      </w:r>
      <w:r w:rsidRPr="006F34CD" w:rsidR="000A0747">
        <w:t>.  </w:t>
      </w:r>
      <w:r w:rsidRPr="006F34CD" w:rsidR="009B7AE8">
        <w:t xml:space="preserve">On </w:t>
      </w:r>
      <w:r w:rsidRPr="006F34CD" w:rsidR="0011451F">
        <w:t>19 June 2013</w:t>
      </w:r>
      <w:r w:rsidRPr="006F34CD" w:rsidR="009B7AE8">
        <w:t xml:space="preserve"> the District Court pronounced the book extremist, </w:t>
      </w:r>
      <w:r w:rsidRPr="006F34CD" w:rsidR="000A0747">
        <w:t xml:space="preserve">relying </w:t>
      </w:r>
      <w:r w:rsidRPr="006F34CD" w:rsidR="009B7AE8">
        <w:t xml:space="preserve">exclusively on the findings in the second expert </w:t>
      </w:r>
      <w:r w:rsidRPr="006F34CD" w:rsidR="000A0747">
        <w:t xml:space="preserve">assessment </w:t>
      </w:r>
      <w:r w:rsidRPr="006F34CD" w:rsidR="009B7AE8">
        <w:t xml:space="preserve">and the statements by </w:t>
      </w:r>
      <w:r w:rsidRPr="006F34CD" w:rsidR="000A0747">
        <w:t>the</w:t>
      </w:r>
      <w:r w:rsidRPr="006F34CD" w:rsidR="009B7AE8">
        <w:t xml:space="preserve"> Orthodox priest.</w:t>
      </w:r>
      <w:r w:rsidRPr="006F34CD" w:rsidR="000A0747">
        <w:t xml:space="preserve"> </w:t>
      </w:r>
      <w:r w:rsidRPr="006F34CD" w:rsidR="009B7AE8">
        <w:t xml:space="preserve">On </w:t>
      </w:r>
      <w:r w:rsidRPr="006F34CD" w:rsidR="0011451F">
        <w:t>8 October 2013</w:t>
      </w:r>
      <w:r w:rsidRPr="006F34CD" w:rsidR="009B7AE8">
        <w:t xml:space="preserve"> the Krasnodar Regional Court dismissed their appeals and upheld the judgment in a summary fashion.</w:t>
      </w:r>
    </w:p>
    <w:p w:rsidRPr="006F34CD" w:rsidR="009B7AE8" w:rsidP="006F34CD" w:rsidRDefault="009B7AE8" w14:paraId="457BB421" w14:textId="77777777">
      <w:pPr>
        <w:pStyle w:val="JuH1"/>
      </w:pPr>
      <w:bookmarkStart w:name="_Toc97301906" w:id="42"/>
      <w:r w:rsidRPr="006F34CD">
        <w:t>Banning of two brochures (application no. 16578/15)</w:t>
      </w:r>
      <w:bookmarkEnd w:id="42"/>
    </w:p>
    <w:bookmarkStart w:name="paragraph00047" w:id="43"/>
    <w:p w:rsidRPr="006F34CD" w:rsidR="009B7AE8" w:rsidP="006F34CD" w:rsidRDefault="009B7AE8" w14:paraId="35BA27F6" w14:textId="413212F6">
      <w:pPr>
        <w:pStyle w:val="JuPara"/>
      </w:pPr>
      <w:r w:rsidRPr="006F34CD">
        <w:fldChar w:fldCharType="begin"/>
      </w:r>
      <w:r w:rsidRPr="006F34CD">
        <w:instrText xml:space="preserve"> SEQ level0 \*arabic </w:instrText>
      </w:r>
      <w:r w:rsidRPr="006F34CD">
        <w:fldChar w:fldCharType="separate"/>
      </w:r>
      <w:r w:rsidRPr="006F34CD" w:rsidR="006F34CD">
        <w:rPr>
          <w:noProof/>
        </w:rPr>
        <w:t>47</w:t>
      </w:r>
      <w:r w:rsidRPr="006F34CD">
        <w:fldChar w:fldCharType="end"/>
      </w:r>
      <w:bookmarkEnd w:id="43"/>
      <w:r w:rsidRPr="006F34CD">
        <w:t xml:space="preserve">.  On </w:t>
      </w:r>
      <w:r w:rsidRPr="006F34CD" w:rsidR="0011451F">
        <w:t>14 October 2013</w:t>
      </w:r>
      <w:r w:rsidRPr="006F34CD">
        <w:t xml:space="preserve"> a military prosecutor in Vladimir asked the Leninskiy District Court of Vladimir to pronounce two </w:t>
      </w:r>
      <w:r w:rsidRPr="006F34CD" w:rsidR="000A0747">
        <w:t xml:space="preserve">brochures </w:t>
      </w:r>
      <w:r w:rsidRPr="006F34CD">
        <w:t>of Jehovah</w:t>
      </w:r>
      <w:r w:rsidRPr="006F34CD" w:rsidR="006F34CD">
        <w:t>’</w:t>
      </w:r>
      <w:r w:rsidRPr="006F34CD">
        <w:t>s Witnesses to be extremist</w:t>
      </w:r>
      <w:r w:rsidRPr="006F34CD" w:rsidR="000A0747">
        <w:t xml:space="preserve"> on the grounds of an expert</w:t>
      </w:r>
      <w:r w:rsidRPr="006F34CD" w:rsidR="006F34CD">
        <w:t>’</w:t>
      </w:r>
      <w:r w:rsidRPr="006F34CD" w:rsidR="000A0747">
        <w:t xml:space="preserve">s assessment that </w:t>
      </w:r>
      <w:r w:rsidRPr="006F34CD">
        <w:t>the brochures incited religious hatred and advocated superiority of one religion above others.</w:t>
      </w:r>
      <w:r w:rsidRPr="006F34CD" w:rsidR="000A0747">
        <w:t xml:space="preserve"> </w:t>
      </w:r>
      <w:r w:rsidRPr="006F34CD">
        <w:t xml:space="preserve">On </w:t>
      </w:r>
      <w:r w:rsidRPr="006F34CD" w:rsidR="0011451F">
        <w:t>23 October 2013</w:t>
      </w:r>
      <w:r w:rsidRPr="006F34CD">
        <w:t xml:space="preserve"> the Leninskiy District Court granted the prosecutor</w:t>
      </w:r>
      <w:r w:rsidRPr="006F34CD" w:rsidR="006F34CD">
        <w:t>’</w:t>
      </w:r>
      <w:r w:rsidRPr="006F34CD">
        <w:t>s application, relying exclusively on the expert report. The publisher of the brochures or any other representatives of Jehovah</w:t>
      </w:r>
      <w:r w:rsidRPr="006F34CD" w:rsidR="006F34CD">
        <w:t>’</w:t>
      </w:r>
      <w:r w:rsidRPr="006F34CD">
        <w:t xml:space="preserve">s Witnesses were not summoned to the hearings. The judgment became final on </w:t>
      </w:r>
      <w:r w:rsidRPr="006F34CD" w:rsidR="0011451F">
        <w:t>2 December 2013</w:t>
      </w:r>
      <w:r w:rsidRPr="006F34CD">
        <w:t>.</w:t>
      </w:r>
    </w:p>
    <w:p w:rsidRPr="006F34CD" w:rsidR="009B7AE8" w:rsidP="006F34CD" w:rsidRDefault="009B7AE8" w14:paraId="419BD744" w14:textId="6FF18211">
      <w:pPr>
        <w:pStyle w:val="JuPara"/>
      </w:pPr>
      <w:r w:rsidRPr="006F34CD">
        <w:fldChar w:fldCharType="begin"/>
      </w:r>
      <w:r w:rsidRPr="006F34CD">
        <w:instrText xml:space="preserve"> SEQ level0 \*arabic </w:instrText>
      </w:r>
      <w:r w:rsidRPr="006F34CD">
        <w:fldChar w:fldCharType="separate"/>
      </w:r>
      <w:r w:rsidRPr="006F34CD" w:rsidR="006F34CD">
        <w:rPr>
          <w:noProof/>
        </w:rPr>
        <w:t>48</w:t>
      </w:r>
      <w:r w:rsidRPr="006F34CD">
        <w:fldChar w:fldCharType="end"/>
      </w:r>
      <w:r w:rsidRPr="006F34CD">
        <w:t xml:space="preserve">.  On </w:t>
      </w:r>
      <w:r w:rsidRPr="006F34CD" w:rsidR="0011451F">
        <w:t>26 May 2014</w:t>
      </w:r>
      <w:r w:rsidRPr="006F34CD">
        <w:t xml:space="preserve"> </w:t>
      </w:r>
      <w:r w:rsidRPr="006F34CD" w:rsidR="000A0747">
        <w:t xml:space="preserve">a </w:t>
      </w:r>
      <w:r w:rsidRPr="006F34CD">
        <w:t xml:space="preserve">prosecutor </w:t>
      </w:r>
      <w:r w:rsidRPr="006F34CD" w:rsidR="000A0747">
        <w:t xml:space="preserve">in Birobidzhan in the Yevreyskiy Region </w:t>
      </w:r>
      <w:r w:rsidRPr="006F34CD">
        <w:t xml:space="preserve">issued an official warning </w:t>
      </w:r>
      <w:r w:rsidRPr="006F34CD" w:rsidR="000A0747">
        <w:t xml:space="preserve">letter </w:t>
      </w:r>
      <w:r w:rsidRPr="006F34CD">
        <w:t xml:space="preserve">to the </w:t>
      </w:r>
      <w:r w:rsidRPr="006F34CD" w:rsidR="000A0747">
        <w:t>local organisation of Jehovah</w:t>
      </w:r>
      <w:r w:rsidRPr="006F34CD" w:rsidR="006F34CD">
        <w:t>’</w:t>
      </w:r>
      <w:r w:rsidRPr="006F34CD" w:rsidR="000A0747">
        <w:t>s Witnesses</w:t>
      </w:r>
      <w:r w:rsidRPr="006F34CD">
        <w:t>. With reference to the judgment of the Leninskiy District Court of Vladimir, he advised the applicants to cease the distribution of the brochure</w:t>
      </w:r>
      <w:r w:rsidRPr="006F34CD" w:rsidR="000A0747">
        <w:t>s</w:t>
      </w:r>
      <w:r w:rsidRPr="006F34CD">
        <w:t>.</w:t>
      </w:r>
    </w:p>
    <w:bookmarkStart w:name="paragraph00049" w:id="44"/>
    <w:p w:rsidRPr="006F34CD" w:rsidR="009B7AE8" w:rsidP="006F34CD" w:rsidRDefault="009B7AE8" w14:paraId="129E2FCF" w14:textId="6A62342D">
      <w:pPr>
        <w:pStyle w:val="JuPara"/>
      </w:pPr>
      <w:r w:rsidRPr="006F34CD">
        <w:fldChar w:fldCharType="begin"/>
      </w:r>
      <w:r w:rsidRPr="006F34CD">
        <w:instrText xml:space="preserve"> SEQ level0 \*arabic </w:instrText>
      </w:r>
      <w:r w:rsidRPr="006F34CD">
        <w:fldChar w:fldCharType="separate"/>
      </w:r>
      <w:r w:rsidRPr="006F34CD" w:rsidR="006F34CD">
        <w:rPr>
          <w:noProof/>
        </w:rPr>
        <w:t>49</w:t>
      </w:r>
      <w:r w:rsidRPr="006F34CD">
        <w:fldChar w:fldCharType="end"/>
      </w:r>
      <w:bookmarkEnd w:id="44"/>
      <w:r w:rsidRPr="006F34CD">
        <w:t xml:space="preserve">.  Having thus become aware of the judgment of the Leninskiy District Court, the applicants appealed against it, requesting the District Court to restore the time-limit for lodging an appeal. On </w:t>
      </w:r>
      <w:r w:rsidRPr="006F34CD" w:rsidR="0011451F">
        <w:t>7 August 2014</w:t>
      </w:r>
      <w:r w:rsidRPr="006F34CD">
        <w:t xml:space="preserve"> the District Court dismissed their request, finding that the judgment did not interfere with the applicants</w:t>
      </w:r>
      <w:r w:rsidRPr="006F34CD" w:rsidR="006F34CD">
        <w:t>’</w:t>
      </w:r>
      <w:r w:rsidRPr="006F34CD">
        <w:t xml:space="preserve"> rights and that they </w:t>
      </w:r>
      <w:r w:rsidRPr="006F34CD" w:rsidR="002105AC">
        <w:t>did not</w:t>
      </w:r>
      <w:r w:rsidRPr="006F34CD">
        <w:t xml:space="preserve"> give a valid reason for missing the time-limit for appeal. On </w:t>
      </w:r>
      <w:r w:rsidRPr="006F34CD" w:rsidR="0011451F">
        <w:t>7 October 2014</w:t>
      </w:r>
      <w:r w:rsidRPr="006F34CD">
        <w:t xml:space="preserve"> the Vladimir Regional Court upheld this decision on appeal.</w:t>
      </w:r>
    </w:p>
    <w:p w:rsidRPr="006F34CD" w:rsidR="00F27848" w:rsidP="006F34CD" w:rsidRDefault="00F27848" w14:paraId="599CE573" w14:textId="77777777">
      <w:pPr>
        <w:pStyle w:val="JuHA"/>
      </w:pPr>
      <w:bookmarkStart w:name="_Ref76487396" w:id="45"/>
      <w:bookmarkStart w:name="_Toc97301907" w:id="46"/>
      <w:r w:rsidRPr="006F34CD">
        <w:t>Prosecution of applicant</w:t>
      </w:r>
      <w:r w:rsidRPr="006F34CD" w:rsidR="00D67D02">
        <w:t>s</w:t>
      </w:r>
      <w:r w:rsidRPr="006F34CD">
        <w:t xml:space="preserve"> for distributing “extremist</w:t>
      </w:r>
      <w:r w:rsidRPr="006F34CD" w:rsidR="00D67D02">
        <w:t>”</w:t>
      </w:r>
      <w:r w:rsidRPr="006F34CD">
        <w:t xml:space="preserve"> </w:t>
      </w:r>
      <w:bookmarkEnd w:id="45"/>
      <w:r w:rsidRPr="006F34CD" w:rsidR="00D67D02">
        <w:t>literature</w:t>
      </w:r>
      <w:bookmarkEnd w:id="46"/>
    </w:p>
    <w:p w:rsidRPr="006F34CD" w:rsidR="00587DCF" w:rsidP="006F34CD" w:rsidRDefault="00CB6108" w14:paraId="73E88D09" w14:textId="3348A9AA">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50</w:t>
      </w:r>
      <w:r>
        <w:rPr>
          <w:noProof/>
        </w:rPr>
        <w:fldChar w:fldCharType="end"/>
      </w:r>
      <w:r w:rsidRPr="006F34CD" w:rsidR="00F1551E">
        <w:t>.  In the second half of 2010 individual Jehovah</w:t>
      </w:r>
      <w:r w:rsidRPr="006F34CD" w:rsidR="006F34CD">
        <w:t>’</w:t>
      </w:r>
      <w:r w:rsidRPr="006F34CD" w:rsidR="00F1551E">
        <w:t xml:space="preserve">s Witnesses were prosecuted for using the religious literature declared to be “extremist” in </w:t>
      </w:r>
      <w:r w:rsidRPr="006F34CD" w:rsidR="0022768B">
        <w:t>religious</w:t>
      </w:r>
      <w:r w:rsidRPr="006F34CD" w:rsidR="00F1551E">
        <w:t xml:space="preserve"> ministry.</w:t>
      </w:r>
    </w:p>
    <w:p w:rsidRPr="006F34CD" w:rsidR="00F1551E" w:rsidP="006F34CD" w:rsidRDefault="00CB6108" w14:paraId="7A007B17" w14:textId="3206E90E">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51</w:t>
      </w:r>
      <w:r>
        <w:rPr>
          <w:noProof/>
        </w:rPr>
        <w:fldChar w:fldCharType="end"/>
      </w:r>
      <w:r w:rsidRPr="006F34CD" w:rsidR="00374E4F">
        <w:t>.  </w:t>
      </w:r>
      <w:r w:rsidRPr="006F34CD" w:rsidR="00F1551E">
        <w:t xml:space="preserve">Mr Boltnyev and Mr Mardonov in Tatarstan </w:t>
      </w:r>
      <w:r w:rsidRPr="006F34CD" w:rsidR="00374E4F">
        <w:t xml:space="preserve">(applications nos. 3488/11 and 3492/11) </w:t>
      </w:r>
      <w:r w:rsidRPr="006F34CD" w:rsidR="00F1551E">
        <w:t>were stopped by the police in the street. The police demanded to see their documents and contents of their bags; on discovering Jehovah</w:t>
      </w:r>
      <w:r w:rsidRPr="006F34CD" w:rsidR="006F34CD">
        <w:t>’</w:t>
      </w:r>
      <w:r w:rsidRPr="006F34CD" w:rsidR="00F1551E">
        <w:t>s Witnesses</w:t>
      </w:r>
      <w:r w:rsidRPr="006F34CD" w:rsidR="006F34CD">
        <w:t>’</w:t>
      </w:r>
      <w:r w:rsidRPr="006F34CD" w:rsidR="00F1551E">
        <w:t xml:space="preserve"> literature, the police took them to the station</w:t>
      </w:r>
      <w:r w:rsidRPr="006F34CD" w:rsidR="00374E4F">
        <w:t xml:space="preserve"> and seize</w:t>
      </w:r>
      <w:r w:rsidRPr="006F34CD" w:rsidR="00ED7AF6">
        <w:t>d</w:t>
      </w:r>
      <w:r w:rsidRPr="006F34CD" w:rsidR="00374E4F">
        <w:t xml:space="preserve"> all the literature in their possession, including their personal Bibles and notepads. On </w:t>
      </w:r>
      <w:r w:rsidRPr="006F34CD" w:rsidR="00B618C2">
        <w:t>9 June 2010</w:t>
      </w:r>
      <w:r w:rsidRPr="006F34CD" w:rsidR="00374E4F">
        <w:t xml:space="preserve"> the magistrates</w:t>
      </w:r>
      <w:r w:rsidRPr="006F34CD" w:rsidR="006F34CD">
        <w:t>’</w:t>
      </w:r>
      <w:r w:rsidRPr="006F34CD" w:rsidR="00374E4F">
        <w:t xml:space="preserve"> court in Nizhnekamsk found them guilty of “mass dissemination of extremist material”, an offence under </w:t>
      </w:r>
      <w:r w:rsidRPr="006F34CD" w:rsidR="00B618C2">
        <w:t>Article 2</w:t>
      </w:r>
      <w:r w:rsidRPr="006F34CD" w:rsidR="00374E4F">
        <w:t xml:space="preserve">0.29 of the </w:t>
      </w:r>
      <w:r w:rsidRPr="006F34CD" w:rsidR="000C175F">
        <w:t>Code of Administrative Offence</w:t>
      </w:r>
      <w:r w:rsidRPr="006F34CD" w:rsidR="00D31F93">
        <w:t>s</w:t>
      </w:r>
      <w:r w:rsidRPr="006F34CD" w:rsidR="000C175F">
        <w:t xml:space="preserve"> (</w:t>
      </w:r>
      <w:r w:rsidRPr="006F34CD" w:rsidR="00374E4F">
        <w:t>CAO</w:t>
      </w:r>
      <w:r w:rsidRPr="006F34CD" w:rsidR="000C175F">
        <w:t>)</w:t>
      </w:r>
      <w:r w:rsidRPr="006F34CD" w:rsidR="00374E4F">
        <w:t xml:space="preserve"> on the basis the fact that they had in their possession the book </w:t>
      </w:r>
      <w:r w:rsidRPr="006F34CD" w:rsidR="00374E4F">
        <w:rPr>
          <w:i/>
        </w:rPr>
        <w:t>What Does the Bible Really Teach?</w:t>
      </w:r>
      <w:r w:rsidRPr="006F34CD" w:rsidR="00374E4F">
        <w:t xml:space="preserve"> which had been previously declared extremist. </w:t>
      </w:r>
      <w:r w:rsidRPr="006F34CD" w:rsidR="00194C02">
        <w:t xml:space="preserve">They were fined </w:t>
      </w:r>
      <w:r w:rsidRPr="006F34CD" w:rsidR="00B618C2">
        <w:t>1</w:t>
      </w:r>
      <w:r w:rsidRPr="006F34CD" w:rsidR="00194C02">
        <w:t xml:space="preserve">,000 </w:t>
      </w:r>
      <w:r w:rsidRPr="006F34CD" w:rsidR="00BC5C07">
        <w:t xml:space="preserve">Russian roubles (RUB) </w:t>
      </w:r>
      <w:r w:rsidRPr="006F34CD" w:rsidR="00194C02">
        <w:t xml:space="preserve">each. </w:t>
      </w:r>
      <w:r w:rsidRPr="006F34CD" w:rsidR="00374E4F">
        <w:t>On 7 July 2010 the Nizhnekamsk Town Court rejected their appeals.</w:t>
      </w:r>
    </w:p>
    <w:p w:rsidRPr="006F34CD" w:rsidR="00374E4F" w:rsidP="006F34CD" w:rsidRDefault="00CB6108" w14:paraId="7F7F23CD" w14:textId="590357E9">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52</w:t>
      </w:r>
      <w:r>
        <w:rPr>
          <w:noProof/>
        </w:rPr>
        <w:fldChar w:fldCharType="end"/>
      </w:r>
      <w:r w:rsidRPr="006F34CD" w:rsidR="00374E4F">
        <w:t>.  In the case of Mr Aliyev in Birobidzhan (application no. 14821/11), a certain Mr M., posing as a member of the public, attended a meeting of the local congregation of Jehovah</w:t>
      </w:r>
      <w:r w:rsidRPr="006F34CD" w:rsidR="006F34CD">
        <w:t>’</w:t>
      </w:r>
      <w:r w:rsidRPr="006F34CD" w:rsidR="00374E4F">
        <w:t>s Witnesses with the stated aim of “studying the religion”. He made audio recording of the meeting and provided it to the Birobidzhan prosecutor, claiming that he was concerned about distribution of extremist literature.</w:t>
      </w:r>
      <w:r w:rsidRPr="006F34CD" w:rsidR="00194C02">
        <w:t xml:space="preserve"> A joint team of the police, prosecutors and security services interrupted a religious meeting on </w:t>
      </w:r>
      <w:r w:rsidRPr="006F34CD" w:rsidR="00B618C2">
        <w:t>31 March 2010</w:t>
      </w:r>
      <w:r w:rsidRPr="006F34CD" w:rsidR="00194C02">
        <w:t xml:space="preserve"> in which a partial copy of religious textbook </w:t>
      </w:r>
      <w:r w:rsidRPr="006F34CD" w:rsidR="00194C02">
        <w:rPr>
          <w:i/>
          <w:iCs/>
        </w:rPr>
        <w:t xml:space="preserve">Come be my Follower </w:t>
      </w:r>
      <w:r w:rsidRPr="006F34CD" w:rsidR="00194C02">
        <w:t>was being used. By judgment of 26 May 2010, as upheld on appeal on 11 August 2010 by the Birobidzhan Town Court, the magistrates</w:t>
      </w:r>
      <w:r w:rsidRPr="006F34CD" w:rsidR="006F34CD">
        <w:t>’</w:t>
      </w:r>
      <w:r w:rsidRPr="006F34CD" w:rsidR="00194C02">
        <w:t xml:space="preserve"> court found Mr Aliyev guilty of mass dissemination of extremist material, noting that he had allowed the text to be distributed and commented upon in his presence, and fined him </w:t>
      </w:r>
      <w:r w:rsidRPr="006F34CD" w:rsidR="00B618C2">
        <w:t>RUB 3</w:t>
      </w:r>
      <w:r w:rsidRPr="006F34CD" w:rsidR="00194C02">
        <w:t>,000.</w:t>
      </w:r>
    </w:p>
    <w:bookmarkStart w:name="paragraph00053" w:id="47"/>
    <w:p w:rsidRPr="006F34CD" w:rsidR="00D67D02" w:rsidP="006F34CD" w:rsidRDefault="00194C02" w14:paraId="4B8D78D1" w14:textId="0E43441F">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53</w:t>
      </w:r>
      <w:r w:rsidRPr="006F34CD">
        <w:fldChar w:fldCharType="end"/>
      </w:r>
      <w:bookmarkEnd w:id="47"/>
      <w:r w:rsidRPr="006F34CD">
        <w:t>.  Mr Fedorin in the Rostov Region (application no. 17552/11), one of Jehovah</w:t>
      </w:r>
      <w:r w:rsidRPr="006F34CD" w:rsidR="006F34CD">
        <w:t>’</w:t>
      </w:r>
      <w:r w:rsidRPr="006F34CD">
        <w:t xml:space="preserve">s Witnesses since 1959 who </w:t>
      </w:r>
      <w:r w:rsidRPr="006F34CD" w:rsidR="00C4226A">
        <w:t xml:space="preserve">had been </w:t>
      </w:r>
      <w:r w:rsidRPr="006F34CD" w:rsidR="00D67D02">
        <w:t>sentenced to six years</w:t>
      </w:r>
      <w:r w:rsidRPr="006F34CD" w:rsidR="006F34CD">
        <w:t>’</w:t>
      </w:r>
      <w:r w:rsidRPr="006F34CD" w:rsidR="00D67D02">
        <w:t xml:space="preserve"> imprisonment </w:t>
      </w:r>
      <w:r w:rsidRPr="006F34CD">
        <w:t xml:space="preserve">in 1972 </w:t>
      </w:r>
      <w:r w:rsidRPr="006F34CD" w:rsidR="00D67D02">
        <w:t xml:space="preserve">for </w:t>
      </w:r>
      <w:r w:rsidRPr="006F34CD">
        <w:t xml:space="preserve">his religious convictions, was found guilty </w:t>
      </w:r>
      <w:r w:rsidRPr="006F34CD" w:rsidR="001C11BD">
        <w:t>of</w:t>
      </w:r>
      <w:r w:rsidRPr="006F34CD">
        <w:t xml:space="preserve"> </w:t>
      </w:r>
      <w:r w:rsidRPr="006F34CD" w:rsidR="001C11BD">
        <w:t xml:space="preserve">the </w:t>
      </w:r>
      <w:r w:rsidRPr="006F34CD">
        <w:t>distributi</w:t>
      </w:r>
      <w:r w:rsidRPr="006F34CD" w:rsidR="001C11BD">
        <w:t>on</w:t>
      </w:r>
      <w:r w:rsidRPr="006F34CD">
        <w:t xml:space="preserve"> </w:t>
      </w:r>
      <w:r w:rsidRPr="006F34CD" w:rsidR="001C11BD">
        <w:t xml:space="preserve">of </w:t>
      </w:r>
      <w:r w:rsidRPr="006F34CD">
        <w:t xml:space="preserve">religious literature, including “extremist” publications, among residents of the village of Sredniy Yegorlyk. He was fined </w:t>
      </w:r>
      <w:r w:rsidRPr="006F34CD" w:rsidR="00B618C2">
        <w:t>RUB 1</w:t>
      </w:r>
      <w:r w:rsidRPr="006F34CD">
        <w:t>,000 (final decision – 21 September 2010, the Tselinskiy District Court).</w:t>
      </w:r>
    </w:p>
    <w:bookmarkStart w:name="paragraph00054" w:id="48"/>
    <w:p w:rsidRPr="006F34CD" w:rsidR="00D67D02" w:rsidP="006F34CD" w:rsidRDefault="00194C02" w14:paraId="0D60C1D2" w14:textId="1D22ADF8">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54</w:t>
      </w:r>
      <w:r w:rsidRPr="006F34CD">
        <w:fldChar w:fldCharType="end"/>
      </w:r>
      <w:bookmarkEnd w:id="48"/>
      <w:r w:rsidRPr="006F34CD">
        <w:t>.  </w:t>
      </w:r>
      <w:r w:rsidRPr="006F34CD" w:rsidR="001C11BD">
        <w:t xml:space="preserve">The police entered the flat of </w:t>
      </w:r>
      <w:r w:rsidRPr="006F34CD" w:rsidR="00D67D02">
        <w:t>Ms Chekhovskaya in Belgorod (application no. 17552/11)</w:t>
      </w:r>
      <w:r w:rsidRPr="006F34CD" w:rsidR="001C11BD">
        <w:t xml:space="preserve"> acting on information received from her grandfather</w:t>
      </w:r>
      <w:r w:rsidRPr="006F34CD" w:rsidR="00D60B3E">
        <w:t>,</w:t>
      </w:r>
      <w:r w:rsidRPr="006F34CD" w:rsidR="001C11BD">
        <w:t xml:space="preserve"> who </w:t>
      </w:r>
      <w:r w:rsidRPr="006F34CD" w:rsidR="00D60B3E">
        <w:t xml:space="preserve">had </w:t>
      </w:r>
      <w:r w:rsidRPr="006F34CD" w:rsidR="001C11BD">
        <w:t xml:space="preserve">let them in without a search warrant in </w:t>
      </w:r>
      <w:r w:rsidRPr="006F34CD" w:rsidR="00ED7AF6">
        <w:t>her</w:t>
      </w:r>
      <w:r w:rsidRPr="006F34CD" w:rsidR="001C11BD">
        <w:t xml:space="preserve"> absence.</w:t>
      </w:r>
      <w:r w:rsidRPr="006F34CD" w:rsidR="001621EE">
        <w:t xml:space="preserve"> </w:t>
      </w:r>
      <w:r w:rsidRPr="006F34CD" w:rsidR="001C11BD">
        <w:t>The officers seized Ms Chekhovskaya</w:t>
      </w:r>
      <w:r w:rsidRPr="006F34CD" w:rsidR="006F34CD">
        <w:t>’</w:t>
      </w:r>
      <w:r w:rsidRPr="006F34CD" w:rsidR="001C11BD">
        <w:t>s entire personal library of religious literature, including books, journals, hymn</w:t>
      </w:r>
      <w:r w:rsidRPr="006F34CD" w:rsidR="00D60B3E">
        <w:t xml:space="preserve"> </w:t>
      </w:r>
      <w:r w:rsidRPr="006F34CD" w:rsidR="001C11BD">
        <w:t xml:space="preserve">books and Bibles. By judgment of 27 July 2010, as upheld on appeal on 14 September 2010 by the Sverdlovskiy District Court of Belgorod, she was found guilty of possession of extremist literature with the intent of </w:t>
      </w:r>
      <w:r w:rsidRPr="006F34CD" w:rsidR="007346BD">
        <w:t>mass dissemination</w:t>
      </w:r>
      <w:r w:rsidRPr="006F34CD" w:rsidR="001C11BD">
        <w:t xml:space="preserve"> and fined </w:t>
      </w:r>
      <w:r w:rsidRPr="006F34CD" w:rsidR="00B618C2">
        <w:t>RUB 1</w:t>
      </w:r>
      <w:r w:rsidRPr="006F34CD" w:rsidR="001C11BD">
        <w:t>,000.</w:t>
      </w:r>
    </w:p>
    <w:p w:rsidRPr="006F34CD" w:rsidR="00D67D02" w:rsidP="006F34CD" w:rsidRDefault="00CB6108" w14:paraId="53F84B3D" w14:textId="47CABB6B">
      <w:pPr>
        <w:pStyle w:val="JuPara"/>
      </w:pPr>
      <w:r>
        <w:rPr>
          <w:noProof/>
        </w:rPr>
        <w:fldChar w:fldCharType="begin"/>
      </w:r>
      <w:r>
        <w:rPr>
          <w:noProof/>
        </w:rPr>
        <w:instrText xml:space="preserve"> SEQ leve</w:instrText>
      </w:r>
      <w:r>
        <w:rPr>
          <w:noProof/>
        </w:rPr>
        <w:instrText xml:space="preserve">l0 \*arabic \* MERGEFORMAT </w:instrText>
      </w:r>
      <w:r>
        <w:rPr>
          <w:noProof/>
        </w:rPr>
        <w:fldChar w:fldCharType="separate"/>
      </w:r>
      <w:r w:rsidRPr="006F34CD" w:rsidR="006F34CD">
        <w:rPr>
          <w:noProof/>
        </w:rPr>
        <w:t>55</w:t>
      </w:r>
      <w:r>
        <w:rPr>
          <w:noProof/>
        </w:rPr>
        <w:fldChar w:fldCharType="end"/>
      </w:r>
      <w:r w:rsidRPr="006F34CD" w:rsidR="00D60B3E">
        <w:t>.  </w:t>
      </w:r>
      <w:r w:rsidRPr="006F34CD" w:rsidR="00D67D02">
        <w:t>Ms Savelyeva in Yoshkar-Ola (application no. 17552/11)</w:t>
      </w:r>
      <w:r w:rsidRPr="006F34CD" w:rsidR="00D60B3E">
        <w:t xml:space="preserve"> and her fellow believers were placed under surveillance by the Centre for Suppression of Extremism (CSE) of the Mariy El Police Department.</w:t>
      </w:r>
      <w:r w:rsidRPr="006F34CD" w:rsidR="001621EE">
        <w:t xml:space="preserve"> </w:t>
      </w:r>
      <w:r w:rsidRPr="006F34CD" w:rsidR="00D60B3E">
        <w:t xml:space="preserve">They were detained in a joint operation carried out by the chief, deputy chief and a senior officer from the CSE, and an officer from the Department for the Protection of the Constitution. </w:t>
      </w:r>
      <w:r w:rsidRPr="006F34CD" w:rsidR="00C4226A">
        <w:t xml:space="preserve">By judgment of </w:t>
      </w:r>
      <w:r w:rsidRPr="006F34CD" w:rsidR="00D67D02">
        <w:t>12 October 2010</w:t>
      </w:r>
      <w:r w:rsidRPr="006F34CD" w:rsidR="00C4226A">
        <w:t xml:space="preserve">, as upheld on appeal on </w:t>
      </w:r>
      <w:r w:rsidRPr="006F34CD" w:rsidR="003179D7">
        <w:t>22 December 2010</w:t>
      </w:r>
      <w:r w:rsidRPr="006F34CD" w:rsidR="00C4226A">
        <w:t xml:space="preserve"> by the Yoshkar-Ola Town Court,</w:t>
      </w:r>
      <w:r w:rsidRPr="006F34CD" w:rsidR="00D67D02">
        <w:t xml:space="preserve"> </w:t>
      </w:r>
      <w:r w:rsidRPr="006F34CD" w:rsidR="00C4226A">
        <w:t>she was</w:t>
      </w:r>
      <w:r w:rsidRPr="006F34CD" w:rsidR="00D67D02">
        <w:t xml:space="preserve"> found guilty of </w:t>
      </w:r>
      <w:r w:rsidRPr="006F34CD" w:rsidR="00ED7AF6">
        <w:t>disseminating</w:t>
      </w:r>
      <w:r w:rsidRPr="006F34CD" w:rsidR="00D67D02">
        <w:t xml:space="preserve"> </w:t>
      </w:r>
      <w:r w:rsidRPr="006F34CD" w:rsidR="00D60B3E">
        <w:t xml:space="preserve">one </w:t>
      </w:r>
      <w:r w:rsidRPr="006F34CD" w:rsidR="00D67D02">
        <w:t>title of extremist literature</w:t>
      </w:r>
      <w:r w:rsidRPr="006F34CD" w:rsidR="00D60B3E">
        <w:t xml:space="preserve"> and intending to </w:t>
      </w:r>
      <w:r w:rsidRPr="006F34CD" w:rsidR="00ED7AF6">
        <w:t>disseminate</w:t>
      </w:r>
      <w:r w:rsidRPr="006F34CD" w:rsidR="00D60B3E">
        <w:t xml:space="preserve"> two others</w:t>
      </w:r>
      <w:r w:rsidRPr="006F34CD" w:rsidR="00C4226A">
        <w:t xml:space="preserve"> and</w:t>
      </w:r>
      <w:r w:rsidRPr="006F34CD" w:rsidR="00D67D02">
        <w:t xml:space="preserve"> fined </w:t>
      </w:r>
      <w:r w:rsidRPr="006F34CD" w:rsidR="0011451F">
        <w:t>RUB 1</w:t>
      </w:r>
      <w:r w:rsidRPr="006F34CD" w:rsidR="00D67D02">
        <w:t>,200</w:t>
      </w:r>
      <w:r w:rsidRPr="006F34CD" w:rsidR="00D60B3E">
        <w:t>.</w:t>
      </w:r>
    </w:p>
    <w:p w:rsidRPr="006F34CD" w:rsidR="00587DCF" w:rsidP="006F34CD" w:rsidRDefault="00CB6108" w14:paraId="71C5A589" w14:textId="03794DE9">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56</w:t>
      </w:r>
      <w:r>
        <w:rPr>
          <w:noProof/>
        </w:rPr>
        <w:fldChar w:fldCharType="end"/>
      </w:r>
      <w:r w:rsidRPr="006F34CD" w:rsidR="00D60B3E">
        <w:t xml:space="preserve">.  On 7 October 2010 officers from the Department for the Protection of the Constitution of the Samara division of the </w:t>
      </w:r>
      <w:r w:rsidRPr="006F34CD" w:rsidR="00D6567D">
        <w:t>FSB</w:t>
      </w:r>
      <w:r w:rsidRPr="006F34CD" w:rsidR="00D60B3E">
        <w:t xml:space="preserve"> arrived at the residence of Ms Ebenal in the Samara Region (application no. 17552/11). They showed her a court order authorising the inspection of her apartment and asked her to hand over her religious literature</w:t>
      </w:r>
      <w:r w:rsidRPr="006F34CD" w:rsidR="00EE573B">
        <w:t xml:space="preserve">, since it was alleged </w:t>
      </w:r>
      <w:r w:rsidRPr="006F34CD" w:rsidR="00D60B3E">
        <w:t xml:space="preserve">that she had distributed the publication </w:t>
      </w:r>
      <w:r w:rsidRPr="006F34CD" w:rsidR="00D60B3E">
        <w:rPr>
          <w:i/>
          <w:iCs/>
        </w:rPr>
        <w:t xml:space="preserve">What Does the Bible Really Teach? </w:t>
      </w:r>
      <w:r w:rsidRPr="006F34CD" w:rsidR="00D60B3E">
        <w:t xml:space="preserve">in the spring of that year. The officers seized her entire personal library of religious publications. By judgment of 15 November 2010, as upheld on appeal on 29 December 2010 by the Volzhskiy District Court of Samara Region, she was found guilty of </w:t>
      </w:r>
      <w:r w:rsidRPr="006F34CD" w:rsidR="007346BD">
        <w:t>mass dissemination</w:t>
      </w:r>
      <w:r w:rsidRPr="006F34CD" w:rsidR="00D60B3E">
        <w:t xml:space="preserve"> of extremist materials and fined </w:t>
      </w:r>
      <w:r w:rsidRPr="006F34CD" w:rsidR="00B618C2">
        <w:t>RUB 1</w:t>
      </w:r>
      <w:r w:rsidRPr="006F34CD" w:rsidR="00D60B3E">
        <w:t>,000.</w:t>
      </w:r>
    </w:p>
    <w:p w:rsidRPr="006F34CD" w:rsidR="00D60B3E" w:rsidP="006F34CD" w:rsidRDefault="00CB6108" w14:paraId="66CE0928" w14:textId="72535491">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57</w:t>
      </w:r>
      <w:r>
        <w:rPr>
          <w:noProof/>
        </w:rPr>
        <w:fldChar w:fldCharType="end"/>
      </w:r>
      <w:r w:rsidRPr="006F34CD" w:rsidR="00B618C2">
        <w:t>.  </w:t>
      </w:r>
      <w:r w:rsidRPr="006F34CD" w:rsidR="00D60B3E">
        <w:t xml:space="preserve">In the case of Ms Belimova in Tver (application no. 17552/11), she was initially </w:t>
      </w:r>
      <w:r w:rsidRPr="006F34CD" w:rsidR="00447581">
        <w:t xml:space="preserve">found guilty of </w:t>
      </w:r>
      <w:r w:rsidRPr="006F34CD" w:rsidR="007346BD">
        <w:t>mass dissemination</w:t>
      </w:r>
      <w:r w:rsidRPr="006F34CD" w:rsidR="00447581">
        <w:t xml:space="preserve"> of extremist material </w:t>
      </w:r>
      <w:r w:rsidRPr="006F34CD" w:rsidR="00252110">
        <w:t xml:space="preserve">on the grounds </w:t>
      </w:r>
      <w:r w:rsidRPr="006F34CD" w:rsidR="00447581">
        <w:t xml:space="preserve">that she had supplied religious publications to </w:t>
      </w:r>
      <w:r w:rsidRPr="006F34CD" w:rsidR="00B618C2">
        <w:t>Ms F</w:t>
      </w:r>
      <w:r w:rsidRPr="006F34CD" w:rsidR="00447581">
        <w:t xml:space="preserve">. and also studied Bible with her (final judgment of 18 March 2011 by the Tsentralniy District Court of Tver). </w:t>
      </w:r>
      <w:r w:rsidRPr="006F34CD" w:rsidR="00B618C2">
        <w:t>On 18 October 2011 the President of the Tver Regional Court quashed the judgments by way of supervisory review and discontinued the proceedings because communication of extremist materials to one another person did not constitute “</w:t>
      </w:r>
      <w:r w:rsidRPr="006F34CD" w:rsidR="007346BD">
        <w:t>mass dissemination</w:t>
      </w:r>
      <w:r w:rsidRPr="006F34CD" w:rsidR="00B618C2">
        <w:t>” of such materials. The order to confiscate and destroy thirty-eight publications which had been declared extremist was maintained.</w:t>
      </w:r>
    </w:p>
    <w:p w:rsidRPr="006F34CD" w:rsidR="004D3F90" w:rsidP="006F34CD" w:rsidRDefault="004D3F90" w14:paraId="09421E46" w14:textId="77777777">
      <w:pPr>
        <w:pStyle w:val="JuHA"/>
        <w:rPr>
          <w:iCs/>
        </w:rPr>
      </w:pPr>
      <w:bookmarkStart w:name="_Ref76487398" w:id="49"/>
      <w:bookmarkStart w:name="_Toc97301908" w:id="50"/>
      <w:r w:rsidRPr="006F34CD">
        <w:t xml:space="preserve">Forced dissolution of the Samara organisation and confiscation of its property (application </w:t>
      </w:r>
      <w:r w:rsidRPr="006F34CD" w:rsidR="001370AA">
        <w:t>no. 1</w:t>
      </w:r>
      <w:r w:rsidRPr="006F34CD">
        <w:t>5962/15)</w:t>
      </w:r>
      <w:bookmarkEnd w:id="49"/>
      <w:bookmarkEnd w:id="50"/>
    </w:p>
    <w:p w:rsidRPr="006F34CD" w:rsidR="004D3F90" w:rsidP="006F34CD" w:rsidRDefault="00CB6108" w14:paraId="489015A2" w14:textId="22D507FD">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58</w:t>
      </w:r>
      <w:r>
        <w:rPr>
          <w:noProof/>
        </w:rPr>
        <w:fldChar w:fldCharType="end"/>
      </w:r>
      <w:r w:rsidRPr="006F34CD" w:rsidR="004D3F90">
        <w:t>.</w:t>
      </w:r>
      <w:r w:rsidRPr="006F34CD" w:rsidR="001370AA">
        <w:t>  </w:t>
      </w:r>
      <w:r w:rsidRPr="006F34CD" w:rsidR="004D3F90">
        <w:t>The applicants are the local religious organisation of Jehovah</w:t>
      </w:r>
      <w:r w:rsidRPr="006F34CD" w:rsidR="006F34CD">
        <w:t>’</w:t>
      </w:r>
      <w:r w:rsidRPr="006F34CD" w:rsidR="004D3F90">
        <w:t>s Witnesses in Samara (the “Samara LRO”) and six members of Jehovah</w:t>
      </w:r>
      <w:r w:rsidRPr="006F34CD" w:rsidR="006F34CD">
        <w:t>’</w:t>
      </w:r>
      <w:r w:rsidRPr="006F34CD" w:rsidR="004D3F90">
        <w:t>s Witnesses</w:t>
      </w:r>
      <w:r w:rsidRPr="006F34CD" w:rsidR="006F34CD">
        <w:t>’</w:t>
      </w:r>
      <w:r w:rsidRPr="006F34CD" w:rsidR="004D3F90">
        <w:t xml:space="preserve"> groups of the Samara Region, including </w:t>
      </w:r>
      <w:r w:rsidRPr="006F34CD" w:rsidR="001370AA">
        <w:t>Mr M</w:t>
      </w:r>
      <w:r w:rsidRPr="006F34CD" w:rsidR="004D3F90">
        <w:t>oskvin from the Novokuybyshevsk congregation.</w:t>
      </w:r>
      <w:r w:rsidRPr="006F34CD" w:rsidR="001370AA">
        <w:t xml:space="preserve"> </w:t>
      </w:r>
      <w:r w:rsidRPr="006F34CD" w:rsidR="004D3F90">
        <w:t xml:space="preserve">At </w:t>
      </w:r>
      <w:r w:rsidRPr="006F34CD" w:rsidR="00DF025B">
        <w:t>the</w:t>
      </w:r>
      <w:r w:rsidRPr="006F34CD" w:rsidR="004D3F90">
        <w:t xml:space="preserve"> time the Samara LRO had </w:t>
      </w:r>
      <w:r w:rsidRPr="006F34CD" w:rsidR="00DF025B">
        <w:t xml:space="preserve">a membership of </w:t>
      </w:r>
      <w:r w:rsidRPr="006F34CD" w:rsidR="004D3F90">
        <w:t>ten, but the thirteen Jehovah</w:t>
      </w:r>
      <w:r w:rsidRPr="006F34CD" w:rsidR="006F34CD">
        <w:t>’</w:t>
      </w:r>
      <w:r w:rsidRPr="006F34CD" w:rsidR="004D3F90">
        <w:t>s Witnesses congregations in the Samara Region were made up of more than 1,500 members.</w:t>
      </w:r>
    </w:p>
    <w:p w:rsidRPr="006F34CD" w:rsidR="001E754B" w:rsidP="006F34CD" w:rsidRDefault="004D3F90" w14:paraId="5A9AB626" w14:textId="7ED5844C">
      <w:pPr>
        <w:pStyle w:val="JuPara"/>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59</w:t>
      </w:r>
      <w:r w:rsidRPr="006F34CD">
        <w:rPr>
          <w:iCs/>
        </w:rPr>
        <w:fldChar w:fldCharType="end"/>
      </w:r>
      <w:r w:rsidRPr="006F34CD">
        <w:rPr>
          <w:iCs/>
        </w:rPr>
        <w:t>.</w:t>
      </w:r>
      <w:r w:rsidRPr="006F34CD" w:rsidR="001370AA">
        <w:rPr>
          <w:iCs/>
        </w:rPr>
        <w:t>  </w:t>
      </w:r>
      <w:r w:rsidRPr="006F34CD">
        <w:rPr>
          <w:iCs/>
        </w:rPr>
        <w:t xml:space="preserve">On </w:t>
      </w:r>
      <w:r w:rsidRPr="006F34CD" w:rsidR="001370AA">
        <w:rPr>
          <w:iCs/>
        </w:rPr>
        <w:t>29 January 2013</w:t>
      </w:r>
      <w:r w:rsidRPr="006F34CD">
        <w:rPr>
          <w:iCs/>
        </w:rPr>
        <w:t xml:space="preserve"> the Novokuybyshevsk town police in the Samara Region inspected the premises rented by the Samara LRO in which the Novokuybyshevsk congregation held their religious services. During the inspection, ten issues of the brochures </w:t>
      </w:r>
      <w:r w:rsidRPr="006F34CD">
        <w:t xml:space="preserve">which had been declared extremist by the Rostov court were uncovered and seized. </w:t>
      </w:r>
      <w:r w:rsidRPr="006F34CD" w:rsidR="001370AA">
        <w:t>Mr M</w:t>
      </w:r>
      <w:r w:rsidRPr="006F34CD">
        <w:t xml:space="preserve">oskvin, an “elder” (religious minister) of the </w:t>
      </w:r>
      <w:r w:rsidRPr="006F34CD">
        <w:rPr>
          <w:iCs/>
        </w:rPr>
        <w:t>Novokuybyshevsk congregation,</w:t>
      </w:r>
      <w:r w:rsidRPr="006F34CD">
        <w:t xml:space="preserve"> was charged with “mass dissemination of extremist material” under </w:t>
      </w:r>
      <w:r w:rsidRPr="006F34CD" w:rsidR="001370AA">
        <w:t>Article 2</w:t>
      </w:r>
      <w:r w:rsidRPr="006F34CD">
        <w:t xml:space="preserve">0.29 of the </w:t>
      </w:r>
      <w:r w:rsidRPr="006F34CD" w:rsidR="00D96B59">
        <w:t>CAO</w:t>
      </w:r>
      <w:r w:rsidRPr="006F34CD">
        <w:t xml:space="preserve">. By judgment of </w:t>
      </w:r>
      <w:r w:rsidRPr="006F34CD" w:rsidR="001370AA">
        <w:t>3 April 2013</w:t>
      </w:r>
      <w:r w:rsidRPr="006F34CD">
        <w:t xml:space="preserve">, as upheld on appeal on </w:t>
      </w:r>
      <w:r w:rsidRPr="006F34CD" w:rsidR="001370AA">
        <w:t>13 May 2013</w:t>
      </w:r>
      <w:r w:rsidRPr="006F34CD">
        <w:t xml:space="preserve">, the Novokuybyshevsk Town Court fined him </w:t>
      </w:r>
      <w:r w:rsidRPr="006F34CD" w:rsidR="001370AA">
        <w:t>RUB 3</w:t>
      </w:r>
      <w:r w:rsidRPr="006F34CD">
        <w:t>,000.</w:t>
      </w:r>
    </w:p>
    <w:p w:rsidRPr="006F34CD" w:rsidR="004D3F90" w:rsidP="006F34CD" w:rsidRDefault="004D3F90" w14:paraId="7C4AC8E3" w14:textId="5DB210A7">
      <w:pPr>
        <w:pStyle w:val="JuPara"/>
      </w:pPr>
      <w:r w:rsidRPr="006F34CD">
        <w:fldChar w:fldCharType="begin"/>
      </w:r>
      <w:r w:rsidRPr="006F34CD">
        <w:instrText xml:space="preserve"> SEQ level0 \*arabic </w:instrText>
      </w:r>
      <w:r w:rsidRPr="006F34CD">
        <w:fldChar w:fldCharType="separate"/>
      </w:r>
      <w:r w:rsidRPr="006F34CD" w:rsidR="006F34CD">
        <w:rPr>
          <w:noProof/>
        </w:rPr>
        <w:t>60</w:t>
      </w:r>
      <w:r w:rsidRPr="006F34CD">
        <w:fldChar w:fldCharType="end"/>
      </w:r>
      <w:r w:rsidRPr="006F34CD">
        <w:t>.</w:t>
      </w:r>
      <w:r w:rsidRPr="006F34CD" w:rsidR="001370AA">
        <w:t>  </w:t>
      </w:r>
      <w:r w:rsidRPr="006F34CD" w:rsidR="008C3ABB">
        <w:t>Referring to Mr Moskvin</w:t>
      </w:r>
      <w:r w:rsidRPr="006F34CD" w:rsidR="006F34CD">
        <w:t>’</w:t>
      </w:r>
      <w:r w:rsidRPr="006F34CD" w:rsidR="008C3ABB">
        <w:t xml:space="preserve">s conviction, a regional </w:t>
      </w:r>
      <w:r w:rsidRPr="006F34CD">
        <w:t>prosecutor</w:t>
      </w:r>
      <w:r w:rsidRPr="006F34CD" w:rsidR="008C3ABB">
        <w:t xml:space="preserve"> </w:t>
      </w:r>
      <w:r w:rsidRPr="006F34CD">
        <w:t xml:space="preserve">issued identical warnings to the Novokuybyshevsk congregation and the Samara LRO, advising them that any form of extremist activity was prohibited on pain of liquidation. The Samara LRO replied to the prosecutor that </w:t>
      </w:r>
      <w:r w:rsidRPr="006F34CD" w:rsidR="001370AA">
        <w:t>Mr M</w:t>
      </w:r>
      <w:r w:rsidRPr="006F34CD">
        <w:t xml:space="preserve">oskvin was </w:t>
      </w:r>
      <w:r w:rsidRPr="006F34CD" w:rsidR="00D40ABA">
        <w:t xml:space="preserve">not </w:t>
      </w:r>
      <w:r w:rsidRPr="006F34CD">
        <w:t>one of its members and that the Novokuybyshevsk congregation was not a structural division of the LRO.</w:t>
      </w:r>
      <w:r w:rsidRPr="006F34CD" w:rsidR="001370AA">
        <w:t xml:space="preserve"> </w:t>
      </w:r>
      <w:r w:rsidRPr="006F34CD">
        <w:t>No reply was received to their submission.</w:t>
      </w:r>
    </w:p>
    <w:p w:rsidRPr="006F34CD" w:rsidR="001E754B" w:rsidP="006F34CD" w:rsidRDefault="004D3F90" w14:paraId="5C099AAF" w14:textId="3016C264">
      <w:pPr>
        <w:pStyle w:val="JuPara"/>
      </w:pPr>
      <w:r w:rsidRPr="006F34CD">
        <w:fldChar w:fldCharType="begin"/>
      </w:r>
      <w:r w:rsidRPr="006F34CD">
        <w:instrText xml:space="preserve"> SEQ level0 \*arabic </w:instrText>
      </w:r>
      <w:r w:rsidRPr="006F34CD">
        <w:fldChar w:fldCharType="separate"/>
      </w:r>
      <w:r w:rsidRPr="006F34CD" w:rsidR="006F34CD">
        <w:rPr>
          <w:noProof/>
        </w:rPr>
        <w:t>61</w:t>
      </w:r>
      <w:r w:rsidRPr="006F34CD">
        <w:fldChar w:fldCharType="end"/>
      </w:r>
      <w:r w:rsidRPr="006F34CD">
        <w:t>.</w:t>
      </w:r>
      <w:r w:rsidRPr="006F34CD" w:rsidR="001370AA">
        <w:t>  </w:t>
      </w:r>
      <w:r w:rsidRPr="006F34CD">
        <w:t xml:space="preserve">On </w:t>
      </w:r>
      <w:r w:rsidRPr="006F34CD" w:rsidR="001370AA">
        <w:t>22 January 2014</w:t>
      </w:r>
      <w:r w:rsidRPr="006F34CD">
        <w:t xml:space="preserve"> the Samara Regional police department decided to inspect the premises rented by the Samara LRO at the local community centre </w:t>
      </w:r>
      <w:r w:rsidRPr="006F34CD">
        <w:rPr>
          <w:iCs/>
        </w:rPr>
        <w:t>for the purpose of “collecting additional information [allowing the prosecutor] to decide on the institution of criminal proceedings”</w:t>
      </w:r>
      <w:r w:rsidRPr="006F34CD">
        <w:t xml:space="preserve">. The police were instructed to seize all objects and documents “relevant to the illegal activity”. </w:t>
      </w:r>
      <w:r w:rsidRPr="006F34CD" w:rsidR="00D40ABA">
        <w:t>In a box inside a cabinet, t</w:t>
      </w:r>
      <w:r w:rsidRPr="006F34CD">
        <w:t xml:space="preserve">hey found seven copies of four books which had been declared extremist by the Rostov court. Following the inspection, the Samara LRO was charged with </w:t>
      </w:r>
      <w:r w:rsidRPr="006F34CD" w:rsidR="00D40ABA">
        <w:t>possession</w:t>
      </w:r>
      <w:r w:rsidRPr="006F34CD">
        <w:t xml:space="preserve"> of extremist material with </w:t>
      </w:r>
      <w:r w:rsidRPr="006F34CD" w:rsidR="00D40ABA">
        <w:t>intent to</w:t>
      </w:r>
      <w:r w:rsidRPr="006F34CD">
        <w:t xml:space="preserve"> mass dissemination. By judgment of </w:t>
      </w:r>
      <w:r w:rsidRPr="006F34CD" w:rsidR="001370AA">
        <w:t>7 March 2014</w:t>
      </w:r>
      <w:r w:rsidRPr="006F34CD">
        <w:t xml:space="preserve">, as upheld on appeal on </w:t>
      </w:r>
      <w:r w:rsidRPr="006F34CD" w:rsidR="001370AA">
        <w:t>17 April 2014</w:t>
      </w:r>
      <w:r w:rsidRPr="006F34CD">
        <w:t xml:space="preserve">, the Sovetskiy District Court of Samara fined it </w:t>
      </w:r>
      <w:r w:rsidRPr="006F34CD" w:rsidR="001370AA">
        <w:t>RUB 5</w:t>
      </w:r>
      <w:r w:rsidRPr="006F34CD">
        <w:t>0,000.</w:t>
      </w:r>
    </w:p>
    <w:bookmarkStart w:name="paragraph00062" w:id="51"/>
    <w:p w:rsidRPr="006F34CD" w:rsidR="004D3F90" w:rsidP="006F34CD" w:rsidRDefault="004D3F90" w14:paraId="77800CE7" w14:textId="1FDC0015">
      <w:pPr>
        <w:pStyle w:val="JuPara"/>
      </w:pPr>
      <w:r w:rsidRPr="006F34CD">
        <w:fldChar w:fldCharType="begin"/>
      </w:r>
      <w:r w:rsidRPr="006F34CD">
        <w:instrText xml:space="preserve"> SEQ level0 \*arabic </w:instrText>
      </w:r>
      <w:r w:rsidRPr="006F34CD">
        <w:fldChar w:fldCharType="separate"/>
      </w:r>
      <w:r w:rsidRPr="006F34CD" w:rsidR="006F34CD">
        <w:rPr>
          <w:noProof/>
        </w:rPr>
        <w:t>62</w:t>
      </w:r>
      <w:r w:rsidRPr="006F34CD">
        <w:fldChar w:fldCharType="end"/>
      </w:r>
      <w:bookmarkEnd w:id="51"/>
      <w:r w:rsidRPr="006F34CD">
        <w:t>.</w:t>
      </w:r>
      <w:r w:rsidRPr="006F34CD" w:rsidR="001370AA">
        <w:t>  </w:t>
      </w:r>
      <w:r w:rsidRPr="006F34CD">
        <w:t xml:space="preserve">On </w:t>
      </w:r>
      <w:r w:rsidRPr="006F34CD" w:rsidR="001370AA">
        <w:t>22 April 2014</w:t>
      </w:r>
      <w:r w:rsidRPr="006F34CD">
        <w:t xml:space="preserve"> the Samara Regional prosecutor asked the Samara Regional Court to declare the Samara LRO </w:t>
      </w:r>
      <w:r w:rsidRPr="006F34CD" w:rsidR="00D40ABA">
        <w:t>“</w:t>
      </w:r>
      <w:r w:rsidRPr="006F34CD">
        <w:t>extremist organisation</w:t>
      </w:r>
      <w:r w:rsidRPr="006F34CD" w:rsidR="00D40ABA">
        <w:t>”</w:t>
      </w:r>
      <w:r w:rsidRPr="006F34CD">
        <w:t xml:space="preserve"> and to liquidate it. The prosecutor cited the </w:t>
      </w:r>
      <w:r w:rsidRPr="006F34CD" w:rsidR="001370AA">
        <w:t>Mr M</w:t>
      </w:r>
      <w:r w:rsidRPr="006F34CD">
        <w:t>oskvin</w:t>
      </w:r>
      <w:r w:rsidRPr="006F34CD" w:rsidR="006F34CD">
        <w:t>’</w:t>
      </w:r>
      <w:r w:rsidRPr="006F34CD">
        <w:t>s and the Samara LRO</w:t>
      </w:r>
      <w:r w:rsidRPr="006F34CD" w:rsidR="006F34CD">
        <w:t>’</w:t>
      </w:r>
      <w:r w:rsidRPr="006F34CD">
        <w:t xml:space="preserve">s convictions for </w:t>
      </w:r>
      <w:r w:rsidRPr="006F34CD" w:rsidR="00D40ABA">
        <w:t>possession</w:t>
      </w:r>
      <w:r w:rsidRPr="006F34CD">
        <w:t xml:space="preserve"> </w:t>
      </w:r>
      <w:r w:rsidRPr="006F34CD" w:rsidR="00D40ABA">
        <w:t xml:space="preserve">of </w:t>
      </w:r>
      <w:r w:rsidRPr="006F34CD">
        <w:t>extremist materials. The Samara LRO objected to the prosecutor</w:t>
      </w:r>
      <w:r w:rsidRPr="006F34CD" w:rsidR="006F34CD">
        <w:t>’</w:t>
      </w:r>
      <w:r w:rsidRPr="006F34CD">
        <w:t xml:space="preserve">s claim, by asserting that the facts of storage of extremist literature were wrongly imputed to it, since </w:t>
      </w:r>
      <w:r w:rsidRPr="006F34CD" w:rsidR="001370AA">
        <w:t>Mr M</w:t>
      </w:r>
      <w:r w:rsidRPr="006F34CD">
        <w:t>oskvin did not belong to the Samara LRO and that the Novokuybyshevsk community operated as an independent religious group.</w:t>
      </w:r>
    </w:p>
    <w:p w:rsidRPr="006F34CD" w:rsidR="004D3F90" w:rsidP="006F34CD" w:rsidRDefault="004D3F90" w14:paraId="067BF840" w14:textId="2C6F442C">
      <w:pPr>
        <w:pStyle w:val="JuPara"/>
        <w:rPr>
          <w:bCs/>
        </w:rPr>
      </w:pPr>
      <w:r w:rsidRPr="006F34CD">
        <w:fldChar w:fldCharType="begin"/>
      </w:r>
      <w:r w:rsidRPr="006F34CD">
        <w:instrText xml:space="preserve"> SEQ level0 \*arabic </w:instrText>
      </w:r>
      <w:r w:rsidRPr="006F34CD">
        <w:fldChar w:fldCharType="separate"/>
      </w:r>
      <w:r w:rsidRPr="006F34CD" w:rsidR="006F34CD">
        <w:rPr>
          <w:noProof/>
        </w:rPr>
        <w:t>63</w:t>
      </w:r>
      <w:r w:rsidRPr="006F34CD">
        <w:fldChar w:fldCharType="end"/>
      </w:r>
      <w:r w:rsidRPr="006F34CD">
        <w:t>.</w:t>
      </w:r>
      <w:r w:rsidRPr="006F34CD" w:rsidR="001370AA">
        <w:t>  </w:t>
      </w:r>
      <w:r w:rsidRPr="006F34CD">
        <w:t>The Regional Court dismissed the Samara LRO</w:t>
      </w:r>
      <w:r w:rsidRPr="006F34CD" w:rsidR="006F34CD">
        <w:t>’</w:t>
      </w:r>
      <w:r w:rsidRPr="006F34CD">
        <w:t>s arguments as an attempt to impeach the findings of the Novokuybyshevsk Town Court and the Sovetskiy District Court.</w:t>
      </w:r>
      <w:r w:rsidRPr="006F34CD" w:rsidR="001370AA">
        <w:t xml:space="preserve"> </w:t>
      </w:r>
      <w:r w:rsidRPr="006F34CD">
        <w:t xml:space="preserve">With reference to the final decisions by those courts, on </w:t>
      </w:r>
      <w:r w:rsidRPr="006F34CD" w:rsidR="001370AA">
        <w:rPr>
          <w:bCs/>
        </w:rPr>
        <w:t>29 May 2014</w:t>
      </w:r>
      <w:r w:rsidRPr="006F34CD">
        <w:rPr>
          <w:bCs/>
        </w:rPr>
        <w:t xml:space="preserve"> </w:t>
      </w:r>
      <w:r w:rsidRPr="006F34CD">
        <w:t>the Regional Court held that the Samara LRO</w:t>
      </w:r>
      <w:r w:rsidRPr="006F34CD" w:rsidR="006F34CD">
        <w:t>’</w:t>
      </w:r>
      <w:r w:rsidRPr="006F34CD">
        <w:t xml:space="preserve">s administrative conviction under </w:t>
      </w:r>
      <w:r w:rsidRPr="006F34CD" w:rsidR="001370AA">
        <w:t>Article 2</w:t>
      </w:r>
      <w:r w:rsidRPr="006F34CD">
        <w:t>0.29</w:t>
      </w:r>
      <w:r w:rsidRPr="006F34CD" w:rsidR="00D40ABA">
        <w:t>, intervening as it did</w:t>
      </w:r>
      <w:r w:rsidRPr="006F34CD">
        <w:t xml:space="preserve"> within twelve months after the prosecutor had given </w:t>
      </w:r>
      <w:r w:rsidRPr="006F34CD" w:rsidR="00D40ABA">
        <w:t>an</w:t>
      </w:r>
      <w:r w:rsidRPr="006F34CD">
        <w:t xml:space="preserve"> anti-extremism warning, constituted a sufficient ground to declare it an </w:t>
      </w:r>
      <w:r w:rsidRPr="006F34CD" w:rsidR="00D40ABA">
        <w:t>“</w:t>
      </w:r>
      <w:r w:rsidRPr="006F34CD">
        <w:t>extremist organisation</w:t>
      </w:r>
      <w:r w:rsidRPr="006F34CD" w:rsidR="00D40ABA">
        <w:t>”</w:t>
      </w:r>
      <w:r w:rsidRPr="006F34CD">
        <w:t>, to liquidate it and to confiscate its property.</w:t>
      </w:r>
    </w:p>
    <w:p w:rsidRPr="006F34CD" w:rsidR="004D3F90" w:rsidP="006F34CD" w:rsidRDefault="004D3F90" w14:paraId="5CEF6C51" w14:textId="380314B7">
      <w:pPr>
        <w:pStyle w:val="JuPara"/>
        <w:rPr>
          <w:bCs/>
        </w:rPr>
      </w:pPr>
      <w:r w:rsidRPr="006F34CD">
        <w:rPr>
          <w:bCs/>
        </w:rPr>
        <w:fldChar w:fldCharType="begin"/>
      </w:r>
      <w:r w:rsidRPr="006F34CD">
        <w:rPr>
          <w:bCs/>
        </w:rPr>
        <w:instrText xml:space="preserve"> SEQ level0 \*arabic </w:instrText>
      </w:r>
      <w:r w:rsidRPr="006F34CD">
        <w:rPr>
          <w:bCs/>
        </w:rPr>
        <w:fldChar w:fldCharType="separate"/>
      </w:r>
      <w:r w:rsidRPr="006F34CD" w:rsidR="006F34CD">
        <w:rPr>
          <w:bCs/>
          <w:noProof/>
        </w:rPr>
        <w:t>64</w:t>
      </w:r>
      <w:r w:rsidRPr="006F34CD">
        <w:rPr>
          <w:bCs/>
        </w:rPr>
        <w:fldChar w:fldCharType="end"/>
      </w:r>
      <w:r w:rsidRPr="006F34CD">
        <w:rPr>
          <w:bCs/>
        </w:rPr>
        <w:t>.</w:t>
      </w:r>
      <w:r w:rsidRPr="006F34CD" w:rsidR="001370AA">
        <w:rPr>
          <w:bCs/>
        </w:rPr>
        <w:t>  </w:t>
      </w:r>
      <w:r w:rsidRPr="006F34CD">
        <w:rPr>
          <w:bCs/>
        </w:rPr>
        <w:t xml:space="preserve">On </w:t>
      </w:r>
      <w:r w:rsidRPr="006F34CD" w:rsidR="001370AA">
        <w:rPr>
          <w:bCs/>
        </w:rPr>
        <w:t>12 November 2014</w:t>
      </w:r>
      <w:r w:rsidRPr="006F34CD">
        <w:rPr>
          <w:bCs/>
        </w:rPr>
        <w:t xml:space="preserve"> the Supreme Court dismissed </w:t>
      </w:r>
      <w:r w:rsidRPr="006F34CD" w:rsidR="008F5C19">
        <w:rPr>
          <w:bCs/>
        </w:rPr>
        <w:t>an</w:t>
      </w:r>
      <w:r w:rsidRPr="006F34CD">
        <w:rPr>
          <w:bCs/>
        </w:rPr>
        <w:t xml:space="preserve"> appeal by the Samara LRO in a summary fashion.</w:t>
      </w:r>
    </w:p>
    <w:p w:rsidRPr="006F34CD" w:rsidR="00D67D02" w:rsidP="006F34CD" w:rsidRDefault="00F80101" w14:paraId="681B3AB0" w14:textId="77777777">
      <w:pPr>
        <w:pStyle w:val="JuHA"/>
      </w:pPr>
      <w:bookmarkStart w:name="_Toc97301909" w:id="52"/>
      <w:bookmarkStart w:name="_Ref76460194" w:id="53"/>
      <w:r w:rsidRPr="006F34CD">
        <w:t>Withdrawal</w:t>
      </w:r>
      <w:r w:rsidRPr="006F34CD" w:rsidR="00B97F3A">
        <w:t xml:space="preserve"> of the </w:t>
      </w:r>
      <w:r w:rsidRPr="006F34CD" w:rsidR="00D67D02">
        <w:t>distribution permit and prosecution of applicants for the distribution unregistered media</w:t>
      </w:r>
      <w:bookmarkEnd w:id="52"/>
    </w:p>
    <w:p w:rsidRPr="006F34CD" w:rsidR="00B97F3A" w:rsidP="006F34CD" w:rsidRDefault="00D67D02" w14:paraId="77A754EA" w14:textId="77777777">
      <w:pPr>
        <w:pStyle w:val="JuH1"/>
      </w:pPr>
      <w:bookmarkStart w:name="_Toc97301910" w:id="54"/>
      <w:r w:rsidRPr="006F34CD">
        <w:t xml:space="preserve">Withdrawal of the permit to distribute religious magazines </w:t>
      </w:r>
      <w:r w:rsidRPr="006F34CD" w:rsidR="00B97F3A">
        <w:t xml:space="preserve">(application </w:t>
      </w:r>
      <w:r w:rsidRPr="006F34CD" w:rsidR="001370AA">
        <w:t>no. 7</w:t>
      </w:r>
      <w:r w:rsidRPr="006F34CD" w:rsidR="00B97F3A">
        <w:t>6162/12)</w:t>
      </w:r>
      <w:bookmarkEnd w:id="53"/>
      <w:bookmarkEnd w:id="54"/>
    </w:p>
    <w:p w:rsidRPr="006F34CD" w:rsidR="001E754B" w:rsidP="006F34CD" w:rsidRDefault="00CB6108" w14:paraId="6971932F" w14:textId="66037377">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65</w:t>
      </w:r>
      <w:r>
        <w:rPr>
          <w:noProof/>
        </w:rPr>
        <w:fldChar w:fldCharType="end"/>
      </w:r>
      <w:r w:rsidRPr="006F34CD" w:rsidR="00F80101">
        <w:t>.  </w:t>
      </w:r>
      <w:r w:rsidRPr="006F34CD" w:rsidR="00E447C5">
        <w:t>In</w:t>
      </w:r>
      <w:r w:rsidRPr="006F34CD" w:rsidR="00F27848">
        <w:t xml:space="preserve"> 1997</w:t>
      </w:r>
      <w:r w:rsidRPr="006F34CD" w:rsidR="00B97F3A">
        <w:t xml:space="preserve"> the </w:t>
      </w:r>
      <w:r w:rsidRPr="006F34CD" w:rsidR="00E447C5">
        <w:t xml:space="preserve">Russian </w:t>
      </w:r>
      <w:r w:rsidRPr="006F34CD" w:rsidR="00FF620C">
        <w:t>media regulator</w:t>
      </w:r>
      <w:r w:rsidRPr="006F34CD" w:rsidR="00B97F3A">
        <w:t xml:space="preserve"> </w:t>
      </w:r>
      <w:r w:rsidRPr="006F34CD" w:rsidR="00E447C5">
        <w:t>granted</w:t>
      </w:r>
      <w:r w:rsidRPr="006F34CD" w:rsidR="00B97F3A">
        <w:t xml:space="preserve"> </w:t>
      </w:r>
      <w:r w:rsidRPr="006F34CD" w:rsidR="00B97F3A">
        <w:rPr>
          <w:iCs/>
        </w:rPr>
        <w:t xml:space="preserve">the German publisher </w:t>
      </w:r>
      <w:r w:rsidRPr="006F34CD" w:rsidR="00F80101">
        <w:rPr>
          <w:rFonts w:eastAsia="Times New Roman"/>
        </w:rPr>
        <w:t xml:space="preserve">of </w:t>
      </w:r>
      <w:r w:rsidRPr="006F34CD" w:rsidR="00F80101">
        <w:t>the Jehovah</w:t>
      </w:r>
      <w:r w:rsidRPr="006F34CD" w:rsidR="006F34CD">
        <w:t>’</w:t>
      </w:r>
      <w:r w:rsidRPr="006F34CD" w:rsidR="00F80101">
        <w:t>s Witnesses</w:t>
      </w:r>
      <w:r w:rsidRPr="006F34CD" w:rsidR="006F34CD">
        <w:t>’</w:t>
      </w:r>
      <w:r w:rsidRPr="006F34CD" w:rsidR="00F80101">
        <w:t xml:space="preserve"> </w:t>
      </w:r>
      <w:r w:rsidRPr="006F34CD" w:rsidR="00F80101">
        <w:rPr>
          <w:i/>
          <w:iCs/>
        </w:rPr>
        <w:t xml:space="preserve">Watchtower </w:t>
      </w:r>
      <w:r w:rsidRPr="006F34CD" w:rsidR="00F80101">
        <w:t xml:space="preserve">and </w:t>
      </w:r>
      <w:r w:rsidRPr="006F34CD" w:rsidR="00F80101">
        <w:rPr>
          <w:i/>
          <w:iCs/>
        </w:rPr>
        <w:t xml:space="preserve">Awake! </w:t>
      </w:r>
      <w:r w:rsidRPr="006F34CD" w:rsidR="00F80101">
        <w:t>magazines</w:t>
      </w:r>
      <w:r w:rsidRPr="006F34CD" w:rsidR="00F80101">
        <w:rPr>
          <w:iCs/>
        </w:rPr>
        <w:t xml:space="preserve"> </w:t>
      </w:r>
      <w:r w:rsidRPr="006F34CD" w:rsidR="00E447C5">
        <w:rPr>
          <w:iCs/>
        </w:rPr>
        <w:t xml:space="preserve">a permit to distribute the magazines </w:t>
      </w:r>
      <w:r w:rsidRPr="006F34CD" w:rsidR="00B97F3A">
        <w:t xml:space="preserve">in Russia. The </w:t>
      </w:r>
      <w:r w:rsidRPr="006F34CD" w:rsidR="00B97F3A">
        <w:rPr>
          <w:iCs/>
        </w:rPr>
        <w:t xml:space="preserve">Administrative Centre </w:t>
      </w:r>
      <w:r w:rsidRPr="006F34CD" w:rsidR="00B97F3A">
        <w:t xml:space="preserve">was </w:t>
      </w:r>
      <w:r w:rsidRPr="006F34CD" w:rsidR="00E447C5">
        <w:t>listed</w:t>
      </w:r>
      <w:r w:rsidRPr="006F34CD" w:rsidR="00B97F3A">
        <w:t xml:space="preserve"> in the permit as the “applicant and distributor of the magazines” produced by the German publisher.</w:t>
      </w:r>
    </w:p>
    <w:p w:rsidRPr="006F34CD" w:rsidR="001E754B" w:rsidP="006F34CD" w:rsidRDefault="00B97F3A" w14:paraId="45286DC8" w14:textId="21F5255E">
      <w:pPr>
        <w:pStyle w:val="JuPara"/>
      </w:pPr>
      <w:r w:rsidRPr="006F34CD">
        <w:fldChar w:fldCharType="begin"/>
      </w:r>
      <w:r w:rsidRPr="006F34CD">
        <w:instrText xml:space="preserve"> SEQ level0 \*arabic </w:instrText>
      </w:r>
      <w:r w:rsidRPr="006F34CD">
        <w:fldChar w:fldCharType="separate"/>
      </w:r>
      <w:r w:rsidRPr="006F34CD" w:rsidR="006F34CD">
        <w:rPr>
          <w:noProof/>
        </w:rPr>
        <w:t>66</w:t>
      </w:r>
      <w:r w:rsidRPr="006F34CD">
        <w:fldChar w:fldCharType="end"/>
      </w:r>
      <w:r w:rsidRPr="006F34CD">
        <w:t>.</w:t>
      </w:r>
      <w:r w:rsidRPr="006F34CD" w:rsidR="001370AA">
        <w:t>  </w:t>
      </w:r>
      <w:r w:rsidRPr="006F34CD">
        <w:t xml:space="preserve">On </w:t>
      </w:r>
      <w:r w:rsidRPr="006F34CD" w:rsidR="001370AA">
        <w:t>26 April 2010</w:t>
      </w:r>
      <w:r w:rsidRPr="006F34CD">
        <w:t xml:space="preserve"> the </w:t>
      </w:r>
      <w:r w:rsidRPr="006F34CD" w:rsidR="00E447C5">
        <w:t xml:space="preserve">successor </w:t>
      </w:r>
      <w:r w:rsidRPr="006F34CD" w:rsidR="00FF620C">
        <w:t>media regulator</w:t>
      </w:r>
      <w:r w:rsidRPr="006F34CD">
        <w:t xml:space="preserve"> (k</w:t>
      </w:r>
      <w:r w:rsidRPr="006F34CD" w:rsidR="00F27848">
        <w:t>nown by its Russian abbreviation “</w:t>
      </w:r>
      <w:r w:rsidRPr="006F34CD" w:rsidR="00F27848">
        <w:rPr>
          <w:iCs/>
        </w:rPr>
        <w:t>Roskomnadzor”)</w:t>
      </w:r>
      <w:r w:rsidRPr="006F34CD" w:rsidR="00F27848">
        <w:t xml:space="preserve"> issued an order to </w:t>
      </w:r>
      <w:r w:rsidRPr="006F34CD" w:rsidR="003F4439">
        <w:t>withdraw</w:t>
      </w:r>
      <w:r w:rsidRPr="006F34CD" w:rsidR="00F27848">
        <w:t xml:space="preserve"> the permit.</w:t>
      </w:r>
      <w:r w:rsidRPr="006F34CD" w:rsidR="00FF620C">
        <w:t xml:space="preserve"> </w:t>
      </w:r>
      <w:r w:rsidRPr="006F34CD">
        <w:t>The order referred to the judgments by the Rostov Regional Court and the Gor</w:t>
      </w:r>
      <w:r w:rsidRPr="006F34CD" w:rsidR="00F27848">
        <w:t>no-Altaysk Town Court by which</w:t>
      </w:r>
      <w:r w:rsidRPr="006F34CD" w:rsidR="007132EA">
        <w:t xml:space="preserve"> certain</w:t>
      </w:r>
      <w:r w:rsidRPr="006F34CD" w:rsidR="00F27848">
        <w:t xml:space="preserve"> issues of the magazines had been pronounced extremist.</w:t>
      </w:r>
    </w:p>
    <w:p w:rsidRPr="006F34CD" w:rsidR="00F27848" w:rsidP="006F34CD" w:rsidRDefault="00B97F3A" w14:paraId="3B08673A" w14:textId="5950369F">
      <w:pPr>
        <w:pStyle w:val="JuPara"/>
      </w:pPr>
      <w:r w:rsidRPr="006F34CD">
        <w:fldChar w:fldCharType="begin"/>
      </w:r>
      <w:r w:rsidRPr="006F34CD">
        <w:instrText xml:space="preserve"> SEQ level0 \*arabic </w:instrText>
      </w:r>
      <w:r w:rsidRPr="006F34CD">
        <w:fldChar w:fldCharType="separate"/>
      </w:r>
      <w:r w:rsidRPr="006F34CD" w:rsidR="006F34CD">
        <w:rPr>
          <w:noProof/>
        </w:rPr>
        <w:t>67</w:t>
      </w:r>
      <w:r w:rsidRPr="006F34CD">
        <w:fldChar w:fldCharType="end"/>
      </w:r>
      <w:r w:rsidRPr="006F34CD">
        <w:t>.</w:t>
      </w:r>
      <w:r w:rsidRPr="006F34CD" w:rsidR="001370AA">
        <w:t>  </w:t>
      </w:r>
      <w:r w:rsidRPr="006F34CD">
        <w:t xml:space="preserve">The applicants challenged the order </w:t>
      </w:r>
      <w:r w:rsidRPr="006F34CD" w:rsidR="003F4439">
        <w:t xml:space="preserve">in </w:t>
      </w:r>
      <w:r w:rsidRPr="006F34CD">
        <w:t xml:space="preserve">court. The courts at two instances upheld the validity of the order but on </w:t>
      </w:r>
      <w:r w:rsidRPr="006F34CD" w:rsidR="001370AA">
        <w:t>22 June 2011</w:t>
      </w:r>
      <w:r w:rsidRPr="006F34CD">
        <w:t xml:space="preserve"> the Federal Commercial Court of the Moscow Circuit ruled to quash their judgments and remit the matter for a </w:t>
      </w:r>
      <w:r w:rsidRPr="006F34CD" w:rsidR="003F4439">
        <w:t>new hearing</w:t>
      </w:r>
      <w:r w:rsidRPr="006F34CD">
        <w:t xml:space="preserve">. It found in particular that the lower courts had </w:t>
      </w:r>
      <w:r w:rsidRPr="006F34CD" w:rsidR="00F27848">
        <w:t xml:space="preserve">not established </w:t>
      </w:r>
      <w:r w:rsidRPr="006F34CD" w:rsidR="003F4439">
        <w:t>a legal basis</w:t>
      </w:r>
      <w:r w:rsidRPr="006F34CD" w:rsidR="00F27848">
        <w:t xml:space="preserve"> granting Roskomnadzor the </w:t>
      </w:r>
      <w:r w:rsidRPr="006F34CD" w:rsidR="003F4439">
        <w:t>power</w:t>
      </w:r>
      <w:r w:rsidRPr="006F34CD" w:rsidR="00F27848">
        <w:t xml:space="preserve"> to revoke permits.</w:t>
      </w:r>
    </w:p>
    <w:bookmarkStart w:name="paragraph00068" w:id="55"/>
    <w:p w:rsidRPr="006F34CD" w:rsidR="00F27848" w:rsidP="006F34CD" w:rsidRDefault="00F27848" w14:paraId="4C6CE02E" w14:textId="01620FF9">
      <w:pPr>
        <w:pStyle w:val="JuPara"/>
      </w:pPr>
      <w:r w:rsidRPr="006F34CD">
        <w:fldChar w:fldCharType="begin"/>
      </w:r>
      <w:r w:rsidRPr="006F34CD">
        <w:instrText xml:space="preserve"> SEQ level0 \*arabic </w:instrText>
      </w:r>
      <w:r w:rsidRPr="006F34CD">
        <w:fldChar w:fldCharType="separate"/>
      </w:r>
      <w:r w:rsidRPr="006F34CD" w:rsidR="006F34CD">
        <w:rPr>
          <w:noProof/>
        </w:rPr>
        <w:t>68</w:t>
      </w:r>
      <w:r w:rsidRPr="006F34CD">
        <w:fldChar w:fldCharType="end"/>
      </w:r>
      <w:bookmarkEnd w:id="55"/>
      <w:r w:rsidRPr="006F34CD">
        <w:t>.</w:t>
      </w:r>
      <w:r w:rsidRPr="006F34CD" w:rsidR="001370AA">
        <w:t>  </w:t>
      </w:r>
      <w:r w:rsidRPr="006F34CD">
        <w:t xml:space="preserve">On </w:t>
      </w:r>
      <w:r w:rsidRPr="006F34CD" w:rsidR="001370AA">
        <w:t>6</w:t>
      </w:r>
      <w:r w:rsidRPr="006F34CD" w:rsidR="00DD29B3">
        <w:t xml:space="preserve"> </w:t>
      </w:r>
      <w:r w:rsidRPr="006F34CD" w:rsidR="001370AA">
        <w:t>October 2011</w:t>
      </w:r>
      <w:r w:rsidRPr="006F34CD">
        <w:t xml:space="preserve"> the Moscow City Commercial Court </w:t>
      </w:r>
      <w:r w:rsidRPr="006F34CD" w:rsidR="003F4439">
        <w:t>found that</w:t>
      </w:r>
      <w:r w:rsidRPr="006F34CD">
        <w:t xml:space="preserve"> that the order had been unlawful:</w:t>
      </w:r>
    </w:p>
    <w:p w:rsidRPr="006F34CD" w:rsidR="00F27848" w:rsidP="006F34CD" w:rsidRDefault="00F27848" w14:paraId="07E122D3" w14:textId="501FA4B5">
      <w:pPr>
        <w:pStyle w:val="JuQuot"/>
      </w:pPr>
      <w:r w:rsidRPr="006F34CD">
        <w:t>“</w:t>
      </w:r>
      <w:r w:rsidRPr="006F34CD" w:rsidR="001E754B">
        <w:t>...</w:t>
      </w:r>
      <w:r w:rsidRPr="006F34CD" w:rsidR="001621EE">
        <w:t xml:space="preserve"> </w:t>
      </w:r>
      <w:r w:rsidRPr="006F34CD">
        <w:t xml:space="preserve">the law does not authorise [Roskomnadzor] to revoke a permit to distribute a foreign </w:t>
      </w:r>
      <w:r w:rsidRPr="006F34CD" w:rsidR="00401053">
        <w:t>print</w:t>
      </w:r>
      <w:r w:rsidRPr="006F34CD" w:rsidR="007132EA">
        <w:t>ed</w:t>
      </w:r>
      <w:r w:rsidRPr="006F34CD" w:rsidR="00401053">
        <w:t xml:space="preserve"> </w:t>
      </w:r>
      <w:r w:rsidRPr="006F34CD">
        <w:t xml:space="preserve">periodical </w:t>
      </w:r>
      <w:r w:rsidRPr="006F34CD" w:rsidR="001E754B">
        <w:t>...</w:t>
      </w:r>
      <w:r w:rsidRPr="006F34CD">
        <w:t xml:space="preserve"> the disputed order indicates that all issues of the magazines </w:t>
      </w:r>
      <w:r w:rsidRPr="006F34CD" w:rsidR="007132EA">
        <w:t>are prohibited for distribution in Russia</w:t>
      </w:r>
      <w:r w:rsidRPr="006F34CD">
        <w:t xml:space="preserve">, whereas court decisions declared only </w:t>
      </w:r>
      <w:r w:rsidRPr="006F34CD" w:rsidR="007132EA">
        <w:t>individual</w:t>
      </w:r>
      <w:r w:rsidRPr="006F34CD">
        <w:t xml:space="preserve"> issues of these periodical</w:t>
      </w:r>
      <w:r w:rsidRPr="006F34CD" w:rsidR="00401053">
        <w:t>s</w:t>
      </w:r>
      <w:r w:rsidRPr="006F34CD">
        <w:t xml:space="preserve"> extremist.</w:t>
      </w:r>
    </w:p>
    <w:p w:rsidRPr="006F34CD" w:rsidR="00B97F3A" w:rsidP="006F34CD" w:rsidRDefault="001E754B" w14:paraId="6301B185" w14:textId="77777777">
      <w:pPr>
        <w:pStyle w:val="JuQuot"/>
      </w:pPr>
      <w:r w:rsidRPr="006F34CD">
        <w:t>...</w:t>
      </w:r>
      <w:r w:rsidRPr="006F34CD" w:rsidR="00F27848">
        <w:t xml:space="preserve"> [Roskomnadzor] did not present adequate evidence to establish that court</w:t>
      </w:r>
      <w:r w:rsidRPr="006F34CD" w:rsidR="007132EA">
        <w:t>s had</w:t>
      </w:r>
      <w:r w:rsidRPr="006F34CD" w:rsidR="00F27848">
        <w:t xml:space="preserve"> declared extremist all issues of the </w:t>
      </w:r>
      <w:r w:rsidRPr="006F34CD" w:rsidR="007132EA">
        <w:t xml:space="preserve">printed </w:t>
      </w:r>
      <w:r w:rsidRPr="006F34CD" w:rsidR="00F27848">
        <w:t>periodical</w:t>
      </w:r>
      <w:r w:rsidRPr="006F34CD" w:rsidR="007132EA">
        <w:t>s</w:t>
      </w:r>
      <w:r w:rsidRPr="006F34CD" w:rsidR="00F27848">
        <w:t xml:space="preserve"> </w:t>
      </w:r>
      <w:r w:rsidRPr="006F34CD" w:rsidR="00F27848">
        <w:rPr>
          <w:i/>
          <w:iCs/>
        </w:rPr>
        <w:t xml:space="preserve">Awake! </w:t>
      </w:r>
      <w:r w:rsidRPr="006F34CD" w:rsidR="00F27848">
        <w:t xml:space="preserve">and </w:t>
      </w:r>
      <w:r w:rsidRPr="006F34CD" w:rsidR="00F27848">
        <w:rPr>
          <w:i/>
          <w:iCs/>
        </w:rPr>
        <w:t>The Watchtower</w:t>
      </w:r>
      <w:r w:rsidRPr="006F34CD" w:rsidR="00F27848">
        <w:t>.</w:t>
      </w:r>
      <w:r w:rsidRPr="006F34CD" w:rsidR="001370AA">
        <w:t xml:space="preserve"> </w:t>
      </w:r>
      <w:r w:rsidRPr="006F34CD" w:rsidR="00B97F3A">
        <w:t xml:space="preserve">Thus, its revocation of the permit to distribute all issues of the </w:t>
      </w:r>
      <w:r w:rsidRPr="006F34CD" w:rsidR="003F4439">
        <w:t xml:space="preserve">printed </w:t>
      </w:r>
      <w:r w:rsidRPr="006F34CD" w:rsidR="00B97F3A">
        <w:t>periodical</w:t>
      </w:r>
      <w:r w:rsidRPr="006F34CD" w:rsidR="003F4439">
        <w:t>s</w:t>
      </w:r>
      <w:r w:rsidRPr="006F34CD" w:rsidR="00B97F3A">
        <w:t xml:space="preserve"> </w:t>
      </w:r>
      <w:r w:rsidRPr="006F34CD" w:rsidR="00B97F3A">
        <w:rPr>
          <w:i/>
          <w:iCs/>
        </w:rPr>
        <w:t xml:space="preserve">Awake! </w:t>
      </w:r>
      <w:r w:rsidRPr="006F34CD" w:rsidR="00B97F3A">
        <w:t xml:space="preserve">and </w:t>
      </w:r>
      <w:r w:rsidRPr="006F34CD" w:rsidR="00B97F3A">
        <w:rPr>
          <w:i/>
          <w:iCs/>
        </w:rPr>
        <w:t xml:space="preserve">The Watchtower </w:t>
      </w:r>
      <w:r w:rsidRPr="006F34CD" w:rsidR="00B97F3A">
        <w:t xml:space="preserve">in </w:t>
      </w:r>
      <w:r w:rsidRPr="006F34CD" w:rsidR="003F4439">
        <w:t>Russia</w:t>
      </w:r>
      <w:r w:rsidRPr="006F34CD" w:rsidR="00B97F3A">
        <w:t xml:space="preserve"> </w:t>
      </w:r>
      <w:r w:rsidRPr="006F34CD" w:rsidR="003F4439">
        <w:t>was</w:t>
      </w:r>
      <w:r w:rsidRPr="006F34CD" w:rsidR="00B97F3A">
        <w:t xml:space="preserve"> unlawful.”</w:t>
      </w:r>
    </w:p>
    <w:bookmarkStart w:name="paragraph00069" w:id="56"/>
    <w:p w:rsidRPr="006F34CD" w:rsidR="00B97F3A" w:rsidP="006F34CD" w:rsidRDefault="00B97F3A" w14:paraId="53043659" w14:textId="784959FD">
      <w:pPr>
        <w:pStyle w:val="JuPara"/>
      </w:pPr>
      <w:r w:rsidRPr="006F34CD">
        <w:fldChar w:fldCharType="begin"/>
      </w:r>
      <w:r w:rsidRPr="006F34CD">
        <w:instrText xml:space="preserve"> SEQ level0 \*arabic </w:instrText>
      </w:r>
      <w:r w:rsidRPr="006F34CD">
        <w:fldChar w:fldCharType="separate"/>
      </w:r>
      <w:r w:rsidRPr="006F34CD" w:rsidR="006F34CD">
        <w:rPr>
          <w:noProof/>
        </w:rPr>
        <w:t>69</w:t>
      </w:r>
      <w:r w:rsidRPr="006F34CD">
        <w:fldChar w:fldCharType="end"/>
      </w:r>
      <w:bookmarkEnd w:id="56"/>
      <w:r w:rsidRPr="006F34CD">
        <w:t>.</w:t>
      </w:r>
      <w:r w:rsidRPr="006F34CD" w:rsidR="001370AA">
        <w:t>  </w:t>
      </w:r>
      <w:r w:rsidRPr="006F34CD">
        <w:t xml:space="preserve">On </w:t>
      </w:r>
      <w:r w:rsidRPr="006F34CD" w:rsidR="001370AA">
        <w:t>25 January 2012</w:t>
      </w:r>
      <w:r w:rsidRPr="006F34CD">
        <w:t xml:space="preserve"> the Commercial Court of the Ninth Circuit overturned the City Court</w:t>
      </w:r>
      <w:r w:rsidRPr="006F34CD" w:rsidR="006F34CD">
        <w:t>’</w:t>
      </w:r>
      <w:r w:rsidRPr="006F34CD">
        <w:t>s judgment</w:t>
      </w:r>
      <w:r w:rsidRPr="006F34CD" w:rsidR="003F4439">
        <w:t xml:space="preserve"> on the grounds </w:t>
      </w:r>
      <w:r w:rsidRPr="006F34CD">
        <w:t xml:space="preserve">that using mass media for the promotion of extremism was prohibited in the Mass-Media Act and that the functioning of </w:t>
      </w:r>
      <w:r w:rsidRPr="006F34CD" w:rsidR="003F4439">
        <w:t>a</w:t>
      </w:r>
      <w:r w:rsidRPr="006F34CD">
        <w:t xml:space="preserve"> media </w:t>
      </w:r>
      <w:r w:rsidRPr="006F34CD" w:rsidR="00FF620C">
        <w:t xml:space="preserve">outlet </w:t>
      </w:r>
      <w:r w:rsidRPr="006F34CD">
        <w:t>promoting extremism should be terminated in accordance with the Suppression of Extremism Act.</w:t>
      </w:r>
    </w:p>
    <w:bookmarkStart w:name="paragraph00070" w:id="57"/>
    <w:p w:rsidRPr="006F34CD" w:rsidR="00B97F3A" w:rsidP="006F34CD" w:rsidRDefault="00B97F3A" w14:paraId="63A5D7E9" w14:textId="5189F531">
      <w:pPr>
        <w:pStyle w:val="JuPara"/>
      </w:pPr>
      <w:r w:rsidRPr="006F34CD">
        <w:fldChar w:fldCharType="begin"/>
      </w:r>
      <w:r w:rsidRPr="006F34CD">
        <w:instrText xml:space="preserve"> SEQ level0 \*arabic </w:instrText>
      </w:r>
      <w:r w:rsidRPr="006F34CD">
        <w:fldChar w:fldCharType="separate"/>
      </w:r>
      <w:r w:rsidRPr="006F34CD" w:rsidR="006F34CD">
        <w:rPr>
          <w:noProof/>
        </w:rPr>
        <w:t>70</w:t>
      </w:r>
      <w:r w:rsidRPr="006F34CD">
        <w:fldChar w:fldCharType="end"/>
      </w:r>
      <w:bookmarkEnd w:id="57"/>
      <w:r w:rsidRPr="006F34CD">
        <w:t>.</w:t>
      </w:r>
      <w:r w:rsidRPr="006F34CD" w:rsidR="001370AA">
        <w:t>  </w:t>
      </w:r>
      <w:r w:rsidRPr="006F34CD">
        <w:t xml:space="preserve">On </w:t>
      </w:r>
      <w:r w:rsidRPr="006F34CD" w:rsidR="001370AA">
        <w:t>29 May 2012</w:t>
      </w:r>
      <w:r w:rsidRPr="006F34CD">
        <w:t xml:space="preserve"> the Federal Commercial Court of the Moscow Circuit upheld that judgment, </w:t>
      </w:r>
      <w:r w:rsidRPr="006F34CD" w:rsidR="009A468E">
        <w:t>finding a legal basis for the revocation in</w:t>
      </w:r>
      <w:r w:rsidRPr="006F34CD">
        <w:t xml:space="preserve"> </w:t>
      </w:r>
      <w:r w:rsidRPr="006F34CD" w:rsidR="001370AA">
        <w:t>section 3</w:t>
      </w:r>
      <w:r w:rsidRPr="006F34CD">
        <w:t>2 of the Mass</w:t>
      </w:r>
      <w:r w:rsidRPr="006F34CD" w:rsidR="009A468E">
        <w:t xml:space="preserve"> </w:t>
      </w:r>
      <w:r w:rsidRPr="006F34CD">
        <w:t>Media Act:</w:t>
      </w:r>
    </w:p>
    <w:p w:rsidRPr="006F34CD" w:rsidR="00F27848" w:rsidP="006F34CD" w:rsidRDefault="00B97F3A" w14:paraId="6C58EED7" w14:textId="0892C393">
      <w:pPr>
        <w:pStyle w:val="JuQuot"/>
      </w:pPr>
      <w:r w:rsidRPr="006F34CD">
        <w:t xml:space="preserve">“In view of the fact that </w:t>
      </w:r>
      <w:r w:rsidRPr="006F34CD" w:rsidR="009A468E">
        <w:t xml:space="preserve">the </w:t>
      </w:r>
      <w:r w:rsidRPr="006F34CD">
        <w:t xml:space="preserve">legislation does </w:t>
      </w:r>
      <w:r w:rsidRPr="006F34CD" w:rsidR="00F27848">
        <w:t xml:space="preserve">not directly regulate the revocation of a permit to distribute foreign </w:t>
      </w:r>
      <w:r w:rsidRPr="006F34CD" w:rsidR="007132EA">
        <w:t xml:space="preserve">printed </w:t>
      </w:r>
      <w:r w:rsidRPr="006F34CD" w:rsidR="00F27848">
        <w:t>periodical</w:t>
      </w:r>
      <w:r w:rsidRPr="006F34CD" w:rsidR="007132EA">
        <w:t>s</w:t>
      </w:r>
      <w:r w:rsidRPr="006F34CD" w:rsidR="00F27848">
        <w:t>, Roskomnadzor used</w:t>
      </w:r>
      <w:r w:rsidRPr="006F34CD" w:rsidR="00FF620C">
        <w:t>, by</w:t>
      </w:r>
      <w:r w:rsidRPr="006F34CD" w:rsidR="00F27848">
        <w:t xml:space="preserve"> an analogy of law, </w:t>
      </w:r>
      <w:r w:rsidRPr="006F34CD" w:rsidR="00FF620C">
        <w:t xml:space="preserve">the </w:t>
      </w:r>
      <w:r w:rsidRPr="006F34CD" w:rsidR="00F27848">
        <w:t xml:space="preserve">legislation governing a similar situation – </w:t>
      </w:r>
      <w:r w:rsidRPr="006F34CD" w:rsidR="001370AA">
        <w:t>section 3</w:t>
      </w:r>
      <w:r w:rsidRPr="006F34CD" w:rsidR="00F27848">
        <w:t xml:space="preserve">2 of the Mass-Media Act, </w:t>
      </w:r>
      <w:r w:rsidRPr="006F34CD" w:rsidR="006F34CD">
        <w:t>‘</w:t>
      </w:r>
      <w:r w:rsidRPr="006F34CD" w:rsidR="00F27848">
        <w:t>Revocation of a License</w:t>
      </w:r>
      <w:r w:rsidRPr="006F34CD" w:rsidR="006F34CD">
        <w:t>’</w:t>
      </w:r>
      <w:r w:rsidRPr="006F34CD" w:rsidR="00F27848">
        <w:t xml:space="preserve"> – in issuing the order.”</w:t>
      </w:r>
    </w:p>
    <w:bookmarkStart w:name="paragraph00071" w:id="58"/>
    <w:p w:rsidRPr="006F34CD" w:rsidR="00F27848" w:rsidP="006F34CD" w:rsidRDefault="00F27848" w14:paraId="2ACFAF35" w14:textId="32B97DF8">
      <w:pPr>
        <w:pStyle w:val="JuPara"/>
      </w:pPr>
      <w:r w:rsidRPr="006F34CD">
        <w:fldChar w:fldCharType="begin"/>
      </w:r>
      <w:r w:rsidRPr="006F34CD">
        <w:instrText xml:space="preserve"> SEQ level0 \*arabic </w:instrText>
      </w:r>
      <w:r w:rsidRPr="006F34CD">
        <w:fldChar w:fldCharType="separate"/>
      </w:r>
      <w:r w:rsidRPr="006F34CD" w:rsidR="006F34CD">
        <w:rPr>
          <w:noProof/>
        </w:rPr>
        <w:t>71</w:t>
      </w:r>
      <w:r w:rsidRPr="006F34CD">
        <w:fldChar w:fldCharType="end"/>
      </w:r>
      <w:bookmarkEnd w:id="58"/>
      <w:r w:rsidRPr="006F34CD">
        <w:t>.</w:t>
      </w:r>
      <w:r w:rsidRPr="006F34CD" w:rsidR="001370AA">
        <w:t>  </w:t>
      </w:r>
      <w:r w:rsidRPr="006F34CD">
        <w:t xml:space="preserve">On </w:t>
      </w:r>
      <w:r w:rsidRPr="006F34CD" w:rsidR="001370AA">
        <w:t>25 October 2012</w:t>
      </w:r>
      <w:r w:rsidRPr="006F34CD">
        <w:t xml:space="preserve"> the Supreme Commercial Court refused the applicants</w:t>
      </w:r>
      <w:r w:rsidRPr="006F34CD" w:rsidR="006F34CD">
        <w:t>’</w:t>
      </w:r>
      <w:r w:rsidRPr="006F34CD">
        <w:t xml:space="preserve"> supervisory appeal.</w:t>
      </w:r>
    </w:p>
    <w:p w:rsidRPr="006F34CD" w:rsidR="00D67D02" w:rsidP="006F34CD" w:rsidRDefault="00017101" w14:paraId="7C815CE4" w14:textId="77777777">
      <w:pPr>
        <w:pStyle w:val="JuH1"/>
      </w:pPr>
      <w:bookmarkStart w:name="_Toc97301911" w:id="59"/>
      <w:r w:rsidRPr="006F34CD">
        <w:t xml:space="preserve">Prosecution of </w:t>
      </w:r>
      <w:r w:rsidRPr="006F34CD" w:rsidR="00DF56D9">
        <w:t>applicants</w:t>
      </w:r>
      <w:r w:rsidRPr="006F34CD">
        <w:t xml:space="preserve"> for the distribution of unregistered media</w:t>
      </w:r>
      <w:r w:rsidRPr="006F34CD" w:rsidR="00D67D02">
        <w:t xml:space="preserve"> (application no. 17552/11)</w:t>
      </w:r>
      <w:bookmarkEnd w:id="59"/>
    </w:p>
    <w:bookmarkStart w:name="paragraph00072" w:id="60"/>
    <w:p w:rsidRPr="006F34CD" w:rsidR="00017101" w:rsidP="006F34CD" w:rsidRDefault="00D67D02" w14:paraId="09D59277" w14:textId="25D42B71">
      <w:pPr>
        <w:pStyle w:val="JuPara"/>
      </w:pPr>
      <w:r w:rsidRPr="006F34CD">
        <w:fldChar w:fldCharType="begin"/>
      </w:r>
      <w:r w:rsidRPr="006F34CD">
        <w:instrText xml:space="preserve"> SEQ level0 \*arabic </w:instrText>
      </w:r>
      <w:r w:rsidRPr="006F34CD">
        <w:fldChar w:fldCharType="separate"/>
      </w:r>
      <w:r w:rsidRPr="006F34CD" w:rsidR="006F34CD">
        <w:rPr>
          <w:noProof/>
        </w:rPr>
        <w:t>72</w:t>
      </w:r>
      <w:r w:rsidRPr="006F34CD">
        <w:fldChar w:fldCharType="end"/>
      </w:r>
      <w:bookmarkEnd w:id="60"/>
      <w:r w:rsidRPr="006F34CD">
        <w:t>.  </w:t>
      </w:r>
      <w:r w:rsidRPr="006F34CD" w:rsidR="00017101">
        <w:t xml:space="preserve">In the second half of 2010 the authorities obtained copies of </w:t>
      </w:r>
      <w:r w:rsidRPr="006F34CD" w:rsidR="00017101">
        <w:rPr>
          <w:i/>
          <w:iCs/>
        </w:rPr>
        <w:t xml:space="preserve">The Watchtower </w:t>
      </w:r>
      <w:r w:rsidRPr="006F34CD" w:rsidR="00017101">
        <w:t xml:space="preserve">and </w:t>
      </w:r>
      <w:r w:rsidRPr="006F34CD" w:rsidR="00017101">
        <w:rPr>
          <w:i/>
          <w:iCs/>
        </w:rPr>
        <w:t xml:space="preserve">Awake! </w:t>
      </w:r>
      <w:r w:rsidRPr="006F34CD" w:rsidR="00017101">
        <w:t xml:space="preserve">magazines in various ways. In the case of </w:t>
      </w:r>
      <w:r w:rsidRPr="006F34CD" w:rsidR="0011451F">
        <w:t>Mr S</w:t>
      </w:r>
      <w:r w:rsidRPr="006F34CD" w:rsidR="00017101">
        <w:t xml:space="preserve">irotyuk in the Primorskiy Region, the head of the village administration and an assistant district prosecutor had asked him for “some religious literature” during a religious meeting. </w:t>
      </w:r>
      <w:r w:rsidRPr="006F34CD" w:rsidR="0011451F">
        <w:t>Mr E</w:t>
      </w:r>
      <w:r w:rsidRPr="006F34CD" w:rsidR="00017101">
        <w:t xml:space="preserve">beling in the Smolensk Region was stopped by the police on his way home; they asked him to show them the contents of his bag on the grounds that they had been ordered to detain anyone distributing “banned literature”. In another case from the Primorskiy Region, the police set up video surveillance in a car parked near the building where applicant Mr Konyukhov lived; they also asked a member of the public to go to his flat and obtain magazines from him. In the case of </w:t>
      </w:r>
      <w:r w:rsidRPr="006F34CD" w:rsidR="0011451F">
        <w:t>Ms B</w:t>
      </w:r>
      <w:r w:rsidRPr="006F34CD" w:rsidR="00017101">
        <w:t>ondareva from the Kamchatka Region, the police seized magazines from the homes of individuals who told the police that they had received them from her. Lastly, in the case of Mr Komarov in Udmurtiya, the police stopped the car in which he was travelling and seized the publications from the boot of the car.</w:t>
      </w:r>
    </w:p>
    <w:bookmarkStart w:name="paragraph00073" w:id="61"/>
    <w:p w:rsidRPr="006F34CD" w:rsidR="00017101" w:rsidP="006F34CD" w:rsidRDefault="00B640EB" w14:paraId="6160879D" w14:textId="336FB8F4">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73</w:t>
      </w:r>
      <w:r w:rsidRPr="006F34CD">
        <w:rPr>
          <w:noProof/>
        </w:rPr>
        <w:fldChar w:fldCharType="end"/>
      </w:r>
      <w:bookmarkEnd w:id="61"/>
      <w:r w:rsidRPr="006F34CD" w:rsidR="00017101">
        <w:t xml:space="preserve">.  In all cases, the applicants were found guilty on charges of distributing unregistered magazines, an offence under </w:t>
      </w:r>
      <w:r w:rsidRPr="006F34CD" w:rsidR="0011451F">
        <w:t>Article 1</w:t>
      </w:r>
      <w:r w:rsidRPr="006F34CD" w:rsidR="00017101">
        <w:t xml:space="preserve">3.21 of the CAO, and were fined between </w:t>
      </w:r>
      <w:r w:rsidRPr="006F34CD" w:rsidR="0011451F">
        <w:t>RUB 1</w:t>
      </w:r>
      <w:r w:rsidRPr="006F34CD" w:rsidR="00017101">
        <w:t>,000 to 1,200. The court decisions included an order to confiscate and destroy the publications.</w:t>
      </w:r>
      <w:r w:rsidRPr="006F34CD" w:rsidR="005D376F">
        <w:t xml:space="preserve"> The final decisions were issued as follows: </w:t>
      </w:r>
      <w:r w:rsidRPr="006F34CD" w:rsidR="00B618C2">
        <w:t>Mr S</w:t>
      </w:r>
      <w:r w:rsidRPr="006F34CD" w:rsidR="005D376F">
        <w:t xml:space="preserve">irotyuk: 19 November 2010, the Khankayskiy District Court of the Primorskiy Region; </w:t>
      </w:r>
      <w:r w:rsidRPr="006F34CD" w:rsidR="00B618C2">
        <w:t>Mr E</w:t>
      </w:r>
      <w:r w:rsidRPr="006F34CD" w:rsidR="005D376F">
        <w:t xml:space="preserve">beling: 13 September 2010, the Gagarinskiy District Court of the Smolensk Region; </w:t>
      </w:r>
      <w:r w:rsidRPr="006F34CD" w:rsidR="00B618C2">
        <w:t>Mr K</w:t>
      </w:r>
      <w:r w:rsidRPr="006F34CD" w:rsidR="005D376F">
        <w:t xml:space="preserve">onyukhov: 30 September 2010, the Pogranichniy District Court of the Primorskiy Region; </w:t>
      </w:r>
      <w:r w:rsidRPr="006F34CD" w:rsidR="00B618C2">
        <w:t>Ms B</w:t>
      </w:r>
      <w:r w:rsidRPr="006F34CD" w:rsidR="005D376F">
        <w:t>ondareva: 7 December 2010, the Ust</w:t>
      </w:r>
      <w:r w:rsidRPr="006F34CD" w:rsidR="005B41A3">
        <w:noBreakHyphen/>
      </w:r>
      <w:r w:rsidRPr="006F34CD" w:rsidR="005D376F">
        <w:t xml:space="preserve">Bolsheretskiy District Court of the Kamchatka Region; and </w:t>
      </w:r>
      <w:r w:rsidRPr="006F34CD" w:rsidR="00B618C2">
        <w:t>Mr K</w:t>
      </w:r>
      <w:r w:rsidRPr="006F34CD" w:rsidR="005D376F">
        <w:t>omarov: 21 December 2010, the Oktyabrskiy District Court of Izhevsk.</w:t>
      </w:r>
    </w:p>
    <w:p w:rsidRPr="006F34CD" w:rsidR="00F1479A" w:rsidP="006F34CD" w:rsidRDefault="00F1479A" w14:paraId="4F3F8E91" w14:textId="77777777">
      <w:pPr>
        <w:pStyle w:val="JuHA"/>
      </w:pPr>
      <w:bookmarkStart w:name="_Ref78291315" w:id="62"/>
      <w:bookmarkStart w:name="_Toc97301912" w:id="63"/>
      <w:bookmarkStart w:name="_Ref76460026" w:id="64"/>
      <w:r w:rsidRPr="006F34CD">
        <w:t>Seizure of a consignment of religious literature (application no. 5547/12)</w:t>
      </w:r>
      <w:bookmarkEnd w:id="62"/>
      <w:bookmarkEnd w:id="63"/>
    </w:p>
    <w:bookmarkStart w:name="paragraph00074" w:id="65"/>
    <w:p w:rsidRPr="006F34CD" w:rsidR="00587DCF" w:rsidP="006F34CD" w:rsidRDefault="00F1479A" w14:paraId="46228B8D" w14:textId="1A2B21E1">
      <w:pPr>
        <w:pStyle w:val="JuPara"/>
      </w:pPr>
      <w:r w:rsidRPr="006F34CD">
        <w:fldChar w:fldCharType="begin"/>
      </w:r>
      <w:r w:rsidRPr="006F34CD">
        <w:instrText xml:space="preserve"> SEQ level0 \*arabic </w:instrText>
      </w:r>
      <w:r w:rsidRPr="006F34CD">
        <w:fldChar w:fldCharType="separate"/>
      </w:r>
      <w:r w:rsidRPr="006F34CD" w:rsidR="006F34CD">
        <w:rPr>
          <w:noProof/>
        </w:rPr>
        <w:t>74</w:t>
      </w:r>
      <w:r w:rsidRPr="006F34CD">
        <w:fldChar w:fldCharType="end"/>
      </w:r>
      <w:bookmarkEnd w:id="65"/>
      <w:r w:rsidRPr="006F34CD">
        <w:t>.  In 2010 t</w:t>
      </w:r>
      <w:r w:rsidRPr="006F34CD">
        <w:rPr>
          <w:iCs/>
        </w:rPr>
        <w:t xml:space="preserve">he Administrative Centre </w:t>
      </w:r>
      <w:r w:rsidRPr="006F34CD">
        <w:t xml:space="preserve">received from a </w:t>
      </w:r>
      <w:r w:rsidRPr="006F34CD" w:rsidR="005D2746">
        <w:t>German organisation of Jehovah</w:t>
      </w:r>
      <w:r w:rsidRPr="006F34CD" w:rsidR="006F34CD">
        <w:t>’</w:t>
      </w:r>
      <w:r w:rsidRPr="006F34CD" w:rsidR="005D2746">
        <w:t xml:space="preserve">s Witnesses a </w:t>
      </w:r>
      <w:r w:rsidRPr="006F34CD">
        <w:t xml:space="preserve">free gift of </w:t>
      </w:r>
      <w:r w:rsidRPr="006F34CD" w:rsidR="005D2746">
        <w:t>religious</w:t>
      </w:r>
      <w:r w:rsidRPr="006F34CD">
        <w:t xml:space="preserve"> publications. After </w:t>
      </w:r>
      <w:r w:rsidRPr="006F34CD" w:rsidR="005D2746">
        <w:t>going</w:t>
      </w:r>
      <w:r w:rsidRPr="006F34CD">
        <w:t xml:space="preserve"> through customs formalities, the publications were released for unrestricted distribution in the territory of Russia. The Administrative Centre sent a portion of the publications by railway to Kemerovo for the use by local Jehovah</w:t>
      </w:r>
      <w:r w:rsidRPr="006F34CD" w:rsidR="006F34CD">
        <w:t>’</w:t>
      </w:r>
      <w:r w:rsidRPr="006F34CD">
        <w:t xml:space="preserve">s Witnesses, with applicant </w:t>
      </w:r>
      <w:r w:rsidRPr="006F34CD" w:rsidR="0011451F">
        <w:t>Mr G</w:t>
      </w:r>
      <w:r w:rsidRPr="006F34CD">
        <w:t>areyev being listed as the recipient. Not one of the publications included in the shipment had been pronounced extremist by a court anywhere in Russia.</w:t>
      </w:r>
    </w:p>
    <w:p w:rsidRPr="006F34CD" w:rsidR="00587DCF" w:rsidP="006F34CD" w:rsidRDefault="00CB6108" w14:paraId="4A0296FE" w14:textId="63F0966A">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75</w:t>
      </w:r>
      <w:r>
        <w:rPr>
          <w:noProof/>
        </w:rPr>
        <w:fldChar w:fldCharType="end"/>
      </w:r>
      <w:r w:rsidRPr="006F34CD" w:rsidR="0011451F">
        <w:t>.  </w:t>
      </w:r>
      <w:r w:rsidRPr="006F34CD" w:rsidR="00F1479A">
        <w:t xml:space="preserve">Applicants Mr Gareyev and Mr Rashevskiy collected the literature and loaded it into </w:t>
      </w:r>
      <w:r w:rsidRPr="006F34CD" w:rsidR="001C7418">
        <w:t>a</w:t>
      </w:r>
      <w:r w:rsidRPr="006F34CD" w:rsidR="00F1479A">
        <w:t xml:space="preserve"> private </w:t>
      </w:r>
      <w:r w:rsidRPr="006F34CD" w:rsidR="007849FF">
        <w:t xml:space="preserve">van </w:t>
      </w:r>
      <w:r w:rsidRPr="006F34CD" w:rsidR="00F1479A">
        <w:t>with the intention of delivering it to Jehovah</w:t>
      </w:r>
      <w:r w:rsidRPr="006F34CD" w:rsidR="006F34CD">
        <w:t>’</w:t>
      </w:r>
      <w:r w:rsidRPr="006F34CD" w:rsidR="00F1479A">
        <w:t xml:space="preserve">s Witnesses in local congregations. On their way, they were intercepted by the armed police and taken to the Investigations Committee for questioning. After they had been questioned, the investigator ordered that the religious literature from the vehicle be seized on the grounds that </w:t>
      </w:r>
      <w:r w:rsidRPr="006F34CD" w:rsidR="007849FF">
        <w:t>the van could contain “</w:t>
      </w:r>
      <w:r w:rsidRPr="006F34CD" w:rsidR="00F1479A">
        <w:t>religious literature relevant to the criminal case”.</w:t>
      </w:r>
      <w:r w:rsidRPr="006F34CD" w:rsidR="001C7418">
        <w:t xml:space="preserve"> T</w:t>
      </w:r>
      <w:r w:rsidRPr="006F34CD" w:rsidR="00F1479A">
        <w:t xml:space="preserve">he police seized </w:t>
      </w:r>
      <w:r w:rsidRPr="006F34CD" w:rsidR="007849FF">
        <w:t xml:space="preserve">more than </w:t>
      </w:r>
      <w:r w:rsidRPr="006F34CD" w:rsidR="00F1479A">
        <w:t xml:space="preserve">100 packages of literature weighing </w:t>
      </w:r>
      <w:r w:rsidRPr="006F34CD" w:rsidR="007849FF">
        <w:t xml:space="preserve">over </w:t>
      </w:r>
      <w:r w:rsidRPr="006F34CD" w:rsidR="00F1479A">
        <w:t>one ton.</w:t>
      </w:r>
    </w:p>
    <w:bookmarkStart w:name="paragraph00076" w:id="66"/>
    <w:p w:rsidRPr="006F34CD" w:rsidR="00587DCF" w:rsidP="006F34CD" w:rsidRDefault="00F1479A" w14:paraId="77ECEAE8" w14:textId="2819B2E4">
      <w:pPr>
        <w:pStyle w:val="JuPara"/>
      </w:pPr>
      <w:r w:rsidRPr="006F34CD">
        <w:fldChar w:fldCharType="begin"/>
      </w:r>
      <w:r w:rsidRPr="006F34CD">
        <w:instrText xml:space="preserve"> SEQ level0 \*arabic </w:instrText>
      </w:r>
      <w:r w:rsidRPr="006F34CD">
        <w:fldChar w:fldCharType="separate"/>
      </w:r>
      <w:r w:rsidRPr="006F34CD" w:rsidR="006F34CD">
        <w:rPr>
          <w:noProof/>
        </w:rPr>
        <w:t>76</w:t>
      </w:r>
      <w:r w:rsidRPr="006F34CD">
        <w:fldChar w:fldCharType="end"/>
      </w:r>
      <w:bookmarkEnd w:id="66"/>
      <w:r w:rsidRPr="006F34CD">
        <w:t xml:space="preserve">.  On 17 February 2011 the applicants complained to </w:t>
      </w:r>
      <w:r w:rsidRPr="006F34CD" w:rsidR="007849FF">
        <w:t xml:space="preserve">a court </w:t>
      </w:r>
      <w:r w:rsidRPr="006F34CD">
        <w:t>that the seizure order was unlawful as it did not indicate what specific literature was of relevance to the criminal case</w:t>
      </w:r>
      <w:r w:rsidRPr="006F34CD" w:rsidR="007849FF">
        <w:t>. N</w:t>
      </w:r>
      <w:r w:rsidRPr="006F34CD">
        <w:t>o</w:t>
      </w:r>
      <w:r w:rsidRPr="006F34CD" w:rsidR="007849FF">
        <w:t>t one item</w:t>
      </w:r>
      <w:r w:rsidRPr="006F34CD">
        <w:t xml:space="preserve"> of the literature in the vehicle had been pronounced extremist or was subject to any restriction under Russian law.</w:t>
      </w:r>
    </w:p>
    <w:p w:rsidRPr="006F34CD" w:rsidR="00F1479A" w:rsidP="006F34CD" w:rsidRDefault="00F1479A" w14:paraId="4068046B" w14:textId="11F1E2A8">
      <w:pPr>
        <w:pStyle w:val="JuPara"/>
      </w:pPr>
      <w:r w:rsidRPr="006F34CD">
        <w:fldChar w:fldCharType="begin"/>
      </w:r>
      <w:r w:rsidRPr="006F34CD">
        <w:instrText xml:space="preserve"> SEQ level0 \*arabic </w:instrText>
      </w:r>
      <w:r w:rsidRPr="006F34CD">
        <w:fldChar w:fldCharType="separate"/>
      </w:r>
      <w:r w:rsidRPr="006F34CD" w:rsidR="006F34CD">
        <w:rPr>
          <w:noProof/>
        </w:rPr>
        <w:t>77</w:t>
      </w:r>
      <w:r w:rsidRPr="006F34CD">
        <w:fldChar w:fldCharType="end"/>
      </w:r>
      <w:r w:rsidRPr="006F34CD">
        <w:t>.  </w:t>
      </w:r>
      <w:r w:rsidRPr="006F34CD" w:rsidR="007849FF">
        <w:t xml:space="preserve">By judgment of </w:t>
      </w:r>
      <w:r w:rsidRPr="006F34CD">
        <w:t>1 April 2011</w:t>
      </w:r>
      <w:r w:rsidRPr="006F34CD" w:rsidR="007849FF">
        <w:t xml:space="preserve">, as upheld on appeal on </w:t>
      </w:r>
      <w:r w:rsidRPr="006F34CD" w:rsidR="0011451F">
        <w:t>19 July 2011</w:t>
      </w:r>
      <w:r w:rsidRPr="006F34CD" w:rsidR="007849FF">
        <w:t>,</w:t>
      </w:r>
      <w:r w:rsidRPr="006F34CD">
        <w:t xml:space="preserve"> the </w:t>
      </w:r>
      <w:r w:rsidRPr="006F34CD" w:rsidR="007849FF">
        <w:t xml:space="preserve">Zavodskiy </w:t>
      </w:r>
      <w:r w:rsidRPr="006F34CD">
        <w:t>District Court rejected the complaint. It found that the seizure order had been issued by the investigator lawfully</w:t>
      </w:r>
      <w:r w:rsidRPr="006F34CD" w:rsidR="003224C0">
        <w:t xml:space="preserve"> and</w:t>
      </w:r>
      <w:r w:rsidRPr="006F34CD">
        <w:t xml:space="preserve"> that the </w:t>
      </w:r>
      <w:r w:rsidRPr="006F34CD" w:rsidR="003224C0">
        <w:t>purpose</w:t>
      </w:r>
      <w:r w:rsidRPr="006F34CD">
        <w:t xml:space="preserve"> of the seizure was </w:t>
      </w:r>
      <w:r w:rsidRPr="006F34CD" w:rsidR="003224C0">
        <w:t>“</w:t>
      </w:r>
      <w:r w:rsidRPr="006F34CD">
        <w:t>to form an objective view on the activities of the organisation” rather than to uncover extremist literature.</w:t>
      </w:r>
    </w:p>
    <w:p w:rsidRPr="006F34CD" w:rsidR="00F1479A" w:rsidP="006F34CD" w:rsidRDefault="00F1479A" w14:paraId="717E550F" w14:textId="79B1E263">
      <w:pPr>
        <w:pStyle w:val="JuPara"/>
      </w:pPr>
      <w:r w:rsidRPr="006F34CD">
        <w:fldChar w:fldCharType="begin"/>
      </w:r>
      <w:r w:rsidRPr="006F34CD">
        <w:instrText xml:space="preserve"> SEQ level0 \*arabic </w:instrText>
      </w:r>
      <w:r w:rsidRPr="006F34CD">
        <w:fldChar w:fldCharType="separate"/>
      </w:r>
      <w:r w:rsidRPr="006F34CD" w:rsidR="006F34CD">
        <w:rPr>
          <w:noProof/>
        </w:rPr>
        <w:t>78</w:t>
      </w:r>
      <w:r w:rsidRPr="006F34CD">
        <w:fldChar w:fldCharType="end"/>
      </w:r>
      <w:r w:rsidRPr="006F34CD">
        <w:t>.  </w:t>
      </w:r>
      <w:r w:rsidRPr="006F34CD" w:rsidR="007849FF">
        <w:t>The consignment</w:t>
      </w:r>
      <w:r w:rsidRPr="006F34CD" w:rsidR="001C7418">
        <w:t xml:space="preserve"> has never been returned to the applicants.</w:t>
      </w:r>
    </w:p>
    <w:p w:rsidRPr="006F34CD" w:rsidR="004D3F90" w:rsidP="006F34CD" w:rsidRDefault="004D3F90" w14:paraId="169218A3" w14:textId="6122FEE0">
      <w:pPr>
        <w:pStyle w:val="JuHA"/>
      </w:pPr>
      <w:bookmarkStart w:name="_Toc97301913" w:id="67"/>
      <w:bookmarkStart w:name="_Ref100326970" w:id="68"/>
      <w:r w:rsidRPr="006F34CD">
        <w:t>Blocking of access to Jehovah</w:t>
      </w:r>
      <w:r w:rsidRPr="006F34CD" w:rsidR="006F34CD">
        <w:t>’</w:t>
      </w:r>
      <w:r w:rsidRPr="006F34CD">
        <w:t>s Witnesses</w:t>
      </w:r>
      <w:r w:rsidRPr="006F34CD" w:rsidR="006F34CD">
        <w:t>’</w:t>
      </w:r>
      <w:r w:rsidRPr="006F34CD">
        <w:t xml:space="preserve"> website (application </w:t>
      </w:r>
      <w:r w:rsidRPr="006F34CD" w:rsidR="001370AA">
        <w:t>no. 2</w:t>
      </w:r>
      <w:r w:rsidRPr="006F34CD">
        <w:t>861/15)</w:t>
      </w:r>
      <w:bookmarkEnd w:id="64"/>
      <w:bookmarkEnd w:id="67"/>
      <w:bookmarkEnd w:id="68"/>
    </w:p>
    <w:p w:rsidRPr="006F34CD" w:rsidR="001E754B" w:rsidP="006F34CD" w:rsidRDefault="004D3F90" w14:paraId="7DC7E62D" w14:textId="075A90C7">
      <w:pPr>
        <w:pStyle w:val="JuPara"/>
      </w:pPr>
      <w:r w:rsidRPr="006F34CD">
        <w:fldChar w:fldCharType="begin"/>
      </w:r>
      <w:r w:rsidRPr="006F34CD">
        <w:instrText xml:space="preserve"> SEQ level0 \*arabic </w:instrText>
      </w:r>
      <w:r w:rsidRPr="006F34CD">
        <w:fldChar w:fldCharType="separate"/>
      </w:r>
      <w:bookmarkStart w:name="paragraph00079" w:id="69"/>
      <w:r w:rsidRPr="006F34CD" w:rsidR="006F34CD">
        <w:rPr>
          <w:noProof/>
        </w:rPr>
        <w:t>79</w:t>
      </w:r>
      <w:bookmarkEnd w:id="69"/>
      <w:r w:rsidRPr="006F34CD">
        <w:fldChar w:fldCharType="end"/>
      </w:r>
      <w:r w:rsidRPr="006F34CD">
        <w:t>.</w:t>
      </w:r>
      <w:r w:rsidRPr="006F34CD" w:rsidR="001370AA">
        <w:t>  </w:t>
      </w:r>
      <w:r w:rsidRPr="006F34CD">
        <w:t>The applicants are the Watchtower Bible and Tract Society of New York (“</w:t>
      </w:r>
      <w:r w:rsidRPr="006F34CD" w:rsidR="00424374">
        <w:t>Watchtower New York</w:t>
      </w:r>
      <w:r w:rsidRPr="006F34CD">
        <w:t xml:space="preserve">”) </w:t>
      </w:r>
      <w:r w:rsidRPr="006F34CD" w:rsidR="00CC29CB">
        <w:t xml:space="preserve">as </w:t>
      </w:r>
      <w:r w:rsidRPr="006F34CD">
        <w:t>the owner of the Jehovah</w:t>
      </w:r>
      <w:r w:rsidRPr="006F34CD" w:rsidR="006F34CD">
        <w:t>’</w:t>
      </w:r>
      <w:r w:rsidRPr="006F34CD">
        <w:t>s Witnesses</w:t>
      </w:r>
      <w:r w:rsidRPr="006F34CD" w:rsidR="006F34CD">
        <w:t>’</w:t>
      </w:r>
      <w:r w:rsidRPr="006F34CD">
        <w:t xml:space="preserve"> international website at jw.org, the Administrative Centre, and ten individual Russian Jehovah</w:t>
      </w:r>
      <w:r w:rsidRPr="006F34CD" w:rsidR="006F34CD">
        <w:t>’</w:t>
      </w:r>
      <w:r w:rsidRPr="006F34CD">
        <w:t>s Witnesses who have various perceptive limitations (visual or hearing impairments).</w:t>
      </w:r>
    </w:p>
    <w:bookmarkStart w:name="paragraph00080" w:id="70"/>
    <w:p w:rsidRPr="006F34CD" w:rsidR="004D3F90" w:rsidP="006F34CD" w:rsidRDefault="004D3F90" w14:paraId="78D638B1" w14:textId="1153595B">
      <w:pPr>
        <w:pStyle w:val="JuPara"/>
        <w:rPr>
          <w:iCs/>
        </w:rPr>
      </w:pPr>
      <w:r w:rsidRPr="006F34CD">
        <w:fldChar w:fldCharType="begin"/>
      </w:r>
      <w:r w:rsidRPr="006F34CD">
        <w:instrText xml:space="preserve"> SEQ level0 \*arabic </w:instrText>
      </w:r>
      <w:r w:rsidRPr="006F34CD">
        <w:fldChar w:fldCharType="separate"/>
      </w:r>
      <w:r w:rsidRPr="006F34CD" w:rsidR="006F34CD">
        <w:rPr>
          <w:noProof/>
        </w:rPr>
        <w:t>80</w:t>
      </w:r>
      <w:r w:rsidRPr="006F34CD">
        <w:fldChar w:fldCharType="end"/>
      </w:r>
      <w:bookmarkEnd w:id="70"/>
      <w:r w:rsidRPr="006F34CD">
        <w:t>.</w:t>
      </w:r>
      <w:r w:rsidRPr="006F34CD" w:rsidR="001370AA">
        <w:t>  </w:t>
      </w:r>
      <w:r w:rsidRPr="006F34CD">
        <w:t xml:space="preserve">On </w:t>
      </w:r>
      <w:r w:rsidRPr="006F34CD" w:rsidR="001370AA">
        <w:t>7 August 2013</w:t>
      </w:r>
      <w:r w:rsidRPr="006F34CD">
        <w:t xml:space="preserve"> the Tsentralniy District Court in Tver</w:t>
      </w:r>
      <w:r w:rsidRPr="006F34CD" w:rsidR="00D846FF">
        <w:t>, on an application by a prosecutor,</w:t>
      </w:r>
      <w:r w:rsidRPr="006F34CD">
        <w:t xml:space="preserve"> pronounced the Jehovah</w:t>
      </w:r>
      <w:r w:rsidRPr="006F34CD" w:rsidR="006F34CD">
        <w:t>’</w:t>
      </w:r>
      <w:r w:rsidRPr="006F34CD">
        <w:t>s Witnesses</w:t>
      </w:r>
      <w:r w:rsidRPr="006F34CD" w:rsidR="006F34CD">
        <w:t>’</w:t>
      </w:r>
      <w:r w:rsidRPr="006F34CD">
        <w:t xml:space="preserve"> website to be extremist on the ground that it contained copies of the brochures </w:t>
      </w:r>
      <w:r w:rsidRPr="006F34CD">
        <w:rPr>
          <w:i/>
        </w:rPr>
        <w:t>What Does the Bible Really Teach?</w:t>
      </w:r>
      <w:r w:rsidRPr="006F34CD">
        <w:t xml:space="preserve">, </w:t>
      </w:r>
      <w:r w:rsidRPr="006F34CD">
        <w:rPr>
          <w:i/>
          <w:iCs/>
        </w:rPr>
        <w:t>Draw Close to Jehovah</w:t>
      </w:r>
      <w:r w:rsidRPr="006F34CD">
        <w:rPr>
          <w:iCs/>
        </w:rPr>
        <w:t xml:space="preserve"> and the book </w:t>
      </w:r>
      <w:r w:rsidRPr="006F34CD">
        <w:rPr>
          <w:i/>
          <w:iCs/>
        </w:rPr>
        <w:t xml:space="preserve">Come Be My Follower </w:t>
      </w:r>
      <w:r w:rsidRPr="006F34CD">
        <w:t xml:space="preserve">which </w:t>
      </w:r>
      <w:r w:rsidRPr="006F34CD">
        <w:rPr>
          <w:iCs/>
        </w:rPr>
        <w:t xml:space="preserve">had been previously declared extremist by the </w:t>
      </w:r>
      <w:r w:rsidRPr="006F34CD" w:rsidR="005B1B2F">
        <w:rPr>
          <w:iCs/>
        </w:rPr>
        <w:t xml:space="preserve">Rostov </w:t>
      </w:r>
      <w:r w:rsidRPr="006F34CD">
        <w:rPr>
          <w:iCs/>
        </w:rPr>
        <w:t xml:space="preserve">courts. </w:t>
      </w:r>
      <w:r w:rsidRPr="006F34CD" w:rsidR="005B1B2F">
        <w:rPr>
          <w:iCs/>
        </w:rPr>
        <w:t>It</w:t>
      </w:r>
      <w:r w:rsidRPr="006F34CD">
        <w:rPr>
          <w:iCs/>
        </w:rPr>
        <w:t xml:space="preserve"> also referred to the information from the </w:t>
      </w:r>
      <w:r w:rsidRPr="006F34CD" w:rsidR="00D6567D">
        <w:rPr>
          <w:iCs/>
        </w:rPr>
        <w:t>FSB</w:t>
      </w:r>
      <w:r w:rsidRPr="006F34CD">
        <w:rPr>
          <w:iCs/>
        </w:rPr>
        <w:t xml:space="preserve">, according to which the website contained copies of the brochures </w:t>
      </w:r>
      <w:r w:rsidRPr="006F34CD">
        <w:rPr>
          <w:i/>
        </w:rPr>
        <w:t>How Can Blood Save Your Life?</w:t>
      </w:r>
      <w:r w:rsidRPr="006F34CD">
        <w:rPr>
          <w:iCs/>
        </w:rPr>
        <w:t xml:space="preserve"> and </w:t>
      </w:r>
      <w:r w:rsidRPr="006F34CD">
        <w:rPr>
          <w:i/>
          <w:iCs/>
        </w:rPr>
        <w:t>What Does God Require of Us?</w:t>
      </w:r>
      <w:r w:rsidRPr="006F34CD">
        <w:rPr>
          <w:iCs/>
        </w:rPr>
        <w:t xml:space="preserve"> and copies of </w:t>
      </w:r>
      <w:r w:rsidRPr="006F34CD">
        <w:rPr>
          <w:i/>
          <w:iCs/>
        </w:rPr>
        <w:t>Awake!</w:t>
      </w:r>
      <w:r w:rsidRPr="006F34CD">
        <w:rPr>
          <w:iCs/>
        </w:rPr>
        <w:t xml:space="preserve"> and </w:t>
      </w:r>
      <w:r w:rsidRPr="006F34CD">
        <w:rPr>
          <w:i/>
          <w:iCs/>
        </w:rPr>
        <w:t>The Watchtower</w:t>
      </w:r>
      <w:r w:rsidRPr="006F34CD">
        <w:rPr>
          <w:iCs/>
        </w:rPr>
        <w:t xml:space="preserve"> magazines whose distribution permit had been revoked.</w:t>
      </w:r>
      <w:r w:rsidRPr="006F34CD" w:rsidR="001370AA">
        <w:t xml:space="preserve"> </w:t>
      </w:r>
      <w:r w:rsidRPr="006F34CD" w:rsidR="00424374">
        <w:rPr>
          <w:iCs/>
        </w:rPr>
        <w:t>Watchtower New York</w:t>
      </w:r>
      <w:r w:rsidRPr="006F34CD">
        <w:rPr>
          <w:iCs/>
        </w:rPr>
        <w:t xml:space="preserve"> and the Administrative Centre were not informed about the proceedings.</w:t>
      </w:r>
      <w:r w:rsidRPr="006F34CD" w:rsidR="001370AA">
        <w:rPr>
          <w:iCs/>
        </w:rPr>
        <w:t xml:space="preserve"> </w:t>
      </w:r>
      <w:r w:rsidRPr="006F34CD">
        <w:rPr>
          <w:iCs/>
        </w:rPr>
        <w:t xml:space="preserve">The District Court held that a decision declaring the website extremist in </w:t>
      </w:r>
      <w:r w:rsidRPr="006F34CD" w:rsidR="005B1B2F">
        <w:rPr>
          <w:iCs/>
        </w:rPr>
        <w:t>Russia</w:t>
      </w:r>
      <w:r w:rsidRPr="006F34CD">
        <w:rPr>
          <w:iCs/>
        </w:rPr>
        <w:t xml:space="preserve"> would not affect the rights of </w:t>
      </w:r>
      <w:r w:rsidRPr="006F34CD" w:rsidR="00424374">
        <w:rPr>
          <w:iCs/>
        </w:rPr>
        <w:t>Watchtower New York</w:t>
      </w:r>
      <w:r w:rsidRPr="006F34CD">
        <w:rPr>
          <w:iCs/>
        </w:rPr>
        <w:t>, making its participation in the proceedings unnecessary.</w:t>
      </w:r>
    </w:p>
    <w:p w:rsidRPr="006F34CD" w:rsidR="004D3F90" w:rsidP="006F34CD" w:rsidRDefault="004D3F90" w14:paraId="4D49D151" w14:textId="65B962A8">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81</w:t>
      </w:r>
      <w:r w:rsidRPr="006F34CD">
        <w:rPr>
          <w:iCs/>
        </w:rPr>
        <w:fldChar w:fldCharType="end"/>
      </w:r>
      <w:r w:rsidRPr="006F34CD">
        <w:rPr>
          <w:iCs/>
        </w:rPr>
        <w:t>.</w:t>
      </w:r>
      <w:r w:rsidRPr="006F34CD" w:rsidR="001370AA">
        <w:rPr>
          <w:iCs/>
        </w:rPr>
        <w:t>  </w:t>
      </w:r>
      <w:r w:rsidRPr="006F34CD">
        <w:rPr>
          <w:iCs/>
        </w:rPr>
        <w:t xml:space="preserve">On </w:t>
      </w:r>
      <w:r w:rsidRPr="006F34CD" w:rsidR="001370AA">
        <w:rPr>
          <w:iCs/>
        </w:rPr>
        <w:t>12 September 2013</w:t>
      </w:r>
      <w:r w:rsidRPr="006F34CD">
        <w:rPr>
          <w:iCs/>
        </w:rPr>
        <w:t xml:space="preserve"> the applicants became aware of the District Court</w:t>
      </w:r>
      <w:r w:rsidRPr="006F34CD" w:rsidR="006F34CD">
        <w:rPr>
          <w:iCs/>
        </w:rPr>
        <w:t>’</w:t>
      </w:r>
      <w:r w:rsidRPr="006F34CD">
        <w:rPr>
          <w:iCs/>
        </w:rPr>
        <w:t>s decision from media reports.</w:t>
      </w:r>
      <w:r w:rsidRPr="006F34CD" w:rsidR="001370AA">
        <w:rPr>
          <w:iCs/>
        </w:rPr>
        <w:t xml:space="preserve"> </w:t>
      </w:r>
      <w:r w:rsidRPr="006F34CD">
        <w:rPr>
          <w:iCs/>
        </w:rPr>
        <w:t xml:space="preserve">They filed separate appeals, complaining in particular that the decision had affected their rights </w:t>
      </w:r>
      <w:r w:rsidRPr="006F34CD">
        <w:t>without giving them an opportunity to take part in the proceedings</w:t>
      </w:r>
      <w:r w:rsidRPr="006F34CD">
        <w:rPr>
          <w:iCs/>
        </w:rPr>
        <w:t xml:space="preserve">; that the decision to block the access to the entire website had been excessively broad, because, in addition to the material that had been declared extremist, the website contained religious literature, audio and video records in </w:t>
      </w:r>
      <w:r w:rsidRPr="006F34CD" w:rsidR="00FD21C5">
        <w:rPr>
          <w:iCs/>
        </w:rPr>
        <w:t>hundreds</w:t>
      </w:r>
      <w:r w:rsidRPr="006F34CD">
        <w:rPr>
          <w:iCs/>
        </w:rPr>
        <w:t xml:space="preserve"> of languages, and the decision prevented worshippers in Russia from accessing those non-extremist materials.</w:t>
      </w:r>
      <w:r w:rsidRPr="006F34CD" w:rsidR="001370AA">
        <w:rPr>
          <w:iCs/>
        </w:rPr>
        <w:t xml:space="preserve"> </w:t>
      </w:r>
      <w:r w:rsidRPr="006F34CD">
        <w:rPr>
          <w:iCs/>
        </w:rPr>
        <w:t>The individual applicants who had physical limitations also complained that the website was the only source of religious materials with special features, such as sign language commentaries or audio recordings for blind users.</w:t>
      </w:r>
    </w:p>
    <w:bookmarkStart w:name="paragraph00082" w:id="71"/>
    <w:p w:rsidRPr="006F34CD" w:rsidR="004D3F90" w:rsidP="006F34CD" w:rsidRDefault="004D3F90" w14:paraId="23EFE360" w14:textId="354DB93B">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82</w:t>
      </w:r>
      <w:r w:rsidRPr="006F34CD">
        <w:rPr>
          <w:iCs/>
        </w:rPr>
        <w:fldChar w:fldCharType="end"/>
      </w:r>
      <w:bookmarkEnd w:id="71"/>
      <w:r w:rsidRPr="006F34CD">
        <w:rPr>
          <w:iCs/>
        </w:rPr>
        <w:t>.</w:t>
      </w:r>
      <w:r w:rsidRPr="006F34CD" w:rsidR="001370AA">
        <w:rPr>
          <w:iCs/>
        </w:rPr>
        <w:t>  </w:t>
      </w:r>
      <w:r w:rsidRPr="006F34CD">
        <w:rPr>
          <w:iCs/>
        </w:rPr>
        <w:t xml:space="preserve">On </w:t>
      </w:r>
      <w:r w:rsidRPr="006F34CD" w:rsidR="001370AA">
        <w:rPr>
          <w:iCs/>
        </w:rPr>
        <w:t>22 January 2014</w:t>
      </w:r>
      <w:r w:rsidRPr="006F34CD">
        <w:rPr>
          <w:iCs/>
        </w:rPr>
        <w:t xml:space="preserve"> the </w:t>
      </w:r>
      <w:r w:rsidRPr="006F34CD" w:rsidR="00A33B45">
        <w:rPr>
          <w:iCs/>
        </w:rPr>
        <w:t xml:space="preserve">Tver </w:t>
      </w:r>
      <w:r w:rsidRPr="006F34CD">
        <w:rPr>
          <w:iCs/>
        </w:rPr>
        <w:t xml:space="preserve">Regional Court examined the appeal by </w:t>
      </w:r>
      <w:r w:rsidRPr="006F34CD" w:rsidR="00424374">
        <w:rPr>
          <w:iCs/>
        </w:rPr>
        <w:t>Watchtower New York</w:t>
      </w:r>
      <w:r w:rsidRPr="006F34CD">
        <w:rPr>
          <w:iCs/>
        </w:rPr>
        <w:t xml:space="preserve"> and quashed the decision of </w:t>
      </w:r>
      <w:r w:rsidRPr="006F34CD" w:rsidR="001370AA">
        <w:rPr>
          <w:iCs/>
        </w:rPr>
        <w:t>7 August 2013</w:t>
      </w:r>
      <w:r w:rsidRPr="006F34CD">
        <w:rPr>
          <w:iCs/>
        </w:rPr>
        <w:t xml:space="preserve">. It found, firstly, that </w:t>
      </w:r>
      <w:r w:rsidRPr="006F34CD" w:rsidR="00424374">
        <w:rPr>
          <w:iCs/>
        </w:rPr>
        <w:t>Watchtower New York</w:t>
      </w:r>
      <w:r w:rsidRPr="006F34CD">
        <w:rPr>
          <w:iCs/>
        </w:rPr>
        <w:t>, as the website</w:t>
      </w:r>
      <w:r w:rsidRPr="006F34CD" w:rsidR="006F34CD">
        <w:rPr>
          <w:iCs/>
        </w:rPr>
        <w:t>’</w:t>
      </w:r>
      <w:r w:rsidRPr="006F34CD">
        <w:rPr>
          <w:iCs/>
        </w:rPr>
        <w:t>s owner, should have been afforded an opportunity to take part in the proceedings. It further noted that the materials declared extremist were no longer accessible on the website from within the Russian territory.</w:t>
      </w:r>
      <w:r w:rsidRPr="006F34CD" w:rsidR="001370AA">
        <w:rPr>
          <w:iCs/>
        </w:rPr>
        <w:t xml:space="preserve"> </w:t>
      </w:r>
      <w:r w:rsidRPr="006F34CD">
        <w:rPr>
          <w:iCs/>
        </w:rPr>
        <w:t>Finally, it held that the District Court had gone beyond the scope of the prosecutor</w:t>
      </w:r>
      <w:r w:rsidRPr="006F34CD" w:rsidR="006F34CD">
        <w:rPr>
          <w:iCs/>
        </w:rPr>
        <w:t>’</w:t>
      </w:r>
      <w:r w:rsidRPr="006F34CD">
        <w:rPr>
          <w:iCs/>
        </w:rPr>
        <w:t>s request by referring to other materials on the website, and that the reference to the revocation of the publication permit was irrelevant. The Regional Court further held that publication of certain extremist materials was not a ground for declaring the entire website to be extremist.</w:t>
      </w:r>
    </w:p>
    <w:p w:rsidRPr="006F34CD" w:rsidR="004D3F90" w:rsidP="006F34CD" w:rsidRDefault="004D3F90" w14:paraId="44F29046" w14:textId="2620FBFF">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83</w:t>
      </w:r>
      <w:r w:rsidRPr="006F34CD">
        <w:rPr>
          <w:iCs/>
        </w:rPr>
        <w:fldChar w:fldCharType="end"/>
      </w:r>
      <w:r w:rsidRPr="006F34CD">
        <w:rPr>
          <w:iCs/>
        </w:rPr>
        <w:t>.</w:t>
      </w:r>
      <w:r w:rsidRPr="006F34CD" w:rsidR="001370AA">
        <w:rPr>
          <w:iCs/>
        </w:rPr>
        <w:t>  </w:t>
      </w:r>
      <w:r w:rsidRPr="006F34CD">
        <w:rPr>
          <w:iCs/>
        </w:rPr>
        <w:t xml:space="preserve">On </w:t>
      </w:r>
      <w:r w:rsidRPr="006F34CD" w:rsidR="001370AA">
        <w:rPr>
          <w:iCs/>
        </w:rPr>
        <w:t>18 March 2014</w:t>
      </w:r>
      <w:r w:rsidRPr="006F34CD">
        <w:rPr>
          <w:iCs/>
        </w:rPr>
        <w:t xml:space="preserve"> a judge of the Tverskoy Regional Court refused the prosecutor leave to appeal to the cassation instance.</w:t>
      </w:r>
    </w:p>
    <w:bookmarkStart w:name="paragraph00084" w:id="72"/>
    <w:p w:rsidRPr="006F34CD" w:rsidR="004D3F90" w:rsidP="006F34CD" w:rsidRDefault="004D3F90" w14:paraId="2895A253" w14:textId="3021BC38">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84</w:t>
      </w:r>
      <w:r w:rsidRPr="006F34CD">
        <w:rPr>
          <w:iCs/>
        </w:rPr>
        <w:fldChar w:fldCharType="end"/>
      </w:r>
      <w:bookmarkEnd w:id="72"/>
      <w:r w:rsidRPr="006F34CD">
        <w:rPr>
          <w:iCs/>
        </w:rPr>
        <w:t>.</w:t>
      </w:r>
      <w:r w:rsidRPr="006F34CD" w:rsidR="001370AA">
        <w:rPr>
          <w:iCs/>
        </w:rPr>
        <w:t>  </w:t>
      </w:r>
      <w:r w:rsidRPr="006F34CD">
        <w:rPr>
          <w:iCs/>
        </w:rPr>
        <w:t xml:space="preserve">On </w:t>
      </w:r>
      <w:r w:rsidRPr="006F34CD" w:rsidR="001370AA">
        <w:rPr>
          <w:iCs/>
        </w:rPr>
        <w:t>21 July 2014</w:t>
      </w:r>
      <w:r w:rsidRPr="006F34CD">
        <w:rPr>
          <w:iCs/>
        </w:rPr>
        <w:t xml:space="preserve"> a </w:t>
      </w:r>
      <w:r w:rsidRPr="006F34CD" w:rsidR="002F3DDF">
        <w:rPr>
          <w:iCs/>
        </w:rPr>
        <w:t>deputy Prosecutor General</w:t>
      </w:r>
      <w:r w:rsidRPr="006F34CD">
        <w:rPr>
          <w:iCs/>
        </w:rPr>
        <w:t xml:space="preserve"> lodged a second cassation appeal with the Supreme Court of the Russian Federation.</w:t>
      </w:r>
      <w:r w:rsidRPr="006F34CD" w:rsidR="001370AA">
        <w:rPr>
          <w:iCs/>
        </w:rPr>
        <w:t xml:space="preserve"> </w:t>
      </w:r>
      <w:r w:rsidRPr="006F34CD">
        <w:rPr>
          <w:iCs/>
        </w:rPr>
        <w:t xml:space="preserve">On </w:t>
      </w:r>
      <w:r w:rsidRPr="006F34CD" w:rsidR="001370AA">
        <w:rPr>
          <w:iCs/>
        </w:rPr>
        <w:t>2 December 2014</w:t>
      </w:r>
      <w:r w:rsidRPr="006F34CD">
        <w:rPr>
          <w:iCs/>
        </w:rPr>
        <w:t xml:space="preserve"> the Supreme Court quashed the Regional Court</w:t>
      </w:r>
      <w:r w:rsidRPr="006F34CD" w:rsidR="006F34CD">
        <w:rPr>
          <w:iCs/>
        </w:rPr>
        <w:t>’</w:t>
      </w:r>
      <w:r w:rsidRPr="006F34CD">
        <w:rPr>
          <w:iCs/>
        </w:rPr>
        <w:t>s decision and reinstated the District Court</w:t>
      </w:r>
      <w:r w:rsidRPr="006F34CD" w:rsidR="006F34CD">
        <w:rPr>
          <w:iCs/>
        </w:rPr>
        <w:t>’</w:t>
      </w:r>
      <w:r w:rsidRPr="006F34CD">
        <w:rPr>
          <w:iCs/>
        </w:rPr>
        <w:t xml:space="preserve">s decision declaring the website extremist. </w:t>
      </w:r>
      <w:r w:rsidRPr="006F34CD" w:rsidR="00424374">
        <w:rPr>
          <w:iCs/>
        </w:rPr>
        <w:t>Watchtower New York</w:t>
      </w:r>
      <w:r w:rsidRPr="006F34CD">
        <w:rPr>
          <w:iCs/>
        </w:rPr>
        <w:t xml:space="preserve"> was notified about the hearing by registered mail but did not attend because an English translation of the notice had not been ready until after the hearing.</w:t>
      </w:r>
      <w:r w:rsidRPr="006F34CD" w:rsidR="001370AA">
        <w:rPr>
          <w:iCs/>
        </w:rPr>
        <w:t xml:space="preserve"> </w:t>
      </w:r>
      <w:r w:rsidRPr="006F34CD">
        <w:rPr>
          <w:iCs/>
        </w:rPr>
        <w:t xml:space="preserve">On </w:t>
      </w:r>
      <w:r w:rsidRPr="006F34CD" w:rsidR="001370AA">
        <w:rPr>
          <w:iCs/>
        </w:rPr>
        <w:t>29 December 2014</w:t>
      </w:r>
      <w:r w:rsidRPr="006F34CD">
        <w:rPr>
          <w:iCs/>
        </w:rPr>
        <w:t xml:space="preserve"> and </w:t>
      </w:r>
      <w:r w:rsidRPr="006F34CD" w:rsidR="001370AA">
        <w:rPr>
          <w:iCs/>
        </w:rPr>
        <w:t>9 January 2015</w:t>
      </w:r>
      <w:r w:rsidRPr="006F34CD">
        <w:rPr>
          <w:iCs/>
        </w:rPr>
        <w:t xml:space="preserve"> it unsuccessfully requested the Supreme Court to re-open the case.</w:t>
      </w:r>
    </w:p>
    <w:bookmarkStart w:name="paragraph00085" w:id="73"/>
    <w:p w:rsidRPr="006F34CD" w:rsidR="004D3F90" w:rsidP="006F34CD" w:rsidRDefault="004D3F90" w14:paraId="0F811C47" w14:textId="5EE50832">
      <w:pPr>
        <w:pStyle w:val="JuPara"/>
      </w:pPr>
      <w:r w:rsidRPr="006F34CD">
        <w:rPr>
          <w:iCs/>
        </w:rPr>
        <w:fldChar w:fldCharType="begin"/>
      </w:r>
      <w:r w:rsidRPr="006F34CD">
        <w:rPr>
          <w:iCs/>
        </w:rPr>
        <w:instrText xml:space="preserve"> SEQ level0 \*arabic \* MERGEFORMAT </w:instrText>
      </w:r>
      <w:r w:rsidRPr="006F34CD">
        <w:rPr>
          <w:iCs/>
        </w:rPr>
        <w:fldChar w:fldCharType="separate"/>
      </w:r>
      <w:r w:rsidRPr="006F34CD" w:rsidR="006F34CD">
        <w:rPr>
          <w:iCs/>
          <w:noProof/>
        </w:rPr>
        <w:t>85</w:t>
      </w:r>
      <w:r w:rsidRPr="006F34CD">
        <w:rPr>
          <w:iCs/>
        </w:rPr>
        <w:fldChar w:fldCharType="end"/>
      </w:r>
      <w:bookmarkEnd w:id="73"/>
      <w:r w:rsidRPr="006F34CD">
        <w:rPr>
          <w:iCs/>
        </w:rPr>
        <w:t>.</w:t>
      </w:r>
      <w:r w:rsidRPr="006F34CD" w:rsidR="001370AA">
        <w:rPr>
          <w:iCs/>
        </w:rPr>
        <w:t>  </w:t>
      </w:r>
      <w:r w:rsidRPr="006F34CD">
        <w:rPr>
          <w:iCs/>
        </w:rPr>
        <w:t xml:space="preserve">On </w:t>
      </w:r>
      <w:r w:rsidRPr="006F34CD" w:rsidR="001370AA">
        <w:rPr>
          <w:iCs/>
        </w:rPr>
        <w:t>21 July 2015</w:t>
      </w:r>
      <w:r w:rsidRPr="006F34CD">
        <w:rPr>
          <w:iCs/>
        </w:rPr>
        <w:t xml:space="preserve"> the Ministry of Justice added jw.org </w:t>
      </w:r>
      <w:r w:rsidRPr="006F34CD">
        <w:t>to the Federal List of Extremist Materials as item 2904.</w:t>
      </w:r>
    </w:p>
    <w:p w:rsidRPr="006F34CD" w:rsidR="000D64DD" w:rsidP="006F34CD" w:rsidRDefault="000D64DD" w14:paraId="67268644" w14:textId="77777777">
      <w:pPr>
        <w:pStyle w:val="JuHA"/>
      </w:pPr>
      <w:bookmarkStart w:name="_Ref78292491" w:id="74"/>
      <w:bookmarkStart w:name="_Toc97301914" w:id="75"/>
      <w:r w:rsidRPr="006F34CD">
        <w:t>Forced dissolution of the Administrative Centre and local religious organisations (applications nos. 10188/17 and 3215/18)</w:t>
      </w:r>
      <w:bookmarkEnd w:id="74"/>
      <w:bookmarkEnd w:id="75"/>
    </w:p>
    <w:bookmarkStart w:name="paragraph00086" w:id="76"/>
    <w:p w:rsidRPr="006F34CD" w:rsidR="00587DCF" w:rsidP="006F34CD" w:rsidRDefault="000D64DD" w14:paraId="6FCC50A1" w14:textId="0F22A06E">
      <w:pPr>
        <w:pStyle w:val="JuPara"/>
      </w:pPr>
      <w:r w:rsidRPr="006F34CD">
        <w:fldChar w:fldCharType="begin"/>
      </w:r>
      <w:r w:rsidRPr="006F34CD">
        <w:instrText xml:space="preserve"> SEQ level0 \*arabic </w:instrText>
      </w:r>
      <w:r w:rsidRPr="006F34CD">
        <w:fldChar w:fldCharType="separate"/>
      </w:r>
      <w:r w:rsidRPr="006F34CD" w:rsidR="006F34CD">
        <w:rPr>
          <w:noProof/>
        </w:rPr>
        <w:t>86</w:t>
      </w:r>
      <w:r w:rsidRPr="006F34CD">
        <w:fldChar w:fldCharType="end"/>
      </w:r>
      <w:bookmarkEnd w:id="76"/>
      <w:r w:rsidRPr="006F34CD">
        <w:t xml:space="preserve">.  On 2 March 2016 </w:t>
      </w:r>
      <w:r w:rsidRPr="006F34CD" w:rsidR="007B692C">
        <w:t>a</w:t>
      </w:r>
      <w:r w:rsidRPr="006F34CD">
        <w:t xml:space="preserve"> </w:t>
      </w:r>
      <w:r w:rsidRPr="006F34CD" w:rsidR="002F3DDF">
        <w:t>deputy Prosecutor General</w:t>
      </w:r>
      <w:r w:rsidRPr="006F34CD">
        <w:t xml:space="preserve"> issued an official warning to the Administrative Centre. With reference to the domestic judgments banning local religious organisations of Jehovah</w:t>
      </w:r>
      <w:r w:rsidRPr="006F34CD" w:rsidR="006F34CD">
        <w:t>’</w:t>
      </w:r>
      <w:r w:rsidRPr="006F34CD">
        <w:t xml:space="preserve">s Witnesses (LROs) and declaring their publications </w:t>
      </w:r>
      <w:r w:rsidRPr="006F34CD" w:rsidR="007B692C">
        <w:t>“</w:t>
      </w:r>
      <w:r w:rsidRPr="006F34CD">
        <w:t>extremist</w:t>
      </w:r>
      <w:r w:rsidRPr="006F34CD" w:rsidR="007B692C">
        <w:t>”</w:t>
      </w:r>
      <w:r w:rsidRPr="006F34CD">
        <w:t>, the Administrative Centre</w:t>
      </w:r>
      <w:r w:rsidRPr="006F34CD" w:rsidDel="000B14CF">
        <w:t xml:space="preserve"> </w:t>
      </w:r>
      <w:r w:rsidRPr="006F34CD">
        <w:t xml:space="preserve">was advised to cease any </w:t>
      </w:r>
      <w:r w:rsidRPr="006F34CD" w:rsidR="00B1168E">
        <w:t>“</w:t>
      </w:r>
      <w:r w:rsidRPr="006F34CD">
        <w:t>extremist activity</w:t>
      </w:r>
      <w:r w:rsidRPr="006F34CD" w:rsidR="00B1168E">
        <w:t>”</w:t>
      </w:r>
      <w:r w:rsidRPr="006F34CD">
        <w:t xml:space="preserve"> on pain of liquidation.</w:t>
      </w:r>
    </w:p>
    <w:bookmarkStart w:name="paragraph00087" w:id="77"/>
    <w:p w:rsidRPr="006F34CD" w:rsidR="000D64DD" w:rsidP="006F34CD" w:rsidRDefault="000D64DD" w14:paraId="46771AAD" w14:textId="1E3793E2">
      <w:pPr>
        <w:pStyle w:val="JuPara"/>
      </w:pPr>
      <w:r w:rsidRPr="006F34CD">
        <w:fldChar w:fldCharType="begin"/>
      </w:r>
      <w:r w:rsidRPr="006F34CD">
        <w:instrText xml:space="preserve"> SEQ level0 \*arabic </w:instrText>
      </w:r>
      <w:r w:rsidRPr="006F34CD">
        <w:fldChar w:fldCharType="separate"/>
      </w:r>
      <w:r w:rsidRPr="006F34CD" w:rsidR="006F34CD">
        <w:rPr>
          <w:noProof/>
        </w:rPr>
        <w:t>87</w:t>
      </w:r>
      <w:r w:rsidRPr="006F34CD">
        <w:fldChar w:fldCharType="end"/>
      </w:r>
      <w:bookmarkEnd w:id="77"/>
      <w:r w:rsidRPr="006F34CD">
        <w:t xml:space="preserve">.  On 15 March 2017 the Ministry of Justice asked the Supreme Court to declare the Administrative Centre an “extremist organisation”, to liquidate it, together with all </w:t>
      </w:r>
      <w:r w:rsidRPr="006F34CD" w:rsidR="004C4D6F">
        <w:t xml:space="preserve">395 </w:t>
      </w:r>
      <w:r w:rsidRPr="006F34CD">
        <w:t>LROs of Jehovah</w:t>
      </w:r>
      <w:r w:rsidRPr="006F34CD" w:rsidR="006F34CD">
        <w:t>’</w:t>
      </w:r>
      <w:r w:rsidRPr="006F34CD">
        <w:t>s Witnesses, and to confiscate their property. The Ministry alleged that the Administrative Centre had “systematically breached” the extremism legislation by importing religious publications</w:t>
      </w:r>
      <w:r w:rsidRPr="006F34CD" w:rsidR="00B803F8">
        <w:t xml:space="preserve"> which had subsequently been declared “extremist”</w:t>
      </w:r>
      <w:r w:rsidRPr="006F34CD">
        <w:t xml:space="preserve">, distributing </w:t>
      </w:r>
      <w:r w:rsidRPr="006F34CD" w:rsidR="00B803F8">
        <w:t>such publications</w:t>
      </w:r>
      <w:r w:rsidRPr="006F34CD">
        <w:t xml:space="preserve"> through its LROs, </w:t>
      </w:r>
      <w:r w:rsidRPr="006F34CD" w:rsidR="00B1168E">
        <w:t>and also</w:t>
      </w:r>
      <w:r w:rsidRPr="006F34CD">
        <w:t xml:space="preserve"> by financing, coordinating and directing LROs, including those whose activities had been declared </w:t>
      </w:r>
      <w:r w:rsidRPr="006F34CD" w:rsidR="00B45B39">
        <w:t>“</w:t>
      </w:r>
      <w:r w:rsidRPr="006F34CD">
        <w:t>extremist</w:t>
      </w:r>
      <w:r w:rsidRPr="006F34CD" w:rsidR="00B45B39">
        <w:t>”</w:t>
      </w:r>
      <w:r w:rsidRPr="006F34CD">
        <w:t xml:space="preserve">, and by failing to implement any </w:t>
      </w:r>
      <w:r w:rsidRPr="006F34CD" w:rsidR="00087935">
        <w:t>“</w:t>
      </w:r>
      <w:r w:rsidRPr="006F34CD">
        <w:t>preventive organisational measures</w:t>
      </w:r>
      <w:r w:rsidRPr="006F34CD" w:rsidR="00087935">
        <w:t>”</w:t>
      </w:r>
      <w:r w:rsidRPr="006F34CD">
        <w:t xml:space="preserve"> after being warned about the prohibition on any form of extremist activity. On the same day, the Ministry, on its authority, suspended the activities of the Administrative Centre and of the LROs pending the examination of the liquidation claim.</w:t>
      </w:r>
    </w:p>
    <w:bookmarkStart w:name="paragraph00088" w:id="78"/>
    <w:p w:rsidRPr="006F34CD" w:rsidR="000D64DD" w:rsidP="006F34CD" w:rsidRDefault="007146F9" w14:paraId="62473C0F" w14:textId="4A7F7B69">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88</w:t>
      </w:r>
      <w:r w:rsidRPr="006F34CD">
        <w:rPr>
          <w:noProof/>
        </w:rPr>
        <w:fldChar w:fldCharType="end"/>
      </w:r>
      <w:bookmarkEnd w:id="78"/>
      <w:r w:rsidRPr="006F34CD" w:rsidR="000D64DD">
        <w:t>.  The LROs did not receive notice of the banning claim from the Ministry of Justice or from the Supreme Court. A majority of them learned of the banning claim from the media. On 5 April 2017 they filed an application to be added as co-defendants, and another application to the same effect was lodged by the Administrative Centre. By a same-day decision, the judge summarily rejected the applications. On 10 April 2017 he also returned an appeal against his decision without consideration on the grounds that the decision was not amenable to a separate appeal.</w:t>
      </w:r>
    </w:p>
    <w:p w:rsidRPr="006F34CD" w:rsidR="000D64DD" w:rsidP="006F34CD" w:rsidRDefault="000D64DD" w14:paraId="61D7E3CA" w14:textId="577D00BB">
      <w:pPr>
        <w:pStyle w:val="JuPara"/>
      </w:pPr>
      <w:r w:rsidRPr="006F34CD">
        <w:fldChar w:fldCharType="begin"/>
      </w:r>
      <w:r w:rsidRPr="006F34CD">
        <w:instrText xml:space="preserve"> SEQ level0 \*arabic </w:instrText>
      </w:r>
      <w:r w:rsidRPr="006F34CD">
        <w:fldChar w:fldCharType="separate"/>
      </w:r>
      <w:r w:rsidRPr="006F34CD" w:rsidR="006F34CD">
        <w:rPr>
          <w:noProof/>
        </w:rPr>
        <w:t>89</w:t>
      </w:r>
      <w:r w:rsidRPr="006F34CD">
        <w:fldChar w:fldCharType="end"/>
      </w:r>
      <w:r w:rsidRPr="006F34CD">
        <w:t>.  The Administrative Centre objected to the claim on the grounds that its liquidation would constitute an unjustified interference with the right to freedom of religion and freedom of assembly and that its activity was entirely peaceful. It further asserted that the LROs of Jehovah</w:t>
      </w:r>
      <w:r w:rsidRPr="006F34CD" w:rsidR="006F34CD">
        <w:t>’</w:t>
      </w:r>
      <w:r w:rsidRPr="006F34CD">
        <w:t>s Witnesses were independent entities and, therefore, the breaches of the Suppression of Extremism Act on their part should not have been imputed to the Administrative Centre and, vice versa, that its possible liquidation should not entail repercussions for the LROs.</w:t>
      </w:r>
    </w:p>
    <w:bookmarkStart w:name="paragraph00090" w:id="79"/>
    <w:p w:rsidRPr="006F34CD" w:rsidR="00587DCF" w:rsidP="006F34CD" w:rsidRDefault="000D64DD" w14:paraId="0C26634F" w14:textId="7490B505">
      <w:pPr>
        <w:pStyle w:val="JuPara"/>
      </w:pPr>
      <w:r w:rsidRPr="006F34CD">
        <w:fldChar w:fldCharType="begin"/>
      </w:r>
      <w:r w:rsidRPr="006F34CD">
        <w:instrText xml:space="preserve"> SEQ level0 \*arabic </w:instrText>
      </w:r>
      <w:r w:rsidRPr="006F34CD">
        <w:fldChar w:fldCharType="separate"/>
      </w:r>
      <w:r w:rsidRPr="006F34CD" w:rsidR="006F34CD">
        <w:rPr>
          <w:noProof/>
        </w:rPr>
        <w:t>90</w:t>
      </w:r>
      <w:r w:rsidRPr="006F34CD">
        <w:fldChar w:fldCharType="end"/>
      </w:r>
      <w:bookmarkEnd w:id="79"/>
      <w:r w:rsidRPr="006F34CD">
        <w:t>.  By judgment of 20 April 2017, the Supreme Court granted the claim, ordering the liquidation of the Administrative Centre and the local organisations of Jehovah</w:t>
      </w:r>
      <w:r w:rsidRPr="006F34CD" w:rsidR="006F34CD">
        <w:t>’</w:t>
      </w:r>
      <w:r w:rsidRPr="006F34CD">
        <w:t>s Witness in Russia and the confiscation of their property. In granting the banning claim, the Supreme Court noted that from 2009 to 2016, eight LROs and eighty-eight publications of Jehovah</w:t>
      </w:r>
      <w:r w:rsidRPr="006F34CD" w:rsidR="006F34CD">
        <w:t>’</w:t>
      </w:r>
      <w:r w:rsidRPr="006F34CD">
        <w:t>s Witnesses</w:t>
      </w:r>
      <w:r w:rsidRPr="006F34CD" w:rsidR="00877A72">
        <w:t xml:space="preserve"> and also their website</w:t>
      </w:r>
      <w:r w:rsidRPr="006F34CD">
        <w:t xml:space="preserve"> had been banned as “extremist”, and that, after the </w:t>
      </w:r>
      <w:r w:rsidRPr="006F34CD" w:rsidR="002F3DDF">
        <w:t>deputy Prosecutor General</w:t>
      </w:r>
      <w:r w:rsidRPr="006F34CD" w:rsidR="006F34CD">
        <w:t>’</w:t>
      </w:r>
      <w:r w:rsidRPr="006F34CD">
        <w:t xml:space="preserve">s </w:t>
      </w:r>
      <w:r w:rsidRPr="006F34CD" w:rsidR="00877A72">
        <w:t>anti-extremism</w:t>
      </w:r>
      <w:r w:rsidRPr="006F34CD">
        <w:t xml:space="preserve"> warning, eight </w:t>
      </w:r>
      <w:r w:rsidRPr="006F34CD" w:rsidR="00877A72">
        <w:t>more</w:t>
      </w:r>
      <w:r w:rsidRPr="006F34CD">
        <w:t xml:space="preserve"> LROs had been </w:t>
      </w:r>
      <w:r w:rsidRPr="006F34CD" w:rsidR="00126B9C">
        <w:t>found guilty of</w:t>
      </w:r>
      <w:r w:rsidRPr="006F34CD">
        <w:t xml:space="preserve"> “mass dissemination of extremist material”. Accordingly, the Administrative Centre was to be banned as an “extremist organisation” because it had not taken “effective measures” to prevent </w:t>
      </w:r>
      <w:r w:rsidRPr="006F34CD" w:rsidR="00126B9C">
        <w:t xml:space="preserve">the </w:t>
      </w:r>
      <w:r w:rsidRPr="006F34CD" w:rsidR="00F33421">
        <w:t>LROs</w:t>
      </w:r>
      <w:r w:rsidRPr="006F34CD">
        <w:t xml:space="preserve"> from engaging in “extremist activity” after the liquidation warning, and all </w:t>
      </w:r>
      <w:r w:rsidRPr="006F34CD" w:rsidR="00F33421">
        <w:t>LROs</w:t>
      </w:r>
      <w:r w:rsidRPr="006F34CD">
        <w:t xml:space="preserve"> were to be banned because they were part of the structure of the Administrative Centre. The Administrative Centre was responsible for all unlawful activities of its regional or structural subdivisions and also for the importation of religious publications which were declared to be extremist. The Supreme Court held that “the application </w:t>
      </w:r>
      <w:r w:rsidRPr="006F34CD" w:rsidR="00A33B45">
        <w:t xml:space="preserve">of </w:t>
      </w:r>
      <w:r w:rsidRPr="006F34CD">
        <w:t>such an exceptional measure” did not constitute arbitrary interference with, or unlawful restriction on, citizens</w:t>
      </w:r>
      <w:r w:rsidRPr="006F34CD" w:rsidR="006F34CD">
        <w:t>’</w:t>
      </w:r>
      <w:r w:rsidRPr="006F34CD">
        <w:t xml:space="preserve"> rights to association or freedom of worship. It pursued “a socially significant aim defined by law – counteracting extremist activity” and sought to protect the rights and lawful interests of others and to guarantee national security and public order. It was also proportionate and necessary in a democratic society in so far as the elimination of violations of rights of others and of “a real threat of harm to the person and health of others”, public order, public security, society and the State was “the only means of ensuring a balance of the rights and lawful interests of participants in legal relations in the public legal domain”.</w:t>
      </w:r>
    </w:p>
    <w:bookmarkStart w:name="paragraph00091" w:id="80"/>
    <w:p w:rsidRPr="006F34CD" w:rsidR="00587DCF" w:rsidP="006F34CD" w:rsidRDefault="000D64DD" w14:paraId="54FA518D" w14:textId="445BEC90">
      <w:pPr>
        <w:pStyle w:val="JuPara"/>
      </w:pPr>
      <w:r w:rsidRPr="006F34CD">
        <w:fldChar w:fldCharType="begin"/>
      </w:r>
      <w:r w:rsidRPr="006F34CD">
        <w:instrText xml:space="preserve"> SEQ level0 \*arabic </w:instrText>
      </w:r>
      <w:r w:rsidRPr="006F34CD">
        <w:fldChar w:fldCharType="separate"/>
      </w:r>
      <w:r w:rsidRPr="006F34CD" w:rsidR="006F34CD">
        <w:rPr>
          <w:noProof/>
        </w:rPr>
        <w:t>91</w:t>
      </w:r>
      <w:r w:rsidRPr="006F34CD">
        <w:fldChar w:fldCharType="end"/>
      </w:r>
      <w:bookmarkEnd w:id="80"/>
      <w:r w:rsidRPr="006F34CD">
        <w:t xml:space="preserve">.  On 19 May 2017 the Administrative Centre lodged an appeal against the liquidation order and the refusal to </w:t>
      </w:r>
      <w:r w:rsidRPr="006F34CD" w:rsidR="00F33421">
        <w:t>join</w:t>
      </w:r>
      <w:r w:rsidRPr="006F34CD">
        <w:t xml:space="preserve"> the LROs as co-defendants. </w:t>
      </w:r>
      <w:r w:rsidRPr="006F34CD" w:rsidR="00F33421">
        <w:t xml:space="preserve">The </w:t>
      </w:r>
      <w:r w:rsidRPr="006F34CD">
        <w:t xml:space="preserve">LROs also lodged appeals, relying </w:t>
      </w:r>
      <w:r w:rsidRPr="006F34CD" w:rsidR="00A33B45">
        <w:t xml:space="preserve">on </w:t>
      </w:r>
      <w:r w:rsidRPr="006F34CD">
        <w:t>the provision of the Code of Administrative Procedure which stipulated that persons not called to participate in the first-instance hearing may lodge an appeal if the judgment affected their rights and obligations (Article 295 § 2). In May, June and July 2017 the judge of the Supreme Court ruled to return their appeals without consideration on the grounds that the decision to liquidate those organisations as “extremist” and confiscate their property did not “rule on matters concerning their rights and obligations”. Some local organisations also attempted to lodge appeals directly with the Appellate Chamber of the Supreme Court.</w:t>
      </w:r>
    </w:p>
    <w:p w:rsidRPr="006F34CD" w:rsidR="000D64DD" w:rsidP="006F34CD" w:rsidRDefault="00CB6108" w14:paraId="1C8E41FE" w14:textId="6B06EF5F">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92</w:t>
      </w:r>
      <w:r>
        <w:rPr>
          <w:noProof/>
        </w:rPr>
        <w:fldChar w:fldCharType="end"/>
      </w:r>
      <w:r w:rsidRPr="006F34CD" w:rsidR="000D64DD">
        <w:t>.  On 17 July 2017 the Appellate Chamber of the Supreme Court dismissed the appeal by the Administrative Centre in a summary fashion. By decisions rendered in July, August and September 2017, it also summarily rejected the appeals by LROs.</w:t>
      </w:r>
    </w:p>
    <w:p w:rsidRPr="006F34CD" w:rsidR="00587DCF" w:rsidP="006F34CD" w:rsidRDefault="00CB6108" w14:paraId="75FD4B1F" w14:textId="292A3AE8">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93</w:t>
      </w:r>
      <w:r>
        <w:rPr>
          <w:noProof/>
        </w:rPr>
        <w:fldChar w:fldCharType="end"/>
      </w:r>
      <w:r w:rsidRPr="006F34CD" w:rsidR="000D64DD">
        <w:t>.  Since the date of the Prosecutor General</w:t>
      </w:r>
      <w:r w:rsidRPr="006F34CD" w:rsidR="006F34CD">
        <w:t>’</w:t>
      </w:r>
      <w:r w:rsidRPr="006F34CD" w:rsidR="000D64DD">
        <w:t>s liquidation warning to the Administrative Centre, the LROs transferred ownership of their places of worship, to protect them from State seizure, to foreign religious organisations of Jehovah</w:t>
      </w:r>
      <w:r w:rsidRPr="006F34CD" w:rsidR="006F34CD">
        <w:t>’</w:t>
      </w:r>
      <w:r w:rsidRPr="006F34CD" w:rsidR="000D64DD">
        <w:t>s Witnesses and in a few cases private individuals who in turn agreed to permit congregations of Jehovah</w:t>
      </w:r>
      <w:r w:rsidRPr="006F34CD" w:rsidR="006F34CD">
        <w:t>’</w:t>
      </w:r>
      <w:r w:rsidRPr="006F34CD" w:rsidR="000D64DD">
        <w:t>s Witnesses to continue to use those places of worship on the basis of a contract of free use. The LROs succeeded in transferring 269 properties before the liquidation decision entered into legal force but were unable to transfer the remaining 97 properties.</w:t>
      </w:r>
    </w:p>
    <w:bookmarkStart w:name="paragraph00094" w:id="81"/>
    <w:p w:rsidRPr="006F34CD" w:rsidR="007A0E11" w:rsidP="006F34CD" w:rsidRDefault="007146F9" w14:paraId="2F0F8B3B" w14:textId="4FDCFD2D">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94</w:t>
      </w:r>
      <w:r w:rsidRPr="006F34CD">
        <w:rPr>
          <w:noProof/>
        </w:rPr>
        <w:fldChar w:fldCharType="end"/>
      </w:r>
      <w:bookmarkEnd w:id="81"/>
      <w:r w:rsidRPr="006F34CD" w:rsidR="000D64DD">
        <w:t xml:space="preserve">.  In the months since the liquidation decision entered into legal force, the Russian authorities initiated court proceedings to annul the transfers. </w:t>
      </w:r>
      <w:r w:rsidRPr="006F34CD" w:rsidR="00366F5E">
        <w:t xml:space="preserve">In each case, the domestic courts ruled in favour of the State by annulling the transfer and ordering that the property be confiscated by the State based on the liquidation decision. </w:t>
      </w:r>
      <w:r w:rsidRPr="006F34CD" w:rsidR="000D64DD">
        <w:t xml:space="preserve">As of </w:t>
      </w:r>
      <w:r w:rsidRPr="006F34CD" w:rsidR="003179D7">
        <w:t>1 September 2021</w:t>
      </w:r>
      <w:r w:rsidRPr="006F34CD" w:rsidR="000D64DD">
        <w:t xml:space="preserve">, </w:t>
      </w:r>
      <w:r w:rsidRPr="006F34CD" w:rsidR="00366F5E">
        <w:t xml:space="preserve">the Russian authorities </w:t>
      </w:r>
      <w:r w:rsidRPr="006F34CD" w:rsidR="007A0E11">
        <w:t xml:space="preserve">have confiscated (1) </w:t>
      </w:r>
      <w:r w:rsidRPr="006F34CD" w:rsidR="00FB05C3">
        <w:t>the</w:t>
      </w:r>
      <w:r w:rsidRPr="006F34CD" w:rsidR="007A0E11">
        <w:t xml:space="preserve"> 21 properties that were owned by the Administrative Center on the date of the liquidation decision; (2) </w:t>
      </w:r>
      <w:r w:rsidRPr="006F34CD" w:rsidR="00FB05C3">
        <w:t>the</w:t>
      </w:r>
      <w:r w:rsidRPr="006F34CD" w:rsidR="007A0E11">
        <w:t xml:space="preserve"> 97 properties owned by </w:t>
      </w:r>
      <w:r w:rsidRPr="006F34CD" w:rsidR="00366F5E">
        <w:t>the LROs</w:t>
      </w:r>
      <w:r w:rsidRPr="006F34CD" w:rsidR="007A0E11">
        <w:t xml:space="preserve"> on the date of the liquidation decision; and (3) 128 of 269 properties that had been </w:t>
      </w:r>
      <w:r w:rsidRPr="006F34CD" w:rsidR="00FB05C3">
        <w:t>transferred</w:t>
      </w:r>
      <w:r w:rsidRPr="006F34CD" w:rsidR="007A0E11">
        <w:t xml:space="preserve"> by </w:t>
      </w:r>
      <w:r w:rsidRPr="006F34CD" w:rsidR="005B2E9F">
        <w:t xml:space="preserve">the </w:t>
      </w:r>
      <w:r w:rsidRPr="006F34CD" w:rsidR="007A0E11">
        <w:t>LROs to foreign religious organisations of Jehovah</w:t>
      </w:r>
      <w:r w:rsidRPr="006F34CD" w:rsidR="006F34CD">
        <w:t>’</w:t>
      </w:r>
      <w:r w:rsidRPr="006F34CD" w:rsidR="007A0E11">
        <w:t>s Witnesses in the months prior to the liquidation decision.</w:t>
      </w:r>
    </w:p>
    <w:p w:rsidRPr="006F34CD" w:rsidR="00587DCF" w:rsidP="006F34CD" w:rsidRDefault="00B97F3A" w14:paraId="60AFBCC7" w14:textId="7ABA0154">
      <w:pPr>
        <w:pStyle w:val="JuHA"/>
      </w:pPr>
      <w:bookmarkStart w:name="_Ref83657398" w:id="82"/>
      <w:bookmarkStart w:name="_Toc97301915" w:id="83"/>
      <w:r w:rsidRPr="006F34CD">
        <w:t>Criminal prosecution of Jehovah</w:t>
      </w:r>
      <w:r w:rsidRPr="006F34CD" w:rsidR="006F34CD">
        <w:t>’</w:t>
      </w:r>
      <w:r w:rsidRPr="006F34CD">
        <w:t>s Witnesses</w:t>
      </w:r>
      <w:bookmarkEnd w:id="82"/>
      <w:bookmarkEnd w:id="83"/>
    </w:p>
    <w:p w:rsidRPr="006F34CD" w:rsidR="00F27848" w:rsidP="006F34CD" w:rsidRDefault="000D049D" w14:paraId="222E5017" w14:textId="4C868BD8">
      <w:pPr>
        <w:pStyle w:val="JuH1"/>
      </w:pPr>
      <w:bookmarkStart w:name="_Toc97301916" w:id="84"/>
      <w:r w:rsidRPr="006F34CD">
        <w:t xml:space="preserve">Prosecution of </w:t>
      </w:r>
      <w:r w:rsidRPr="006F34CD" w:rsidR="00DF56D9">
        <w:t>applicants</w:t>
      </w:r>
      <w:r w:rsidRPr="006F34CD">
        <w:t xml:space="preserve"> in Taganrog and Rostov-on-Don </w:t>
      </w:r>
      <w:r w:rsidRPr="006F34CD" w:rsidR="00B97F3A">
        <w:t xml:space="preserve">(application </w:t>
      </w:r>
      <w:r w:rsidRPr="006F34CD" w:rsidR="001370AA">
        <w:t>no. 2</w:t>
      </w:r>
      <w:r w:rsidRPr="006F34CD" w:rsidR="00F27848">
        <w:t>4622/16)</w:t>
      </w:r>
      <w:bookmarkEnd w:id="84"/>
    </w:p>
    <w:bookmarkStart w:name="paragraph00095" w:id="85"/>
    <w:p w:rsidRPr="006F34CD" w:rsidR="001E754B" w:rsidP="006F34CD" w:rsidRDefault="00F27848" w14:paraId="65C353E0" w14:textId="3DF892AE">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95</w:t>
      </w:r>
      <w:r w:rsidRPr="006F34CD">
        <w:rPr>
          <w:iCs/>
        </w:rPr>
        <w:fldChar w:fldCharType="end"/>
      </w:r>
      <w:bookmarkEnd w:id="85"/>
      <w:r w:rsidRPr="006F34CD">
        <w:rPr>
          <w:iCs/>
        </w:rPr>
        <w:t>.</w:t>
      </w:r>
      <w:r w:rsidRPr="006F34CD" w:rsidR="001370AA">
        <w:rPr>
          <w:iCs/>
        </w:rPr>
        <w:t>  </w:t>
      </w:r>
      <w:r w:rsidRPr="006F34CD">
        <w:rPr>
          <w:iCs/>
        </w:rPr>
        <w:t xml:space="preserve">On </w:t>
      </w:r>
      <w:r w:rsidRPr="006F34CD" w:rsidR="001370AA">
        <w:rPr>
          <w:iCs/>
        </w:rPr>
        <w:t>5 </w:t>
      </w:r>
      <w:r w:rsidRPr="006F34CD" w:rsidR="001370AA">
        <w:t>August 2011</w:t>
      </w:r>
      <w:r w:rsidRPr="006F34CD">
        <w:t xml:space="preserve"> the South Federal Circuit police opened criminal proceedings under </w:t>
      </w:r>
      <w:r w:rsidRPr="006F34CD" w:rsidR="001370AA">
        <w:t>Article 2</w:t>
      </w:r>
      <w:r w:rsidRPr="006F34CD">
        <w:t xml:space="preserve">82-2 of the Criminal Code against “unidentified individuals” who allegedly sought to resume the </w:t>
      </w:r>
      <w:r w:rsidRPr="006F34CD" w:rsidR="00204F1D">
        <w:t>activities</w:t>
      </w:r>
      <w:r w:rsidRPr="006F34CD">
        <w:t xml:space="preserve"> of the banned Taganrog LRO</w:t>
      </w:r>
      <w:r w:rsidRPr="006F34CD">
        <w:rPr>
          <w:iCs/>
        </w:rPr>
        <w:t>.</w:t>
      </w:r>
      <w:r w:rsidRPr="006F34CD" w:rsidR="001370AA">
        <w:t xml:space="preserve"> </w:t>
      </w:r>
      <w:r w:rsidRPr="006F34CD" w:rsidR="00B97F3A">
        <w:rPr>
          <w:iCs/>
        </w:rPr>
        <w:t xml:space="preserve">Those individuals were suspected of renting out premises on which they had organised meetings of followers, distributed banned literature and incited attendants </w:t>
      </w:r>
      <w:r w:rsidRPr="006F34CD" w:rsidR="00204F1D">
        <w:rPr>
          <w:iCs/>
        </w:rPr>
        <w:t>“</w:t>
      </w:r>
      <w:r w:rsidRPr="006F34CD" w:rsidR="00B97F3A">
        <w:rPr>
          <w:iCs/>
        </w:rPr>
        <w:t>to refuse medical assistance, break up family ties and abandon civil duties</w:t>
      </w:r>
      <w:r w:rsidRPr="006F34CD" w:rsidR="00204F1D">
        <w:rPr>
          <w:iCs/>
        </w:rPr>
        <w:t>”</w:t>
      </w:r>
      <w:r w:rsidRPr="006F34CD" w:rsidR="00B97F3A">
        <w:rPr>
          <w:iCs/>
        </w:rPr>
        <w:t>.</w:t>
      </w:r>
    </w:p>
    <w:p w:rsidRPr="006F34CD" w:rsidR="00F27848" w:rsidP="006F34CD" w:rsidRDefault="00B97F3A" w14:paraId="1175AA32" w14:textId="79596A66">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96</w:t>
      </w:r>
      <w:r w:rsidRPr="006F34CD">
        <w:rPr>
          <w:iCs/>
        </w:rPr>
        <w:fldChar w:fldCharType="end"/>
      </w:r>
      <w:r w:rsidRPr="006F34CD">
        <w:rPr>
          <w:iCs/>
        </w:rPr>
        <w:t>.</w:t>
      </w:r>
      <w:r w:rsidRPr="006F34CD" w:rsidR="001370AA">
        <w:rPr>
          <w:iCs/>
        </w:rPr>
        <w:t>  </w:t>
      </w:r>
      <w:r w:rsidRPr="006F34CD">
        <w:rPr>
          <w:iCs/>
        </w:rPr>
        <w:t xml:space="preserve">On </w:t>
      </w:r>
      <w:r w:rsidRPr="006F34CD" w:rsidR="001370AA">
        <w:rPr>
          <w:iCs/>
        </w:rPr>
        <w:t>4 February 2012</w:t>
      </w:r>
      <w:r w:rsidRPr="006F34CD">
        <w:rPr>
          <w:iCs/>
        </w:rPr>
        <w:t xml:space="preserve"> a</w:t>
      </w:r>
      <w:r w:rsidRPr="006F34CD" w:rsidR="00F27848">
        <w:rPr>
          <w:iCs/>
        </w:rPr>
        <w:t xml:space="preserve">nother criminal case under </w:t>
      </w:r>
      <w:r w:rsidRPr="006F34CD" w:rsidR="00F27848">
        <w:t xml:space="preserve">the same provision </w:t>
      </w:r>
      <w:r w:rsidRPr="006F34CD" w:rsidR="00F27848">
        <w:rPr>
          <w:iCs/>
        </w:rPr>
        <w:t xml:space="preserve">was opened against ten applicants for </w:t>
      </w:r>
      <w:r w:rsidRPr="006F34CD" w:rsidR="00204F1D">
        <w:rPr>
          <w:iCs/>
        </w:rPr>
        <w:t>“participation in an e</w:t>
      </w:r>
      <w:r w:rsidRPr="006F34CD" w:rsidR="00F27848">
        <w:rPr>
          <w:iCs/>
        </w:rPr>
        <w:t xml:space="preserve">xtremist organisation” which the </w:t>
      </w:r>
      <w:r w:rsidRPr="006F34CD" w:rsidR="00204F1D">
        <w:rPr>
          <w:iCs/>
        </w:rPr>
        <w:t xml:space="preserve">banned </w:t>
      </w:r>
      <w:r w:rsidRPr="006F34CD" w:rsidR="00F27848">
        <w:rPr>
          <w:iCs/>
        </w:rPr>
        <w:t xml:space="preserve">Taganrog LRO was </w:t>
      </w:r>
      <w:r w:rsidRPr="006F34CD" w:rsidR="00204F1D">
        <w:rPr>
          <w:iCs/>
        </w:rPr>
        <w:t>taken</w:t>
      </w:r>
      <w:r w:rsidRPr="006F34CD" w:rsidR="00F27848">
        <w:rPr>
          <w:iCs/>
        </w:rPr>
        <w:t xml:space="preserve"> to be.</w:t>
      </w:r>
      <w:r w:rsidRPr="006F34CD" w:rsidR="001370AA">
        <w:rPr>
          <w:iCs/>
        </w:rPr>
        <w:t xml:space="preserve"> </w:t>
      </w:r>
      <w:r w:rsidRPr="006F34CD">
        <w:rPr>
          <w:iCs/>
        </w:rPr>
        <w:t>They were accused of organising daily meetings of followers and services of worship for the Vostoch</w:t>
      </w:r>
      <w:r w:rsidRPr="006F34CD" w:rsidR="00F27848">
        <w:rPr>
          <w:iCs/>
        </w:rPr>
        <w:t>noye congregation with a view “to preaching the superiority of Jehovah</w:t>
      </w:r>
      <w:r w:rsidRPr="006F34CD" w:rsidR="006F34CD">
        <w:rPr>
          <w:iCs/>
        </w:rPr>
        <w:t>’</w:t>
      </w:r>
      <w:r w:rsidRPr="006F34CD" w:rsidR="00F27848">
        <w:rPr>
          <w:iCs/>
        </w:rPr>
        <w:t>s Witnesses and inferiority of the other religions”; some applicants were accused of rendering technical assistance during meetings in the way of setting-up audio equipment and passing microphones to members of the congregation who wished to speak.</w:t>
      </w:r>
    </w:p>
    <w:p w:rsidRPr="006F34CD" w:rsidR="00F27848" w:rsidP="006F34CD" w:rsidRDefault="00F27848" w14:paraId="6A0EF044" w14:textId="56DBD4E5">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97</w:t>
      </w:r>
      <w:r w:rsidRPr="006F34CD">
        <w:rPr>
          <w:iCs/>
        </w:rPr>
        <w:fldChar w:fldCharType="end"/>
      </w:r>
      <w:r w:rsidRPr="006F34CD">
        <w:rPr>
          <w:iCs/>
        </w:rPr>
        <w:t>.</w:t>
      </w:r>
      <w:r w:rsidRPr="006F34CD" w:rsidR="001370AA">
        <w:rPr>
          <w:iCs/>
        </w:rPr>
        <w:t>  </w:t>
      </w:r>
      <w:r w:rsidRPr="006F34CD">
        <w:rPr>
          <w:iCs/>
        </w:rPr>
        <w:t xml:space="preserve">On </w:t>
      </w:r>
      <w:r w:rsidRPr="006F34CD" w:rsidR="001370AA">
        <w:rPr>
          <w:iCs/>
        </w:rPr>
        <w:t>30 May 2012</w:t>
      </w:r>
      <w:r w:rsidRPr="006F34CD">
        <w:rPr>
          <w:iCs/>
        </w:rPr>
        <w:t xml:space="preserve"> a third criminal case was opened under </w:t>
      </w:r>
      <w:r w:rsidRPr="006F34CD" w:rsidR="001370AA">
        <w:rPr>
          <w:iCs/>
        </w:rPr>
        <w:t>Article 1</w:t>
      </w:r>
      <w:r w:rsidRPr="006F34CD">
        <w:rPr>
          <w:iCs/>
        </w:rPr>
        <w:t xml:space="preserve">50 </w:t>
      </w:r>
      <w:r w:rsidRPr="006F34CD" w:rsidR="001370AA">
        <w:rPr>
          <w:iCs/>
        </w:rPr>
        <w:t>§ 4</w:t>
      </w:r>
      <w:r w:rsidRPr="006F34CD">
        <w:rPr>
          <w:iCs/>
        </w:rPr>
        <w:t xml:space="preserve"> of the Criminal Code (“involving a minor in a criminal </w:t>
      </w:r>
      <w:r w:rsidRPr="006F34CD" w:rsidR="00DB0236">
        <w:rPr>
          <w:iCs/>
        </w:rPr>
        <w:t>organisation</w:t>
      </w:r>
      <w:r w:rsidRPr="006F34CD">
        <w:rPr>
          <w:iCs/>
        </w:rPr>
        <w:t>”)</w:t>
      </w:r>
      <w:r w:rsidRPr="006F34CD" w:rsidR="0025358C">
        <w:rPr>
          <w:iCs/>
        </w:rPr>
        <w:t>. T</w:t>
      </w:r>
      <w:r w:rsidRPr="006F34CD">
        <w:rPr>
          <w:iCs/>
        </w:rPr>
        <w:t>he “elders” of the congregation</w:t>
      </w:r>
      <w:r w:rsidRPr="006F34CD" w:rsidR="00B97F3A">
        <w:rPr>
          <w:iCs/>
        </w:rPr>
        <w:t xml:space="preserve"> were alleged to have </w:t>
      </w:r>
      <w:r w:rsidRPr="006F34CD" w:rsidR="00CA0B8A">
        <w:rPr>
          <w:iCs/>
        </w:rPr>
        <w:t>“</w:t>
      </w:r>
      <w:r w:rsidRPr="006F34CD" w:rsidR="00B97F3A">
        <w:rPr>
          <w:iCs/>
        </w:rPr>
        <w:t>lured</w:t>
      </w:r>
      <w:r w:rsidRPr="006F34CD" w:rsidR="00CA0B8A">
        <w:rPr>
          <w:iCs/>
        </w:rPr>
        <w:t>”</w:t>
      </w:r>
      <w:r w:rsidRPr="006F34CD" w:rsidR="00B97F3A">
        <w:rPr>
          <w:iCs/>
        </w:rPr>
        <w:t xml:space="preserve"> the sixteen</w:t>
      </w:r>
      <w:r w:rsidRPr="006F34CD" w:rsidR="00DD29B3">
        <w:rPr>
          <w:iCs/>
        </w:rPr>
        <w:noBreakHyphen/>
      </w:r>
      <w:r w:rsidRPr="006F34CD" w:rsidR="00B97F3A">
        <w:rPr>
          <w:iCs/>
        </w:rPr>
        <w:t xml:space="preserve">year-old applicant </w:t>
      </w:r>
      <w:r w:rsidRPr="006F34CD" w:rsidR="001370AA">
        <w:rPr>
          <w:iCs/>
        </w:rPr>
        <w:t>Mr K</w:t>
      </w:r>
      <w:r w:rsidRPr="006F34CD" w:rsidR="00B97F3A">
        <w:rPr>
          <w:iCs/>
        </w:rPr>
        <w:t>ruglikov and ten-year-old N.P. into the “organised extremist criminal group congregation Vostoch</w:t>
      </w:r>
      <w:r w:rsidRPr="006F34CD">
        <w:rPr>
          <w:iCs/>
        </w:rPr>
        <w:t xml:space="preserve">noye of the Tanganrog LRO”, “assigning them to preaching and distributing literature, </w:t>
      </w:r>
      <w:r w:rsidRPr="006F34CD" w:rsidR="00F70019">
        <w:rPr>
          <w:iCs/>
        </w:rPr>
        <w:t>and also</w:t>
      </w:r>
      <w:r w:rsidRPr="006F34CD">
        <w:rPr>
          <w:iCs/>
        </w:rPr>
        <w:t xml:space="preserve"> to providing technical assistance to the elders in </w:t>
      </w:r>
      <w:r w:rsidRPr="006F34CD" w:rsidR="00F70019">
        <w:rPr>
          <w:iCs/>
        </w:rPr>
        <w:t xml:space="preserve">the </w:t>
      </w:r>
      <w:r w:rsidRPr="006F34CD">
        <w:rPr>
          <w:iCs/>
        </w:rPr>
        <w:t>organisation of meetings.”</w:t>
      </w:r>
    </w:p>
    <w:bookmarkStart w:name="paragraph00098" w:id="86"/>
    <w:p w:rsidRPr="006F34CD" w:rsidR="00F27848" w:rsidP="006F34CD" w:rsidRDefault="00F27848" w14:paraId="5A245211" w14:textId="51511D0B">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98</w:t>
      </w:r>
      <w:r w:rsidRPr="006F34CD">
        <w:rPr>
          <w:iCs/>
        </w:rPr>
        <w:fldChar w:fldCharType="end"/>
      </w:r>
      <w:bookmarkEnd w:id="86"/>
      <w:r w:rsidRPr="006F34CD">
        <w:rPr>
          <w:iCs/>
        </w:rPr>
        <w:t>.</w:t>
      </w:r>
      <w:r w:rsidRPr="006F34CD" w:rsidR="001370AA">
        <w:rPr>
          <w:iCs/>
        </w:rPr>
        <w:t>  </w:t>
      </w:r>
      <w:r w:rsidRPr="006F34CD">
        <w:rPr>
          <w:iCs/>
        </w:rPr>
        <w:t>On an unspecified date all criminal proceedings against the applicants were joined into one criminal case and the applicants were required to give an undertaking not to leave the place of their residence.</w:t>
      </w:r>
    </w:p>
    <w:p w:rsidRPr="006F34CD" w:rsidR="00F27848" w:rsidP="006F34CD" w:rsidRDefault="00F27848" w14:paraId="3E6D4F8F" w14:textId="70625057">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99</w:t>
      </w:r>
      <w:r w:rsidRPr="006F34CD">
        <w:rPr>
          <w:iCs/>
        </w:rPr>
        <w:fldChar w:fldCharType="end"/>
      </w:r>
      <w:r w:rsidRPr="006F34CD">
        <w:rPr>
          <w:iCs/>
        </w:rPr>
        <w:t>.</w:t>
      </w:r>
      <w:r w:rsidRPr="006F34CD" w:rsidR="001370AA">
        <w:rPr>
          <w:iCs/>
        </w:rPr>
        <w:t>  </w:t>
      </w:r>
      <w:r w:rsidRPr="006F34CD">
        <w:rPr>
          <w:iCs/>
        </w:rPr>
        <w:t xml:space="preserve">On </w:t>
      </w:r>
      <w:r w:rsidRPr="006F34CD" w:rsidR="001370AA">
        <w:rPr>
          <w:iCs/>
        </w:rPr>
        <w:t>5 April 2013</w:t>
      </w:r>
      <w:r w:rsidRPr="006F34CD">
        <w:rPr>
          <w:iCs/>
        </w:rPr>
        <w:t xml:space="preserve"> a </w:t>
      </w:r>
      <w:r w:rsidRPr="006F34CD" w:rsidR="002F3DDF">
        <w:rPr>
          <w:iCs/>
        </w:rPr>
        <w:t>deputy Prosecutor General</w:t>
      </w:r>
      <w:r w:rsidRPr="006F34CD">
        <w:rPr>
          <w:iCs/>
        </w:rPr>
        <w:t xml:space="preserve"> approved the </w:t>
      </w:r>
      <w:r w:rsidRPr="006F34CD" w:rsidR="00204F1D">
        <w:rPr>
          <w:iCs/>
        </w:rPr>
        <w:t xml:space="preserve">list of charges </w:t>
      </w:r>
      <w:r w:rsidRPr="006F34CD">
        <w:rPr>
          <w:iCs/>
        </w:rPr>
        <w:t>and submitted the case to the Taganrog City Court for trial.</w:t>
      </w:r>
      <w:r w:rsidRPr="006F34CD" w:rsidR="001370AA">
        <w:rPr>
          <w:iCs/>
        </w:rPr>
        <w:t xml:space="preserve"> </w:t>
      </w:r>
      <w:r w:rsidRPr="006F34CD" w:rsidR="00B97F3A">
        <w:rPr>
          <w:iCs/>
        </w:rPr>
        <w:t xml:space="preserve">The </w:t>
      </w:r>
      <w:r w:rsidRPr="006F34CD" w:rsidR="00204F1D">
        <w:rPr>
          <w:iCs/>
        </w:rPr>
        <w:t xml:space="preserve">first </w:t>
      </w:r>
      <w:r w:rsidRPr="006F34CD" w:rsidR="00B97F3A">
        <w:rPr>
          <w:iCs/>
        </w:rPr>
        <w:t>trial ended with a conviction which was pro</w:t>
      </w:r>
      <w:r w:rsidRPr="006F34CD">
        <w:rPr>
          <w:iCs/>
        </w:rPr>
        <w:t xml:space="preserve">nounced on </w:t>
      </w:r>
      <w:r w:rsidRPr="006F34CD" w:rsidR="001370AA">
        <w:rPr>
          <w:iCs/>
        </w:rPr>
        <w:t>29 July 2014</w:t>
      </w:r>
      <w:r w:rsidRPr="006F34CD">
        <w:rPr>
          <w:iCs/>
        </w:rPr>
        <w:t xml:space="preserve"> but later quashed on appeal.</w:t>
      </w:r>
    </w:p>
    <w:p w:rsidRPr="006F34CD" w:rsidR="00F27848" w:rsidP="006F34CD" w:rsidRDefault="00F27848" w14:paraId="029204AF" w14:textId="065643FD">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100</w:t>
      </w:r>
      <w:r w:rsidRPr="006F34CD">
        <w:rPr>
          <w:iCs/>
        </w:rPr>
        <w:fldChar w:fldCharType="end"/>
      </w:r>
      <w:r w:rsidRPr="006F34CD">
        <w:rPr>
          <w:iCs/>
        </w:rPr>
        <w:t>.</w:t>
      </w:r>
      <w:r w:rsidRPr="006F34CD" w:rsidR="001370AA">
        <w:rPr>
          <w:iCs/>
        </w:rPr>
        <w:t>  </w:t>
      </w:r>
      <w:r w:rsidRPr="006F34CD">
        <w:rPr>
          <w:iCs/>
        </w:rPr>
        <w:t xml:space="preserve">The second trial opened on </w:t>
      </w:r>
      <w:r w:rsidRPr="006F34CD" w:rsidR="001370AA">
        <w:rPr>
          <w:iCs/>
        </w:rPr>
        <w:t>22 January 2015</w:t>
      </w:r>
      <w:r w:rsidRPr="006F34CD">
        <w:rPr>
          <w:iCs/>
        </w:rPr>
        <w:t>.</w:t>
      </w:r>
      <w:r w:rsidRPr="006F34CD" w:rsidR="001370AA">
        <w:rPr>
          <w:iCs/>
        </w:rPr>
        <w:t xml:space="preserve"> </w:t>
      </w:r>
      <w:r w:rsidRPr="006F34CD" w:rsidR="00B97F3A">
        <w:rPr>
          <w:iCs/>
        </w:rPr>
        <w:t xml:space="preserve">The applicants pleaded </w:t>
      </w:r>
      <w:r w:rsidRPr="006F34CD">
        <w:rPr>
          <w:iCs/>
        </w:rPr>
        <w:t>not guilty.</w:t>
      </w:r>
      <w:r w:rsidRPr="006F34CD" w:rsidR="001370AA">
        <w:rPr>
          <w:iCs/>
        </w:rPr>
        <w:t xml:space="preserve"> </w:t>
      </w:r>
      <w:r w:rsidRPr="006F34CD" w:rsidR="00B97F3A">
        <w:rPr>
          <w:iCs/>
        </w:rPr>
        <w:t>They put forward the following arguments in their defence: (i)</w:t>
      </w:r>
      <w:r w:rsidRPr="006F34CD" w:rsidR="001370AA">
        <w:rPr>
          <w:iCs/>
        </w:rPr>
        <w:t xml:space="preserve"> </w:t>
      </w:r>
      <w:r w:rsidRPr="006F34CD" w:rsidR="00B97F3A">
        <w:rPr>
          <w:iCs/>
        </w:rPr>
        <w:t xml:space="preserve">the activity of the Taganrog LRO could </w:t>
      </w:r>
      <w:r w:rsidRPr="006F34CD">
        <w:rPr>
          <w:iCs/>
        </w:rPr>
        <w:t>not have been resumed after the judgment banning and liquidating the organisation; (ii) that judgment did not concern any other legal entities or individuals apart from the Taganrog LRO and did not affect the applicants</w:t>
      </w:r>
      <w:r w:rsidRPr="006F34CD" w:rsidR="006F34CD">
        <w:rPr>
          <w:iCs/>
        </w:rPr>
        <w:t>’</w:t>
      </w:r>
      <w:r w:rsidRPr="006F34CD">
        <w:rPr>
          <w:iCs/>
        </w:rPr>
        <w:t xml:space="preserve"> right to practice their religion which they continued to do as an unregistered religious group; (iii) their services of worship were not “extremist”, they did not read or discuss any literature banned as “extremist”; (iv) the elders did not “lure” any minors who had attended the services together with their parents and, according to their testimonies and the statements by their parents, did so voluntarily and enjoyed it.</w:t>
      </w:r>
    </w:p>
    <w:bookmarkStart w:name="paragraph00101" w:id="87"/>
    <w:p w:rsidRPr="006F34CD" w:rsidR="00F27848" w:rsidP="006F34CD" w:rsidRDefault="00F27848" w14:paraId="36CA57FC" w14:textId="05D9E9B9">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101</w:t>
      </w:r>
      <w:r w:rsidRPr="006F34CD">
        <w:rPr>
          <w:iCs/>
        </w:rPr>
        <w:fldChar w:fldCharType="end"/>
      </w:r>
      <w:bookmarkEnd w:id="87"/>
      <w:r w:rsidRPr="006F34CD">
        <w:rPr>
          <w:iCs/>
        </w:rPr>
        <w:t>.</w:t>
      </w:r>
      <w:r w:rsidRPr="006F34CD" w:rsidR="001370AA">
        <w:rPr>
          <w:iCs/>
        </w:rPr>
        <w:t>  </w:t>
      </w:r>
      <w:r w:rsidRPr="006F34CD">
        <w:rPr>
          <w:iCs/>
        </w:rPr>
        <w:t>The trial court dismissed their arguments as an “attempt to evade criminal liability”.</w:t>
      </w:r>
      <w:r w:rsidRPr="006F34CD" w:rsidR="001370AA">
        <w:rPr>
          <w:iCs/>
        </w:rPr>
        <w:t xml:space="preserve"> </w:t>
      </w:r>
      <w:r w:rsidRPr="006F34CD" w:rsidR="00B97F3A">
        <w:rPr>
          <w:iCs/>
        </w:rPr>
        <w:t xml:space="preserve">By the judgment of </w:t>
      </w:r>
      <w:r w:rsidRPr="006F34CD" w:rsidR="001370AA">
        <w:rPr>
          <w:iCs/>
        </w:rPr>
        <w:t>30 November 2015</w:t>
      </w:r>
      <w:r w:rsidRPr="006F34CD" w:rsidR="00B97F3A">
        <w:rPr>
          <w:iCs/>
        </w:rPr>
        <w:t xml:space="preserve">, it held that </w:t>
      </w:r>
      <w:r w:rsidRPr="006F34CD" w:rsidR="00ED5167">
        <w:rPr>
          <w:iCs/>
        </w:rPr>
        <w:t xml:space="preserve">the </w:t>
      </w:r>
      <w:r w:rsidRPr="006F34CD" w:rsidR="00B97F3A">
        <w:rPr>
          <w:iCs/>
        </w:rPr>
        <w:t xml:space="preserve">applicants, </w:t>
      </w:r>
      <w:r w:rsidRPr="006F34CD" w:rsidR="00ED5167">
        <w:rPr>
          <w:iCs/>
        </w:rPr>
        <w:t>while</w:t>
      </w:r>
      <w:r w:rsidRPr="006F34CD" w:rsidR="00B97F3A">
        <w:rPr>
          <w:iCs/>
        </w:rPr>
        <w:t xml:space="preserve"> aware of the judgment of the Rostov Regional Court banning the Taganrog LRO, resumed and continued its activities by calling meetings, organising religious events, conscripting new members, including mi</w:t>
      </w:r>
      <w:r w:rsidRPr="006F34CD">
        <w:rPr>
          <w:iCs/>
        </w:rPr>
        <w:t>nors, distributing extremist literature, collecting donations, organising preaching and involving other applicants into the organisation.</w:t>
      </w:r>
      <w:r w:rsidRPr="006F34CD" w:rsidR="001370AA">
        <w:rPr>
          <w:iCs/>
        </w:rPr>
        <w:t xml:space="preserve"> </w:t>
      </w:r>
      <w:r w:rsidRPr="006F34CD" w:rsidR="00B97F3A">
        <w:rPr>
          <w:iCs/>
        </w:rPr>
        <w:t xml:space="preserve">In doing so, they were driven by extremist motives “manifested by [their] expressions debasing human dignity on the basis of religious orientation; inciting hatred, especially for </w:t>
      </w:r>
      <w:r w:rsidRPr="006F34CD" w:rsidR="006F34CD">
        <w:rPr>
          <w:iCs/>
        </w:rPr>
        <w:t>‘</w:t>
      </w:r>
      <w:r w:rsidRPr="006F34CD" w:rsidR="00B97F3A">
        <w:rPr>
          <w:iCs/>
        </w:rPr>
        <w:t>Christendom</w:t>
      </w:r>
      <w:r w:rsidRPr="006F34CD" w:rsidR="006F34CD">
        <w:rPr>
          <w:iCs/>
        </w:rPr>
        <w:t>’</w:t>
      </w:r>
      <w:r w:rsidRPr="006F34CD" w:rsidR="00B97F3A">
        <w:rPr>
          <w:iCs/>
        </w:rPr>
        <w:t>; advocating the exclusivity of one religion in relation to a</w:t>
      </w:r>
      <w:r w:rsidRPr="006F34CD">
        <w:rPr>
          <w:iCs/>
        </w:rPr>
        <w:t>nother; rejecting medical treatment on religious grounds for people whose life and health are in danger; encouraging citizens to refuse to fulfil legally established civic duties, including performing military service; involving young children and minors in the activity of the organisation”.</w:t>
      </w:r>
    </w:p>
    <w:p w:rsidRPr="006F34CD" w:rsidR="00587DCF" w:rsidP="006F34CD" w:rsidRDefault="00F27848" w14:paraId="4D41D8B0" w14:textId="1A197BE3">
      <w:pPr>
        <w:pStyle w:val="JuPara"/>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102</w:t>
      </w:r>
      <w:r w:rsidRPr="006F34CD">
        <w:rPr>
          <w:iCs/>
        </w:rPr>
        <w:fldChar w:fldCharType="end"/>
      </w:r>
      <w:r w:rsidRPr="006F34CD">
        <w:rPr>
          <w:iCs/>
        </w:rPr>
        <w:t>.</w:t>
      </w:r>
      <w:r w:rsidRPr="006F34CD" w:rsidR="001370AA">
        <w:rPr>
          <w:iCs/>
        </w:rPr>
        <w:t>  </w:t>
      </w:r>
      <w:r w:rsidRPr="006F34CD">
        <w:rPr>
          <w:iCs/>
        </w:rPr>
        <w:t xml:space="preserve">The trial court held that the applicants had formed a “stable extremist group” which had existed from the day the Rostov Regional Court judgment banning the Taganrog LRO became final and which had </w:t>
      </w:r>
      <w:r w:rsidRPr="006F34CD" w:rsidR="00DD3CF5">
        <w:rPr>
          <w:iCs/>
        </w:rPr>
        <w:t xml:space="preserve">(i) </w:t>
      </w:r>
      <w:r w:rsidRPr="006F34CD">
        <w:rPr>
          <w:iCs/>
        </w:rPr>
        <w:t>a common purpose</w:t>
      </w:r>
      <w:r w:rsidRPr="006F34CD" w:rsidR="003D5D81">
        <w:rPr>
          <w:iCs/>
        </w:rPr>
        <w:t xml:space="preserve"> </w:t>
      </w:r>
      <w:r w:rsidRPr="006F34CD">
        <w:rPr>
          <w:iCs/>
        </w:rPr>
        <w:t xml:space="preserve">of resuming and continuing the banned activities, </w:t>
      </w:r>
      <w:r w:rsidRPr="006F34CD" w:rsidR="009E6850">
        <w:rPr>
          <w:iCs/>
        </w:rPr>
        <w:t xml:space="preserve">(ii) </w:t>
      </w:r>
      <w:r w:rsidRPr="006F34CD">
        <w:rPr>
          <w:iCs/>
        </w:rPr>
        <w:t xml:space="preserve">common organisers, </w:t>
      </w:r>
      <w:r w:rsidRPr="006F34CD" w:rsidR="009E6850">
        <w:rPr>
          <w:iCs/>
        </w:rPr>
        <w:t xml:space="preserve">(iii) </w:t>
      </w:r>
      <w:r w:rsidRPr="006F34CD">
        <w:t xml:space="preserve">“interchangeable and mutually complementary character of their actions”, and </w:t>
      </w:r>
      <w:r w:rsidRPr="006F34CD" w:rsidR="009E6850">
        <w:t>(iv)</w:t>
      </w:r>
      <w:r w:rsidRPr="006F34CD" w:rsidR="00E07B04">
        <w:t xml:space="preserve"> </w:t>
      </w:r>
      <w:r w:rsidRPr="006F34CD">
        <w:t xml:space="preserve">an “illegal income” which </w:t>
      </w:r>
      <w:r w:rsidRPr="006F34CD" w:rsidR="00AA1643">
        <w:t>the applicants</w:t>
      </w:r>
      <w:r w:rsidRPr="006F34CD">
        <w:t xml:space="preserve"> had obtained “in the form of voluntary donations from citizens which was used for the purposes of extremist activities.”</w:t>
      </w:r>
    </w:p>
    <w:bookmarkStart w:name="paragraph00103" w:id="88"/>
    <w:p w:rsidRPr="006F34CD" w:rsidR="00F27848" w:rsidP="006F34CD" w:rsidRDefault="00DD3CF5" w14:paraId="4ECC6350" w14:textId="5628A794">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103</w:t>
      </w:r>
      <w:r w:rsidRPr="006F34CD">
        <w:rPr>
          <w:noProof/>
        </w:rPr>
        <w:fldChar w:fldCharType="end"/>
      </w:r>
      <w:bookmarkEnd w:id="88"/>
      <w:r w:rsidRPr="006F34CD" w:rsidR="00B34586">
        <w:t>.  </w:t>
      </w:r>
      <w:r w:rsidRPr="006F34CD" w:rsidR="00F27848">
        <w:t>“</w:t>
      </w:r>
      <w:r w:rsidRPr="006F34CD" w:rsidR="00774FFC">
        <w:t>T</w:t>
      </w:r>
      <w:r w:rsidRPr="006F34CD" w:rsidR="00F27848">
        <w:t>he criminal activity of the extremist group” consisted in “inciting religious discord, and advocating the exclusivity and superiority of a religion by degrading other religions</w:t>
      </w:r>
      <w:r w:rsidRPr="006F34CD" w:rsidR="00774FFC">
        <w:t>”, “</w:t>
      </w:r>
      <w:r w:rsidRPr="006F34CD" w:rsidR="00F27848">
        <w:t>organising recruitment of new members</w:t>
      </w:r>
      <w:r w:rsidRPr="006F34CD" w:rsidR="00774FFC">
        <w:t>”, “</w:t>
      </w:r>
      <w:r w:rsidRPr="006F34CD" w:rsidR="00F27848">
        <w:t xml:space="preserve">breaking up the family, marriage, and family relationships, alienating people from the family circle because their relatives </w:t>
      </w:r>
      <w:r w:rsidRPr="006F34CD" w:rsidR="002925A8">
        <w:t>did</w:t>
      </w:r>
      <w:r w:rsidRPr="006F34CD" w:rsidR="00F27848">
        <w:t xml:space="preserve"> not, according to this specific religion, have the correct world view</w:t>
      </w:r>
      <w:r w:rsidRPr="006F34CD" w:rsidR="00774FFC">
        <w:t>”, “</w:t>
      </w:r>
      <w:r w:rsidRPr="006F34CD" w:rsidR="00F27848">
        <w:t>choosing only part-time work in order to devote more time to preaching and service considering the work of the organisation to be of primary importance</w:t>
      </w:r>
      <w:r w:rsidRPr="006F34CD" w:rsidR="00774FFC">
        <w:t>”, “</w:t>
      </w:r>
      <w:r w:rsidRPr="006F34CD" w:rsidR="00F27848">
        <w:t>distributing extremist materials and</w:t>
      </w:r>
      <w:r w:rsidRPr="006F34CD" w:rsidR="00774FFC">
        <w:t xml:space="preserve"> </w:t>
      </w:r>
      <w:r w:rsidRPr="006F34CD" w:rsidR="00587DCF">
        <w:t>...</w:t>
      </w:r>
      <w:r w:rsidRPr="006F34CD" w:rsidR="00774FFC">
        <w:t xml:space="preserve"> possessing </w:t>
      </w:r>
      <w:r w:rsidRPr="006F34CD" w:rsidR="00F27848">
        <w:t>them with the intent to mass distribute them and use them in religious services, sermons, and speeches</w:t>
      </w:r>
      <w:r w:rsidRPr="006F34CD" w:rsidR="00774FFC">
        <w:t>”, “</w:t>
      </w:r>
      <w:r w:rsidRPr="006F34CD" w:rsidR="00F27848">
        <w:t>inciting citizens to refuse to fulfil their legally established civic duties by not entering military service</w:t>
      </w:r>
      <w:r w:rsidRPr="006F34CD" w:rsidR="00774FFC">
        <w:t>”, “</w:t>
      </w:r>
      <w:r w:rsidRPr="006F34CD" w:rsidR="00F27848">
        <w:t>inciting</w:t>
      </w:r>
      <w:r w:rsidRPr="006F34CD" w:rsidR="00587DCF">
        <w:t xml:space="preserve"> ...</w:t>
      </w:r>
      <w:r w:rsidRPr="006F34CD" w:rsidR="00774FFC">
        <w:t xml:space="preserve"> </w:t>
      </w:r>
      <w:r w:rsidRPr="006F34CD" w:rsidR="00F27848">
        <w:t>to reject medical treatment on religious grounds</w:t>
      </w:r>
      <w:r w:rsidRPr="006F34CD" w:rsidR="00587DCF">
        <w:t xml:space="preserve"> ...</w:t>
      </w:r>
      <w:r w:rsidRPr="006F34CD" w:rsidR="00B34586">
        <w:t>.</w:t>
      </w:r>
      <w:r w:rsidRPr="006F34CD" w:rsidR="00F27848">
        <w:t xml:space="preserve"> in particular, the transfusion of blood and its components even under grave and life-threatening conditions</w:t>
      </w:r>
      <w:r w:rsidRPr="006F34CD" w:rsidR="00B34586">
        <w:t>”, and “</w:t>
      </w:r>
      <w:r w:rsidRPr="006F34CD" w:rsidR="00F27848">
        <w:t xml:space="preserve">involving minor children </w:t>
      </w:r>
      <w:r w:rsidRPr="006F34CD" w:rsidR="00587DCF">
        <w:t>...</w:t>
      </w:r>
      <w:r w:rsidRPr="006F34CD" w:rsidR="00F27848">
        <w:t xml:space="preserve"> in the preaching activity when young children </w:t>
      </w:r>
      <w:r w:rsidRPr="006F34CD" w:rsidR="00B34586">
        <w:t xml:space="preserve">were </w:t>
      </w:r>
      <w:r w:rsidRPr="006F34CD" w:rsidR="00F27848">
        <w:t>forced to be in attendance with their parents for discussions at meetings for lengthy periods of time.”</w:t>
      </w:r>
    </w:p>
    <w:bookmarkStart w:name="paragraph00104" w:id="89"/>
    <w:p w:rsidRPr="006F34CD" w:rsidR="00F27848" w:rsidP="006F34CD" w:rsidRDefault="00F27848" w14:paraId="120AD89F" w14:textId="5562918E">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104</w:t>
      </w:r>
      <w:r w:rsidRPr="006F34CD">
        <w:rPr>
          <w:iCs/>
        </w:rPr>
        <w:fldChar w:fldCharType="end"/>
      </w:r>
      <w:bookmarkEnd w:id="89"/>
      <w:r w:rsidRPr="006F34CD">
        <w:rPr>
          <w:iCs/>
        </w:rPr>
        <w:t>.</w:t>
      </w:r>
      <w:r w:rsidRPr="006F34CD" w:rsidR="001370AA">
        <w:rPr>
          <w:iCs/>
        </w:rPr>
        <w:t>  </w:t>
      </w:r>
      <w:r w:rsidRPr="006F34CD">
        <w:rPr>
          <w:iCs/>
        </w:rPr>
        <w:t xml:space="preserve">The criminal acts committed by the applicants were defined as organising and taking part in a series of religious events </w:t>
      </w:r>
      <w:r w:rsidRPr="006F34CD" w:rsidR="006D62F9">
        <w:rPr>
          <w:iCs/>
        </w:rPr>
        <w:t xml:space="preserve">in the period </w:t>
      </w:r>
      <w:r w:rsidRPr="006F34CD">
        <w:rPr>
          <w:iCs/>
        </w:rPr>
        <w:t xml:space="preserve">between 30 April and </w:t>
      </w:r>
      <w:r w:rsidRPr="006F34CD" w:rsidR="001370AA">
        <w:rPr>
          <w:iCs/>
        </w:rPr>
        <w:t>15 August 2011</w:t>
      </w:r>
      <w:r w:rsidRPr="006F34CD">
        <w:rPr>
          <w:iCs/>
        </w:rPr>
        <w:t xml:space="preserve"> and giving “extremist speeches” during these meetings.</w:t>
      </w:r>
      <w:r w:rsidRPr="006F34CD" w:rsidR="001370AA">
        <w:rPr>
          <w:iCs/>
        </w:rPr>
        <w:t xml:space="preserve"> </w:t>
      </w:r>
      <w:r w:rsidRPr="006F34CD" w:rsidR="00B97F3A">
        <w:rPr>
          <w:iCs/>
        </w:rPr>
        <w:t xml:space="preserve">The trial court also found it established that </w:t>
      </w:r>
      <w:r w:rsidRPr="006F34CD" w:rsidR="00CD6B52">
        <w:rPr>
          <w:iCs/>
        </w:rPr>
        <w:t>“the elders” of the community</w:t>
      </w:r>
      <w:r w:rsidRPr="006F34CD" w:rsidR="00B97F3A">
        <w:rPr>
          <w:iCs/>
        </w:rPr>
        <w:t xml:space="preserve"> “by deceit and by other means” had involved applicant </w:t>
      </w:r>
      <w:r w:rsidRPr="006F34CD" w:rsidR="001370AA">
        <w:rPr>
          <w:iCs/>
        </w:rPr>
        <w:t>Mr K</w:t>
      </w:r>
      <w:r w:rsidRPr="006F34CD" w:rsidR="00B97F3A">
        <w:rPr>
          <w:iCs/>
        </w:rPr>
        <w:t xml:space="preserve">ruglikov and </w:t>
      </w:r>
      <w:r w:rsidRPr="006F34CD">
        <w:rPr>
          <w:iCs/>
        </w:rPr>
        <w:t>N.P. in the criminal activity, assigning them to preaching, distributing literature and assisting during the meetings.</w:t>
      </w:r>
    </w:p>
    <w:p w:rsidRPr="006F34CD" w:rsidR="00B97F3A" w:rsidP="006F34CD" w:rsidRDefault="00F27848" w14:paraId="4524F619" w14:textId="712A1686">
      <w:pPr>
        <w:pStyle w:val="JuPara"/>
        <w:rPr>
          <w:iCs/>
        </w:rPr>
      </w:pPr>
      <w:r w:rsidRPr="006F34CD">
        <w:rPr>
          <w:iCs/>
        </w:rPr>
        <w:fldChar w:fldCharType="begin"/>
      </w:r>
      <w:r w:rsidRPr="006F34CD">
        <w:rPr>
          <w:iCs/>
        </w:rPr>
        <w:instrText xml:space="preserve"> SEQ level0 \*arabic </w:instrText>
      </w:r>
      <w:r w:rsidRPr="006F34CD">
        <w:rPr>
          <w:iCs/>
        </w:rPr>
        <w:fldChar w:fldCharType="separate"/>
      </w:r>
      <w:r w:rsidRPr="006F34CD" w:rsidR="006F34CD">
        <w:rPr>
          <w:iCs/>
          <w:noProof/>
        </w:rPr>
        <w:t>105</w:t>
      </w:r>
      <w:r w:rsidRPr="006F34CD">
        <w:rPr>
          <w:iCs/>
        </w:rPr>
        <w:fldChar w:fldCharType="end"/>
      </w:r>
      <w:r w:rsidRPr="006F34CD">
        <w:rPr>
          <w:iCs/>
        </w:rPr>
        <w:t>.</w:t>
      </w:r>
      <w:r w:rsidRPr="006F34CD" w:rsidR="001370AA">
        <w:rPr>
          <w:iCs/>
        </w:rPr>
        <w:t>  </w:t>
      </w:r>
      <w:r w:rsidRPr="006F34CD">
        <w:rPr>
          <w:iCs/>
        </w:rPr>
        <w:t xml:space="preserve">The Town Court sentenced the “elders” </w:t>
      </w:r>
      <w:r w:rsidRPr="006F34CD" w:rsidR="00CD6B52">
        <w:rPr>
          <w:iCs/>
        </w:rPr>
        <w:t>of the community</w:t>
      </w:r>
      <w:r w:rsidRPr="006F34CD">
        <w:rPr>
          <w:iCs/>
        </w:rPr>
        <w:t xml:space="preserve"> to five years</w:t>
      </w:r>
      <w:r w:rsidRPr="006F34CD" w:rsidR="006F34CD">
        <w:rPr>
          <w:iCs/>
        </w:rPr>
        <w:t>’</w:t>
      </w:r>
      <w:r w:rsidRPr="006F34CD">
        <w:rPr>
          <w:iCs/>
        </w:rPr>
        <w:t xml:space="preserve"> imprisonment conditional on five years</w:t>
      </w:r>
      <w:r w:rsidRPr="006F34CD" w:rsidR="006F34CD">
        <w:rPr>
          <w:iCs/>
        </w:rPr>
        <w:t>’</w:t>
      </w:r>
      <w:r w:rsidRPr="006F34CD">
        <w:rPr>
          <w:iCs/>
        </w:rPr>
        <w:t xml:space="preserve"> probation and fined </w:t>
      </w:r>
      <w:r w:rsidRPr="006F34CD" w:rsidR="00837788">
        <w:rPr>
          <w:iCs/>
        </w:rPr>
        <w:t xml:space="preserve">them </w:t>
      </w:r>
      <w:r w:rsidRPr="006F34CD" w:rsidR="001370AA">
        <w:rPr>
          <w:iCs/>
        </w:rPr>
        <w:t>RUB 1</w:t>
      </w:r>
      <w:r w:rsidRPr="006F34CD">
        <w:rPr>
          <w:iCs/>
        </w:rPr>
        <w:t>00,000 each.</w:t>
      </w:r>
      <w:r w:rsidRPr="006F34CD" w:rsidR="001370AA">
        <w:rPr>
          <w:iCs/>
        </w:rPr>
        <w:t xml:space="preserve"> </w:t>
      </w:r>
      <w:r w:rsidRPr="006F34CD" w:rsidR="00B97F3A">
        <w:rPr>
          <w:iCs/>
        </w:rPr>
        <w:t xml:space="preserve">The other applicants were convicted of membership of </w:t>
      </w:r>
      <w:r w:rsidRPr="006F34CD" w:rsidR="00837788">
        <w:rPr>
          <w:iCs/>
        </w:rPr>
        <w:t>an</w:t>
      </w:r>
      <w:r w:rsidRPr="006F34CD" w:rsidR="00B97F3A">
        <w:rPr>
          <w:iCs/>
        </w:rPr>
        <w:t xml:space="preserve"> extremist religious organisation and fined between </w:t>
      </w:r>
      <w:r w:rsidRPr="006F34CD" w:rsidR="001370AA">
        <w:rPr>
          <w:iCs/>
        </w:rPr>
        <w:t>RUB 2</w:t>
      </w:r>
      <w:r w:rsidRPr="006F34CD" w:rsidR="00B97F3A">
        <w:rPr>
          <w:iCs/>
        </w:rPr>
        <w:t>0,000 and</w:t>
      </w:r>
      <w:r w:rsidRPr="006F34CD" w:rsidR="001621EE">
        <w:rPr>
          <w:iCs/>
        </w:rPr>
        <w:t> </w:t>
      </w:r>
      <w:r w:rsidRPr="006F34CD" w:rsidR="00B97F3A">
        <w:rPr>
          <w:iCs/>
        </w:rPr>
        <w:t>70,000.</w:t>
      </w:r>
    </w:p>
    <w:bookmarkStart w:name="paragraph00106" w:id="90"/>
    <w:p w:rsidRPr="006F34CD" w:rsidR="00B97F3A" w:rsidP="006F34CD" w:rsidRDefault="00FC5AF5" w14:paraId="3601E89C" w14:textId="6D513442">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106</w:t>
      </w:r>
      <w:r w:rsidRPr="006F34CD">
        <w:fldChar w:fldCharType="end"/>
      </w:r>
      <w:bookmarkEnd w:id="90"/>
      <w:r w:rsidRPr="006F34CD">
        <w:t>.  </w:t>
      </w:r>
      <w:r w:rsidRPr="006F34CD" w:rsidR="00B97F3A">
        <w:t xml:space="preserve">The applicants appealed. On </w:t>
      </w:r>
      <w:r w:rsidRPr="006F34CD" w:rsidR="001370AA">
        <w:t>17 March 2016</w:t>
      </w:r>
      <w:r w:rsidRPr="006F34CD" w:rsidR="00B97F3A">
        <w:t xml:space="preserve"> the Rostov Regional Court corrected an erroneous legal characterisation of the offences in respect of twelve applicants, reduced the amount of their fines and upheld the judgment in the remaining part.</w:t>
      </w:r>
      <w:r w:rsidRPr="006F34CD" w:rsidR="00CD6B52">
        <w:t xml:space="preserve"> </w:t>
      </w:r>
      <w:r w:rsidRPr="006F34CD" w:rsidR="00B97F3A">
        <w:t xml:space="preserve">On </w:t>
      </w:r>
      <w:r w:rsidRPr="006F34CD" w:rsidR="001370AA">
        <w:t>22 December 2016</w:t>
      </w:r>
      <w:r w:rsidRPr="006F34CD" w:rsidR="00CD6B52">
        <w:t xml:space="preserve"> and</w:t>
      </w:r>
      <w:r w:rsidRPr="006F34CD" w:rsidR="00B97F3A">
        <w:t xml:space="preserve"> </w:t>
      </w:r>
      <w:r w:rsidRPr="006F34CD" w:rsidR="00CD6B52">
        <w:t xml:space="preserve">24 April 2017 </w:t>
      </w:r>
      <w:r w:rsidRPr="006F34CD" w:rsidR="00B97F3A">
        <w:t xml:space="preserve">the Rostov Regional Court and the Supreme Court of </w:t>
      </w:r>
      <w:r w:rsidRPr="006F34CD" w:rsidR="00CD6B52">
        <w:t>R</w:t>
      </w:r>
      <w:r w:rsidRPr="006F34CD" w:rsidR="00B97F3A">
        <w:t>ussia</w:t>
      </w:r>
      <w:r w:rsidRPr="006F34CD" w:rsidR="00CD6B52">
        <w:t xml:space="preserve">, respectively, </w:t>
      </w:r>
      <w:r w:rsidRPr="006F34CD" w:rsidR="00B97F3A">
        <w:t>refused the applicants leave to appeal to the cassation instance.</w:t>
      </w:r>
    </w:p>
    <w:p w:rsidRPr="006F34CD" w:rsidR="003A4752" w:rsidP="006F34CD" w:rsidRDefault="003A4752" w14:paraId="0245861D" w14:textId="77777777">
      <w:pPr>
        <w:pStyle w:val="JuH1"/>
      </w:pPr>
      <w:bookmarkStart w:name="_Toc97301917" w:id="91"/>
      <w:bookmarkStart w:name="_Ref76548469" w:id="92"/>
      <w:r w:rsidRPr="006F34CD">
        <w:t xml:space="preserve">Imprisonment of an applicant for “continuing the activities of an extremist organisation” (applications </w:t>
      </w:r>
      <w:r w:rsidRPr="006F34CD" w:rsidR="00F50F6F">
        <w:t>nos. 3</w:t>
      </w:r>
      <w:r w:rsidRPr="006F34CD">
        <w:t>9417/17 and 44386/19)</w:t>
      </w:r>
      <w:bookmarkEnd w:id="91"/>
    </w:p>
    <w:bookmarkStart w:name="paragraph00107" w:id="93"/>
    <w:p w:rsidRPr="006F34CD" w:rsidR="008646EF" w:rsidP="006F34CD" w:rsidRDefault="00C971F2" w14:paraId="4036A70E" w14:textId="5E9E5C4D">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107</w:t>
      </w:r>
      <w:r w:rsidRPr="006F34CD">
        <w:rPr>
          <w:noProof/>
        </w:rPr>
        <w:fldChar w:fldCharType="end"/>
      </w:r>
      <w:bookmarkEnd w:id="93"/>
      <w:r w:rsidRPr="006F34CD" w:rsidR="003A4752">
        <w:t>.  </w:t>
      </w:r>
      <w:r w:rsidRPr="006F34CD" w:rsidR="001C659E">
        <w:t>Mr D</w:t>
      </w:r>
      <w:r w:rsidRPr="006F34CD" w:rsidR="00FF1C49">
        <w:t>ennis Ole Christensen, a national of Denmark, and his wife</w:t>
      </w:r>
      <w:r w:rsidRPr="006F34CD" w:rsidR="00080233">
        <w:t>, a Russian national,</w:t>
      </w:r>
      <w:r w:rsidRPr="006F34CD" w:rsidR="00FF1C49">
        <w:t xml:space="preserve"> were Jehovah</w:t>
      </w:r>
      <w:r w:rsidRPr="006F34CD" w:rsidR="006F34CD">
        <w:t>’</w:t>
      </w:r>
      <w:r w:rsidRPr="006F34CD" w:rsidR="00FF1C49">
        <w:t xml:space="preserve">s Witnesses living in Oryol. </w:t>
      </w:r>
      <w:r w:rsidRPr="006F34CD" w:rsidR="00080233">
        <w:t xml:space="preserve">By judgment of </w:t>
      </w:r>
      <w:r w:rsidRPr="006F34CD" w:rsidR="00BC0864">
        <w:t>14 June 2016</w:t>
      </w:r>
      <w:r w:rsidRPr="006F34CD" w:rsidR="00080233">
        <w:t xml:space="preserve">, as upheld on appeal on </w:t>
      </w:r>
      <w:r w:rsidRPr="006F34CD" w:rsidR="00BC0864">
        <w:t>18 October 2016</w:t>
      </w:r>
      <w:r w:rsidRPr="006F34CD" w:rsidR="00080233">
        <w:t>, the Orlovskiy District Court liquidated and banned the Oryol local religious organisation of Jehovah</w:t>
      </w:r>
      <w:r w:rsidRPr="006F34CD" w:rsidR="006F34CD">
        <w:t>’</w:t>
      </w:r>
      <w:r w:rsidRPr="006F34CD" w:rsidR="00080233">
        <w:t xml:space="preserve">s Witnesses (“the Oryol LRO”) on the grounds </w:t>
      </w:r>
      <w:r w:rsidRPr="006F34CD" w:rsidR="00834480">
        <w:t>of possession of</w:t>
      </w:r>
      <w:r w:rsidRPr="006F34CD" w:rsidR="00080233">
        <w:t xml:space="preserve"> “extremist” publications.</w:t>
      </w:r>
      <w:r w:rsidRPr="006F34CD" w:rsidR="00822017">
        <w:t xml:space="preserve"> </w:t>
      </w:r>
      <w:r w:rsidRPr="006F34CD" w:rsidR="00BC0864">
        <w:t>Mr C</w:t>
      </w:r>
      <w:r w:rsidRPr="006F34CD" w:rsidR="00822017">
        <w:t>hristensen was not a member of the Oryol</w:t>
      </w:r>
      <w:r w:rsidRPr="006F34CD" w:rsidR="001621EE">
        <w:t> </w:t>
      </w:r>
      <w:r w:rsidRPr="006F34CD" w:rsidR="00822017">
        <w:t>LRO; he was a member of the Tsentralnoye religious group, one of three congregations of Jehovah</w:t>
      </w:r>
      <w:r w:rsidRPr="006F34CD" w:rsidR="006F34CD">
        <w:t>’</w:t>
      </w:r>
      <w:r w:rsidRPr="006F34CD" w:rsidR="00822017">
        <w:t>s Witnesses without legal-entity status.</w:t>
      </w:r>
    </w:p>
    <w:p w:rsidRPr="006F34CD" w:rsidR="00834480" w:rsidP="006F34CD" w:rsidRDefault="00CB6108" w14:paraId="0BB3977D" w14:textId="6DAB05D0">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108</w:t>
      </w:r>
      <w:r>
        <w:rPr>
          <w:noProof/>
        </w:rPr>
        <w:fldChar w:fldCharType="end"/>
      </w:r>
      <w:r w:rsidRPr="006F34CD" w:rsidR="00834480">
        <w:t xml:space="preserve">.  On </w:t>
      </w:r>
      <w:r w:rsidRPr="006F34CD" w:rsidR="00BC0864">
        <w:t>16 February 2017</w:t>
      </w:r>
      <w:r w:rsidRPr="006F34CD" w:rsidR="00834480">
        <w:t xml:space="preserve"> the Regional Court granted the request of an FSB investigator to conduct covert surveillance of the </w:t>
      </w:r>
      <w:r w:rsidRPr="006F34CD" w:rsidR="00CE6CD9">
        <w:t>Kingdom Hall</w:t>
      </w:r>
      <w:r w:rsidRPr="006F34CD" w:rsidR="00834480">
        <w:t xml:space="preserve"> of Jehovah</w:t>
      </w:r>
      <w:r w:rsidRPr="006F34CD" w:rsidR="006F34CD">
        <w:t>’</w:t>
      </w:r>
      <w:r w:rsidRPr="006F34CD" w:rsidR="00834480">
        <w:t xml:space="preserve">s Witnesses in Oryol. The surveillance recorded </w:t>
      </w:r>
      <w:r w:rsidRPr="006F34CD" w:rsidR="00BC0864">
        <w:t>Mr C</w:t>
      </w:r>
      <w:r w:rsidRPr="006F34CD" w:rsidR="00834480">
        <w:t>hristensen taking part in Bible-themed discussions.</w:t>
      </w:r>
    </w:p>
    <w:p w:rsidRPr="006F34CD" w:rsidR="00FF1C49" w:rsidP="006F34CD" w:rsidRDefault="00CB6108" w14:paraId="03C740E6" w14:textId="6FB8DC2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109</w:t>
      </w:r>
      <w:r>
        <w:rPr>
          <w:noProof/>
        </w:rPr>
        <w:fldChar w:fldCharType="end"/>
      </w:r>
      <w:r w:rsidRPr="006F34CD" w:rsidR="000D64DD">
        <w:t>.  </w:t>
      </w:r>
      <w:r w:rsidRPr="006F34CD" w:rsidR="00FF1C49">
        <w:t xml:space="preserve">On 25 May 2017 the FSB officers </w:t>
      </w:r>
      <w:r w:rsidRPr="006F34CD" w:rsidR="00CE6CD9">
        <w:t xml:space="preserve">first interrupted the religious service in the Kingdom Hall and carried out a personal search of everyone in attendance. Later they </w:t>
      </w:r>
      <w:r w:rsidRPr="006F34CD" w:rsidR="00FF1C49">
        <w:t xml:space="preserve">searched </w:t>
      </w:r>
      <w:r w:rsidRPr="006F34CD" w:rsidR="00BC0864">
        <w:t>Mr C</w:t>
      </w:r>
      <w:r w:rsidRPr="006F34CD" w:rsidR="00080233">
        <w:t>hristensen</w:t>
      </w:r>
      <w:r w:rsidRPr="006F34CD" w:rsidR="006F34CD">
        <w:t>’</w:t>
      </w:r>
      <w:r w:rsidRPr="006F34CD" w:rsidR="00080233">
        <w:t>s</w:t>
      </w:r>
      <w:r w:rsidRPr="006F34CD" w:rsidR="00FF1C49">
        <w:t xml:space="preserve"> flat and arrested </w:t>
      </w:r>
      <w:r w:rsidRPr="006F34CD" w:rsidR="00080233">
        <w:t>him</w:t>
      </w:r>
      <w:r w:rsidRPr="006F34CD" w:rsidR="00FF1C49">
        <w:t xml:space="preserve"> on charges of continuing the activities of </w:t>
      </w:r>
      <w:r w:rsidRPr="006F34CD" w:rsidR="00080233">
        <w:t>an extremist organisation, the Oryol</w:t>
      </w:r>
      <w:r w:rsidRPr="006F34CD" w:rsidR="001621EE">
        <w:t> </w:t>
      </w:r>
      <w:r w:rsidRPr="006F34CD" w:rsidR="00080233">
        <w:t>LRO</w:t>
      </w:r>
      <w:r w:rsidRPr="006F34CD" w:rsidR="00FF1C49">
        <w:t xml:space="preserve">. </w:t>
      </w:r>
      <w:r w:rsidRPr="006F34CD" w:rsidR="00D31349">
        <w:t xml:space="preserve">Following </w:t>
      </w:r>
      <w:r w:rsidRPr="006F34CD" w:rsidR="00BC0864">
        <w:t>Mr C</w:t>
      </w:r>
      <w:r w:rsidRPr="006F34CD" w:rsidR="00D31349">
        <w:t>hristensen</w:t>
      </w:r>
      <w:r w:rsidRPr="006F34CD" w:rsidR="006F34CD">
        <w:t>’</w:t>
      </w:r>
      <w:r w:rsidRPr="006F34CD" w:rsidR="00D31349">
        <w:t>s overnight detention,</w:t>
      </w:r>
      <w:r w:rsidRPr="006F34CD" w:rsidR="00FF1C49">
        <w:t xml:space="preserve"> the Sovetskiy District Court authorised his detention</w:t>
      </w:r>
      <w:r w:rsidRPr="006F34CD" w:rsidR="00D31349">
        <w:t xml:space="preserve"> on remand</w:t>
      </w:r>
      <w:r w:rsidRPr="006F34CD" w:rsidR="002F213B">
        <w:t xml:space="preserve">, holding that his </w:t>
      </w:r>
      <w:r w:rsidRPr="006F34CD" w:rsidR="00F35AB3">
        <w:t>ten-year-long</w:t>
      </w:r>
      <w:r w:rsidRPr="006F34CD" w:rsidR="002F213B">
        <w:t xml:space="preserve"> legal residence in Russia</w:t>
      </w:r>
      <w:r w:rsidRPr="006F34CD" w:rsidR="00080233">
        <w:t xml:space="preserve">, stable </w:t>
      </w:r>
      <w:r w:rsidRPr="006F34CD" w:rsidR="002F213B">
        <w:t>income and a Russian wife</w:t>
      </w:r>
      <w:r w:rsidRPr="006F34CD" w:rsidR="00D31349">
        <w:t xml:space="preserve"> </w:t>
      </w:r>
      <w:r w:rsidRPr="006F34CD" w:rsidR="00080233">
        <w:t>were</w:t>
      </w:r>
      <w:r w:rsidRPr="006F34CD" w:rsidR="002F213B">
        <w:t xml:space="preserve"> </w:t>
      </w:r>
      <w:r w:rsidRPr="006F34CD" w:rsidR="00D31349">
        <w:t>all in</w:t>
      </w:r>
      <w:r w:rsidRPr="006F34CD" w:rsidR="002F213B">
        <w:t xml:space="preserve">sufficient </w:t>
      </w:r>
      <w:r w:rsidRPr="006F34CD" w:rsidR="00F35AB3">
        <w:t>guarantee</w:t>
      </w:r>
      <w:r w:rsidRPr="006F34CD" w:rsidR="00080233">
        <w:t>s</w:t>
      </w:r>
      <w:r w:rsidRPr="006F34CD" w:rsidR="00F35AB3">
        <w:t xml:space="preserve"> against</w:t>
      </w:r>
      <w:r w:rsidRPr="006F34CD" w:rsidR="002F213B">
        <w:t xml:space="preserve"> absconding </w:t>
      </w:r>
      <w:r w:rsidRPr="006F34CD" w:rsidR="00080233">
        <w:t>in view</w:t>
      </w:r>
      <w:r w:rsidRPr="006F34CD" w:rsidR="002F213B">
        <w:t xml:space="preserve"> of his foreign nationality. </w:t>
      </w:r>
      <w:r w:rsidRPr="006F34CD" w:rsidR="00FF1C49">
        <w:t xml:space="preserve">On </w:t>
      </w:r>
      <w:r w:rsidRPr="006F34CD" w:rsidR="001C659E">
        <w:t>21 June 2017</w:t>
      </w:r>
      <w:r w:rsidRPr="006F34CD" w:rsidR="00FF1C49">
        <w:t xml:space="preserve"> the Oryol Regional Court upheld the detention order in a summary fashion.</w:t>
      </w:r>
      <w:r w:rsidRPr="006F34CD" w:rsidR="000D64DD">
        <w:t xml:space="preserve"> Subsequently, the pre-trial detention was extended several times, each time </w:t>
      </w:r>
      <w:r w:rsidRPr="006F34CD" w:rsidR="002F213B">
        <w:t xml:space="preserve">on the same grounds </w:t>
      </w:r>
      <w:r w:rsidRPr="006F34CD" w:rsidR="000D64DD">
        <w:t xml:space="preserve">for an additional </w:t>
      </w:r>
      <w:r w:rsidRPr="006F34CD" w:rsidR="00D31349">
        <w:t>three- to four</w:t>
      </w:r>
      <w:r w:rsidRPr="006F34CD" w:rsidR="000D64DD">
        <w:t>-month period.</w:t>
      </w:r>
      <w:r w:rsidRPr="006F34CD" w:rsidR="00F35AB3">
        <w:t xml:space="preserve"> The detention was maintained even after </w:t>
      </w:r>
      <w:r w:rsidRPr="006F34CD" w:rsidR="00BC0864">
        <w:t>Mr C</w:t>
      </w:r>
      <w:r w:rsidRPr="006F34CD" w:rsidR="00F35AB3">
        <w:t xml:space="preserve">hristensen had obtained, on </w:t>
      </w:r>
      <w:r w:rsidRPr="006F34CD" w:rsidR="00BC0864">
        <w:t>15 September 2017</w:t>
      </w:r>
      <w:r w:rsidRPr="006F34CD" w:rsidR="00F35AB3">
        <w:t>, a letter from the Danish embassy in Moscow giving the assurance that the embassy would not issue him with a new passport or otherwise help him leave Russia.</w:t>
      </w:r>
    </w:p>
    <w:bookmarkStart w:name="paragraph00110" w:id="94"/>
    <w:p w:rsidRPr="006F34CD" w:rsidR="00587DCF" w:rsidP="006F34CD" w:rsidRDefault="00DD3CF5" w14:paraId="442C7A9B" w14:textId="1DEB9AFF">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110</w:t>
      </w:r>
      <w:r w:rsidRPr="006F34CD">
        <w:rPr>
          <w:noProof/>
        </w:rPr>
        <w:fldChar w:fldCharType="end"/>
      </w:r>
      <w:bookmarkEnd w:id="94"/>
      <w:r w:rsidRPr="006F34CD" w:rsidR="00FF1C49">
        <w:t xml:space="preserve">.  On </w:t>
      </w:r>
      <w:r w:rsidRPr="006F34CD" w:rsidR="001C659E">
        <w:t>9 February 2019</w:t>
      </w:r>
      <w:r w:rsidRPr="006F34CD" w:rsidR="00FF1C49">
        <w:t xml:space="preserve"> the Zheleznodorozhniy District Court in Oryol sentenced </w:t>
      </w:r>
      <w:r w:rsidRPr="006F34CD" w:rsidR="001C659E">
        <w:t>Mr C</w:t>
      </w:r>
      <w:r w:rsidRPr="006F34CD" w:rsidR="00FF1C49">
        <w:t xml:space="preserve">hristensen to a six-year term in a general regime penal colony for having </w:t>
      </w:r>
      <w:r w:rsidRPr="006F34CD" w:rsidR="00571B80">
        <w:t>continued</w:t>
      </w:r>
      <w:r w:rsidRPr="006F34CD" w:rsidR="00FF1C49">
        <w:t xml:space="preserve"> the activities of an extremist organisation</w:t>
      </w:r>
      <w:r w:rsidRPr="006F34CD" w:rsidR="00571B80">
        <w:t>:</w:t>
      </w:r>
    </w:p>
    <w:p w:rsidRPr="006F34CD" w:rsidR="00587DCF" w:rsidP="006F34CD" w:rsidRDefault="00FF1C49" w14:paraId="379ED4E5" w14:textId="1D54632D">
      <w:pPr>
        <w:pStyle w:val="JuQuot"/>
      </w:pPr>
      <w:r w:rsidRPr="006F34CD">
        <w:t>“</w:t>
      </w:r>
      <w:r w:rsidRPr="006F34CD" w:rsidR="00587DCF">
        <w:t>...</w:t>
      </w:r>
      <w:r w:rsidRPr="006F34CD">
        <w:t xml:space="preserve"> the liquidation of the [</w:t>
      </w:r>
      <w:r w:rsidRPr="006F34CD" w:rsidR="008646EF">
        <w:t>Oryol</w:t>
      </w:r>
      <w:r w:rsidRPr="006F34CD">
        <w:t xml:space="preserve"> LRO] did not deprive that organisation</w:t>
      </w:r>
      <w:r w:rsidRPr="006F34CD" w:rsidR="006F34CD">
        <w:t>’</w:t>
      </w:r>
      <w:r w:rsidRPr="006F34CD">
        <w:t xml:space="preserve">s participants of the possibility to individually perform religious worship that was not associated with the distribution of extremist religious literature. However, it has been established in the case that D. </w:t>
      </w:r>
      <w:r w:rsidRPr="006F34CD" w:rsidR="00E6604F">
        <w:t>O</w:t>
      </w:r>
      <w:r w:rsidRPr="006F34CD">
        <w:t>. Christensen did not individually perform worship but performed administrative functions within the [LRO] in accordance with its goals and plans and with the intent of continuing the organisation</w:t>
      </w:r>
      <w:r w:rsidRPr="006F34CD" w:rsidR="006F34CD">
        <w:t>’</w:t>
      </w:r>
      <w:r w:rsidRPr="006F34CD">
        <w:t xml:space="preserve">s activity, which he knew had been banned on the basis of a court decision </w:t>
      </w:r>
      <w:r w:rsidRPr="006F34CD" w:rsidR="00587DCF">
        <w:t>...</w:t>
      </w:r>
    </w:p>
    <w:p w:rsidRPr="006F34CD" w:rsidR="00E6604F" w:rsidP="006F34CD" w:rsidRDefault="00FF1C49" w14:paraId="191E6CB4" w14:textId="796876B4">
      <w:pPr>
        <w:pStyle w:val="JuQuot"/>
      </w:pPr>
      <w:r w:rsidRPr="006F34CD">
        <w:t xml:space="preserve">It can be seen from the combined testimony of said individuals that D. </w:t>
      </w:r>
      <w:r w:rsidRPr="006F34CD" w:rsidR="00E6604F">
        <w:t>O</w:t>
      </w:r>
      <w:r w:rsidRPr="006F34CD">
        <w:t xml:space="preserve">. Christensen was the </w:t>
      </w:r>
      <w:r w:rsidRPr="006F34CD" w:rsidR="00E20B0E">
        <w:t>leader</w:t>
      </w:r>
      <w:r w:rsidRPr="006F34CD">
        <w:t xml:space="preserve"> of the LRO </w:t>
      </w:r>
      <w:r w:rsidRPr="006F34CD" w:rsidR="00587DCF">
        <w:t>...</w:t>
      </w:r>
      <w:r w:rsidRPr="006F34CD" w:rsidR="00E6604F">
        <w:t xml:space="preserve"> </w:t>
      </w:r>
      <w:r w:rsidRPr="006F34CD">
        <w:t>As an elder, he opened and closed the religious premises. He organised the cleaning of the building and adjacent territory. He assigned persons to be on duty at the entrance before the meeting. He determined who gave sermons and other presentations at the meetings, and designated persons to engage in preaching activity. In the absence of religious literature, he recommended that fellow believers study the literature using electronic devices with access to the Internet. He personally conducted meetings, during which he gave advice, explained the meaning of religious literature and designated the persons participating in the discussion of that literature. He reminded people of the need to donate money and collected the money that was received.</w:t>
      </w:r>
      <w:r w:rsidRPr="006F34CD" w:rsidR="00E6604F">
        <w:t>”</w:t>
      </w:r>
    </w:p>
    <w:p w:rsidRPr="006F34CD" w:rsidR="003A4752" w:rsidP="006F34CD" w:rsidRDefault="00CB6108" w14:paraId="3F3D01BE" w14:textId="3B2644B4">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111</w:t>
      </w:r>
      <w:r>
        <w:rPr>
          <w:noProof/>
        </w:rPr>
        <w:fldChar w:fldCharType="end"/>
      </w:r>
      <w:r w:rsidRPr="006F34CD" w:rsidR="00E6604F">
        <w:t>.  </w:t>
      </w:r>
      <w:r w:rsidRPr="006F34CD" w:rsidR="008646EF">
        <w:t xml:space="preserve">In his appeals, </w:t>
      </w:r>
      <w:r w:rsidRPr="006F34CD" w:rsidR="001C659E">
        <w:t>Mr C</w:t>
      </w:r>
      <w:r w:rsidRPr="006F34CD" w:rsidR="008646EF">
        <w:t>hristensen submitted that his religious activities had been part of his worship and were therefore protected by his right to freedom of religion. He emphasised that he had never been a member of the Oryol LRO.</w:t>
      </w:r>
    </w:p>
    <w:bookmarkStart w:name="paragraph00112" w:id="95"/>
    <w:p w:rsidRPr="006F34CD" w:rsidR="008646EF" w:rsidP="006F34CD" w:rsidRDefault="007146F9" w14:paraId="2278B363" w14:textId="07E1FB3B">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112</w:t>
      </w:r>
      <w:r w:rsidRPr="006F34CD">
        <w:rPr>
          <w:noProof/>
        </w:rPr>
        <w:fldChar w:fldCharType="end"/>
      </w:r>
      <w:bookmarkEnd w:id="95"/>
      <w:r w:rsidRPr="006F34CD" w:rsidR="008646EF">
        <w:t xml:space="preserve">.  On </w:t>
      </w:r>
      <w:r w:rsidRPr="006F34CD" w:rsidR="001C659E">
        <w:t>23 May 2019</w:t>
      </w:r>
      <w:r w:rsidRPr="006F34CD" w:rsidR="008646EF">
        <w:t xml:space="preserve"> the Oryol Regional Court upheld the judgment on the basis that </w:t>
      </w:r>
      <w:r w:rsidRPr="006F34CD" w:rsidR="001C659E">
        <w:t>Mr C</w:t>
      </w:r>
      <w:r w:rsidRPr="006F34CD" w:rsidR="008646EF">
        <w:t>hristensen “harmonised and coordinated his actions in directing the [Oryol LRO] with the [Administrative Centre] liquidate</w:t>
      </w:r>
      <w:r w:rsidRPr="006F34CD" w:rsidR="00795343">
        <w:t>d</w:t>
      </w:r>
      <w:r w:rsidRPr="006F34CD" w:rsidR="008646EF">
        <w:t xml:space="preserve"> by the Supreme Court</w:t>
      </w:r>
      <w:r w:rsidRPr="006F34CD" w:rsidR="006F34CD">
        <w:t>’</w:t>
      </w:r>
      <w:r w:rsidRPr="006F34CD" w:rsidR="008646EF">
        <w:t xml:space="preserve">s judgment dated </w:t>
      </w:r>
      <w:r w:rsidRPr="006F34CD" w:rsidR="001C659E">
        <w:t>20 April 2017</w:t>
      </w:r>
      <w:r w:rsidRPr="006F34CD" w:rsidR="008646EF">
        <w:t>”.</w:t>
      </w:r>
      <w:r w:rsidRPr="006F34CD" w:rsidR="00795343">
        <w:t xml:space="preserve"> As to the alleged lack of extremist motives</w:t>
      </w:r>
      <w:r w:rsidRPr="006F34CD" w:rsidR="00CB179C">
        <w:t xml:space="preserve"> in his conduct</w:t>
      </w:r>
      <w:r w:rsidRPr="006F34CD" w:rsidR="00795343">
        <w:t>, the Regional Court noted:</w:t>
      </w:r>
    </w:p>
    <w:p w:rsidRPr="006F34CD" w:rsidR="00795343" w:rsidP="006F34CD" w:rsidRDefault="00795343" w14:paraId="0B869CE2" w14:textId="77777777">
      <w:pPr>
        <w:pStyle w:val="JuQuot"/>
      </w:pPr>
      <w:r w:rsidRPr="006F34CD">
        <w:t>“The fact of organising the activity of a religious association declared extremist</w:t>
      </w:r>
      <w:r w:rsidRPr="006F34CD" w:rsidR="00CB179C">
        <w:t xml:space="preserve"> and</w:t>
      </w:r>
      <w:r w:rsidRPr="006F34CD">
        <w:t xml:space="preserve"> distributing information that incites religious discord and advocates the exclusivity, superiority and inferiority of citizens based on their attitude toward religion, indicates in itself that the motive behind </w:t>
      </w:r>
      <w:r w:rsidRPr="006F34CD" w:rsidR="00F30430">
        <w:t>[his]</w:t>
      </w:r>
      <w:r w:rsidRPr="006F34CD">
        <w:t xml:space="preserve"> actions was religious hatred.”</w:t>
      </w:r>
    </w:p>
    <w:p w:rsidRPr="006F34CD" w:rsidR="00407FF3" w:rsidP="006F34CD" w:rsidRDefault="0092116A" w14:paraId="463D3B41" w14:textId="6F309D57">
      <w:pPr>
        <w:pStyle w:val="JuH1"/>
      </w:pPr>
      <w:bookmarkStart w:name="_Toc97301918" w:id="96"/>
      <w:r w:rsidRPr="006F34CD">
        <w:t>Further</w:t>
      </w:r>
      <w:r w:rsidRPr="006F34CD" w:rsidR="00407FF3">
        <w:t xml:space="preserve"> criminal proceedings against Jehovah</w:t>
      </w:r>
      <w:r w:rsidRPr="006F34CD" w:rsidR="006F34CD">
        <w:t>’</w:t>
      </w:r>
      <w:r w:rsidRPr="006F34CD" w:rsidR="00407FF3">
        <w:t>s Witnesses</w:t>
      </w:r>
      <w:bookmarkEnd w:id="96"/>
    </w:p>
    <w:p w:rsidRPr="006F34CD" w:rsidR="00587DCF" w:rsidP="006F34CD" w:rsidRDefault="00CB6108" w14:paraId="173B0707" w14:textId="77F82B3B">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113</w:t>
      </w:r>
      <w:r>
        <w:rPr>
          <w:noProof/>
        </w:rPr>
        <w:fldChar w:fldCharType="end"/>
      </w:r>
      <w:r w:rsidRPr="006F34CD" w:rsidR="00407FF3">
        <w:t xml:space="preserve">.  As of </w:t>
      </w:r>
      <w:r w:rsidRPr="006F34CD" w:rsidR="003179D7">
        <w:t>1 September 2021</w:t>
      </w:r>
      <w:r w:rsidRPr="006F34CD" w:rsidR="00407FF3">
        <w:t xml:space="preserve">, </w:t>
      </w:r>
      <w:r w:rsidRPr="006F34CD" w:rsidR="001C4D33">
        <w:t>559</w:t>
      </w:r>
      <w:r w:rsidRPr="006F34CD" w:rsidR="00407FF3">
        <w:t xml:space="preserve"> Jehovah</w:t>
      </w:r>
      <w:r w:rsidRPr="006F34CD" w:rsidR="006F34CD">
        <w:t>’</w:t>
      </w:r>
      <w:r w:rsidRPr="006F34CD" w:rsidR="00407FF3">
        <w:t xml:space="preserve">s Witnesses in Russia have been charged for allegedly organising, participating in or financing the activity of an “extremist” organisation. Similar to </w:t>
      </w:r>
      <w:r w:rsidRPr="006F34CD" w:rsidR="00954109">
        <w:t>Mr C</w:t>
      </w:r>
      <w:r w:rsidRPr="006F34CD" w:rsidR="00407FF3">
        <w:t xml:space="preserve">hristensen, </w:t>
      </w:r>
      <w:r w:rsidRPr="006F34CD" w:rsidR="001C4D33">
        <w:t>133</w:t>
      </w:r>
      <w:r w:rsidRPr="006F34CD" w:rsidR="00AC1B15">
        <w:t> </w:t>
      </w:r>
      <w:r w:rsidRPr="006F34CD" w:rsidR="00407FF3">
        <w:t>Jehovah</w:t>
      </w:r>
      <w:r w:rsidRPr="006F34CD" w:rsidR="006F34CD">
        <w:t>’</w:t>
      </w:r>
      <w:r w:rsidRPr="006F34CD" w:rsidR="00407FF3">
        <w:t xml:space="preserve">s Witnesses have already been convicted and sentenced under </w:t>
      </w:r>
      <w:r w:rsidRPr="006F34CD" w:rsidR="00954109">
        <w:t>Article 2</w:t>
      </w:r>
      <w:r w:rsidRPr="006F34CD" w:rsidR="00407FF3">
        <w:t xml:space="preserve">82.2 of the Criminal Code; </w:t>
      </w:r>
      <w:r w:rsidRPr="006F34CD" w:rsidR="001C4D33">
        <w:t xml:space="preserve">at least 255 </w:t>
      </w:r>
      <w:r w:rsidRPr="006F34CD" w:rsidR="00407FF3">
        <w:t>Jehovah</w:t>
      </w:r>
      <w:r w:rsidRPr="006F34CD" w:rsidR="006F34CD">
        <w:t>’</w:t>
      </w:r>
      <w:r w:rsidRPr="006F34CD" w:rsidR="00407FF3">
        <w:t>s Witnesses have been placed in pre-trial detention or under house arrest, and more than 1,</w:t>
      </w:r>
      <w:r w:rsidRPr="006F34CD" w:rsidR="001C4D33">
        <w:t>547</w:t>
      </w:r>
      <w:r w:rsidRPr="006F34CD" w:rsidR="00AC1B15">
        <w:t> </w:t>
      </w:r>
      <w:r w:rsidRPr="006F34CD" w:rsidR="00407FF3">
        <w:t>homes of Jehovah</w:t>
      </w:r>
      <w:r w:rsidRPr="006F34CD" w:rsidR="006F34CD">
        <w:t>’</w:t>
      </w:r>
      <w:r w:rsidRPr="006F34CD" w:rsidR="00407FF3">
        <w:t>s Witnesses have been searched by police.</w:t>
      </w:r>
    </w:p>
    <w:p w:rsidRPr="006F34CD" w:rsidR="001E754B" w:rsidP="006F34CD" w:rsidRDefault="000C5E9E" w14:paraId="2D455778" w14:textId="5DD5C924">
      <w:pPr>
        <w:pStyle w:val="JuHHead"/>
      </w:pPr>
      <w:bookmarkStart w:name="_Toc97301919" w:id="97"/>
      <w:bookmarkEnd w:id="92"/>
      <w:r w:rsidRPr="006F34CD">
        <w:t>RELEVANT LEGAL FRAMEWORK</w:t>
      </w:r>
      <w:bookmarkEnd w:id="97"/>
    </w:p>
    <w:p w:rsidRPr="006F34CD" w:rsidR="00563DE6" w:rsidP="006F34CD" w:rsidRDefault="00535F99" w14:paraId="58395934" w14:textId="77777777">
      <w:pPr>
        <w:pStyle w:val="JuHIRoman"/>
      </w:pPr>
      <w:bookmarkStart w:name="_Toc97301920" w:id="98"/>
      <w:r w:rsidRPr="006F34CD">
        <w:t>RUSSIA</w:t>
      </w:r>
      <w:r w:rsidRPr="006F34CD" w:rsidR="001C659E">
        <w:t>N LAW</w:t>
      </w:r>
      <w:bookmarkEnd w:id="98"/>
    </w:p>
    <w:p w:rsidRPr="006F34CD" w:rsidR="00563DE6" w:rsidP="006F34CD" w:rsidRDefault="00563DE6" w14:paraId="2B200C17" w14:textId="77777777">
      <w:pPr>
        <w:pStyle w:val="JuHA"/>
        <w:numPr>
          <w:ilvl w:val="2"/>
          <w:numId w:val="1"/>
        </w:numPr>
      </w:pPr>
      <w:bookmarkStart w:name="_Toc97301921" w:id="99"/>
      <w:r w:rsidRPr="006F34CD">
        <w:t xml:space="preserve">Suppression of Extremism Act (Law </w:t>
      </w:r>
      <w:r w:rsidRPr="006F34CD" w:rsidR="001370AA">
        <w:t>no. 1</w:t>
      </w:r>
      <w:r w:rsidRPr="006F34CD">
        <w:t xml:space="preserve">14-FZ of </w:t>
      </w:r>
      <w:r w:rsidRPr="006F34CD" w:rsidR="001370AA">
        <w:t>25 July 2002</w:t>
      </w:r>
      <w:r w:rsidRPr="006F34CD">
        <w:t>)</w:t>
      </w:r>
      <w:bookmarkEnd w:id="99"/>
    </w:p>
    <w:p w:rsidRPr="006F34CD" w:rsidR="00860184" w:rsidP="006F34CD" w:rsidRDefault="006F34CD" w14:paraId="7F6B3A7E" w14:textId="736A611C">
      <w:pPr>
        <w:pStyle w:val="JuPara"/>
      </w:pPr>
      <w:fldSimple w:instr=" SEQ level0 \*arabic \* MERGEFORMAT ">
        <w:bookmarkStart w:name="paragraph00114" w:id="100"/>
        <w:r w:rsidRPr="006F34CD">
          <w:rPr>
            <w:noProof/>
          </w:rPr>
          <w:t>114</w:t>
        </w:r>
        <w:bookmarkEnd w:id="100"/>
      </w:fldSimple>
      <w:r w:rsidRPr="006F34CD" w:rsidR="00071B3A">
        <w:t>.  </w:t>
      </w:r>
      <w:r w:rsidRPr="006F34CD" w:rsidR="00860184">
        <w:t>Section 1(1)</w:t>
      </w:r>
      <w:r w:rsidRPr="006F34CD" w:rsidR="008D707E">
        <w:t xml:space="preserve"> </w:t>
      </w:r>
      <w:r w:rsidRPr="006F34CD" w:rsidR="00860184">
        <w:t>– as worded at the time of the proceedings against the Taganrog LRO – defined “extremist activity (extremism)” as follows:</w:t>
      </w:r>
    </w:p>
    <w:p w:rsidRPr="006F34CD" w:rsidR="00860184" w:rsidP="006F34CD" w:rsidRDefault="00860184" w14:paraId="07C416F5" w14:textId="1CC4B3AE">
      <w:pPr>
        <w:pStyle w:val="JuQuot"/>
      </w:pPr>
      <w:r w:rsidRPr="006F34CD">
        <w:t>“–</w:t>
      </w:r>
      <w:r w:rsidRPr="006F34CD" w:rsidR="00587DCF">
        <w:t xml:space="preserve"> </w:t>
      </w:r>
      <w:r w:rsidRPr="006F34CD">
        <w:t>a forcible change of the foundations of the constitutional system and violations of the integrity of the Russian Federation;</w:t>
      </w:r>
    </w:p>
    <w:p w:rsidRPr="006F34CD" w:rsidR="00860184" w:rsidP="006F34CD" w:rsidRDefault="00860184" w14:paraId="182A720F" w14:textId="19AAF766">
      <w:pPr>
        <w:pStyle w:val="JuQuot"/>
      </w:pPr>
      <w:r w:rsidRPr="006F34CD">
        <w:t>–</w:t>
      </w:r>
      <w:r w:rsidRPr="006F34CD" w:rsidR="00587DCF">
        <w:t xml:space="preserve"> </w:t>
      </w:r>
      <w:r w:rsidRPr="006F34CD">
        <w:t>the public justification of terrorism and other terrorist activity;</w:t>
      </w:r>
    </w:p>
    <w:p w:rsidRPr="006F34CD" w:rsidR="00860184" w:rsidP="006F34CD" w:rsidRDefault="00860184" w14:paraId="0549DECD" w14:textId="46DFD055">
      <w:pPr>
        <w:pStyle w:val="JuQuot"/>
      </w:pPr>
      <w:r w:rsidRPr="006F34CD">
        <w:t>–</w:t>
      </w:r>
      <w:r w:rsidRPr="006F34CD" w:rsidR="00587DCF">
        <w:t xml:space="preserve"> </w:t>
      </w:r>
      <w:r w:rsidRPr="006F34CD">
        <w:t>the stirring up of social, racial, ethnic or religious discord;</w:t>
      </w:r>
    </w:p>
    <w:p w:rsidRPr="006F34CD" w:rsidR="00860184" w:rsidP="006F34CD" w:rsidRDefault="00860184" w14:paraId="3AF868E5" w14:textId="53A01FE4">
      <w:pPr>
        <w:pStyle w:val="JuQuot"/>
      </w:pPr>
      <w:r w:rsidRPr="006F34CD">
        <w:t>–</w:t>
      </w:r>
      <w:r w:rsidRPr="006F34CD" w:rsidR="00587DCF">
        <w:t xml:space="preserve"> </w:t>
      </w:r>
      <w:r w:rsidRPr="006F34CD">
        <w:t>propaganda about the exceptional nature, superiority or deficiency of persons on the basis of their social, racial, ethnic, religious or linguistic affiliation or attitude to religion;</w:t>
      </w:r>
    </w:p>
    <w:p w:rsidRPr="006F34CD" w:rsidR="00860184" w:rsidP="006F34CD" w:rsidRDefault="00860184" w14:paraId="42A6EB22" w14:textId="7FE2A137">
      <w:pPr>
        <w:pStyle w:val="JuQuot"/>
      </w:pPr>
      <w:r w:rsidRPr="006F34CD">
        <w:t>–</w:t>
      </w:r>
      <w:r w:rsidRPr="006F34CD" w:rsidR="00587DCF">
        <w:t xml:space="preserve"> </w:t>
      </w:r>
      <w:r w:rsidRPr="006F34CD">
        <w:t>violations of human and civil rights and freedoms and lawful interests in connection with a person</w:t>
      </w:r>
      <w:r w:rsidRPr="006F34CD" w:rsidR="006F34CD">
        <w:t>’</w:t>
      </w:r>
      <w:r w:rsidRPr="006F34CD">
        <w:t>s social, racial, ethnic, religious or linguistic affiliation or attitude to religion;</w:t>
      </w:r>
    </w:p>
    <w:p w:rsidRPr="006F34CD" w:rsidR="00860184" w:rsidP="006F34CD" w:rsidRDefault="00587DCF" w14:paraId="62C2CA9A" w14:textId="2E440AC2">
      <w:pPr>
        <w:pStyle w:val="JuQuot"/>
      </w:pPr>
      <w:r w:rsidRPr="006F34CD">
        <w:t>...</w:t>
      </w:r>
    </w:p>
    <w:p w:rsidRPr="006F34CD" w:rsidR="00860184" w:rsidP="006F34CD" w:rsidRDefault="00860184" w14:paraId="61C286C7" w14:textId="762C8FF3">
      <w:pPr>
        <w:pStyle w:val="JuQuot"/>
      </w:pPr>
      <w:r w:rsidRPr="006F34CD">
        <w:t>–</w:t>
      </w:r>
      <w:r w:rsidRPr="006F34CD" w:rsidR="00587DCF">
        <w:t xml:space="preserve"> </w:t>
      </w:r>
      <w:r w:rsidRPr="006F34CD">
        <w:t>public appeals to carry out the above-mentioned acts or the mass dissemination of knowingly extremist materials, and likewise the production or storage thereof with the aim of mass dissemination;</w:t>
      </w:r>
    </w:p>
    <w:p w:rsidRPr="006F34CD" w:rsidR="00860184" w:rsidP="006F34CD" w:rsidRDefault="00587DCF" w14:paraId="2A056208" w14:textId="36D90EB8">
      <w:pPr>
        <w:pStyle w:val="JuQuot"/>
      </w:pPr>
      <w:r w:rsidRPr="006F34CD">
        <w:t>...</w:t>
      </w:r>
    </w:p>
    <w:p w:rsidRPr="006F34CD" w:rsidR="00860184" w:rsidP="006F34CD" w:rsidRDefault="00860184" w14:paraId="172A66E5" w14:textId="2DE5D178">
      <w:pPr>
        <w:pStyle w:val="JuQuot"/>
      </w:pPr>
      <w:r w:rsidRPr="006F34CD">
        <w:t>–</w:t>
      </w:r>
      <w:r w:rsidRPr="006F34CD" w:rsidR="00587DCF">
        <w:t xml:space="preserve"> </w:t>
      </w:r>
      <w:r w:rsidRPr="006F34CD">
        <w:t>the organisation of and preparation for the aforementioned actions and inciting others to commit them;</w:t>
      </w:r>
    </w:p>
    <w:p w:rsidRPr="006F34CD" w:rsidR="00860184" w:rsidP="006F34CD" w:rsidRDefault="00860184" w14:paraId="69374FD9" w14:textId="2A0F2C21">
      <w:pPr>
        <w:pStyle w:val="JuQuot"/>
      </w:pPr>
      <w:r w:rsidRPr="006F34CD">
        <w:t>–</w:t>
      </w:r>
      <w:r w:rsidRPr="006F34CD" w:rsidR="00587DCF">
        <w:t xml:space="preserve"> </w:t>
      </w:r>
      <w:r w:rsidRPr="006F34CD">
        <w:t>funding the aforementioned actions or any assistance in organising, preparing or carrying them out, including the provision of training, printing and material/technical support, telephonic or other types of communication links or information services</w:t>
      </w:r>
      <w:r w:rsidRPr="006F34CD" w:rsidR="008C4E11">
        <w:t>.</w:t>
      </w:r>
      <w:r w:rsidRPr="006F34CD">
        <w:t>”</w:t>
      </w:r>
    </w:p>
    <w:bookmarkStart w:name="paragraph00115" w:id="101"/>
    <w:p w:rsidRPr="006F34CD" w:rsidR="00621B38" w:rsidP="006F34CD" w:rsidRDefault="00621B38" w14:paraId="503706E9" w14:textId="69D0EAA9">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115</w:t>
      </w:r>
      <w:r w:rsidRPr="006F34CD">
        <w:fldChar w:fldCharType="end"/>
      </w:r>
      <w:bookmarkEnd w:id="101"/>
      <w:r w:rsidRPr="006F34CD">
        <w:t>.  Where indicators of extremist activities are identified in the activities of an association, a competent prosecutor or executive body may issue a letter of warning to caution the association against extremist activities. If new indicators of extremist activities are identified within twelve months of the date of the letter, the association is subject to dissolution (section 7).</w:t>
      </w:r>
    </w:p>
    <w:p w:rsidRPr="006F34CD" w:rsidR="00587DCF" w:rsidP="006F34CD" w:rsidRDefault="00563DE6" w14:paraId="5CD20C9C" w14:textId="6E7FB1D7">
      <w:pPr>
        <w:pStyle w:val="JuPara"/>
      </w:pPr>
      <w:r w:rsidRPr="006F34CD">
        <w:rPr>
          <w:b/>
          <w:bCs/>
        </w:rPr>
        <w:fldChar w:fldCharType="begin"/>
      </w:r>
      <w:r w:rsidRPr="006F34CD">
        <w:instrText xml:space="preserve"> SEQ level0 \*arabic </w:instrText>
      </w:r>
      <w:r w:rsidRPr="006F34CD">
        <w:rPr>
          <w:b/>
          <w:bCs/>
        </w:rPr>
        <w:fldChar w:fldCharType="separate"/>
      </w:r>
      <w:r w:rsidRPr="006F34CD" w:rsidR="006F34CD">
        <w:rPr>
          <w:noProof/>
        </w:rPr>
        <w:t>116</w:t>
      </w:r>
      <w:r w:rsidRPr="006F34CD">
        <w:rPr>
          <w:b/>
          <w:bCs/>
        </w:rPr>
        <w:fldChar w:fldCharType="end"/>
      </w:r>
      <w:r w:rsidRPr="006F34CD">
        <w:t>.</w:t>
      </w:r>
      <w:r w:rsidRPr="006F34CD" w:rsidR="001370AA">
        <w:t>  </w:t>
      </w:r>
      <w:r w:rsidRPr="006F34CD" w:rsidR="00621B38">
        <w:t>A</w:t>
      </w:r>
      <w:r w:rsidRPr="006F34CD" w:rsidR="00C67222">
        <w:t xml:space="preserve"> religious association engaging in </w:t>
      </w:r>
      <w:r w:rsidRPr="006F34CD" w:rsidR="00486D7E">
        <w:t>“</w:t>
      </w:r>
      <w:r w:rsidRPr="006F34CD" w:rsidR="00C67222">
        <w:t xml:space="preserve">extremist activities </w:t>
      </w:r>
      <w:r w:rsidRPr="006F34CD" w:rsidR="00486D7E">
        <w:t>resulting in a violation of human and civil rights and freedoms, harm to a person</w:t>
      </w:r>
      <w:r w:rsidRPr="006F34CD" w:rsidR="006F34CD">
        <w:t>’</w:t>
      </w:r>
      <w:r w:rsidRPr="006F34CD" w:rsidR="00486D7E">
        <w:t>s health, environment, public order, public safety, property, or the lawful economic interests of individuals or legal entities, society and the State or creating a real threat of causing such harm” may be liquidated by a judicial decision and its property confiscated</w:t>
      </w:r>
      <w:r w:rsidRPr="006F34CD" w:rsidR="00621B38">
        <w:t xml:space="preserve"> (</w:t>
      </w:r>
      <w:r w:rsidRPr="006F34CD" w:rsidR="00C8339E">
        <w:t>section 9</w:t>
      </w:r>
      <w:r w:rsidRPr="006F34CD" w:rsidR="00621B38">
        <w:t>)</w:t>
      </w:r>
      <w:r w:rsidRPr="006F34CD" w:rsidR="00486D7E">
        <w:t>.</w:t>
      </w:r>
    </w:p>
    <w:p w:rsidRPr="006F34CD" w:rsidR="00865348" w:rsidP="006F34CD" w:rsidRDefault="00CB6108" w14:paraId="1860B8C3" w14:textId="4657E9CC">
      <w:pPr>
        <w:pStyle w:val="JuPara"/>
        <w:rPr>
          <w:iCs/>
          <w:lang w:val="en-US"/>
        </w:rPr>
      </w:pPr>
      <w:r>
        <w:rPr>
          <w:noProof/>
        </w:rPr>
        <w:fldChar w:fldCharType="begin"/>
      </w:r>
      <w:r>
        <w:rPr>
          <w:noProof/>
        </w:rPr>
        <w:instrText xml:space="preserve"> SEQ level0 \*arabic \* MERGEFORMAT </w:instrText>
      </w:r>
      <w:r>
        <w:rPr>
          <w:noProof/>
        </w:rPr>
        <w:fldChar w:fldCharType="separate"/>
      </w:r>
      <w:r w:rsidRPr="006F34CD" w:rsidR="006F34CD">
        <w:rPr>
          <w:noProof/>
        </w:rPr>
        <w:t>117</w:t>
      </w:r>
      <w:r>
        <w:rPr>
          <w:noProof/>
        </w:rPr>
        <w:fldChar w:fldCharType="end"/>
      </w:r>
      <w:r w:rsidRPr="006F34CD" w:rsidR="00865348">
        <w:t>.  </w:t>
      </w:r>
      <w:r w:rsidRPr="006F34CD" w:rsidR="00F5235B">
        <w:t xml:space="preserve">The </w:t>
      </w:r>
      <w:r w:rsidRPr="006F34CD" w:rsidR="00865348">
        <w:t xml:space="preserve">grounds for the liquidation of a religious organisation and the banning of its activities are </w:t>
      </w:r>
      <w:r w:rsidRPr="006F34CD" w:rsidR="00F5235B">
        <w:t>set out</w:t>
      </w:r>
      <w:r w:rsidRPr="006F34CD" w:rsidR="00865348">
        <w:t xml:space="preserve"> in </w:t>
      </w:r>
      <w:r w:rsidRPr="006F34CD" w:rsidR="008E2738">
        <w:t>section 1</w:t>
      </w:r>
      <w:r w:rsidRPr="006F34CD" w:rsidR="00865348">
        <w:t xml:space="preserve">4(2) of the Religions Act (Law </w:t>
      </w:r>
      <w:r w:rsidRPr="006F34CD" w:rsidR="008E2738">
        <w:t>no. 1</w:t>
      </w:r>
      <w:r w:rsidRPr="006F34CD" w:rsidR="00865348">
        <w:t xml:space="preserve">25-FZ of </w:t>
      </w:r>
      <w:r w:rsidRPr="006F34CD" w:rsidR="008E2738">
        <w:t>26 September 1997</w:t>
      </w:r>
      <w:r w:rsidRPr="006F34CD" w:rsidR="00865348">
        <w:t>). They include in particular the “</w:t>
      </w:r>
      <w:r w:rsidRPr="006F34CD" w:rsidR="00865348">
        <w:rPr>
          <w:iCs/>
          <w:lang w:val="en-US"/>
        </w:rPr>
        <w:t xml:space="preserve">undermining of social order and security”, “actions aimed at inciting extremist activities”, “forcing the breakup of family”, “infringement on the identity, rights and freedoms of a citizen”, “encouraging suicide or refusal on religious grounds of medical help to persons in life-threatening or health endangering situations”, and “inciting citizens to refuse to fulfill their civic obligations established by law” (see, for details, </w:t>
      </w:r>
      <w:r w:rsidRPr="006F34CD" w:rsidR="00865348">
        <w:rPr>
          <w:i/>
          <w:iCs/>
        </w:rPr>
        <w:t>Jehovah</w:t>
      </w:r>
      <w:r w:rsidRPr="006F34CD" w:rsidR="006F34CD">
        <w:rPr>
          <w:i/>
          <w:iCs/>
        </w:rPr>
        <w:t>’</w:t>
      </w:r>
      <w:r w:rsidRPr="006F34CD" w:rsidR="00865348">
        <w:rPr>
          <w:i/>
          <w:iCs/>
        </w:rPr>
        <w:t>s Witnesses of Moscow and Others</w:t>
      </w:r>
      <w:r w:rsidRPr="006F34CD" w:rsidR="008E2738">
        <w:rPr>
          <w:i/>
          <w:iCs/>
        </w:rPr>
        <w:t xml:space="preserve"> v. R</w:t>
      </w:r>
      <w:r w:rsidRPr="006F34CD" w:rsidR="00865348">
        <w:rPr>
          <w:i/>
          <w:iCs/>
        </w:rPr>
        <w:t>ussia</w:t>
      </w:r>
      <w:r w:rsidRPr="006F34CD" w:rsidR="00865348">
        <w:rPr>
          <w:iCs/>
        </w:rPr>
        <w:t xml:space="preserve">, </w:t>
      </w:r>
      <w:r w:rsidRPr="006F34CD" w:rsidR="008E2738">
        <w:rPr>
          <w:iCs/>
        </w:rPr>
        <w:t>no. 3</w:t>
      </w:r>
      <w:r w:rsidRPr="006F34CD" w:rsidR="00865348">
        <w:rPr>
          <w:iCs/>
        </w:rPr>
        <w:t xml:space="preserve">02/02, </w:t>
      </w:r>
      <w:r w:rsidRPr="006F34CD" w:rsidR="008E2738">
        <w:rPr>
          <w:iCs/>
        </w:rPr>
        <w:t>§ 7</w:t>
      </w:r>
      <w:r w:rsidRPr="006F34CD" w:rsidR="00865348">
        <w:rPr>
          <w:iCs/>
        </w:rPr>
        <w:t xml:space="preserve">7, </w:t>
      </w:r>
      <w:r w:rsidRPr="006F34CD" w:rsidR="008E2738">
        <w:rPr>
          <w:iCs/>
        </w:rPr>
        <w:t>10 June 2010</w:t>
      </w:r>
      <w:r w:rsidRPr="006F34CD" w:rsidR="00865348">
        <w:rPr>
          <w:iCs/>
        </w:rPr>
        <w:t>).</w:t>
      </w:r>
    </w:p>
    <w:p w:rsidRPr="006F34CD" w:rsidR="00563DE6" w:rsidP="006F34CD" w:rsidRDefault="00563DE6" w14:paraId="27B78AC6" w14:textId="77777777">
      <w:pPr>
        <w:pStyle w:val="JuHA"/>
        <w:numPr>
          <w:ilvl w:val="2"/>
          <w:numId w:val="1"/>
        </w:numPr>
      </w:pPr>
      <w:bookmarkStart w:name="_Toc97301922" w:id="102"/>
      <w:r w:rsidRPr="006F34CD">
        <w:t>Criminal Code</w:t>
      </w:r>
      <w:bookmarkEnd w:id="102"/>
    </w:p>
    <w:p w:rsidRPr="006F34CD" w:rsidR="00BA49FC" w:rsidP="006F34CD" w:rsidRDefault="00563DE6" w14:paraId="47538334" w14:textId="24D23206">
      <w:pPr>
        <w:pStyle w:val="JuPara"/>
      </w:pPr>
      <w:r w:rsidRPr="006F34CD">
        <w:fldChar w:fldCharType="begin"/>
      </w:r>
      <w:r w:rsidRPr="006F34CD">
        <w:instrText xml:space="preserve"> SEQ level0 \*arabic </w:instrText>
      </w:r>
      <w:r w:rsidRPr="006F34CD">
        <w:fldChar w:fldCharType="separate"/>
      </w:r>
      <w:r w:rsidRPr="006F34CD" w:rsidR="006F34CD">
        <w:rPr>
          <w:noProof/>
        </w:rPr>
        <w:t>118</w:t>
      </w:r>
      <w:r w:rsidRPr="006F34CD">
        <w:fldChar w:fldCharType="end"/>
      </w:r>
      <w:r w:rsidRPr="006F34CD">
        <w:t>.</w:t>
      </w:r>
      <w:r w:rsidRPr="006F34CD" w:rsidR="001370AA">
        <w:t>  </w:t>
      </w:r>
      <w:r w:rsidRPr="006F34CD" w:rsidR="00BA49FC">
        <w:t>Actions aimed at inciting hatred or enmity and undermining the dignity of an individual or a group of individuals on account of, in particular, ethnic origin, religion or membership of a social group, are punishable with a fine, mandatory works or up to two years</w:t>
      </w:r>
      <w:r w:rsidRPr="006F34CD" w:rsidR="006F34CD">
        <w:t>’</w:t>
      </w:r>
      <w:r w:rsidRPr="006F34CD" w:rsidR="00BA49FC">
        <w:t xml:space="preserve"> deprivation of liberty (Article 282(1)). The same acts if committed by an organised group are punishable with up to five years</w:t>
      </w:r>
      <w:r w:rsidRPr="006F34CD" w:rsidR="006F34CD">
        <w:t>’</w:t>
      </w:r>
      <w:r w:rsidRPr="006F34CD" w:rsidR="00BA49FC">
        <w:t xml:space="preserve"> imprisonment (</w:t>
      </w:r>
      <w:r w:rsidRPr="006F34CD" w:rsidR="00F50F6F">
        <w:t>Article 2</w:t>
      </w:r>
      <w:r w:rsidRPr="006F34CD" w:rsidR="00BA49FC">
        <w:t>82(2)(c)).</w:t>
      </w:r>
    </w:p>
    <w:p w:rsidRPr="006F34CD" w:rsidR="00BA49FC" w:rsidP="006F34CD" w:rsidRDefault="00CB6108" w14:paraId="69DD4159" w14:textId="5F9EE3DF">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119</w:t>
      </w:r>
      <w:r>
        <w:rPr>
          <w:noProof/>
        </w:rPr>
        <w:fldChar w:fldCharType="end"/>
      </w:r>
      <w:r w:rsidRPr="006F34CD" w:rsidR="00BA49FC">
        <w:t>.  The establishing or leading of a religious or public association whose activities involve violence or harm to a person</w:t>
      </w:r>
      <w:r w:rsidRPr="006F34CD" w:rsidR="006F34CD">
        <w:t>’</w:t>
      </w:r>
      <w:r w:rsidRPr="006F34CD" w:rsidR="00BA49FC">
        <w:t>s health, inducement to refuse to perform civic duties or to commit other unlawful acts, may be punishable with up to three years</w:t>
      </w:r>
      <w:r w:rsidRPr="006F34CD" w:rsidR="006F34CD">
        <w:t>’</w:t>
      </w:r>
      <w:r w:rsidRPr="006F34CD" w:rsidR="00BA49FC">
        <w:t xml:space="preserve"> imprisonment (</w:t>
      </w:r>
      <w:r w:rsidRPr="006F34CD" w:rsidR="00F50F6F">
        <w:t>Article 2</w:t>
      </w:r>
      <w:r w:rsidRPr="006F34CD" w:rsidR="00BA49FC">
        <w:t>39(1)). Participation in the activities of such an association may be punishable by deprivation of liberty for up to two years (</w:t>
      </w:r>
      <w:r w:rsidRPr="006F34CD" w:rsidR="00F50F6F">
        <w:t>Article 2</w:t>
      </w:r>
      <w:r w:rsidRPr="006F34CD" w:rsidR="00BA49FC">
        <w:t>39(2)).</w:t>
      </w:r>
    </w:p>
    <w:p w:rsidRPr="006F34CD" w:rsidR="00563DE6" w:rsidP="006F34CD" w:rsidRDefault="00563DE6" w14:paraId="6820DCE7" w14:textId="77777777">
      <w:pPr>
        <w:pStyle w:val="JuHA"/>
        <w:numPr>
          <w:ilvl w:val="2"/>
          <w:numId w:val="1"/>
        </w:numPr>
      </w:pPr>
      <w:bookmarkStart w:name="_Toc97301923" w:id="103"/>
      <w:r w:rsidRPr="006F34CD">
        <w:t xml:space="preserve">The Mass Media Act (Law </w:t>
      </w:r>
      <w:r w:rsidRPr="006F34CD" w:rsidR="001370AA">
        <w:t>no. 2</w:t>
      </w:r>
      <w:r w:rsidRPr="006F34CD">
        <w:t xml:space="preserve">124-1 of </w:t>
      </w:r>
      <w:r w:rsidRPr="006F34CD" w:rsidR="001370AA">
        <w:t>27 December 1991</w:t>
      </w:r>
      <w:r w:rsidRPr="006F34CD">
        <w:t>)</w:t>
      </w:r>
      <w:bookmarkEnd w:id="103"/>
    </w:p>
    <w:p w:rsidRPr="006F34CD" w:rsidR="00563DE6" w:rsidP="006F34CD" w:rsidRDefault="00563DE6" w14:paraId="4FC7877F" w14:textId="3CEFEBE6">
      <w:pPr>
        <w:pStyle w:val="JuPara"/>
      </w:pPr>
      <w:r w:rsidRPr="006F34CD">
        <w:fldChar w:fldCharType="begin"/>
      </w:r>
      <w:r w:rsidRPr="006F34CD">
        <w:instrText xml:space="preserve"> SEQ level0 \*arabic </w:instrText>
      </w:r>
      <w:r w:rsidRPr="006F34CD">
        <w:fldChar w:fldCharType="separate"/>
      </w:r>
      <w:r w:rsidRPr="006F34CD" w:rsidR="006F34CD">
        <w:rPr>
          <w:noProof/>
        </w:rPr>
        <w:t>120</w:t>
      </w:r>
      <w:r w:rsidRPr="006F34CD">
        <w:fldChar w:fldCharType="end"/>
      </w:r>
      <w:r w:rsidRPr="006F34CD">
        <w:t>.</w:t>
      </w:r>
      <w:r w:rsidRPr="006F34CD" w:rsidR="001370AA">
        <w:t>  </w:t>
      </w:r>
      <w:r w:rsidRPr="006F34CD" w:rsidR="000362DA">
        <w:t xml:space="preserve">Section 4 prohibits </w:t>
      </w:r>
      <w:r w:rsidRPr="006F34CD">
        <w:t xml:space="preserve">mass media </w:t>
      </w:r>
      <w:r w:rsidRPr="006F34CD" w:rsidR="000362DA">
        <w:t xml:space="preserve">from being used </w:t>
      </w:r>
      <w:r w:rsidRPr="006F34CD">
        <w:t xml:space="preserve">for </w:t>
      </w:r>
      <w:r w:rsidRPr="006F34CD" w:rsidR="000362DA">
        <w:t>the distribution of</w:t>
      </w:r>
      <w:r w:rsidRPr="006F34CD">
        <w:t xml:space="preserve"> extremist materials</w:t>
      </w:r>
      <w:r w:rsidRPr="006F34CD" w:rsidR="000362DA">
        <w:t>.</w:t>
      </w:r>
    </w:p>
    <w:bookmarkStart w:name="paragraph00121" w:id="104"/>
    <w:p w:rsidRPr="006F34CD" w:rsidR="00F27848" w:rsidP="006F34CD" w:rsidRDefault="00563DE6" w14:paraId="34A5FD76" w14:textId="1DE2E289">
      <w:pPr>
        <w:pStyle w:val="JuPara"/>
      </w:pPr>
      <w:r w:rsidRPr="006F34CD">
        <w:fldChar w:fldCharType="begin"/>
      </w:r>
      <w:r w:rsidRPr="006F34CD">
        <w:instrText xml:space="preserve"> SEQ level0 \*arabic </w:instrText>
      </w:r>
      <w:r w:rsidRPr="006F34CD">
        <w:fldChar w:fldCharType="separate"/>
      </w:r>
      <w:r w:rsidRPr="006F34CD" w:rsidR="006F34CD">
        <w:rPr>
          <w:noProof/>
        </w:rPr>
        <w:t>121</w:t>
      </w:r>
      <w:r w:rsidRPr="006F34CD">
        <w:fldChar w:fldCharType="end"/>
      </w:r>
      <w:bookmarkEnd w:id="104"/>
      <w:r w:rsidRPr="006F34CD">
        <w:t>.</w:t>
      </w:r>
      <w:r w:rsidRPr="006F34CD" w:rsidR="001370AA">
        <w:t>  </w:t>
      </w:r>
      <w:r w:rsidRPr="006F34CD" w:rsidR="000362DA">
        <w:t>Section 32, as worded prior to its repeal on 10 November 2011, established that a</w:t>
      </w:r>
      <w:r w:rsidRPr="006F34CD">
        <w:t xml:space="preserve"> broadcasting license could be revoked (1) if it had been obtained fraudulently, (2) if the licencing conditions had been breached and a written warning had been issued, (3) if the license had been secretly transferred to a</w:t>
      </w:r>
      <w:r w:rsidRPr="006F34CD" w:rsidR="00F27848">
        <w:t>nother entity.</w:t>
      </w:r>
    </w:p>
    <w:p w:rsidRPr="006F34CD" w:rsidR="00F27848" w:rsidP="006F34CD" w:rsidRDefault="00F27848" w14:paraId="5EF9680A" w14:textId="77777777">
      <w:pPr>
        <w:pStyle w:val="JuHA"/>
        <w:numPr>
          <w:ilvl w:val="2"/>
          <w:numId w:val="1"/>
        </w:numPr>
      </w:pPr>
      <w:bookmarkStart w:name="_Toc97301924" w:id="105"/>
      <w:r w:rsidRPr="006F34CD">
        <w:t>Code of Administrative Offences</w:t>
      </w:r>
      <w:bookmarkEnd w:id="105"/>
    </w:p>
    <w:p w:rsidRPr="006F34CD" w:rsidR="00F27848" w:rsidP="006F34CD" w:rsidRDefault="00F27848" w14:paraId="21192F1C" w14:textId="1A0EED7A">
      <w:pPr>
        <w:pStyle w:val="JuPara"/>
      </w:pPr>
      <w:r w:rsidRPr="006F34CD">
        <w:fldChar w:fldCharType="begin"/>
      </w:r>
      <w:r w:rsidRPr="006F34CD">
        <w:instrText xml:space="preserve"> SEQ level0 \*arabic </w:instrText>
      </w:r>
      <w:r w:rsidRPr="006F34CD">
        <w:fldChar w:fldCharType="separate"/>
      </w:r>
      <w:r w:rsidRPr="006F34CD" w:rsidR="006F34CD">
        <w:rPr>
          <w:noProof/>
        </w:rPr>
        <w:t>122</w:t>
      </w:r>
      <w:r w:rsidRPr="006F34CD">
        <w:fldChar w:fldCharType="end"/>
      </w:r>
      <w:r w:rsidRPr="006F34CD">
        <w:t>.</w:t>
      </w:r>
      <w:r w:rsidRPr="006F34CD" w:rsidR="001370AA">
        <w:t>  </w:t>
      </w:r>
      <w:r w:rsidRPr="006F34CD" w:rsidR="00F50F6F">
        <w:t>Article 2</w:t>
      </w:r>
      <w:r w:rsidRPr="006F34CD" w:rsidR="00C41AA1">
        <w:t>0.29 provides that “mass dissemination of extremist materials listed in the published Federal List of Extremist Materials, and also production or possession thereof with the intent to disseminate”, may be punishable with a fine of between 1,000 and 5,000 Russian roubles or with up to fifteen days</w:t>
      </w:r>
      <w:r w:rsidRPr="006F34CD" w:rsidR="006F34CD">
        <w:t>’</w:t>
      </w:r>
      <w:r w:rsidRPr="006F34CD" w:rsidR="00C41AA1">
        <w:t xml:space="preserve"> detention.</w:t>
      </w:r>
    </w:p>
    <w:p w:rsidRPr="006F34CD" w:rsidR="001E754B" w:rsidP="006F34CD" w:rsidRDefault="00486D7E" w14:paraId="5E311917" w14:textId="77777777">
      <w:pPr>
        <w:pStyle w:val="JuHA"/>
        <w:numPr>
          <w:ilvl w:val="2"/>
          <w:numId w:val="1"/>
        </w:numPr>
      </w:pPr>
      <w:bookmarkStart w:name="_Toc97301925" w:id="106"/>
      <w:r w:rsidRPr="006F34CD">
        <w:t xml:space="preserve">Case-law of the </w:t>
      </w:r>
      <w:r w:rsidRPr="006F34CD" w:rsidR="00F27848">
        <w:t>Constitutional Court</w:t>
      </w:r>
      <w:bookmarkEnd w:id="106"/>
    </w:p>
    <w:bookmarkStart w:name="paragraph00123" w:id="107"/>
    <w:p w:rsidRPr="006F34CD" w:rsidR="00F27848" w:rsidP="006F34CD" w:rsidRDefault="00F27848" w14:paraId="1C9C71FB" w14:textId="63FF84A3">
      <w:pPr>
        <w:pStyle w:val="JuPara"/>
      </w:pPr>
      <w:r w:rsidRPr="006F34CD">
        <w:fldChar w:fldCharType="begin"/>
      </w:r>
      <w:r w:rsidRPr="006F34CD">
        <w:instrText xml:space="preserve"> SEQ level0 \*arabic </w:instrText>
      </w:r>
      <w:r w:rsidRPr="006F34CD">
        <w:fldChar w:fldCharType="separate"/>
      </w:r>
      <w:r w:rsidRPr="006F34CD" w:rsidR="006F34CD">
        <w:rPr>
          <w:noProof/>
        </w:rPr>
        <w:t>123</w:t>
      </w:r>
      <w:r w:rsidRPr="006F34CD">
        <w:fldChar w:fldCharType="end"/>
      </w:r>
      <w:bookmarkEnd w:id="107"/>
      <w:r w:rsidRPr="006F34CD">
        <w:t>.</w:t>
      </w:r>
      <w:r w:rsidRPr="006F34CD" w:rsidR="001370AA">
        <w:t>  </w:t>
      </w:r>
      <w:r w:rsidRPr="006F34CD">
        <w:t xml:space="preserve">On </w:t>
      </w:r>
      <w:r w:rsidRPr="006F34CD" w:rsidR="001370AA">
        <w:t>21 April 2010</w:t>
      </w:r>
      <w:r w:rsidRPr="006F34CD">
        <w:t xml:space="preserve"> the Constitutional Court gave judgment </w:t>
      </w:r>
      <w:r w:rsidRPr="006F34CD" w:rsidR="001370AA">
        <w:t>no. 1</w:t>
      </w:r>
      <w:r w:rsidRPr="006F34CD" w:rsidR="00563DE6">
        <w:t xml:space="preserve">0-P concerning the exercise of the right to appeal by persons who were </w:t>
      </w:r>
      <w:r w:rsidRPr="006F34CD">
        <w:t>not parties to the proceedings at first instance.</w:t>
      </w:r>
      <w:r w:rsidRPr="006F34CD" w:rsidR="001370AA">
        <w:t xml:space="preserve"> </w:t>
      </w:r>
      <w:r w:rsidRPr="006F34CD" w:rsidR="00563DE6">
        <w:t xml:space="preserve">It affirmed its </w:t>
      </w:r>
      <w:r w:rsidRPr="006F34CD" w:rsidR="00331247">
        <w:t xml:space="preserve">constant </w:t>
      </w:r>
      <w:r w:rsidRPr="006F34CD" w:rsidR="00563DE6">
        <w:t xml:space="preserve">position that hearing a claim in the absence of persons whose rights and obligations might have been affected undermined their right to the judicial protection and the principles of fairness and adversarial nature of the proceedings. If a judicial decision affected the rights or freedoms of, or imposed additional obligations on, the person </w:t>
      </w:r>
      <w:r w:rsidRPr="006F34CD" w:rsidR="00CD7FA0">
        <w:t>which</w:t>
      </w:r>
      <w:r w:rsidRPr="006F34CD" w:rsidR="00563DE6">
        <w:t xml:space="preserve"> was </w:t>
      </w:r>
      <w:r w:rsidRPr="006F34CD">
        <w:t>not a party to the proceedings, such person should have the right to submit an appeal which a court of appeals would have to consider (</w:t>
      </w:r>
      <w:r w:rsidRPr="006F34CD" w:rsidR="001370AA">
        <w:t>paragraph 3</w:t>
      </w:r>
      <w:r w:rsidRPr="006F34CD">
        <w:t>.1).</w:t>
      </w:r>
    </w:p>
    <w:bookmarkStart w:name="paragraph00124" w:id="108"/>
    <w:p w:rsidRPr="006F34CD" w:rsidR="00F27848" w:rsidP="006F34CD" w:rsidRDefault="00F27848" w14:paraId="38CD6FDE" w14:textId="0039DC34">
      <w:pPr>
        <w:pStyle w:val="JuPara"/>
      </w:pPr>
      <w:r w:rsidRPr="006F34CD">
        <w:fldChar w:fldCharType="begin"/>
      </w:r>
      <w:r w:rsidRPr="006F34CD">
        <w:instrText xml:space="preserve"> SEQ level0 \*arabic </w:instrText>
      </w:r>
      <w:r w:rsidRPr="006F34CD">
        <w:fldChar w:fldCharType="separate"/>
      </w:r>
      <w:r w:rsidRPr="006F34CD" w:rsidR="006F34CD">
        <w:rPr>
          <w:noProof/>
        </w:rPr>
        <w:t>124</w:t>
      </w:r>
      <w:r w:rsidRPr="006F34CD">
        <w:fldChar w:fldCharType="end"/>
      </w:r>
      <w:bookmarkEnd w:id="108"/>
      <w:r w:rsidRPr="006F34CD">
        <w:t>.</w:t>
      </w:r>
      <w:r w:rsidRPr="006F34CD" w:rsidR="001370AA">
        <w:t>  </w:t>
      </w:r>
      <w:r w:rsidRPr="006F34CD">
        <w:t xml:space="preserve">On </w:t>
      </w:r>
      <w:r w:rsidRPr="006F34CD" w:rsidR="001370AA">
        <w:t>2 July 2013</w:t>
      </w:r>
      <w:r w:rsidRPr="006F34CD">
        <w:t xml:space="preserve"> the Constitutional Court declared inadmissible a complaint by a member of the Church of Scientology who had seen his copy of a Ron Hubbard</w:t>
      </w:r>
      <w:r w:rsidRPr="006F34CD" w:rsidR="006F34CD">
        <w:t>’</w:t>
      </w:r>
      <w:r w:rsidRPr="006F34CD">
        <w:t>s book confiscated on the basis of a Moscow court</w:t>
      </w:r>
      <w:r w:rsidRPr="006F34CD" w:rsidR="006F34CD">
        <w:t>’</w:t>
      </w:r>
      <w:r w:rsidRPr="006F34CD">
        <w:t xml:space="preserve">s decision pronouncing Scientology literature to be extremist material (decision </w:t>
      </w:r>
      <w:r w:rsidRPr="006F34CD" w:rsidR="001370AA">
        <w:t>no. 1</w:t>
      </w:r>
      <w:r w:rsidRPr="006F34CD" w:rsidR="00563DE6">
        <w:t>053-O). In the Constitutional Court</w:t>
      </w:r>
      <w:r w:rsidRPr="006F34CD" w:rsidR="006F34CD">
        <w:t>’</w:t>
      </w:r>
      <w:r w:rsidRPr="006F34CD" w:rsidR="00563DE6">
        <w:t>s view, the pro</w:t>
      </w:r>
      <w:r w:rsidRPr="006F34CD">
        <w:t xml:space="preserve">nouncement of certain materials to be extremist implied </w:t>
      </w:r>
      <w:r w:rsidRPr="006F34CD">
        <w:rPr>
          <w:i/>
        </w:rPr>
        <w:t>ipso facto</w:t>
      </w:r>
      <w:r w:rsidRPr="006F34CD">
        <w:t xml:space="preserve"> that they represented a real threat to human rights and freedoms, to the constitutional foundations, integrity and security of the Russian Federation.</w:t>
      </w:r>
      <w:r w:rsidRPr="006F34CD" w:rsidR="001370AA">
        <w:t xml:space="preserve"> </w:t>
      </w:r>
      <w:r w:rsidRPr="006F34CD" w:rsidR="00563DE6">
        <w:t>Irrespective of where such material was found, kept or used, the finding of their extremist nature can</w:t>
      </w:r>
      <w:r w:rsidRPr="006F34CD">
        <w:t>not but be followed by a confiscation measure seeking to curtail access to such material and to prevent the threat of their negative impact on anyone, including their owners.</w:t>
      </w:r>
      <w:r w:rsidRPr="006F34CD" w:rsidR="001370AA">
        <w:t xml:space="preserve"> </w:t>
      </w:r>
      <w:r w:rsidRPr="006F34CD" w:rsidR="00563DE6">
        <w:t xml:space="preserve">The owner must be able to take part in the proceedings in which the extremist nature of the materials is established and their confiscation ordered; otherwise, the constitutional right to the judicial protection of private property would </w:t>
      </w:r>
      <w:r w:rsidRPr="006F34CD">
        <w:t>not be secured.</w:t>
      </w:r>
    </w:p>
    <w:p w:rsidRPr="006F34CD" w:rsidR="00F27848" w:rsidP="006F34CD" w:rsidRDefault="00F27848" w14:paraId="3C496EA4" w14:textId="77777777">
      <w:pPr>
        <w:pStyle w:val="JuHA"/>
        <w:numPr>
          <w:ilvl w:val="2"/>
          <w:numId w:val="1"/>
        </w:numPr>
      </w:pPr>
      <w:bookmarkStart w:name="_Toc97301926" w:id="109"/>
      <w:r w:rsidRPr="006F34CD">
        <w:t>Guidance by the Plenary Supreme Court</w:t>
      </w:r>
      <w:bookmarkEnd w:id="109"/>
    </w:p>
    <w:p w:rsidRPr="006F34CD" w:rsidR="005C7EDC" w:rsidP="006F34CD" w:rsidRDefault="00CB6108" w14:paraId="68265EFF" w14:textId="053448A9">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125</w:t>
      </w:r>
      <w:r>
        <w:rPr>
          <w:noProof/>
        </w:rPr>
        <w:fldChar w:fldCharType="end"/>
      </w:r>
      <w:r w:rsidRPr="006F34CD" w:rsidR="005C7EDC">
        <w:t>.  The Plenary Supreme Court</w:t>
      </w:r>
      <w:r w:rsidRPr="006F34CD" w:rsidR="006F34CD">
        <w:t>’</w:t>
      </w:r>
      <w:r w:rsidRPr="006F34CD" w:rsidR="005C7EDC">
        <w:t>s Resolution on judicial practice in criminal cases concerning extremist offences, no. 11 of 28 June 2011, provides that actions aimed at inciting hatred or enmity were to be understood as comprising in particular the speech justifying or advocating a genocide, mass repression, deportations and other illegal actions, including use of violence against members of a certain ethnicity or race or followers of a certain religion. The criticism of political organisations, ideological and religious associations, political, ideological and religious beliefs, national and religious customs should not, in itself, be regarded as actions aimed at inciting hatred or enmity (paragraph 7).</w:t>
      </w:r>
    </w:p>
    <w:p w:rsidRPr="006F34CD" w:rsidR="00B65945" w:rsidP="006F34CD" w:rsidRDefault="00CB6108" w14:paraId="18A8CA12" w14:textId="1EC1EFC6">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126</w:t>
      </w:r>
      <w:r>
        <w:rPr>
          <w:noProof/>
        </w:rPr>
        <w:fldChar w:fldCharType="end"/>
      </w:r>
      <w:r w:rsidRPr="006F34CD" w:rsidR="00B65945">
        <w:t>.  </w:t>
      </w:r>
      <w:r w:rsidRPr="006F34CD" w:rsidR="009150EF">
        <w:t>Paragraph 20</w:t>
      </w:r>
      <w:r w:rsidRPr="006F34CD" w:rsidR="009150EF">
        <w:rPr>
          <w:lang w:val="en-US"/>
        </w:rPr>
        <w:t xml:space="preserve">, as </w:t>
      </w:r>
      <w:r w:rsidRPr="006F34CD" w:rsidR="009150EF">
        <w:t xml:space="preserve">amended by the Plenary Supreme Court on 28 October 2021, reads as follows: “Where there is a final court decision to dissolve or ban the activities of a public or religious association or another organisation in connection with extremist activities, subsequent individual acts unconnected with the continuation or resumption of activities of the extremist organisation concerned that consist solely in the exercise of the right to freedom of conscience and freedom of religion, including through individual or joint religious worship, the performance of religious services or other religious rites and ceremonies, do not in themselves constitute criminal offences under </w:t>
      </w:r>
      <w:r w:rsidRPr="006F34CD" w:rsidR="006E5193">
        <w:t>Article 2</w:t>
      </w:r>
      <w:r w:rsidRPr="006F34CD" w:rsidR="009150EF">
        <w:t>82.2 of the Criminal Code provided they do not contain indicators of extremism”</w:t>
      </w:r>
      <w:r w:rsidRPr="006F34CD" w:rsidR="0072018A">
        <w:t>.</w:t>
      </w:r>
    </w:p>
    <w:bookmarkStart w:name="paragraph00127" w:id="110"/>
    <w:p w:rsidRPr="006F34CD" w:rsidR="00F27848" w:rsidP="006F34CD" w:rsidRDefault="00597D02" w14:paraId="2317392D" w14:textId="568B7D4A">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127</w:t>
      </w:r>
      <w:r w:rsidRPr="006F34CD">
        <w:rPr>
          <w:noProof/>
        </w:rPr>
        <w:fldChar w:fldCharType="end"/>
      </w:r>
      <w:bookmarkEnd w:id="110"/>
      <w:r w:rsidRPr="006F34CD" w:rsidR="005C7EDC">
        <w:t>.  Experts who carry out a forensic assessment of extremist material may not be requested to resolve issues of law which fall outside their competence and involve a characterisation of the impugned act.</w:t>
      </w:r>
      <w:r w:rsidRPr="006F34CD" w:rsidR="001621EE">
        <w:t xml:space="preserve"> </w:t>
      </w:r>
      <w:r w:rsidRPr="006F34CD" w:rsidR="005C7EDC">
        <w:t>Determination of such issues shall be the exclusive competence of a court. In particular, experts may not be requested to answer questions whether a text contains calls for extremist activity or whether material is directed at inciting hatred or enmity (paragraph 23).</w:t>
      </w:r>
    </w:p>
    <w:p w:rsidRPr="006F34CD" w:rsidR="001E754B" w:rsidP="006F34CD" w:rsidRDefault="00F27848" w14:paraId="4CF93356" w14:textId="77777777">
      <w:pPr>
        <w:pStyle w:val="JuHIRoman"/>
      </w:pPr>
      <w:bookmarkStart w:name="_Toc97301927" w:id="111"/>
      <w:r w:rsidRPr="006F34CD">
        <w:t>COUNCIL OF EUROPE</w:t>
      </w:r>
      <w:bookmarkEnd w:id="111"/>
    </w:p>
    <w:p w:rsidRPr="006F34CD" w:rsidR="00F62F3F" w:rsidP="006F34CD" w:rsidRDefault="00F62F3F" w14:paraId="0F3348BB" w14:textId="77777777">
      <w:pPr>
        <w:pStyle w:val="JuHA"/>
      </w:pPr>
      <w:bookmarkStart w:name="_Toc97301928" w:id="112"/>
      <w:r w:rsidRPr="006F34CD">
        <w:t>Parliamentary Assembly</w:t>
      </w:r>
      <w:bookmarkEnd w:id="112"/>
    </w:p>
    <w:bookmarkStart w:name="paragraph00128" w:id="113"/>
    <w:p w:rsidRPr="006F34CD" w:rsidR="00F62F3F" w:rsidP="006F34CD" w:rsidRDefault="00F62F3F" w14:paraId="3D79E348" w14:textId="065E786F">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128</w:t>
      </w:r>
      <w:r w:rsidRPr="006F34CD">
        <w:fldChar w:fldCharType="end"/>
      </w:r>
      <w:bookmarkEnd w:id="113"/>
      <w:r w:rsidRPr="006F34CD">
        <w:t>.  In the report on the honouring of obligations and commitments by the Russian</w:t>
      </w:r>
      <w:r w:rsidRPr="006F34CD">
        <w:rPr>
          <w:b/>
          <w:bCs/>
        </w:rPr>
        <w:t xml:space="preserve"> </w:t>
      </w:r>
      <w:r w:rsidRPr="006F34CD">
        <w:t xml:space="preserve">Federation (Doc. 13018, </w:t>
      </w:r>
      <w:r w:rsidRPr="006F34CD" w:rsidR="00F50F6F">
        <w:t>14 September 2012</w:t>
      </w:r>
      <w:r w:rsidRPr="006F34CD">
        <w:t xml:space="preserve">), the </w:t>
      </w:r>
      <w:r w:rsidRPr="006F34CD" w:rsidR="00CC2511">
        <w:t>Monitoring Committee</w:t>
      </w:r>
      <w:r w:rsidRPr="006F34CD">
        <w:t xml:space="preserve"> of the Parliamentary Assembly of the Council of Europe</w:t>
      </w:r>
      <w:r w:rsidRPr="006F34CD" w:rsidR="00CC2511">
        <w:t xml:space="preserve"> (PACE)</w:t>
      </w:r>
      <w:r w:rsidRPr="006F34CD">
        <w:t xml:space="preserve"> expressed the concern that the extremism law had been “misused as a tool against the activities of certain religions, particularly Jehovah</w:t>
      </w:r>
      <w:r w:rsidRPr="006F34CD" w:rsidR="006F34CD">
        <w:t>’</w:t>
      </w:r>
      <w:r w:rsidRPr="006F34CD">
        <w:t>s Witnesses, a large community of 162 000 people in Russia” and that the “misuse has dramatically increased since the introduction of amendments to the law in 2006” which removed the phrase “associated with violence or calls to violence” from the definition of “extremism” (</w:t>
      </w:r>
      <w:r w:rsidRPr="006F34CD" w:rsidR="00F50F6F">
        <w:t>paragraphs 4</w:t>
      </w:r>
      <w:r w:rsidRPr="006F34CD">
        <w:t>97-98).</w:t>
      </w:r>
    </w:p>
    <w:p w:rsidRPr="006F34CD" w:rsidR="00F62F3F" w:rsidP="006F34CD" w:rsidRDefault="00F62F3F" w14:paraId="08112796" w14:textId="77777777">
      <w:pPr>
        <w:pStyle w:val="JuHA"/>
      </w:pPr>
      <w:bookmarkStart w:name="_Toc97301929" w:id="114"/>
      <w:r w:rsidRPr="006F34CD">
        <w:t>Venice Commission</w:t>
      </w:r>
      <w:bookmarkEnd w:id="114"/>
    </w:p>
    <w:p w:rsidRPr="006F34CD" w:rsidR="001E754B" w:rsidP="006F34CD" w:rsidRDefault="00CB6108" w14:paraId="15286496" w14:textId="0BC98EBE">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129</w:t>
      </w:r>
      <w:r>
        <w:rPr>
          <w:noProof/>
        </w:rPr>
        <w:fldChar w:fldCharType="end"/>
      </w:r>
      <w:r w:rsidRPr="006F34CD" w:rsidR="00070316">
        <w:t>.  </w:t>
      </w:r>
      <w:r w:rsidRPr="006F34CD" w:rsidR="007477B4">
        <w:t>The Report by t</w:t>
      </w:r>
      <w:r w:rsidRPr="006F34CD" w:rsidR="00D135D2">
        <w:t>he European Commission for Democracy through Law (Venice Commission)</w:t>
      </w:r>
      <w:r w:rsidRPr="006F34CD" w:rsidR="007477B4">
        <w:t xml:space="preserve"> on </w:t>
      </w:r>
      <w:r w:rsidRPr="006F34CD" w:rsidR="00F63487">
        <w:t xml:space="preserve">the </w:t>
      </w:r>
      <w:r w:rsidRPr="006F34CD" w:rsidR="007477B4">
        <w:t xml:space="preserve">Relationship Between Freedom of Expression and Freedom of Religion (CDL-AD(2008)026, 23 October 2008) </w:t>
      </w:r>
      <w:r w:rsidRPr="006F34CD" w:rsidR="00F63487">
        <w:t xml:space="preserve">emphasised that </w:t>
      </w:r>
      <w:r w:rsidRPr="006F34CD" w:rsidR="003E22CF">
        <w:t xml:space="preserve">“the purpose of any restriction on freedom of expression must be to protect individuals holding specific beliefs or opinions rather than to protect belief systems from criticism” and that “it should be allowed to scrutinise, openly debate, and criticise, even harshly and unreasonably, belief systems, opinions, and institutions, as long as this does not amount to advocating hatred against an individual or groups” (§ 49). The </w:t>
      </w:r>
      <w:r w:rsidRPr="006F34CD" w:rsidR="009E7CEE">
        <w:t xml:space="preserve">Venice </w:t>
      </w:r>
      <w:r w:rsidRPr="006F34CD" w:rsidR="003E22CF">
        <w:t>Commission underlined that “religious groups must tolerate, as other groups must, critical public statements and debate about their activities, teachings and beliefs, provided that such criticism does not amount to incitement to hatred and does not constitute incitement to disturb the public peace or to discriminate against adherents of a particular religion” (</w:t>
      </w:r>
      <w:r w:rsidRPr="006F34CD" w:rsidR="00F50F6F">
        <w:t>§ 7</w:t>
      </w:r>
      <w:r w:rsidRPr="006F34CD" w:rsidR="003E22CF">
        <w:t>2). It also stressed that “it must be possible to criticise religious ideas, even if such criticism may be perceived by some as hurting their religious feelings” (</w:t>
      </w:r>
      <w:r w:rsidRPr="006F34CD" w:rsidR="00F50F6F">
        <w:t>§ 7</w:t>
      </w:r>
      <w:r w:rsidRPr="006F34CD" w:rsidR="003E22CF">
        <w:t>6).</w:t>
      </w:r>
    </w:p>
    <w:bookmarkStart w:name="paragraph00130" w:id="115"/>
    <w:p w:rsidRPr="006F34CD" w:rsidR="003E22CF" w:rsidP="006F34CD" w:rsidRDefault="008B0A28" w14:paraId="49A77FB8" w14:textId="5F822A5F">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130</w:t>
      </w:r>
      <w:r w:rsidRPr="006F34CD">
        <w:rPr>
          <w:noProof/>
        </w:rPr>
        <w:fldChar w:fldCharType="end"/>
      </w:r>
      <w:bookmarkEnd w:id="115"/>
      <w:r w:rsidRPr="006F34CD" w:rsidR="00070316">
        <w:t>.  </w:t>
      </w:r>
      <w:r w:rsidRPr="006F34CD" w:rsidR="003E22CF">
        <w:t>It its</w:t>
      </w:r>
      <w:r w:rsidRPr="006F34CD" w:rsidR="00F27848">
        <w:t xml:space="preserve"> revised opinion on Russia</w:t>
      </w:r>
      <w:r w:rsidRPr="006F34CD" w:rsidR="006F34CD">
        <w:t>’</w:t>
      </w:r>
      <w:r w:rsidRPr="006F34CD" w:rsidR="00F27848">
        <w:t xml:space="preserve">s Suppression of Extremism Act (CDL(2012)011rev, </w:t>
      </w:r>
      <w:r w:rsidRPr="006F34CD" w:rsidR="001370AA">
        <w:t>1 June 2012</w:t>
      </w:r>
      <w:r w:rsidRPr="006F34CD" w:rsidR="00F27848">
        <w:t>)</w:t>
      </w:r>
      <w:r w:rsidRPr="006F34CD" w:rsidR="003E22CF">
        <w:t xml:space="preserve">, the Venice Commission expressed the opinion that “in order to qualify </w:t>
      </w:r>
      <w:r w:rsidRPr="006F34CD" w:rsidR="006F34CD">
        <w:t>‘</w:t>
      </w:r>
      <w:r w:rsidRPr="006F34CD" w:rsidR="003E22CF">
        <w:t>stirring up of social, racial, ethnic or religious discord</w:t>
      </w:r>
      <w:r w:rsidRPr="006F34CD" w:rsidR="006F34CD">
        <w:t>’</w:t>
      </w:r>
      <w:r w:rsidRPr="006F34CD" w:rsidR="003E22CF">
        <w:t xml:space="preserve"> as </w:t>
      </w:r>
      <w:r w:rsidRPr="006F34CD" w:rsidR="006F34CD">
        <w:t>‘</w:t>
      </w:r>
      <w:r w:rsidRPr="006F34CD" w:rsidR="003E22CF">
        <w:t>extremist activity</w:t>
      </w:r>
      <w:r w:rsidRPr="006F34CD" w:rsidR="006F34CD">
        <w:t>’</w:t>
      </w:r>
      <w:r w:rsidRPr="006F34CD" w:rsidR="003E22CF">
        <w:t>, the definition should expressly require the element of violence” (</w:t>
      </w:r>
      <w:r w:rsidRPr="006F34CD" w:rsidR="00F50F6F">
        <w:t>§ 3</w:t>
      </w:r>
      <w:r w:rsidRPr="006F34CD" w:rsidR="003E22CF">
        <w:t xml:space="preserve">8). </w:t>
      </w:r>
      <w:r w:rsidRPr="006F34CD" w:rsidR="00F12B95">
        <w:t>In the view of the Commission, “to proclaim as extremist any religious teaching or proselytising activity aimed at proving that a certain worldview is a superior explanation of the universe” could “affect the freedom of conscience or religion of many persons” and could “easily be abused in an effort to suppress a certain church thereby affecting not only the freedom of conscience or religion but also the freedom of association” (</w:t>
      </w:r>
      <w:r w:rsidRPr="006F34CD" w:rsidR="00F50F6F">
        <w:t>§ 4</w:t>
      </w:r>
      <w:r w:rsidRPr="006F34CD" w:rsidR="00F12B95">
        <w:t>0).</w:t>
      </w:r>
      <w:r w:rsidRPr="006F34CD" w:rsidR="00284194">
        <w:t xml:space="preserve"> The Commission concluded that the Suppression of Extremism Act “on account of its broad and imprecise wording” gives “too wide discretion in its interpretation and application, thus leading to arbitrariness” and carries “potential dangers to individuals and NGOs” of being “interpreted in harmful ways” (§</w:t>
      </w:r>
      <w:r w:rsidRPr="006F34CD" w:rsidR="00F50F6F">
        <w:t>§ 7</w:t>
      </w:r>
      <w:r w:rsidRPr="006F34CD" w:rsidR="00284194">
        <w:t>7-78).</w:t>
      </w:r>
    </w:p>
    <w:p w:rsidRPr="006F34CD" w:rsidR="00751B28" w:rsidP="006F34CD" w:rsidRDefault="00751B28" w14:paraId="39DB9CA5" w14:textId="77777777">
      <w:pPr>
        <w:pStyle w:val="JuHA"/>
      </w:pPr>
      <w:bookmarkStart w:name="_Toc97301930" w:id="116"/>
      <w:r w:rsidRPr="006F34CD">
        <w:t>European Commission against Racism and Intolerance</w:t>
      </w:r>
      <w:r w:rsidRPr="006F34CD" w:rsidR="00C90612">
        <w:t xml:space="preserve"> (ECRI)</w:t>
      </w:r>
      <w:bookmarkEnd w:id="116"/>
    </w:p>
    <w:p w:rsidRPr="006F34CD" w:rsidR="00751B28" w:rsidP="006F34CD" w:rsidRDefault="00CB6108" w14:paraId="391547E0" w14:textId="428C9C20">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131</w:t>
      </w:r>
      <w:r>
        <w:rPr>
          <w:noProof/>
        </w:rPr>
        <w:fldChar w:fldCharType="end"/>
      </w:r>
      <w:r w:rsidRPr="006F34CD" w:rsidR="00751B28">
        <w:t>.  </w:t>
      </w:r>
      <w:r w:rsidRPr="006F34CD" w:rsidR="00C90612">
        <w:t>ECRI</w:t>
      </w:r>
      <w:r w:rsidRPr="006F34CD" w:rsidR="006F34CD">
        <w:t>’</w:t>
      </w:r>
      <w:r w:rsidRPr="006F34CD" w:rsidR="00C90612">
        <w:t xml:space="preserve">s </w:t>
      </w:r>
      <w:r w:rsidRPr="006F34CD" w:rsidR="00751B28">
        <w:t xml:space="preserve">General Policy Recommendation No. 15 on combating hate speech, adopted on </w:t>
      </w:r>
      <w:r w:rsidRPr="006F34CD" w:rsidR="00F50F6F">
        <w:t>8 December 2015</w:t>
      </w:r>
      <w:r w:rsidRPr="006F34CD" w:rsidR="00751B28">
        <w:t xml:space="preserve"> indicated that “hate speech” should be understood as “the advocacy, promotion or incitement, in any form, of the denigration, hatred or vilification of a person or group of persons, as well as any harassment, insult, negative stereotyping, stigmatization or threat in respect of such a person or group of persons [on account of their characteristics]”, while recognising that “forms of expression that offend, shock or disturb will not on that account alone amount to hate speech”. It recommended the Governments of member States to take action “against the use, in a public context, of hate speech which is intended or can reasonably be expected to incite acts of violence, intimidation, hostility or discrimination” (see, for </w:t>
      </w:r>
      <w:r w:rsidRPr="006F34CD" w:rsidR="00B126CB">
        <w:t xml:space="preserve">a </w:t>
      </w:r>
      <w:r w:rsidRPr="006F34CD" w:rsidR="00751B28">
        <w:t>fuller citation</w:t>
      </w:r>
      <w:r w:rsidRPr="006F34CD" w:rsidR="000D765C">
        <w:t xml:space="preserve"> of the ECRI</w:t>
      </w:r>
      <w:r w:rsidRPr="006F34CD" w:rsidR="006F34CD">
        <w:t>’</w:t>
      </w:r>
      <w:r w:rsidRPr="006F34CD" w:rsidR="000D765C">
        <w:t>s Recommendation</w:t>
      </w:r>
      <w:r w:rsidRPr="006F34CD" w:rsidR="00751B28">
        <w:t xml:space="preserve">, </w:t>
      </w:r>
      <w:r w:rsidRPr="006F34CD" w:rsidR="00751B28">
        <w:rPr>
          <w:i/>
        </w:rPr>
        <w:t>Karastelev and Others</w:t>
      </w:r>
      <w:r w:rsidRPr="006F34CD" w:rsidR="00F50F6F">
        <w:rPr>
          <w:i/>
        </w:rPr>
        <w:t xml:space="preserve"> v. R</w:t>
      </w:r>
      <w:r w:rsidRPr="006F34CD" w:rsidR="00751B28">
        <w:rPr>
          <w:i/>
        </w:rPr>
        <w:t>ussia</w:t>
      </w:r>
      <w:r w:rsidRPr="006F34CD" w:rsidR="00751B28">
        <w:t xml:space="preserve">, </w:t>
      </w:r>
      <w:r w:rsidRPr="006F34CD" w:rsidR="00F50F6F">
        <w:t>no. 1</w:t>
      </w:r>
      <w:r w:rsidRPr="006F34CD" w:rsidR="00751B28">
        <w:t xml:space="preserve">6435/10, § 44, </w:t>
      </w:r>
      <w:r w:rsidRPr="006F34CD" w:rsidR="00F50F6F">
        <w:t>6 October 2020</w:t>
      </w:r>
      <w:r w:rsidRPr="006F34CD" w:rsidR="00751B28">
        <w:t>).</w:t>
      </w:r>
    </w:p>
    <w:p w:rsidRPr="006F34CD" w:rsidR="00B21F0D" w:rsidP="006F34CD" w:rsidRDefault="00CB6108" w14:paraId="00731F5D" w14:textId="3CDCC75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132</w:t>
      </w:r>
      <w:r>
        <w:rPr>
          <w:noProof/>
        </w:rPr>
        <w:fldChar w:fldCharType="end"/>
      </w:r>
      <w:r w:rsidRPr="006F34CD" w:rsidR="00B21F0D">
        <w:t xml:space="preserve">.  In its fifth periodic report </w:t>
      </w:r>
      <w:r w:rsidRPr="006F34CD" w:rsidR="00FB150D">
        <w:t>on the Russian Federation (</w:t>
      </w:r>
      <w:r w:rsidRPr="006F34CD" w:rsidR="00BC0864">
        <w:t>5 March 2019</w:t>
      </w:r>
      <w:r w:rsidRPr="006F34CD" w:rsidR="00FB150D">
        <w:t>)</w:t>
      </w:r>
      <w:r w:rsidRPr="006F34CD" w:rsidR="00FB150D">
        <w:rPr>
          <w:rStyle w:val="FootnoteReference"/>
        </w:rPr>
        <w:footnoteReference w:id="1"/>
      </w:r>
      <w:r w:rsidRPr="006F34CD" w:rsidR="00FB150D">
        <w:t xml:space="preserve">, </w:t>
      </w:r>
      <w:r w:rsidRPr="006F34CD" w:rsidR="00B21F0D">
        <w:t>ECRI reiterated its concern that “the anti-extremism legislation was being used against certain minority religions, notably Jehovah</w:t>
      </w:r>
      <w:r w:rsidRPr="006F34CD" w:rsidR="006F34CD">
        <w:t>’</w:t>
      </w:r>
      <w:r w:rsidRPr="006F34CD" w:rsidR="00B21F0D">
        <w:t>s Witnesses”. It noted that the situation had “deteriorated substantially” since its previous report on account of the 2017 extremism ruling by the Supreme Court which had “effectively bar[red] Jehovah</w:t>
      </w:r>
      <w:r w:rsidRPr="006F34CD" w:rsidR="006F34CD">
        <w:t>’</w:t>
      </w:r>
      <w:r w:rsidRPr="006F34CD" w:rsidR="00B21F0D">
        <w:t>s Witnesses from practising their faith throughout the country”</w:t>
      </w:r>
      <w:r w:rsidRPr="006F34CD" w:rsidR="00C90612">
        <w:t xml:space="preserve"> (</w:t>
      </w:r>
      <w:r w:rsidRPr="006F34CD" w:rsidR="00BC0864">
        <w:t>§ 1</w:t>
      </w:r>
      <w:r w:rsidRPr="006F34CD" w:rsidR="00C90612">
        <w:t>01)</w:t>
      </w:r>
      <w:r w:rsidRPr="006F34CD" w:rsidR="00B21F0D">
        <w:t>.</w:t>
      </w:r>
      <w:r w:rsidRPr="006F34CD" w:rsidR="00C90612">
        <w:t xml:space="preserve"> As regards Jehovah</w:t>
      </w:r>
      <w:r w:rsidRPr="006F34CD" w:rsidR="006F34CD">
        <w:t>’</w:t>
      </w:r>
      <w:r w:rsidRPr="006F34CD" w:rsidR="00C90612">
        <w:t>s Witnesses who had been convicted and sentenced to imprisonment and fines, ECRI recalled that “criminal law has a symbolic effect which raises the awareness of society of the seriousness of the conduct and has a strong dissuasive effect” and did not accept that peaceful practice of a religion “could justify criminal prosecution” (</w:t>
      </w:r>
      <w:r w:rsidRPr="006F34CD" w:rsidR="00BC0864">
        <w:t>§ 1</w:t>
      </w:r>
      <w:r w:rsidRPr="006F34CD" w:rsidR="00C90612">
        <w:t>02). ECRI was alarmed at the Plenary Supreme Court</w:t>
      </w:r>
      <w:r w:rsidRPr="006F34CD" w:rsidR="006F34CD">
        <w:t>’</w:t>
      </w:r>
      <w:r w:rsidRPr="006F34CD" w:rsidR="00C90612">
        <w:t>s guidance, according to which parents could be stripped of their parental rights “for involving their children in the activity of a banned public or religious association”, and the Ministry of Education</w:t>
      </w:r>
      <w:r w:rsidRPr="006F34CD" w:rsidR="006F34CD">
        <w:t>’</w:t>
      </w:r>
      <w:r w:rsidRPr="006F34CD" w:rsidR="00C90612">
        <w:t>s recommendation on “resocialisation of adolescents subjected to destructive psychological influence” which named specifically children of members of the ISIS and children in families of Jehovah</w:t>
      </w:r>
      <w:r w:rsidRPr="006F34CD" w:rsidR="006F34CD">
        <w:t>’</w:t>
      </w:r>
      <w:r w:rsidRPr="006F34CD" w:rsidR="00C90612">
        <w:t>s Witnesses”. It considered that “the association of Jehovah</w:t>
      </w:r>
      <w:r w:rsidRPr="006F34CD" w:rsidR="006F34CD">
        <w:t>’</w:t>
      </w:r>
      <w:r w:rsidRPr="006F34CD" w:rsidR="00C90612">
        <w:t>s Witnesses with a terrorist organisation” was “seriously misleading and unreasonable” (</w:t>
      </w:r>
      <w:r w:rsidRPr="006F34CD" w:rsidR="00BC0864">
        <w:t>§ 1</w:t>
      </w:r>
      <w:r w:rsidRPr="006F34CD" w:rsidR="00C90612">
        <w:t>03). ECRI expressed concern about those developments, noting that “Jehovah</w:t>
      </w:r>
      <w:r w:rsidRPr="006F34CD" w:rsidR="006F34CD">
        <w:t>’</w:t>
      </w:r>
      <w:r w:rsidRPr="006F34CD" w:rsidR="00C90612">
        <w:t xml:space="preserve">s Witnesses </w:t>
      </w:r>
      <w:r w:rsidRPr="006F34CD" w:rsidR="00650184">
        <w:t xml:space="preserve">[were] </w:t>
      </w:r>
      <w:r w:rsidRPr="006F34CD" w:rsidR="00C90612">
        <w:t xml:space="preserve">another group whose departure from </w:t>
      </w:r>
      <w:r w:rsidRPr="006F34CD" w:rsidR="006F34CD">
        <w:t>‘</w:t>
      </w:r>
      <w:r w:rsidRPr="006F34CD" w:rsidR="00C90612">
        <w:t>traditional values</w:t>
      </w:r>
      <w:r w:rsidRPr="006F34CD" w:rsidR="006F34CD">
        <w:t>’</w:t>
      </w:r>
      <w:r w:rsidRPr="006F34CD" w:rsidR="00C90612">
        <w:t xml:space="preserve"> </w:t>
      </w:r>
      <w:r w:rsidRPr="006F34CD" w:rsidR="00650184">
        <w:t>[had]</w:t>
      </w:r>
      <w:r w:rsidRPr="006F34CD" w:rsidR="00C90612">
        <w:t xml:space="preserve"> prompted</w:t>
      </w:r>
      <w:r w:rsidRPr="006F34CD" w:rsidR="00650184">
        <w:t xml:space="preserve"> </w:t>
      </w:r>
      <w:r w:rsidRPr="006F34CD" w:rsidR="00C90612">
        <w:t>persecution and repression</w:t>
      </w:r>
      <w:r w:rsidRPr="006F34CD" w:rsidR="00650184">
        <w:t>” (</w:t>
      </w:r>
      <w:r w:rsidRPr="006F34CD" w:rsidR="00BC0864">
        <w:t>§ 1</w:t>
      </w:r>
      <w:r w:rsidRPr="006F34CD" w:rsidR="00650184">
        <w:t>04).</w:t>
      </w:r>
    </w:p>
    <w:p w:rsidRPr="006F34CD" w:rsidR="000D765C" w:rsidP="006F34CD" w:rsidRDefault="000D765C" w14:paraId="5B86F518" w14:textId="77777777">
      <w:pPr>
        <w:pStyle w:val="JuHA"/>
      </w:pPr>
      <w:bookmarkStart w:name="_Toc97301931" w:id="117"/>
      <w:r w:rsidRPr="006F34CD">
        <w:t>Committee of Ministers</w:t>
      </w:r>
      <w:bookmarkEnd w:id="117"/>
    </w:p>
    <w:p w:rsidRPr="006F34CD" w:rsidR="000D765C" w:rsidP="006F34CD" w:rsidRDefault="00CB6108" w14:paraId="63759068" w14:textId="4DCD2A8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133</w:t>
      </w:r>
      <w:r>
        <w:rPr>
          <w:noProof/>
        </w:rPr>
        <w:fldChar w:fldCharType="end"/>
      </w:r>
      <w:r w:rsidRPr="006F34CD" w:rsidR="000D765C">
        <w:t xml:space="preserve">.  At its </w:t>
      </w:r>
      <w:r w:rsidRPr="006F34CD" w:rsidR="001E40FD">
        <w:t xml:space="preserve">1419th </w:t>
      </w:r>
      <w:r w:rsidRPr="006F34CD" w:rsidR="000D765C">
        <w:t>meeting (</w:t>
      </w:r>
      <w:r w:rsidRPr="006F34CD" w:rsidR="001E40FD">
        <w:t xml:space="preserve">30 November – </w:t>
      </w:r>
      <w:r w:rsidRPr="006F34CD" w:rsidR="001535E0">
        <w:t>2 December 2021</w:t>
      </w:r>
      <w:r w:rsidRPr="006F34CD" w:rsidR="000D765C">
        <w:t>), the Committee of Ministers considered the state of execution of the cases concerning the dissolution of the Moscow community of Jehovah</w:t>
      </w:r>
      <w:r w:rsidRPr="006F34CD" w:rsidR="006F34CD">
        <w:t>’</w:t>
      </w:r>
      <w:r w:rsidRPr="006F34CD" w:rsidR="000D765C">
        <w:t>s Witnesses (</w:t>
      </w:r>
      <w:r w:rsidRPr="006F34CD" w:rsidR="000D765C">
        <w:rPr>
          <w:i/>
          <w:iCs/>
        </w:rPr>
        <w:t>Jehovah</w:t>
      </w:r>
      <w:r w:rsidRPr="006F34CD" w:rsidR="006F34CD">
        <w:rPr>
          <w:i/>
          <w:iCs/>
        </w:rPr>
        <w:t>’</w:t>
      </w:r>
      <w:r w:rsidRPr="006F34CD" w:rsidR="000D765C">
        <w:rPr>
          <w:i/>
          <w:iCs/>
        </w:rPr>
        <w:t>s Witnesses of Moscow and Others</w:t>
      </w:r>
      <w:r w:rsidRPr="006F34CD" w:rsidR="000D765C">
        <w:t xml:space="preserve">, </w:t>
      </w:r>
      <w:r w:rsidRPr="006F34CD" w:rsidR="00BC0864">
        <w:t>no. 3</w:t>
      </w:r>
      <w:r w:rsidRPr="006F34CD" w:rsidR="000D765C">
        <w:t>02/02) and the dispersal of a peaceful religious ceremony (</w:t>
      </w:r>
      <w:r w:rsidRPr="006F34CD" w:rsidR="000D765C">
        <w:rPr>
          <w:i/>
          <w:iCs/>
        </w:rPr>
        <w:t>Krupko and Others</w:t>
      </w:r>
      <w:r w:rsidRPr="006F34CD" w:rsidR="000D765C">
        <w:t xml:space="preserve">, </w:t>
      </w:r>
      <w:r w:rsidRPr="006F34CD" w:rsidR="00BC0864">
        <w:t>no. 2</w:t>
      </w:r>
      <w:r w:rsidRPr="006F34CD" w:rsidR="000D765C">
        <w:t>6587/07) (CM/Del/Dec(202</w:t>
      </w:r>
      <w:r w:rsidRPr="006F34CD" w:rsidR="001E40FD">
        <w:t>1</w:t>
      </w:r>
      <w:r w:rsidRPr="006F34CD" w:rsidR="000D765C">
        <w:t>)</w:t>
      </w:r>
      <w:r w:rsidRPr="006F34CD" w:rsidR="001E40FD">
        <w:t>1419</w:t>
      </w:r>
      <w:r w:rsidRPr="006F34CD" w:rsidR="000D765C">
        <w:t>/H46-</w:t>
      </w:r>
      <w:r w:rsidRPr="006F34CD" w:rsidR="001E40FD">
        <w:t>31</w:t>
      </w:r>
      <w:r w:rsidRPr="006F34CD" w:rsidR="000D765C">
        <w:t>). The Ministers</w:t>
      </w:r>
      <w:r w:rsidRPr="006F34CD" w:rsidR="006F34CD">
        <w:t>’</w:t>
      </w:r>
      <w:r w:rsidRPr="006F34CD" w:rsidR="000D765C">
        <w:t xml:space="preserve"> Deputies reiterated “</w:t>
      </w:r>
      <w:r w:rsidRPr="006F34CD" w:rsidR="001E40FD">
        <w:t>serious concerns about the 2017 blanket ban criminalising any participation in the activities of this religious group and its alarming effects, evidenced by different sources that, as a consequence of this ban, members of the religious community of the Jehovah</w:t>
      </w:r>
      <w:r w:rsidRPr="006F34CD" w:rsidR="006F34CD">
        <w:t>’</w:t>
      </w:r>
      <w:r w:rsidRPr="006F34CD" w:rsidR="001E40FD">
        <w:t>s Witnesses continue to be arrested, prosecuted and imprisoned merely for manifesting their religious beliefs</w:t>
      </w:r>
      <w:r w:rsidRPr="006F34CD" w:rsidR="000D765C">
        <w:t>”</w:t>
      </w:r>
      <w:r w:rsidRPr="006F34CD" w:rsidR="001E40FD">
        <w:t xml:space="preserve"> (</w:t>
      </w:r>
      <w:r w:rsidRPr="006F34CD" w:rsidR="001535E0">
        <w:t>§ 3</w:t>
      </w:r>
      <w:r w:rsidRPr="006F34CD" w:rsidR="001E40FD">
        <w:t>)</w:t>
      </w:r>
      <w:r w:rsidRPr="006F34CD" w:rsidR="00B85A24">
        <w:t>. They called on the Russian authorities “</w:t>
      </w:r>
      <w:r w:rsidRPr="006F34CD" w:rsidR="001E40FD">
        <w:t>to take all necessary measures to re-establish the right of Jehovah</w:t>
      </w:r>
      <w:r w:rsidRPr="006F34CD" w:rsidR="006F34CD">
        <w:t>’</w:t>
      </w:r>
      <w:r w:rsidRPr="006F34CD" w:rsidR="001E40FD">
        <w:t>s Witnesses to freedom of religion, such as by reversing the 2017 ban, re-examining the related criminal cases, as well as reviewing the current anti-extremism legislation</w:t>
      </w:r>
      <w:r w:rsidRPr="006F34CD" w:rsidR="00B85A24">
        <w:t>”</w:t>
      </w:r>
      <w:r w:rsidRPr="006F34CD" w:rsidR="001E40FD">
        <w:t xml:space="preserve"> (</w:t>
      </w:r>
      <w:r w:rsidRPr="006F34CD" w:rsidR="001535E0">
        <w:t>§ 4</w:t>
      </w:r>
      <w:r w:rsidRPr="006F34CD" w:rsidR="001E40FD">
        <w:t>)</w:t>
      </w:r>
      <w:r w:rsidRPr="006F34CD" w:rsidR="00B85A24">
        <w:t>.</w:t>
      </w:r>
    </w:p>
    <w:p w:rsidRPr="006F34CD" w:rsidR="001E754B" w:rsidP="006F34CD" w:rsidRDefault="00A053F4" w14:paraId="3031C04C" w14:textId="77777777">
      <w:pPr>
        <w:pStyle w:val="JuHIRoman"/>
      </w:pPr>
      <w:bookmarkStart w:name="_Toc97301932" w:id="118"/>
      <w:r w:rsidRPr="006F34CD">
        <w:t>UNITED NATIONS</w:t>
      </w:r>
      <w:bookmarkEnd w:id="118"/>
    </w:p>
    <w:p w:rsidRPr="006F34CD" w:rsidR="006967E3" w:rsidP="006F34CD" w:rsidRDefault="006967E3" w14:paraId="7FAAE744" w14:textId="77777777">
      <w:pPr>
        <w:pStyle w:val="JuHA"/>
      </w:pPr>
      <w:bookmarkStart w:name="_Toc97301933" w:id="119"/>
      <w:r w:rsidRPr="006F34CD">
        <w:t>Special Rapporteur</w:t>
      </w:r>
      <w:bookmarkEnd w:id="119"/>
    </w:p>
    <w:bookmarkStart w:name="paragraph00134" w:id="120"/>
    <w:p w:rsidRPr="006F34CD" w:rsidR="001E754B" w:rsidP="006F34CD" w:rsidRDefault="008B0A28" w14:paraId="5A771CBA" w14:textId="47591F91">
      <w:pPr>
        <w:pStyle w:val="JuPara"/>
        <w:rPr>
          <w:lang w:val="en-US"/>
        </w:rPr>
      </w:pPr>
      <w:r w:rsidRPr="006F34CD">
        <w:fldChar w:fldCharType="begin"/>
      </w:r>
      <w:r w:rsidRPr="006F34CD">
        <w:instrText xml:space="preserve"> SEQ level0 \*arabic \* MERGEFORMAT </w:instrText>
      </w:r>
      <w:r w:rsidRPr="006F34CD">
        <w:fldChar w:fldCharType="separate"/>
      </w:r>
      <w:r w:rsidRPr="006F34CD" w:rsidR="006F34CD">
        <w:rPr>
          <w:noProof/>
        </w:rPr>
        <w:t>134</w:t>
      </w:r>
      <w:r w:rsidRPr="006F34CD">
        <w:rPr>
          <w:noProof/>
        </w:rPr>
        <w:fldChar w:fldCharType="end"/>
      </w:r>
      <w:bookmarkEnd w:id="120"/>
      <w:r w:rsidRPr="006F34CD" w:rsidR="001E754B">
        <w:t>.  T</w:t>
      </w:r>
      <w:r w:rsidRPr="006F34CD" w:rsidR="001E754B">
        <w:rPr>
          <w:lang w:val="en-US"/>
        </w:rPr>
        <w:t xml:space="preserve">he Report of the Special Rapporteur on the promotion and protection of the right to freedom of opinion and expression, </w:t>
      </w:r>
      <w:r w:rsidRPr="006F34CD" w:rsidR="00F50F6F">
        <w:rPr>
          <w:lang w:val="en-US"/>
        </w:rPr>
        <w:t>Mr F</w:t>
      </w:r>
      <w:r w:rsidRPr="006F34CD" w:rsidR="001E754B">
        <w:rPr>
          <w:lang w:val="en-US"/>
        </w:rPr>
        <w:t>rank La</w:t>
      </w:r>
      <w:r w:rsidRPr="006F34CD" w:rsidR="005B41A3">
        <w:t> </w:t>
      </w:r>
      <w:r w:rsidRPr="006F34CD" w:rsidR="001E754B">
        <w:rPr>
          <w:lang w:val="en-US"/>
        </w:rPr>
        <w:t xml:space="preserve">Rue, submitted in accordance with Human Rights Council resolution 16/4, A/67/357, of </w:t>
      </w:r>
      <w:r w:rsidRPr="006F34CD" w:rsidR="00F50F6F">
        <w:rPr>
          <w:lang w:val="en-US"/>
        </w:rPr>
        <w:t>7 September 2012</w:t>
      </w:r>
      <w:r w:rsidRPr="006F34CD" w:rsidR="001E754B">
        <w:rPr>
          <w:lang w:val="en-US"/>
        </w:rPr>
        <w:t xml:space="preserve">, </w:t>
      </w:r>
      <w:r w:rsidRPr="006F34CD" w:rsidR="007268BA">
        <w:rPr>
          <w:lang w:val="en-US"/>
        </w:rPr>
        <w:t>listed</w:t>
      </w:r>
      <w:r w:rsidRPr="006F34CD" w:rsidR="001E754B">
        <w:rPr>
          <w:lang w:val="en-US"/>
        </w:rPr>
        <w:t xml:space="preserve"> the elements essential for determining whether an expression constitutes incitement to hatred: “real and imminent danger of violence resulting from the expression”; “intent of the speaker to incite discrimination, hostility or violence”; and “careful consideration by the judiciary of the context in which hatred was expressed, given that international law prohibits some forms of speech for their consequences, and not for their content as such”. The Special Rapporteur</w:t>
      </w:r>
      <w:r w:rsidRPr="006F34CD" w:rsidR="001E754B">
        <w:t xml:space="preserve"> emphasised that </w:t>
      </w:r>
      <w:r w:rsidRPr="006F34CD" w:rsidR="001E754B">
        <w:rPr>
          <w:lang w:val="en-US"/>
        </w:rPr>
        <w:t>“any contextual assessment must include consideration of various factors, including the existence of patterns of tension between religious or racial communities, discrimination against the targeted group, the tone and content of the speech, the person inciting hatred and the means of disseminating the expression of hate” (</w:t>
      </w:r>
      <w:r w:rsidRPr="006F34CD" w:rsidR="00F50F6F">
        <w:rPr>
          <w:lang w:val="en-US"/>
        </w:rPr>
        <w:t>§ 4</w:t>
      </w:r>
      <w:r w:rsidRPr="006F34CD" w:rsidR="001E754B">
        <w:rPr>
          <w:lang w:val="en-US"/>
        </w:rPr>
        <w:t>6). The Special Rapporteur</w:t>
      </w:r>
      <w:r w:rsidRPr="006F34CD" w:rsidR="001E754B">
        <w:t xml:space="preserve"> reiterated that “n</w:t>
      </w:r>
      <w:r w:rsidRPr="006F34CD" w:rsidR="001E754B">
        <w:rPr>
          <w:lang w:val="en-US"/>
        </w:rPr>
        <w:t>o</w:t>
      </w:r>
      <w:r w:rsidRPr="006F34CD" w:rsidR="00363B75">
        <w:rPr>
          <w:lang w:val="en-US"/>
        </w:rPr>
        <w:t xml:space="preserve"> </w:t>
      </w:r>
      <w:r w:rsidRPr="006F34CD" w:rsidR="001E754B">
        <w:rPr>
          <w:lang w:val="en-US"/>
        </w:rPr>
        <w:t>one should be penalized for the dissemination of hate speech unless it has been shown that they did so with the intention of inciting discrimination, hostility or violence” (</w:t>
      </w:r>
      <w:r w:rsidRPr="006F34CD" w:rsidR="00F50F6F">
        <w:rPr>
          <w:lang w:val="en-US"/>
        </w:rPr>
        <w:t>§ 5</w:t>
      </w:r>
      <w:r w:rsidRPr="006F34CD" w:rsidR="001E754B">
        <w:rPr>
          <w:lang w:val="en-US"/>
        </w:rPr>
        <w:t>0</w:t>
      </w:r>
      <w:r w:rsidRPr="006F34CD" w:rsidR="00661F58">
        <w:rPr>
          <w:lang w:val="en-US"/>
        </w:rPr>
        <w:t xml:space="preserve"> </w:t>
      </w:r>
      <w:r w:rsidRPr="006F34CD" w:rsidR="001E754B">
        <w:rPr>
          <w:lang w:val="en-US"/>
        </w:rPr>
        <w:t>(b)).</w:t>
      </w:r>
    </w:p>
    <w:p w:rsidRPr="006F34CD" w:rsidR="006967E3" w:rsidP="006F34CD" w:rsidRDefault="006967E3" w14:paraId="269603AF" w14:textId="77777777">
      <w:pPr>
        <w:pStyle w:val="JuHA"/>
        <w:rPr>
          <w:lang w:val="en-US"/>
        </w:rPr>
      </w:pPr>
      <w:bookmarkStart w:name="_Toc97301934" w:id="121"/>
      <w:r w:rsidRPr="006F34CD">
        <w:rPr>
          <w:lang w:val="en-US"/>
        </w:rPr>
        <w:t>Human Rights Committee</w:t>
      </w:r>
      <w:bookmarkEnd w:id="121"/>
    </w:p>
    <w:bookmarkStart w:name="paragraph00135" w:id="122"/>
    <w:p w:rsidRPr="006F34CD" w:rsidR="00D12343" w:rsidP="006F34CD" w:rsidRDefault="00832F82" w14:paraId="64180A91" w14:textId="7812F852">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135</w:t>
      </w:r>
      <w:r w:rsidRPr="006F34CD">
        <w:rPr>
          <w:noProof/>
        </w:rPr>
        <w:fldChar w:fldCharType="end"/>
      </w:r>
      <w:bookmarkEnd w:id="122"/>
      <w:r w:rsidRPr="006F34CD" w:rsidR="00661F58">
        <w:t>.  </w:t>
      </w:r>
      <w:r w:rsidRPr="006F34CD" w:rsidR="001E754B">
        <w:t>T</w:t>
      </w:r>
      <w:r w:rsidRPr="006F34CD" w:rsidR="00D12343">
        <w:t xml:space="preserve">he Concluding Observations of the Human Rights Committee of </w:t>
      </w:r>
      <w:r w:rsidRPr="006F34CD" w:rsidR="001370AA">
        <w:t>31 March 2015</w:t>
      </w:r>
      <w:r w:rsidRPr="006F34CD" w:rsidR="00D12343">
        <w:t xml:space="preserve"> on the seventh periodic report of the Russian Federation on the observance of the International Covenant on Civil and Political Rights </w:t>
      </w:r>
      <w:r w:rsidRPr="006F34CD" w:rsidR="001E754B">
        <w:t xml:space="preserve">(CCPR/C/RUS/7/CO) </w:t>
      </w:r>
      <w:r w:rsidRPr="006F34CD" w:rsidR="00661F58">
        <w:t>reflected the Committee</w:t>
      </w:r>
      <w:r w:rsidRPr="006F34CD" w:rsidR="006F34CD">
        <w:t>’</w:t>
      </w:r>
      <w:r w:rsidRPr="006F34CD" w:rsidR="00661F58">
        <w:t>s concerns that “</w:t>
      </w:r>
      <w:r w:rsidRPr="006F34CD" w:rsidR="00D12343">
        <w:t xml:space="preserve">the vague and open-ended definition of </w:t>
      </w:r>
      <w:r w:rsidRPr="006F34CD" w:rsidR="006F34CD">
        <w:t>‘</w:t>
      </w:r>
      <w:r w:rsidRPr="006F34CD" w:rsidR="00D12343">
        <w:t>extremist activity</w:t>
      </w:r>
      <w:r w:rsidRPr="006F34CD" w:rsidR="006F34CD">
        <w:t>’</w:t>
      </w:r>
      <w:r w:rsidRPr="006F34CD" w:rsidR="00661F58">
        <w:t xml:space="preserve"> [in Russian law] [did]</w:t>
      </w:r>
      <w:r w:rsidRPr="006F34CD" w:rsidR="00D12343">
        <w:t xml:space="preserve"> </w:t>
      </w:r>
      <w:r w:rsidRPr="006F34CD" w:rsidR="00F27848">
        <w:t>not require any element of violence or hatred to be present</w:t>
      </w:r>
      <w:r w:rsidRPr="006F34CD" w:rsidR="00661F58">
        <w:t>”</w:t>
      </w:r>
      <w:r w:rsidRPr="006F34CD" w:rsidR="00F27848">
        <w:t xml:space="preserve"> and that </w:t>
      </w:r>
      <w:r w:rsidRPr="006F34CD" w:rsidR="00661F58">
        <w:t>“</w:t>
      </w:r>
      <w:r w:rsidRPr="006F34CD" w:rsidR="00D12343">
        <w:t xml:space="preserve">numerous reports </w:t>
      </w:r>
      <w:r w:rsidRPr="006F34CD" w:rsidR="00661F58">
        <w:t>[indicated]</w:t>
      </w:r>
      <w:r w:rsidRPr="006F34CD" w:rsidR="00D12343">
        <w:t xml:space="preserve"> that the law </w:t>
      </w:r>
      <w:r w:rsidRPr="006F34CD" w:rsidR="00661F58">
        <w:t>[was]</w:t>
      </w:r>
      <w:r w:rsidRPr="006F34CD" w:rsidR="00D12343">
        <w:t xml:space="preserve"> increasingly used to curtail freedom of expression, including political dissent, and freedom of religion, targeting, </w:t>
      </w:r>
      <w:r w:rsidRPr="006F34CD" w:rsidR="00D12343">
        <w:rPr>
          <w:i/>
          <w:iCs/>
        </w:rPr>
        <w:t>inter alia</w:t>
      </w:r>
      <w:r w:rsidRPr="006F34CD" w:rsidR="00D12343">
        <w:t>, Jehovah</w:t>
      </w:r>
      <w:r w:rsidRPr="006F34CD" w:rsidR="006F34CD">
        <w:t>’</w:t>
      </w:r>
      <w:r w:rsidRPr="006F34CD" w:rsidR="00D12343">
        <w:t>s Witnesses</w:t>
      </w:r>
      <w:r w:rsidRPr="006F34CD" w:rsidR="00EC1536">
        <w:t xml:space="preserve"> </w:t>
      </w:r>
      <w:r w:rsidRPr="006F34CD" w:rsidR="001E754B">
        <w:t>...</w:t>
      </w:r>
      <w:r w:rsidRPr="006F34CD" w:rsidR="00EC1536">
        <w:t>”</w:t>
      </w:r>
      <w:r w:rsidRPr="006F34CD" w:rsidR="00661F58">
        <w:t xml:space="preserve"> (</w:t>
      </w:r>
      <w:r w:rsidRPr="006F34CD" w:rsidR="00F50F6F">
        <w:t>§ 2</w:t>
      </w:r>
      <w:r w:rsidRPr="006F34CD" w:rsidR="00661F58">
        <w:t>2).</w:t>
      </w:r>
    </w:p>
    <w:p w:rsidRPr="006F34CD" w:rsidR="006967E3" w:rsidP="006F34CD" w:rsidRDefault="006967E3" w14:paraId="095A4D26" w14:textId="77777777">
      <w:pPr>
        <w:pStyle w:val="JuHA"/>
      </w:pPr>
      <w:bookmarkStart w:name="_Toc97301935" w:id="123"/>
      <w:r w:rsidRPr="006F34CD">
        <w:t>Working Group on Arbitrary Detention</w:t>
      </w:r>
      <w:bookmarkEnd w:id="123"/>
    </w:p>
    <w:bookmarkStart w:name="paragraph00136" w:id="124"/>
    <w:bookmarkStart w:name="_Hlk57969528" w:id="125"/>
    <w:p w:rsidRPr="006F34CD" w:rsidR="00587DCF" w:rsidP="006F34CD" w:rsidRDefault="00661F58" w14:paraId="3F2E76F4" w14:textId="05BC0D70">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136</w:t>
      </w:r>
      <w:r w:rsidRPr="006F34CD">
        <w:fldChar w:fldCharType="end"/>
      </w:r>
      <w:bookmarkEnd w:id="124"/>
      <w:r w:rsidRPr="006F34CD">
        <w:t>.  </w:t>
      </w:r>
      <w:r w:rsidRPr="006F34CD" w:rsidR="00E77164">
        <w:t xml:space="preserve">In 2019 and 2020 </w:t>
      </w:r>
      <w:r w:rsidRPr="006F34CD" w:rsidR="00563DE6">
        <w:t>the Working Gr</w:t>
      </w:r>
      <w:r w:rsidRPr="006F34CD">
        <w:t>o</w:t>
      </w:r>
      <w:r w:rsidRPr="006F34CD" w:rsidR="00563DE6">
        <w:t xml:space="preserve">up on Arbitrary Detention of the UN Human Rights Council adopted </w:t>
      </w:r>
      <w:r w:rsidRPr="006F34CD" w:rsidR="00E77164">
        <w:t>three opinions (</w:t>
      </w:r>
      <w:r w:rsidRPr="006F34CD" w:rsidR="004136AF">
        <w:t>nos. 1</w:t>
      </w:r>
      <w:r w:rsidRPr="006F34CD" w:rsidR="00563DE6">
        <w:t>1/2019</w:t>
      </w:r>
      <w:r w:rsidRPr="006F34CD" w:rsidR="00E77164">
        <w:t>, 34/2019 and 10/2020)</w:t>
      </w:r>
      <w:r w:rsidRPr="006F34CD" w:rsidR="00563DE6">
        <w:t xml:space="preserve"> concerning </w:t>
      </w:r>
      <w:r w:rsidRPr="006F34CD" w:rsidR="00E77164">
        <w:t xml:space="preserve">more than twenty </w:t>
      </w:r>
      <w:r w:rsidRPr="006F34CD" w:rsidR="00563DE6">
        <w:t>Jehovah</w:t>
      </w:r>
      <w:r w:rsidRPr="006F34CD" w:rsidR="006F34CD">
        <w:t>’</w:t>
      </w:r>
      <w:r w:rsidRPr="006F34CD" w:rsidR="00563DE6">
        <w:t>s Witness</w:t>
      </w:r>
      <w:r w:rsidRPr="006F34CD" w:rsidR="00E77164">
        <w:t xml:space="preserve">es </w:t>
      </w:r>
      <w:r w:rsidRPr="006F34CD" w:rsidR="00A33B45">
        <w:t xml:space="preserve">in Russia </w:t>
      </w:r>
      <w:r w:rsidRPr="006F34CD" w:rsidR="00F27848">
        <w:t>who had been held in pre-trial detention</w:t>
      </w:r>
      <w:r w:rsidRPr="006F34CD" w:rsidR="00E77164">
        <w:t>, under house arrest or had been imprisoned following conviction</w:t>
      </w:r>
      <w:r w:rsidRPr="006F34CD" w:rsidR="00F27848">
        <w:t xml:space="preserve"> on the charges of continuing the activities of an “extremist organisation”.</w:t>
      </w:r>
      <w:r w:rsidRPr="006F34CD" w:rsidR="001370AA">
        <w:t xml:space="preserve"> </w:t>
      </w:r>
      <w:r w:rsidRPr="006F34CD" w:rsidR="008C5D13">
        <w:t>The Working Group found that their deprivation of liberty was arbitrary on four separate grounds.</w:t>
      </w:r>
    </w:p>
    <w:p w:rsidRPr="006F34CD" w:rsidR="00587DCF" w:rsidP="006F34CD" w:rsidRDefault="008C5D13" w14:paraId="42C3C6B4" w14:textId="77777777">
      <w:pPr>
        <w:pStyle w:val="JuPara"/>
      </w:pPr>
      <w:r w:rsidRPr="006F34CD">
        <w:t>First, their pre-trial detention had no legal basis as no reasons for that measure had been provided and as their appeals against the detention order had been summarily dismissed.</w:t>
      </w:r>
    </w:p>
    <w:p w:rsidRPr="006F34CD" w:rsidR="00587DCF" w:rsidP="006F34CD" w:rsidRDefault="008C5D13" w14:paraId="0DB0298B" w14:textId="470E97CC">
      <w:pPr>
        <w:pStyle w:val="JuPara"/>
      </w:pPr>
      <w:r w:rsidRPr="006F34CD">
        <w:t xml:space="preserve">Second, </w:t>
      </w:r>
      <w:r w:rsidRPr="006F34CD" w:rsidR="00832F82">
        <w:t>the arrest and imprisonment were arbitrary because they resulted from the lawful exercise of their human rights. None of the activities imputed to them could be described as being “extremist”, and the sole reason for their arrest and prosecution was “the peaceful exercise of their right to freedom of religion under article 18 of the Covenant”. T</w:t>
      </w:r>
      <w:r w:rsidRPr="006F34CD" w:rsidR="00832F82">
        <w:rPr>
          <w:lang w:val="en-US"/>
        </w:rPr>
        <w:t>heir actions had “always been entirely peaceful” and there was no evidence that “[they] or indeed the Jehovah</w:t>
      </w:r>
      <w:r w:rsidRPr="006F34CD" w:rsidR="006F34CD">
        <w:rPr>
          <w:lang w:val="en-US"/>
        </w:rPr>
        <w:t>’</w:t>
      </w:r>
      <w:r w:rsidRPr="006F34CD" w:rsidR="00832F82">
        <w:rPr>
          <w:lang w:val="en-US"/>
        </w:rPr>
        <w:t>s Witnesses in the Russian Federation [had] ever been violent or incited others to violence”. The Working Group emphas</w:t>
      </w:r>
      <w:r w:rsidRPr="006F34CD" w:rsidR="00934CE0">
        <w:rPr>
          <w:lang w:val="en-US"/>
        </w:rPr>
        <w:t>ise</w:t>
      </w:r>
      <w:r w:rsidRPr="006F34CD" w:rsidR="00832F82">
        <w:rPr>
          <w:lang w:val="en-US"/>
        </w:rPr>
        <w:t xml:space="preserve">d that </w:t>
      </w:r>
      <w:r w:rsidRPr="006F34CD" w:rsidR="00875E79">
        <w:t>none of the Jehovah</w:t>
      </w:r>
      <w:r w:rsidRPr="006F34CD" w:rsidR="006F34CD">
        <w:t>’</w:t>
      </w:r>
      <w:r w:rsidRPr="006F34CD" w:rsidR="00875E79">
        <w:t>s Witnesses “should have been arrested and held in pre-trial detention and no trial of any of them should take or should have taken place”.</w:t>
      </w:r>
    </w:p>
    <w:p w:rsidRPr="006F34CD" w:rsidR="00587DCF" w:rsidP="006F34CD" w:rsidRDefault="00832F82" w14:paraId="576C4232" w14:textId="266F36F1">
      <w:pPr>
        <w:pStyle w:val="JuPara"/>
      </w:pPr>
      <w:r w:rsidRPr="006F34CD">
        <w:t xml:space="preserve">Third, </w:t>
      </w:r>
      <w:r w:rsidRPr="006F34CD" w:rsidR="00A33B45">
        <w:t xml:space="preserve">the </w:t>
      </w:r>
      <w:r w:rsidRPr="006F34CD">
        <w:t>deprivation of liberty was arbitrary on account of Jehovah</w:t>
      </w:r>
      <w:r w:rsidRPr="006F34CD" w:rsidR="006F34CD">
        <w:t>’</w:t>
      </w:r>
      <w:r w:rsidRPr="006F34CD">
        <w:t>s Witnesses being kept in cages in the courtrooms and the initial arrests being carried out by large numbers of police officers and use of force, even though no one resisted the arrest or was violent, which was indicative of intimidation and a breach of the presumption of innocence.</w:t>
      </w:r>
    </w:p>
    <w:p w:rsidRPr="006F34CD" w:rsidR="001A3A24" w:rsidP="006F34CD" w:rsidRDefault="00832F82" w14:paraId="40444AF5" w14:textId="4E218427">
      <w:pPr>
        <w:pStyle w:val="JuPara"/>
        <w:rPr>
          <w:lang w:val="en-US"/>
        </w:rPr>
      </w:pPr>
      <w:r w:rsidRPr="006F34CD">
        <w:t xml:space="preserve">Fourth, </w:t>
      </w:r>
      <w:r w:rsidRPr="006F34CD" w:rsidR="00503F9E">
        <w:t>in so far as these individuals were part of a growing number of Jehovah</w:t>
      </w:r>
      <w:r w:rsidRPr="006F34CD" w:rsidR="006F34CD">
        <w:t>’</w:t>
      </w:r>
      <w:r w:rsidRPr="006F34CD" w:rsidR="00503F9E">
        <w:t>s Witnesses in Russia who had been arrested, detained and charged with criminal activity on the basis of mere exercise of freedom of religion, their deprivation of liberty was discriminatory on the basis of religion. While noting that its opinion concerned the particular situation of the complainants, the Working Group emphasised that “</w:t>
      </w:r>
      <w:r w:rsidRPr="006F34CD" w:rsidR="00563DE6">
        <w:rPr>
          <w:lang w:val="en-US"/>
        </w:rPr>
        <w:t xml:space="preserve">its findings in this opinion </w:t>
      </w:r>
      <w:r w:rsidRPr="006F34CD" w:rsidR="00503F9E">
        <w:rPr>
          <w:lang w:val="en-US"/>
        </w:rPr>
        <w:t>[should]</w:t>
      </w:r>
      <w:r w:rsidRPr="006F34CD" w:rsidR="00563DE6">
        <w:rPr>
          <w:lang w:val="en-US"/>
        </w:rPr>
        <w:t xml:space="preserve"> </w:t>
      </w:r>
      <w:r w:rsidRPr="006F34CD" w:rsidR="00503F9E">
        <w:rPr>
          <w:lang w:val="en-US"/>
        </w:rPr>
        <w:t>apply to all others in similar situations</w:t>
      </w:r>
      <w:r w:rsidRPr="006F34CD" w:rsidR="00563DE6">
        <w:rPr>
          <w:lang w:val="en-US"/>
        </w:rPr>
        <w:t>”.</w:t>
      </w:r>
      <w:bookmarkEnd w:id="125"/>
    </w:p>
    <w:p w:rsidRPr="006F34CD" w:rsidR="007134E7" w:rsidP="006F34CD" w:rsidRDefault="007134E7" w14:paraId="16FC60CA" w14:textId="77777777">
      <w:pPr>
        <w:pStyle w:val="JuPara"/>
      </w:pPr>
      <w:r w:rsidRPr="006F34CD">
        <w:rPr>
          <w:lang w:val="en-US"/>
        </w:rPr>
        <w:t>The Working Group requested the Russian Government</w:t>
      </w:r>
      <w:r w:rsidRPr="006F34CD">
        <w:t xml:space="preserve"> “to take the steps necessary to remedy the situation” of the affected individuals</w:t>
      </w:r>
      <w:r w:rsidRPr="006F34CD" w:rsidR="0021509F">
        <w:t xml:space="preserve"> “without delay and bring it into conformity with the relevant international norms”</w:t>
      </w:r>
      <w:r w:rsidRPr="006F34CD">
        <w:t>.</w:t>
      </w:r>
      <w:r w:rsidRPr="006F34CD" w:rsidR="0021509F">
        <w:t xml:space="preserve"> It considered that “the appropriate remedy would be to release [the detained individuals] “immediately” and “unconditionally”, “expunge their criminal records” and “accord them an enforceable right to compensation and other reparations”.</w:t>
      </w:r>
    </w:p>
    <w:p w:rsidRPr="006F34CD" w:rsidR="00610E39" w:rsidP="006F34CD" w:rsidRDefault="002E3078" w14:paraId="6B19D94E" w14:textId="77777777">
      <w:pPr>
        <w:pStyle w:val="JuHHead"/>
        <w:numPr>
          <w:ilvl w:val="0"/>
          <w:numId w:val="1"/>
        </w:numPr>
      </w:pPr>
      <w:bookmarkStart w:name="_Toc97301936" w:id="126"/>
      <w:r w:rsidRPr="006F34CD">
        <w:t>THE LAW</w:t>
      </w:r>
      <w:bookmarkEnd w:id="126"/>
    </w:p>
    <w:p w:rsidRPr="006F34CD" w:rsidR="008B54C0" w:rsidP="006F34CD" w:rsidRDefault="008B54C0" w14:paraId="59B280D1" w14:textId="77777777">
      <w:pPr>
        <w:pStyle w:val="JuHIRoman"/>
        <w:numPr>
          <w:ilvl w:val="1"/>
          <w:numId w:val="2"/>
        </w:numPr>
      </w:pPr>
      <w:bookmarkStart w:name="_Toc97301937" w:id="127"/>
      <w:r w:rsidRPr="006F34CD">
        <w:t>JOINDER OF THE APPLICATIONS</w:t>
      </w:r>
      <w:bookmarkEnd w:id="127"/>
    </w:p>
    <w:p w:rsidRPr="006F34CD" w:rsidR="002E432A" w:rsidP="006F34CD" w:rsidRDefault="008B54C0" w14:paraId="3004B8F4" w14:textId="25E709D9">
      <w:pPr>
        <w:pStyle w:val="JuPara"/>
      </w:pPr>
      <w:r w:rsidRPr="006F34CD">
        <w:fldChar w:fldCharType="begin"/>
      </w:r>
      <w:r w:rsidRPr="006F34CD">
        <w:instrText xml:space="preserve"> SEQ level0 \*arabic </w:instrText>
      </w:r>
      <w:r w:rsidRPr="006F34CD">
        <w:fldChar w:fldCharType="separate"/>
      </w:r>
      <w:r w:rsidRPr="006F34CD" w:rsidR="006F34CD">
        <w:rPr>
          <w:noProof/>
        </w:rPr>
        <w:t>137</w:t>
      </w:r>
      <w:r w:rsidRPr="006F34CD">
        <w:fldChar w:fldCharType="end"/>
      </w:r>
      <w:r w:rsidRPr="006F34CD">
        <w:t>.</w:t>
      </w:r>
      <w:r w:rsidRPr="006F34CD" w:rsidR="001370AA">
        <w:t>  </w:t>
      </w:r>
      <w:r w:rsidRPr="006F34CD">
        <w:t>Having regard to the similar subject matter of the applications, the Court finds it appropriate to examine them jointly in a single judgment.</w:t>
      </w:r>
    </w:p>
    <w:p w:rsidRPr="006F34CD" w:rsidR="00563DE6" w:rsidP="006F34CD" w:rsidRDefault="006838B5" w14:paraId="4038391D" w14:textId="77777777">
      <w:pPr>
        <w:pStyle w:val="JuHIRoman"/>
      </w:pPr>
      <w:bookmarkStart w:name="_Toc97301938" w:id="128"/>
      <w:r w:rsidRPr="006F34CD">
        <w:rPr>
          <w:caps w:val="0"/>
        </w:rPr>
        <w:t>ALLEGED VIOLATION OF ARTICLES 9, 10 AND 11 OF THE CONVENTION ON ACCOUNT OF FORCED DISSOLUTION OF THE TAGANROG RELIGIOUS ORGANISATION</w:t>
      </w:r>
      <w:bookmarkEnd w:id="128"/>
    </w:p>
    <w:p w:rsidRPr="006F34CD" w:rsidR="00563DE6" w:rsidP="006F34CD" w:rsidRDefault="00563DE6" w14:paraId="47F3EA85" w14:textId="6FA5DD64">
      <w:pPr>
        <w:pStyle w:val="JuPara"/>
      </w:pPr>
      <w:r w:rsidRPr="006F34CD">
        <w:fldChar w:fldCharType="begin"/>
      </w:r>
      <w:r w:rsidRPr="006F34CD">
        <w:instrText xml:space="preserve"> SEQ level0 \*arabic </w:instrText>
      </w:r>
      <w:r w:rsidRPr="006F34CD">
        <w:fldChar w:fldCharType="separate"/>
      </w:r>
      <w:r w:rsidRPr="006F34CD" w:rsidR="006F34CD">
        <w:rPr>
          <w:noProof/>
        </w:rPr>
        <w:t>138</w:t>
      </w:r>
      <w:r w:rsidRPr="006F34CD">
        <w:fldChar w:fldCharType="end"/>
      </w:r>
      <w:r w:rsidRPr="006F34CD">
        <w:t>.</w:t>
      </w:r>
      <w:r w:rsidRPr="006F34CD" w:rsidR="001370AA">
        <w:t>  </w:t>
      </w:r>
      <w:r w:rsidRPr="006F34CD">
        <w:t xml:space="preserve">The Court will first consider the complaint </w:t>
      </w:r>
      <w:r w:rsidRPr="006F34CD" w:rsidR="009D7D32">
        <w:t xml:space="preserve">of </w:t>
      </w:r>
      <w:r w:rsidRPr="006F34CD">
        <w:t>the forced dissolution of the Taganrog</w:t>
      </w:r>
      <w:r w:rsidRPr="006F34CD" w:rsidR="009D7D32">
        <w:t xml:space="preserve"> local</w:t>
      </w:r>
      <w:r w:rsidRPr="006F34CD">
        <w:t xml:space="preserve"> religious organisation</w:t>
      </w:r>
      <w:r w:rsidRPr="006F34CD" w:rsidR="00F17A5C">
        <w:t xml:space="preserve"> (“Taganrog LRO”)</w:t>
      </w:r>
      <w:r w:rsidRPr="006F34CD" w:rsidR="009D7D32">
        <w:t>,</w:t>
      </w:r>
      <w:r w:rsidRPr="006F34CD">
        <w:t xml:space="preserve"> the banning of its activities</w:t>
      </w:r>
      <w:r w:rsidRPr="006F34CD" w:rsidR="009D7D32">
        <w:t xml:space="preserve"> and </w:t>
      </w:r>
      <w:r w:rsidRPr="006F34CD" w:rsidR="00F17A5C">
        <w:t xml:space="preserve">the </w:t>
      </w:r>
      <w:r w:rsidRPr="006F34CD" w:rsidR="009D7D32">
        <w:t>declaration of religious literature to be “extremist material”</w:t>
      </w:r>
      <w:r w:rsidRPr="006F34CD" w:rsidR="00FF44D5">
        <w:t xml:space="preserve"> (section </w:t>
      </w:r>
      <w:r w:rsidRPr="006F34CD" w:rsidR="00FF44D5">
        <w:fldChar w:fldCharType="begin"/>
      </w:r>
      <w:r w:rsidRPr="006F34CD" w:rsidR="00FF44D5">
        <w:instrText xml:space="preserve"> REF _Ref76487359 \n \h </w:instrText>
      </w:r>
      <w:r w:rsidRPr="006F34CD" w:rsidR="00FF44D5">
        <w:fldChar w:fldCharType="separate"/>
      </w:r>
      <w:r w:rsidRPr="006F34CD" w:rsidR="006F34CD">
        <w:t>A</w:t>
      </w:r>
      <w:r w:rsidRPr="006F34CD" w:rsidR="00FF44D5">
        <w:fldChar w:fldCharType="end"/>
      </w:r>
      <w:r w:rsidRPr="006F34CD" w:rsidR="00FF44D5">
        <w:t xml:space="preserve"> of the Facts)</w:t>
      </w:r>
      <w:r w:rsidRPr="006F34CD">
        <w:t xml:space="preserve">. The applicants </w:t>
      </w:r>
      <w:r w:rsidRPr="006F34CD" w:rsidR="00F17A5C">
        <w:t>complained</w:t>
      </w:r>
      <w:r w:rsidRPr="006F34CD">
        <w:t xml:space="preserve"> that </w:t>
      </w:r>
      <w:r w:rsidRPr="006F34CD" w:rsidR="009D7D32">
        <w:t>the measures</w:t>
      </w:r>
      <w:r w:rsidRPr="006F34CD">
        <w:t xml:space="preserve"> had breached their rights to freedom of religion</w:t>
      </w:r>
      <w:r w:rsidRPr="006F34CD" w:rsidR="009D7D32">
        <w:t>, expression</w:t>
      </w:r>
      <w:r w:rsidRPr="006F34CD">
        <w:t xml:space="preserve"> and association guaranteed by </w:t>
      </w:r>
      <w:r w:rsidRPr="006F34CD" w:rsidR="001370AA">
        <w:t>Articles 9</w:t>
      </w:r>
      <w:r w:rsidRPr="006F34CD" w:rsidR="00F17A5C">
        <w:t>, 10 and</w:t>
      </w:r>
      <w:r w:rsidRPr="006F34CD">
        <w:t xml:space="preserve"> 11 of the Convention which read as follows:</w:t>
      </w:r>
    </w:p>
    <w:p w:rsidRPr="006F34CD" w:rsidR="00563DE6" w:rsidP="006F34CD" w:rsidRDefault="001370AA" w14:paraId="7378DA1D" w14:textId="77777777">
      <w:pPr>
        <w:pStyle w:val="JuHArticle"/>
      </w:pPr>
      <w:r w:rsidRPr="006F34CD">
        <w:t>Article 9</w:t>
      </w:r>
      <w:r w:rsidRPr="006F34CD" w:rsidR="00563DE6">
        <w:t xml:space="preserve"> – Freedom of thought, conscience and religion</w:t>
      </w:r>
    </w:p>
    <w:p w:rsidRPr="006F34CD" w:rsidR="00563DE6" w:rsidP="006F34CD" w:rsidRDefault="00563DE6" w14:paraId="7E5476A7" w14:textId="77777777">
      <w:pPr>
        <w:pStyle w:val="JuQuot"/>
      </w:pPr>
      <w:r w:rsidRPr="006F34CD">
        <w:t>“1.</w:t>
      </w:r>
      <w:r w:rsidRPr="006F34CD" w:rsidR="001370AA">
        <w:t>  </w:t>
      </w:r>
      <w:r w:rsidRPr="006F34CD">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Pr="006F34CD" w:rsidR="00563DE6" w:rsidP="006F34CD" w:rsidRDefault="00563DE6" w14:paraId="0958E912" w14:textId="52CD6C9F">
      <w:pPr>
        <w:pStyle w:val="JuQuot"/>
      </w:pPr>
      <w:r w:rsidRPr="006F34CD">
        <w:t>2.</w:t>
      </w:r>
      <w:r w:rsidRPr="006F34CD" w:rsidR="001370AA">
        <w:t>  </w:t>
      </w:r>
      <w:r w:rsidRPr="006F34CD">
        <w:t>Freedom to manifest one</w:t>
      </w:r>
      <w:r w:rsidRPr="006F34CD" w:rsidR="006F34CD">
        <w:t>’</w:t>
      </w:r>
      <w:r w:rsidRPr="006F34CD">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Pr="006F34CD" w:rsidR="002C2B5E" w:rsidP="006F34CD" w:rsidRDefault="00F50F6F" w14:paraId="32F20984" w14:textId="77777777">
      <w:pPr>
        <w:pStyle w:val="JuHArticle"/>
      </w:pPr>
      <w:r w:rsidRPr="006F34CD">
        <w:t>Article 1</w:t>
      </w:r>
      <w:r w:rsidRPr="006F34CD" w:rsidR="002C2B5E">
        <w:t>0 – Freedom of expression</w:t>
      </w:r>
    </w:p>
    <w:p w:rsidRPr="006F34CD" w:rsidR="002C2B5E" w:rsidP="006F34CD" w:rsidRDefault="002C2B5E" w14:paraId="0A63ECB7" w14:textId="77777777">
      <w:pPr>
        <w:pStyle w:val="JuQuot"/>
      </w:pPr>
      <w:r w:rsidRPr="006F34CD">
        <w:t xml:space="preserve">“1.  Everyone has the right to freedom of expression. This right shall include freedom to hold opinions and to receive and impart information and ideas without interference by public authority </w:t>
      </w:r>
      <w:r w:rsidRPr="006F34CD" w:rsidR="001E754B">
        <w:t>...</w:t>
      </w:r>
    </w:p>
    <w:p w:rsidRPr="006F34CD" w:rsidR="002C2B5E" w:rsidP="006F34CD" w:rsidRDefault="002C2B5E" w14:paraId="367CE134" w14:textId="77777777">
      <w:pPr>
        <w:pStyle w:val="JuQuot"/>
      </w:pPr>
      <w:r w:rsidRPr="006F34CD">
        <w:t xml:space="preserve">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w:t>
      </w:r>
      <w:r w:rsidRPr="006F34CD" w:rsidR="001E754B">
        <w:t>...</w:t>
      </w:r>
      <w:r w:rsidRPr="006F34CD">
        <w:t>”</w:t>
      </w:r>
    </w:p>
    <w:p w:rsidRPr="006F34CD" w:rsidR="00563DE6" w:rsidP="006F34CD" w:rsidRDefault="001370AA" w14:paraId="6FD84E9F" w14:textId="77777777">
      <w:pPr>
        <w:pStyle w:val="JuHArticle"/>
      </w:pPr>
      <w:r w:rsidRPr="006F34CD">
        <w:t>Article 1</w:t>
      </w:r>
      <w:r w:rsidRPr="006F34CD" w:rsidR="00563DE6">
        <w:t>1 – Freedom of assembly and association</w:t>
      </w:r>
    </w:p>
    <w:p w:rsidRPr="006F34CD" w:rsidR="00563DE6" w:rsidP="006F34CD" w:rsidRDefault="00563DE6" w14:paraId="584D1595" w14:textId="77777777">
      <w:pPr>
        <w:pStyle w:val="JuQuot"/>
      </w:pPr>
      <w:r w:rsidRPr="006F34CD">
        <w:rPr>
          <w:sz w:val="24"/>
        </w:rPr>
        <w:t>“</w:t>
      </w:r>
      <w:r w:rsidRPr="006F34CD">
        <w:t>1.</w:t>
      </w:r>
      <w:r w:rsidRPr="006F34CD" w:rsidR="001370AA">
        <w:t>  </w:t>
      </w:r>
      <w:r w:rsidRPr="006F34CD">
        <w:t xml:space="preserve">Everyone has the right </w:t>
      </w:r>
      <w:r w:rsidRPr="006F34CD" w:rsidR="001E754B">
        <w:t>...</w:t>
      </w:r>
      <w:r w:rsidRPr="006F34CD">
        <w:t xml:space="preserve"> to freedom of association with others </w:t>
      </w:r>
      <w:r w:rsidRPr="006F34CD" w:rsidR="001E754B">
        <w:t>...</w:t>
      </w:r>
    </w:p>
    <w:p w:rsidRPr="006F34CD" w:rsidR="00563DE6" w:rsidP="006F34CD" w:rsidRDefault="00563DE6" w14:paraId="2041DDA8" w14:textId="77777777">
      <w:pPr>
        <w:pStyle w:val="JuQuot"/>
      </w:pPr>
      <w:r w:rsidRPr="006F34CD">
        <w:t>2.</w:t>
      </w:r>
      <w:r w:rsidRPr="006F34CD" w:rsidR="001370AA">
        <w:t>  </w:t>
      </w:r>
      <w:r w:rsidRPr="006F34CD">
        <w:t xml:space="preserve">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w:t>
      </w:r>
      <w:r w:rsidRPr="006F34CD" w:rsidR="001E754B">
        <w:t>...</w:t>
      </w:r>
      <w:r w:rsidRPr="006F34CD">
        <w:t>”</w:t>
      </w:r>
    </w:p>
    <w:p w:rsidRPr="006F34CD" w:rsidR="00E206CB" w:rsidP="006F34CD" w:rsidRDefault="00E206CB" w14:paraId="19E1386C" w14:textId="77777777">
      <w:pPr>
        <w:pStyle w:val="JuHA"/>
      </w:pPr>
      <w:bookmarkStart w:name="_Toc97301939" w:id="129"/>
      <w:r w:rsidRPr="006F34CD">
        <w:t>Admissibility</w:t>
      </w:r>
      <w:bookmarkEnd w:id="129"/>
    </w:p>
    <w:p w:rsidRPr="006F34CD" w:rsidR="00B97923" w:rsidP="006F34CD" w:rsidRDefault="00CB6108" w14:paraId="703E3829" w14:textId="521D0BA7">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139</w:t>
      </w:r>
      <w:r>
        <w:rPr>
          <w:noProof/>
        </w:rPr>
        <w:fldChar w:fldCharType="end"/>
      </w:r>
      <w:r w:rsidRPr="006F34CD" w:rsidR="00B97923">
        <w:t xml:space="preserve">.  The Government submitted that the complaint was inadmissible by virtue of </w:t>
      </w:r>
      <w:r w:rsidRPr="006F34CD" w:rsidR="00F50F6F">
        <w:t>Article 1</w:t>
      </w:r>
      <w:r w:rsidRPr="006F34CD" w:rsidR="00B97923">
        <w:t xml:space="preserve">7 of the Convention which prohibits “groups or individuals with totalitarian goals from using the principles provided for in the Convention for their own interests” (they referred to </w:t>
      </w:r>
      <w:r w:rsidRPr="006F34CD" w:rsidR="00B97923">
        <w:rPr>
          <w:i/>
        </w:rPr>
        <w:t>W.P. and Others</w:t>
      </w:r>
      <w:r w:rsidRPr="006F34CD" w:rsidR="00F50F6F">
        <w:rPr>
          <w:i/>
        </w:rPr>
        <w:t xml:space="preserve"> v. P</w:t>
      </w:r>
      <w:r w:rsidRPr="006F34CD" w:rsidR="00B97923">
        <w:rPr>
          <w:i/>
        </w:rPr>
        <w:t xml:space="preserve">oland </w:t>
      </w:r>
      <w:r w:rsidRPr="006F34CD" w:rsidR="00B97923">
        <w:t xml:space="preserve">(dec.), </w:t>
      </w:r>
      <w:r w:rsidRPr="006F34CD" w:rsidR="00F50F6F">
        <w:t>no. 4</w:t>
      </w:r>
      <w:r w:rsidRPr="006F34CD" w:rsidR="00B97923">
        <w:t>2264/98, ECHR 2004</w:t>
      </w:r>
      <w:r w:rsidRPr="006F34CD" w:rsidR="00B97923">
        <w:noBreakHyphen/>
        <w:t xml:space="preserve">VII (extracts), and </w:t>
      </w:r>
      <w:r w:rsidRPr="006F34CD" w:rsidR="00B97923">
        <w:rPr>
          <w:i/>
        </w:rPr>
        <w:t>Norwood</w:t>
      </w:r>
      <w:r w:rsidRPr="006F34CD" w:rsidR="00F50F6F">
        <w:rPr>
          <w:i/>
        </w:rPr>
        <w:t xml:space="preserve"> v. t</w:t>
      </w:r>
      <w:r w:rsidRPr="006F34CD" w:rsidR="00B97923">
        <w:rPr>
          <w:i/>
        </w:rPr>
        <w:t xml:space="preserve">he United Kingdom </w:t>
      </w:r>
      <w:r w:rsidRPr="006F34CD" w:rsidR="00B97923">
        <w:t xml:space="preserve">(dec.), </w:t>
      </w:r>
      <w:r w:rsidRPr="006F34CD" w:rsidR="00F50F6F">
        <w:t>no. 2</w:t>
      </w:r>
      <w:r w:rsidRPr="006F34CD" w:rsidR="00B97923">
        <w:t>3131/03, ECHR 2004</w:t>
      </w:r>
      <w:r w:rsidRPr="006F34CD" w:rsidR="00B97923">
        <w:noBreakHyphen/>
        <w:t xml:space="preserve">XI). In their view, the Court should </w:t>
      </w:r>
      <w:r w:rsidRPr="006F34CD" w:rsidR="00A14026">
        <w:t>use</w:t>
      </w:r>
      <w:r w:rsidRPr="006F34CD" w:rsidR="00B97923">
        <w:t xml:space="preserve"> the </w:t>
      </w:r>
      <w:r w:rsidRPr="006F34CD" w:rsidR="00A14026">
        <w:t xml:space="preserve">same </w:t>
      </w:r>
      <w:r w:rsidRPr="006F34CD" w:rsidR="00B97923">
        <w:t xml:space="preserve">approach it had </w:t>
      </w:r>
      <w:r w:rsidRPr="006F34CD" w:rsidR="00A14026">
        <w:t>followed</w:t>
      </w:r>
      <w:r w:rsidRPr="006F34CD" w:rsidR="00B97923">
        <w:t xml:space="preserve"> to declare inadmissible an application by a militant Islamic group which called for the destruction of Israel and killing of its citizens (</w:t>
      </w:r>
      <w:r w:rsidRPr="006F34CD" w:rsidR="00B97923">
        <w:rPr>
          <w:i/>
        </w:rPr>
        <w:t xml:space="preserve">Hizb ut-Tahrir and Others v. Germany </w:t>
      </w:r>
      <w:r w:rsidRPr="006F34CD" w:rsidR="00B97923">
        <w:t>(dec.), no. 31098/08, 12 June 2012).</w:t>
      </w:r>
    </w:p>
    <w:p w:rsidRPr="006F34CD" w:rsidR="00B97923" w:rsidP="006F34CD" w:rsidRDefault="00CB6108" w14:paraId="1DFD6E30" w14:textId="2D355C10">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140</w:t>
      </w:r>
      <w:r>
        <w:rPr>
          <w:noProof/>
        </w:rPr>
        <w:fldChar w:fldCharType="end"/>
      </w:r>
      <w:r w:rsidRPr="006F34CD" w:rsidR="00B97923">
        <w:t>.  The applicants replied that it was a well-established fact that Jehovah</w:t>
      </w:r>
      <w:r w:rsidRPr="006F34CD" w:rsidR="006F34CD">
        <w:t>’</w:t>
      </w:r>
      <w:r w:rsidRPr="006F34CD" w:rsidR="00B97923">
        <w:t xml:space="preserve">s Witnesses </w:t>
      </w:r>
      <w:r w:rsidRPr="006F34CD" w:rsidR="00DB1217">
        <w:t>are</w:t>
      </w:r>
      <w:r w:rsidRPr="006F34CD" w:rsidR="00B97923">
        <w:t xml:space="preserve"> a </w:t>
      </w:r>
      <w:r w:rsidRPr="006F34CD" w:rsidR="00DB1217">
        <w:t>religion</w:t>
      </w:r>
      <w:r w:rsidRPr="006F34CD" w:rsidR="00B97923">
        <w:t xml:space="preserve"> committed to pacifism (they referred to </w:t>
      </w:r>
      <w:r w:rsidRPr="006F34CD" w:rsidR="00B97923">
        <w:rPr>
          <w:i/>
        </w:rPr>
        <w:t>Bayatyan</w:t>
      </w:r>
      <w:r w:rsidRPr="006F34CD" w:rsidR="00F50F6F">
        <w:rPr>
          <w:i/>
        </w:rPr>
        <w:t xml:space="preserve"> v. A</w:t>
      </w:r>
      <w:r w:rsidRPr="006F34CD" w:rsidR="00B97923">
        <w:rPr>
          <w:i/>
        </w:rPr>
        <w:t>rmenia</w:t>
      </w:r>
      <w:r w:rsidRPr="006F34CD" w:rsidR="00B97923">
        <w:t xml:space="preserve"> [GC], </w:t>
      </w:r>
      <w:r w:rsidRPr="006F34CD" w:rsidR="00F50F6F">
        <w:t>no. 2</w:t>
      </w:r>
      <w:r w:rsidRPr="006F34CD" w:rsidR="00B97923">
        <w:t xml:space="preserve">3459/03, § 111, ECHR 2011). The mere allegation that some persons might be “offended” by </w:t>
      </w:r>
      <w:r w:rsidRPr="006F34CD" w:rsidR="001D0FA1">
        <w:t xml:space="preserve">their religious </w:t>
      </w:r>
      <w:r w:rsidRPr="006F34CD" w:rsidR="00B97923">
        <w:t xml:space="preserve">publications or </w:t>
      </w:r>
      <w:r w:rsidRPr="006F34CD" w:rsidR="001D0FA1">
        <w:t xml:space="preserve">by </w:t>
      </w:r>
      <w:r w:rsidRPr="006F34CD" w:rsidR="00B97923">
        <w:t xml:space="preserve">the claim that they displayed a “negative attitude” towards “traditional” religions did not remove them from the protection of </w:t>
      </w:r>
      <w:r w:rsidRPr="006F34CD" w:rsidR="00F50F6F">
        <w:t>Article 1</w:t>
      </w:r>
      <w:r w:rsidRPr="006F34CD" w:rsidR="00B97923">
        <w:t>0 of the Convention.</w:t>
      </w:r>
    </w:p>
    <w:bookmarkStart w:name="paragraph00141" w:id="130"/>
    <w:p w:rsidRPr="006F34CD" w:rsidR="00B97923" w:rsidP="006F34CD" w:rsidRDefault="008B0A28" w14:paraId="1E78F37E" w14:textId="701766E4">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141</w:t>
      </w:r>
      <w:r w:rsidRPr="006F34CD">
        <w:rPr>
          <w:noProof/>
        </w:rPr>
        <w:fldChar w:fldCharType="end"/>
      </w:r>
      <w:bookmarkStart w:name="_Hlk77840279" w:id="131"/>
      <w:bookmarkEnd w:id="130"/>
      <w:r w:rsidRPr="006F34CD" w:rsidR="00B97923">
        <w:t xml:space="preserve">.  The Court finds that </w:t>
      </w:r>
      <w:r w:rsidRPr="006F34CD" w:rsidR="00F50F6F">
        <w:t>Article 1</w:t>
      </w:r>
      <w:r w:rsidRPr="006F34CD" w:rsidR="00B97923">
        <w:t>7 of the Convention has no application to this case. This Article is applicable only “on an exceptional basis” and “in extreme cases”, such as to statements denying crimes against humanity</w:t>
      </w:r>
      <w:r w:rsidRPr="006F34CD" w:rsidR="00E32B0F">
        <w:t xml:space="preserve"> or vilifying entire ethnicities or religions</w:t>
      </w:r>
      <w:r w:rsidRPr="006F34CD" w:rsidR="00B97923">
        <w:t>, as is illustrated by the Court</w:t>
      </w:r>
      <w:r w:rsidRPr="006F34CD" w:rsidR="006F34CD">
        <w:t>’</w:t>
      </w:r>
      <w:r w:rsidRPr="006F34CD" w:rsidR="00B97923">
        <w:t xml:space="preserve">s case-law (see </w:t>
      </w:r>
      <w:r w:rsidRPr="006F34CD" w:rsidR="00B97923">
        <w:rPr>
          <w:i/>
        </w:rPr>
        <w:t>Paksas</w:t>
      </w:r>
      <w:r w:rsidRPr="006F34CD" w:rsidR="00F50F6F">
        <w:rPr>
          <w:i/>
        </w:rPr>
        <w:t xml:space="preserve"> v. L</w:t>
      </w:r>
      <w:r w:rsidRPr="006F34CD" w:rsidR="00B97923">
        <w:rPr>
          <w:i/>
        </w:rPr>
        <w:t>ithuania</w:t>
      </w:r>
      <w:r w:rsidRPr="006F34CD" w:rsidR="00B97923">
        <w:t xml:space="preserve"> [GC], </w:t>
      </w:r>
      <w:r w:rsidRPr="006F34CD" w:rsidR="00F50F6F">
        <w:t>no. 3</w:t>
      </w:r>
      <w:r w:rsidRPr="006F34CD" w:rsidR="00B97923">
        <w:t xml:space="preserve">4932/04, §§ 87-88, ECHR 2011 (extracts), with further references). The Court cannot find any such </w:t>
      </w:r>
      <w:r w:rsidRPr="006F34CD" w:rsidR="00EC2ED8">
        <w:t>expressions</w:t>
      </w:r>
      <w:r w:rsidRPr="006F34CD" w:rsidR="00B97923">
        <w:t xml:space="preserve"> in the applicants</w:t>
      </w:r>
      <w:r w:rsidRPr="006F34CD" w:rsidR="006F34CD">
        <w:t>’</w:t>
      </w:r>
      <w:r w:rsidRPr="006F34CD" w:rsidR="00B97923">
        <w:t xml:space="preserve"> </w:t>
      </w:r>
      <w:r w:rsidRPr="006F34CD" w:rsidR="00EC2ED8">
        <w:t>activities</w:t>
      </w:r>
      <w:r w:rsidRPr="006F34CD" w:rsidR="00187095">
        <w:t xml:space="preserve"> or </w:t>
      </w:r>
      <w:r w:rsidRPr="006F34CD" w:rsidR="00B97923">
        <w:t>publications.</w:t>
      </w:r>
    </w:p>
    <w:bookmarkEnd w:id="131"/>
    <w:p w:rsidRPr="006F34CD" w:rsidR="00E206CB" w:rsidP="006F34CD" w:rsidRDefault="00E206CB" w14:paraId="2121EA43" w14:textId="7875C6D3">
      <w:pPr>
        <w:pStyle w:val="JuPara"/>
      </w:pPr>
      <w:r w:rsidRPr="006F34CD">
        <w:fldChar w:fldCharType="begin"/>
      </w:r>
      <w:r w:rsidRPr="006F34CD">
        <w:instrText xml:space="preserve"> SEQ level0 \*arabic </w:instrText>
      </w:r>
      <w:r w:rsidRPr="006F34CD">
        <w:fldChar w:fldCharType="separate"/>
      </w:r>
      <w:r w:rsidRPr="006F34CD" w:rsidR="006F34CD">
        <w:rPr>
          <w:noProof/>
        </w:rPr>
        <w:t>142</w:t>
      </w:r>
      <w:r w:rsidRPr="006F34CD">
        <w:fldChar w:fldCharType="end"/>
      </w:r>
      <w:r w:rsidRPr="006F34CD">
        <w:t>.</w:t>
      </w:r>
      <w:r w:rsidRPr="006F34CD" w:rsidR="001370AA">
        <w:t>  </w:t>
      </w:r>
      <w:r w:rsidRPr="006F34CD">
        <w:t xml:space="preserve">The Court considers that this complaint is </w:t>
      </w:r>
      <w:r w:rsidRPr="006F34CD" w:rsidR="00F27848">
        <w:t>not manifestly ill</w:t>
      </w:r>
      <w:r w:rsidRPr="006F34CD" w:rsidR="005B41A3">
        <w:noBreakHyphen/>
      </w:r>
      <w:r w:rsidRPr="006F34CD" w:rsidR="00F27848">
        <w:t xml:space="preserve">founded within the meaning of </w:t>
      </w:r>
      <w:r w:rsidRPr="006F34CD" w:rsidR="001370AA">
        <w:t>Article 3</w:t>
      </w:r>
      <w:r w:rsidRPr="006F34CD" w:rsidR="00F27848">
        <w:t>5</w:t>
      </w:r>
      <w:r w:rsidRPr="006F34CD" w:rsidR="001370AA">
        <w:t xml:space="preserve"> § 3 </w:t>
      </w:r>
      <w:r w:rsidRPr="006F34CD" w:rsidR="00F27848">
        <w:t>(a) of the Convention.</w:t>
      </w:r>
      <w:r w:rsidRPr="006F34CD" w:rsidR="001370AA">
        <w:t xml:space="preserve"> </w:t>
      </w:r>
      <w:r w:rsidRPr="006F34CD">
        <w:t xml:space="preserve">It further </w:t>
      </w:r>
      <w:r w:rsidRPr="006F34CD" w:rsidR="00F27848">
        <w:t>notes that it is not inadmissible on any other grounds.</w:t>
      </w:r>
      <w:r w:rsidRPr="006F34CD" w:rsidR="001370AA">
        <w:t xml:space="preserve"> </w:t>
      </w:r>
      <w:r w:rsidRPr="006F34CD">
        <w:t>It must therefore be declared admissible.</w:t>
      </w:r>
    </w:p>
    <w:p w:rsidRPr="006F34CD" w:rsidR="00563DE6" w:rsidP="006F34CD" w:rsidRDefault="00E206CB" w14:paraId="2D24DCBD" w14:textId="77777777">
      <w:pPr>
        <w:pStyle w:val="JuHA"/>
      </w:pPr>
      <w:bookmarkStart w:name="_Toc97301940" w:id="132"/>
      <w:r w:rsidRPr="006F34CD">
        <w:t>Merits</w:t>
      </w:r>
      <w:bookmarkEnd w:id="132"/>
    </w:p>
    <w:p w:rsidRPr="006F34CD" w:rsidR="00387B76" w:rsidP="006F34CD" w:rsidRDefault="00387B76" w14:paraId="7A3514AD" w14:textId="77777777">
      <w:pPr>
        <w:pStyle w:val="JuH1"/>
      </w:pPr>
      <w:bookmarkStart w:name="_Toc97301941" w:id="133"/>
      <w:r w:rsidRPr="006F34CD">
        <w:t>Submissions by the parties</w:t>
      </w:r>
      <w:bookmarkEnd w:id="133"/>
    </w:p>
    <w:p w:rsidRPr="006F34CD" w:rsidR="00E640FA" w:rsidP="006F34CD" w:rsidRDefault="00E640FA" w14:paraId="61671EC4" w14:textId="36194F3E">
      <w:pPr>
        <w:pStyle w:val="JuPara"/>
      </w:pPr>
      <w:r w:rsidRPr="006F34CD">
        <w:fldChar w:fldCharType="begin"/>
      </w:r>
      <w:r w:rsidRPr="006F34CD">
        <w:instrText xml:space="preserve"> SEQ level0 \*arabic </w:instrText>
      </w:r>
      <w:r w:rsidRPr="006F34CD">
        <w:fldChar w:fldCharType="separate"/>
      </w:r>
      <w:r w:rsidRPr="006F34CD" w:rsidR="006F34CD">
        <w:rPr>
          <w:noProof/>
        </w:rPr>
        <w:t>143</w:t>
      </w:r>
      <w:r w:rsidRPr="006F34CD">
        <w:fldChar w:fldCharType="end"/>
      </w:r>
      <w:r w:rsidRPr="006F34CD">
        <w:t>.</w:t>
      </w:r>
      <w:r w:rsidRPr="006F34CD" w:rsidR="001370AA">
        <w:t>  </w:t>
      </w:r>
      <w:r w:rsidRPr="006F34CD">
        <w:t xml:space="preserve">The applicants </w:t>
      </w:r>
      <w:r w:rsidRPr="006F34CD" w:rsidR="00387B76">
        <w:t>submitted</w:t>
      </w:r>
      <w:r w:rsidRPr="006F34CD">
        <w:t xml:space="preserve"> that the liquida</w:t>
      </w:r>
      <w:r w:rsidRPr="006F34CD" w:rsidR="00387B76">
        <w:t>tion of</w:t>
      </w:r>
      <w:r w:rsidRPr="006F34CD">
        <w:t xml:space="preserve"> the Jehovah</w:t>
      </w:r>
      <w:r w:rsidRPr="006F34CD" w:rsidR="006F34CD">
        <w:t>’</w:t>
      </w:r>
      <w:r w:rsidRPr="006F34CD">
        <w:t>s Witnesses</w:t>
      </w:r>
      <w:r w:rsidRPr="006F34CD" w:rsidR="006F34CD">
        <w:t>’</w:t>
      </w:r>
      <w:r w:rsidRPr="006F34CD">
        <w:t xml:space="preserve"> organisation deprived believers of a registered religious organisation and exposed them to criminal and administrative liability. The interference was neither “prescribed by law” nor “necessary in a democratic society”.</w:t>
      </w:r>
      <w:r w:rsidRPr="006F34CD" w:rsidR="001370AA">
        <w:t xml:space="preserve"> </w:t>
      </w:r>
      <w:r w:rsidRPr="006F34CD">
        <w:t>The definition of what constituted “extremism” under Russian law was not sufficiently accessible or foreseeable because it could be misapplied to any religious activities or religious speech, no matter how peaceful.</w:t>
      </w:r>
      <w:r w:rsidRPr="006F34CD" w:rsidR="001370AA">
        <w:t xml:space="preserve"> </w:t>
      </w:r>
      <w:r w:rsidRPr="006F34CD">
        <w:t>It would be absurd to suggest that Jehovah</w:t>
      </w:r>
      <w:r w:rsidRPr="006F34CD" w:rsidR="006F34CD">
        <w:t>’</w:t>
      </w:r>
      <w:r w:rsidRPr="006F34CD">
        <w:t>s Witnesses had been a threat to “national security” or that the liquidation of their organisations had been necessary to “prevent disorder”. The Russian authorities had previously liquidated the religious organisation of Jehovah</w:t>
      </w:r>
      <w:r w:rsidRPr="006F34CD" w:rsidR="006F34CD">
        <w:t>’</w:t>
      </w:r>
      <w:r w:rsidRPr="006F34CD">
        <w:t xml:space="preserve">s Witnesses in Moscow using the same allegations that they had used for dissolving the Taganrog and Samara organisations in the instant case. </w:t>
      </w:r>
      <w:r w:rsidRPr="006F34CD" w:rsidR="00770176">
        <w:t>In</w:t>
      </w:r>
      <w:r w:rsidRPr="006F34CD" w:rsidR="00FA3DE1">
        <w:rPr>
          <w:i/>
        </w:rPr>
        <w:t xml:space="preserve"> </w:t>
      </w:r>
      <w:bookmarkStart w:name="_Hlk103163074" w:id="134"/>
      <w:r w:rsidRPr="006F34CD" w:rsidR="00FA3DE1">
        <w:rPr>
          <w:i/>
        </w:rPr>
        <w:t>Jehovah</w:t>
      </w:r>
      <w:r w:rsidRPr="006F34CD" w:rsidR="006F34CD">
        <w:rPr>
          <w:i/>
        </w:rPr>
        <w:t>’</w:t>
      </w:r>
      <w:r w:rsidRPr="006F34CD" w:rsidR="00FA3DE1">
        <w:rPr>
          <w:i/>
        </w:rPr>
        <w:t>s Witnesses of Moscow and Others</w:t>
      </w:r>
      <w:r w:rsidRPr="006F34CD" w:rsidR="00F50F6F">
        <w:rPr>
          <w:i/>
        </w:rPr>
        <w:t xml:space="preserve"> v. R</w:t>
      </w:r>
      <w:r w:rsidRPr="006F34CD" w:rsidR="00FA3DE1">
        <w:rPr>
          <w:i/>
        </w:rPr>
        <w:t>ussia</w:t>
      </w:r>
      <w:bookmarkEnd w:id="134"/>
      <w:r w:rsidRPr="006F34CD" w:rsidR="00FA3DE1">
        <w:rPr>
          <w:i/>
        </w:rPr>
        <w:t xml:space="preserve"> </w:t>
      </w:r>
      <w:r w:rsidRPr="006F34CD" w:rsidR="00FA3DE1">
        <w:rPr>
          <w:iCs/>
        </w:rPr>
        <w:t>(</w:t>
      </w:r>
      <w:r w:rsidRPr="006F34CD" w:rsidR="00F50F6F">
        <w:t>no. 3</w:t>
      </w:r>
      <w:r w:rsidRPr="006F34CD" w:rsidR="00FA3DE1">
        <w:t xml:space="preserve">02/02, </w:t>
      </w:r>
      <w:r w:rsidRPr="006F34CD" w:rsidR="00F50F6F">
        <w:t>10 June 2010</w:t>
      </w:r>
      <w:r w:rsidRPr="006F34CD" w:rsidR="00FA3DE1">
        <w:t>)</w:t>
      </w:r>
      <w:r w:rsidRPr="006F34CD" w:rsidR="00770176">
        <w:t>, t</w:t>
      </w:r>
      <w:r w:rsidRPr="006F34CD">
        <w:t xml:space="preserve">he Court had found a violation of </w:t>
      </w:r>
      <w:r w:rsidRPr="006F34CD" w:rsidR="001370AA">
        <w:t>Articles 9</w:t>
      </w:r>
      <w:r w:rsidRPr="006F34CD">
        <w:t xml:space="preserve"> and 11 </w:t>
      </w:r>
      <w:r w:rsidRPr="006F34CD" w:rsidR="00FA3DE1">
        <w:t>on account of the forced dissolution of the Moscow community of Jehovah</w:t>
      </w:r>
      <w:r w:rsidRPr="006F34CD" w:rsidR="006F34CD">
        <w:t>’</w:t>
      </w:r>
      <w:r w:rsidRPr="006F34CD" w:rsidR="00FA3DE1">
        <w:t>s Witnesses on similar charges</w:t>
      </w:r>
      <w:r w:rsidRPr="006F34CD">
        <w:t xml:space="preserve"> and the same conclusions would apply here.</w:t>
      </w:r>
    </w:p>
    <w:p w:rsidRPr="006F34CD" w:rsidR="00563DE6" w:rsidP="006F34CD" w:rsidRDefault="00563DE6" w14:paraId="4C143106" w14:textId="37A9192C">
      <w:pPr>
        <w:pStyle w:val="JuPara"/>
      </w:pPr>
      <w:r w:rsidRPr="006F34CD">
        <w:fldChar w:fldCharType="begin"/>
      </w:r>
      <w:r w:rsidRPr="006F34CD">
        <w:instrText xml:space="preserve"> SEQ level0 \*arabic </w:instrText>
      </w:r>
      <w:r w:rsidRPr="006F34CD">
        <w:fldChar w:fldCharType="separate"/>
      </w:r>
      <w:r w:rsidRPr="006F34CD" w:rsidR="006F34CD">
        <w:rPr>
          <w:noProof/>
        </w:rPr>
        <w:t>144</w:t>
      </w:r>
      <w:r w:rsidRPr="006F34CD">
        <w:fldChar w:fldCharType="end"/>
      </w:r>
      <w:r w:rsidRPr="006F34CD">
        <w:t>.</w:t>
      </w:r>
      <w:r w:rsidRPr="006F34CD" w:rsidR="001370AA">
        <w:t>  </w:t>
      </w:r>
      <w:r w:rsidRPr="006F34CD">
        <w:t>The Government submitted that the interference with the applicants</w:t>
      </w:r>
      <w:r w:rsidRPr="006F34CD" w:rsidR="006F34CD">
        <w:t>’</w:t>
      </w:r>
      <w:r w:rsidRPr="006F34CD">
        <w:t xml:space="preserve"> rights </w:t>
      </w:r>
      <w:r w:rsidRPr="006F34CD" w:rsidR="00387B76">
        <w:t>was</w:t>
      </w:r>
      <w:r w:rsidRPr="006F34CD">
        <w:t xml:space="preserve"> lawful and justified. The Taganrog LRO had engaged in illegal activities, including by distributing printed materials which proclaimed </w:t>
      </w:r>
      <w:r w:rsidRPr="006F34CD" w:rsidR="00387B76">
        <w:t xml:space="preserve">the </w:t>
      </w:r>
      <w:r w:rsidRPr="006F34CD">
        <w:t xml:space="preserve">superiority of </w:t>
      </w:r>
      <w:r w:rsidRPr="006F34CD" w:rsidR="00387B76">
        <w:t>their</w:t>
      </w:r>
      <w:r w:rsidRPr="006F34CD">
        <w:t xml:space="preserve"> religion. It had also been active outside of Taganrog, in two adjacent districts in which it had </w:t>
      </w:r>
      <w:r w:rsidRPr="006F34CD" w:rsidR="00F27848">
        <w:t>not established local chapters.</w:t>
      </w:r>
      <w:r w:rsidRPr="006F34CD" w:rsidR="001370AA">
        <w:t xml:space="preserve"> </w:t>
      </w:r>
      <w:r w:rsidRPr="006F34CD">
        <w:t>The courts had established that Jehovah</w:t>
      </w:r>
      <w:r w:rsidRPr="006F34CD" w:rsidR="006F34CD">
        <w:t>’</w:t>
      </w:r>
      <w:r w:rsidRPr="006F34CD">
        <w:t>s Witnesses had imposed their views on Orthodox believers, incited their followers to refuse medical assistance on religious grounds and to carry the No-Blood card, and involved children in door-to-door preaching without the contest of the other parent.</w:t>
      </w:r>
    </w:p>
    <w:p w:rsidRPr="006F34CD" w:rsidR="00320F95" w:rsidP="006F34CD" w:rsidRDefault="00320F95" w14:paraId="3DA99BA1" w14:textId="065E9CC7">
      <w:pPr>
        <w:pStyle w:val="JuH1"/>
      </w:pPr>
      <w:bookmarkStart w:name="_Toc97301942" w:id="135"/>
      <w:r w:rsidRPr="006F34CD">
        <w:t>The Court</w:t>
      </w:r>
      <w:r w:rsidRPr="006F34CD" w:rsidR="006F34CD">
        <w:t>’</w:t>
      </w:r>
      <w:r w:rsidRPr="006F34CD">
        <w:t>s assessment</w:t>
      </w:r>
      <w:bookmarkEnd w:id="135"/>
    </w:p>
    <w:p w:rsidRPr="006F34CD" w:rsidR="00EF130B" w:rsidP="006F34CD" w:rsidRDefault="00EF130B" w14:paraId="2EC45145" w14:textId="07A69B1A">
      <w:pPr>
        <w:pStyle w:val="JuHa0"/>
      </w:pPr>
      <w:bookmarkStart w:name="_Toc97301943" w:id="136"/>
      <w:r w:rsidRPr="006F34CD">
        <w:t>General principles</w:t>
      </w:r>
      <w:bookmarkEnd w:id="136"/>
    </w:p>
    <w:p w:rsidRPr="006F34CD" w:rsidR="005208D3" w:rsidP="006F34CD" w:rsidRDefault="006F34CD" w14:paraId="1D98EF1E" w14:textId="3023DDDD">
      <w:pPr>
        <w:pStyle w:val="JuPara"/>
      </w:pPr>
      <w:fldSimple w:instr=" SEQ level0 \*arabic \* MERGEFORMAT ">
        <w:r w:rsidRPr="006F34CD">
          <w:rPr>
            <w:noProof/>
          </w:rPr>
          <w:t>145</w:t>
        </w:r>
      </w:fldSimple>
      <w:r w:rsidRPr="006F34CD" w:rsidR="005208D3">
        <w:t xml:space="preserve">.  As enshrined in </w:t>
      </w:r>
      <w:r w:rsidRPr="006F34CD" w:rsidR="006E5193">
        <w:t>Article 9</w:t>
      </w:r>
      <w:r w:rsidRPr="006F34CD" w:rsidR="005208D3">
        <w:t>, freedom of thought, conscience and religion is one of the foundations of a “democratic society” within the meaning of the Convention. This freedom is, in its religious dimension, one of the most vital elements that go to make up the identity of believers and their conception of life, but it is also a precious asset for atheists, agnostics, sceptics and the unconcerned. The pluralism indissociable from a democratic society, which has been dearly won over the centuries, depends on it (see</w:t>
      </w:r>
      <w:r w:rsidRPr="006F34CD" w:rsidR="005208D3">
        <w:rPr>
          <w:i/>
        </w:rPr>
        <w:t xml:space="preserve"> Kokkinakis</w:t>
      </w:r>
      <w:r w:rsidRPr="006F34CD" w:rsidR="006E5193">
        <w:rPr>
          <w:i/>
        </w:rPr>
        <w:t xml:space="preserve"> v. G</w:t>
      </w:r>
      <w:r w:rsidRPr="006F34CD" w:rsidR="005208D3">
        <w:rPr>
          <w:i/>
        </w:rPr>
        <w:t>reece</w:t>
      </w:r>
      <w:r w:rsidRPr="006F34CD" w:rsidR="005208D3">
        <w:t xml:space="preserve">, </w:t>
      </w:r>
      <w:r w:rsidRPr="006F34CD" w:rsidR="006E5193">
        <w:t>25 May 1993</w:t>
      </w:r>
      <w:r w:rsidRPr="006F34CD" w:rsidR="005208D3">
        <w:t xml:space="preserve">, § 31, </w:t>
      </w:r>
      <w:r w:rsidRPr="006F34CD" w:rsidR="006E5193">
        <w:t>Series A</w:t>
      </w:r>
      <w:r w:rsidRPr="006F34CD" w:rsidR="005208D3">
        <w:t xml:space="preserve"> </w:t>
      </w:r>
      <w:r w:rsidRPr="006F34CD" w:rsidR="006E5193">
        <w:t>no. 2</w:t>
      </w:r>
      <w:r w:rsidRPr="006F34CD" w:rsidR="005208D3">
        <w:t>60</w:t>
      </w:r>
      <w:r w:rsidRPr="006F34CD" w:rsidR="005208D3">
        <w:noBreakHyphen/>
        <w:t>A, and</w:t>
      </w:r>
      <w:r w:rsidRPr="006F34CD" w:rsidR="005208D3">
        <w:rPr>
          <w:i/>
        </w:rPr>
        <w:t xml:space="preserve"> İzzettin Doğan</w:t>
      </w:r>
      <w:r w:rsidRPr="006F34CD" w:rsidR="005208D3">
        <w:t xml:space="preserve"> </w:t>
      </w:r>
      <w:r w:rsidRPr="006F34CD" w:rsidR="005208D3">
        <w:rPr>
          <w:i/>
        </w:rPr>
        <w:t>and Others</w:t>
      </w:r>
      <w:r w:rsidRPr="006F34CD" w:rsidR="006E5193">
        <w:rPr>
          <w:i/>
        </w:rPr>
        <w:t xml:space="preserve"> v. T</w:t>
      </w:r>
      <w:r w:rsidRPr="006F34CD" w:rsidR="005208D3">
        <w:rPr>
          <w:i/>
        </w:rPr>
        <w:t>urkey</w:t>
      </w:r>
      <w:r w:rsidRPr="006F34CD" w:rsidR="005208D3">
        <w:t xml:space="preserve"> [GC], </w:t>
      </w:r>
      <w:r w:rsidRPr="006F34CD" w:rsidR="006E5193">
        <w:t>no. 6</w:t>
      </w:r>
      <w:r w:rsidRPr="006F34CD" w:rsidR="005208D3">
        <w:t>2649/10, § 103, 26</w:t>
      </w:r>
      <w:r w:rsidRPr="006F34CD" w:rsidR="005C4487">
        <w:t> </w:t>
      </w:r>
      <w:r w:rsidRPr="006F34CD" w:rsidR="005208D3">
        <w:t xml:space="preserve">April 2016; for relevant principles under </w:t>
      </w:r>
      <w:r w:rsidRPr="006F34CD" w:rsidR="006E5193">
        <w:t>Articles 1</w:t>
      </w:r>
      <w:r w:rsidRPr="006F34CD" w:rsidR="005208D3">
        <w:t>0 and 11, see</w:t>
      </w:r>
      <w:r w:rsidRPr="006F34CD" w:rsidR="005208D3">
        <w:rPr>
          <w:i/>
        </w:rPr>
        <w:t xml:space="preserve"> Bédat v.</w:t>
      </w:r>
      <w:r w:rsidRPr="006F34CD" w:rsidR="003B2B21">
        <w:rPr>
          <w:i/>
        </w:rPr>
        <w:t> </w:t>
      </w:r>
      <w:r w:rsidRPr="006F34CD" w:rsidR="005208D3">
        <w:rPr>
          <w:i/>
        </w:rPr>
        <w:t>Switzerland</w:t>
      </w:r>
      <w:r w:rsidRPr="006F34CD" w:rsidR="005208D3">
        <w:t xml:space="preserve"> [GC], </w:t>
      </w:r>
      <w:r w:rsidRPr="006F34CD" w:rsidR="006E5193">
        <w:t>no. 5</w:t>
      </w:r>
      <w:r w:rsidRPr="006F34CD" w:rsidR="005208D3">
        <w:t xml:space="preserve">6925/08, § 48, </w:t>
      </w:r>
      <w:r w:rsidRPr="006F34CD" w:rsidR="006E5193">
        <w:t>29 March 2016</w:t>
      </w:r>
      <w:r w:rsidRPr="006F34CD" w:rsidR="005208D3">
        <w:t>, and</w:t>
      </w:r>
      <w:r w:rsidRPr="006F34CD" w:rsidR="005208D3">
        <w:rPr>
          <w:i/>
        </w:rPr>
        <w:t xml:space="preserve"> Sidiropoulos and Others</w:t>
      </w:r>
      <w:r w:rsidRPr="006F34CD" w:rsidR="006E5193">
        <w:rPr>
          <w:i/>
        </w:rPr>
        <w:t xml:space="preserve"> v. G</w:t>
      </w:r>
      <w:r w:rsidRPr="006F34CD" w:rsidR="005208D3">
        <w:rPr>
          <w:i/>
        </w:rPr>
        <w:t>reece</w:t>
      </w:r>
      <w:r w:rsidRPr="006F34CD" w:rsidR="005208D3">
        <w:t xml:space="preserve">, </w:t>
      </w:r>
      <w:r w:rsidRPr="006F34CD" w:rsidR="006E5193">
        <w:t>10 July 1998</w:t>
      </w:r>
      <w:r w:rsidRPr="006F34CD" w:rsidR="005208D3">
        <w:t xml:space="preserve">, § 40, </w:t>
      </w:r>
      <w:r w:rsidRPr="006F34CD" w:rsidR="005208D3">
        <w:rPr>
          <w:i/>
        </w:rPr>
        <w:t>Reports of Judgments and Decisions</w:t>
      </w:r>
      <w:r w:rsidRPr="006F34CD" w:rsidR="005208D3">
        <w:t xml:space="preserve"> 1998</w:t>
      </w:r>
      <w:r w:rsidRPr="006F34CD" w:rsidR="005208D3">
        <w:noBreakHyphen/>
        <w:t>IV).</w:t>
      </w:r>
    </w:p>
    <w:p w:rsidRPr="006F34CD" w:rsidR="00320F95" w:rsidP="006F34CD" w:rsidRDefault="003A33F3" w14:paraId="7AE8FC3C" w14:textId="27A25584">
      <w:pPr>
        <w:pStyle w:val="JuHa0"/>
      </w:pPr>
      <w:bookmarkStart w:name="_Toc97301944" w:id="137"/>
      <w:r w:rsidRPr="006F34CD">
        <w:t>Existence of interference</w:t>
      </w:r>
      <w:bookmarkEnd w:id="137"/>
    </w:p>
    <w:bookmarkStart w:name="paragraph00146" w:id="138"/>
    <w:p w:rsidRPr="006F34CD" w:rsidR="003E3860" w:rsidP="006F34CD" w:rsidRDefault="00C971F2" w14:paraId="57217FBC" w14:textId="1109618B">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146</w:t>
      </w:r>
      <w:r w:rsidRPr="006F34CD">
        <w:rPr>
          <w:noProof/>
        </w:rPr>
        <w:fldChar w:fldCharType="end"/>
      </w:r>
      <w:bookmarkEnd w:id="138"/>
      <w:r w:rsidRPr="006F34CD" w:rsidR="00CC2511">
        <w:t>.  </w:t>
      </w:r>
      <w:r w:rsidRPr="006F34CD" w:rsidR="003E3860">
        <w:t xml:space="preserve">The </w:t>
      </w:r>
      <w:r w:rsidRPr="006F34CD" w:rsidR="00AC129C">
        <w:t>Russian courts</w:t>
      </w:r>
      <w:r w:rsidRPr="006F34CD" w:rsidR="006F34CD">
        <w:t>’</w:t>
      </w:r>
      <w:r w:rsidRPr="006F34CD" w:rsidR="00AC129C">
        <w:t xml:space="preserve"> </w:t>
      </w:r>
      <w:r w:rsidRPr="006F34CD" w:rsidR="003E3860">
        <w:t>decision to dissolve the Taganrog LRO</w:t>
      </w:r>
      <w:r w:rsidRPr="006F34CD" w:rsidR="009D7D32">
        <w:t xml:space="preserve"> and </w:t>
      </w:r>
      <w:r w:rsidRPr="006F34CD" w:rsidR="003E3860">
        <w:t>ban its activities</w:t>
      </w:r>
      <w:r w:rsidRPr="006F34CD" w:rsidR="00AC129C">
        <w:t xml:space="preserve"> </w:t>
      </w:r>
      <w:r w:rsidRPr="006F34CD" w:rsidR="003E3860">
        <w:t xml:space="preserve">had the effect of stripping it of legal personality and </w:t>
      </w:r>
      <w:r w:rsidRPr="006F34CD" w:rsidR="00AC129C">
        <w:t>preventing</w:t>
      </w:r>
      <w:r w:rsidRPr="006F34CD" w:rsidR="003E3860">
        <w:t xml:space="preserve"> it from exercising </w:t>
      </w:r>
      <w:r w:rsidRPr="006F34CD" w:rsidR="009D7D32">
        <w:t xml:space="preserve">a </w:t>
      </w:r>
      <w:r w:rsidRPr="006F34CD" w:rsidR="001D1C22">
        <w:t>wide range</w:t>
      </w:r>
      <w:r w:rsidRPr="006F34CD" w:rsidR="009D7D32">
        <w:t xml:space="preserve"> of rights reserved under Russian law to registered religious organisations</w:t>
      </w:r>
      <w:r w:rsidRPr="006F34CD" w:rsidR="003E3860">
        <w:t xml:space="preserve">, such as the right to establish places of worship or to hold religious services in </w:t>
      </w:r>
      <w:r w:rsidRPr="006F34CD" w:rsidR="001D1C22">
        <w:t xml:space="preserve">public </w:t>
      </w:r>
      <w:r w:rsidRPr="006F34CD" w:rsidR="003E3860">
        <w:t xml:space="preserve">places. </w:t>
      </w:r>
      <w:r w:rsidRPr="006F34CD" w:rsidR="00AC129C">
        <w:t xml:space="preserve">The Taganrog LRO ceased to exist as a registered religious organisation and the individual applicants, </w:t>
      </w:r>
      <w:r w:rsidRPr="006F34CD" w:rsidR="001D1C22">
        <w:t>as</w:t>
      </w:r>
      <w:r w:rsidRPr="006F34CD" w:rsidR="00AC129C">
        <w:t xml:space="preserve"> its members, were </w:t>
      </w:r>
      <w:r w:rsidRPr="006F34CD" w:rsidR="001D1C22">
        <w:t>deprived</w:t>
      </w:r>
      <w:r w:rsidRPr="006F34CD" w:rsidR="00AC129C">
        <w:t xml:space="preserve"> of the right to manifest their religion in community with others and to carry </w:t>
      </w:r>
      <w:r w:rsidRPr="006F34CD" w:rsidR="001D1C22">
        <w:t>out</w:t>
      </w:r>
      <w:r w:rsidRPr="006F34CD" w:rsidR="00AC129C">
        <w:t xml:space="preserve"> activities which </w:t>
      </w:r>
      <w:r w:rsidRPr="006F34CD" w:rsidR="00516492">
        <w:t>were</w:t>
      </w:r>
      <w:r w:rsidRPr="006F34CD" w:rsidR="00AC129C">
        <w:t xml:space="preserve"> </w:t>
      </w:r>
      <w:r w:rsidRPr="006F34CD" w:rsidR="001D1C22">
        <w:t>an integral</w:t>
      </w:r>
      <w:r w:rsidRPr="006F34CD" w:rsidR="00AC129C">
        <w:t xml:space="preserve"> element of their religious practice. The Court finds that </w:t>
      </w:r>
      <w:r w:rsidRPr="006F34CD" w:rsidR="009D7D32">
        <w:t xml:space="preserve">the forced dissolution of </w:t>
      </w:r>
      <w:r w:rsidRPr="006F34CD" w:rsidR="001D1C22">
        <w:t xml:space="preserve">the </w:t>
      </w:r>
      <w:r w:rsidRPr="006F34CD" w:rsidR="009D7D32">
        <w:t>Taganrog LRO</w:t>
      </w:r>
      <w:r w:rsidRPr="006F34CD" w:rsidR="00AC129C">
        <w:t xml:space="preserve"> amounted to interference with the </w:t>
      </w:r>
      <w:r w:rsidRPr="006F34CD" w:rsidR="009D7D32">
        <w:t>organisation</w:t>
      </w:r>
      <w:r w:rsidRPr="006F34CD" w:rsidR="006F34CD">
        <w:t>’</w:t>
      </w:r>
      <w:r w:rsidRPr="006F34CD" w:rsidR="009D7D32">
        <w:t>s and its members</w:t>
      </w:r>
      <w:r w:rsidRPr="006F34CD" w:rsidR="006F34CD">
        <w:t>’</w:t>
      </w:r>
      <w:r w:rsidRPr="006F34CD" w:rsidR="00AC129C">
        <w:t xml:space="preserve"> rights under </w:t>
      </w:r>
      <w:r w:rsidRPr="006F34CD" w:rsidR="00F50F6F">
        <w:t>Article 9</w:t>
      </w:r>
      <w:r w:rsidRPr="006F34CD" w:rsidR="00AC129C">
        <w:t xml:space="preserve"> of the Convention, </w:t>
      </w:r>
      <w:r w:rsidRPr="006F34CD" w:rsidR="009B03BB">
        <w:t xml:space="preserve">which must be </w:t>
      </w:r>
      <w:r w:rsidRPr="006F34CD" w:rsidR="00AC129C">
        <w:t>interpreted in the light of Article 11</w:t>
      </w:r>
      <w:r w:rsidRPr="006F34CD" w:rsidR="009B03BB">
        <w:t xml:space="preserve"> since religious communities traditionally exist in the form of organised structures</w:t>
      </w:r>
      <w:r w:rsidRPr="006F34CD" w:rsidR="00AC129C">
        <w:t xml:space="preserve"> </w:t>
      </w:r>
      <w:r w:rsidRPr="006F34CD" w:rsidR="003E3860">
        <w:t xml:space="preserve">(see </w:t>
      </w:r>
      <w:r w:rsidRPr="006F34CD" w:rsidR="003E3860">
        <w:rPr>
          <w:i/>
          <w:iCs/>
        </w:rPr>
        <w:t>Jehovah</w:t>
      </w:r>
      <w:r w:rsidRPr="006F34CD" w:rsidR="006F34CD">
        <w:rPr>
          <w:i/>
          <w:iCs/>
        </w:rPr>
        <w:t>’</w:t>
      </w:r>
      <w:r w:rsidRPr="006F34CD" w:rsidR="003E3860">
        <w:rPr>
          <w:i/>
          <w:iCs/>
        </w:rPr>
        <w:t>s Witnesses of Moscow and Others</w:t>
      </w:r>
      <w:r w:rsidRPr="006F34CD" w:rsidR="003E3860">
        <w:t>, cited above, §</w:t>
      </w:r>
      <w:r w:rsidRPr="006F34CD" w:rsidR="00AC129C">
        <w:t>§ 101-03</w:t>
      </w:r>
      <w:r w:rsidRPr="006F34CD" w:rsidR="003E3860">
        <w:t>).</w:t>
      </w:r>
    </w:p>
    <w:bookmarkStart w:name="paragraph00147" w:id="139"/>
    <w:p w:rsidRPr="006F34CD" w:rsidR="009D7D32" w:rsidP="006F34CD" w:rsidRDefault="00980CA5" w14:paraId="3B2E258A" w14:textId="7BB75F20">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147</w:t>
      </w:r>
      <w:r w:rsidRPr="006F34CD">
        <w:rPr>
          <w:noProof/>
        </w:rPr>
        <w:fldChar w:fldCharType="end"/>
      </w:r>
      <w:bookmarkEnd w:id="139"/>
      <w:r w:rsidRPr="006F34CD" w:rsidR="009D7D32">
        <w:t>.  In so far as the decision also declared a number of Jehovah</w:t>
      </w:r>
      <w:r w:rsidRPr="006F34CD" w:rsidR="006F34CD">
        <w:t>’</w:t>
      </w:r>
      <w:r w:rsidRPr="006F34CD" w:rsidR="009D7D32">
        <w:t>s Witnesses</w:t>
      </w:r>
      <w:r w:rsidRPr="006F34CD" w:rsidR="006F34CD">
        <w:t>’</w:t>
      </w:r>
      <w:r w:rsidRPr="006F34CD" w:rsidR="009D7D32">
        <w:t xml:space="preserve"> </w:t>
      </w:r>
      <w:r w:rsidRPr="006F34CD" w:rsidR="009202C1">
        <w:t>publications</w:t>
      </w:r>
      <w:r w:rsidRPr="006F34CD" w:rsidR="009D7D32">
        <w:t xml:space="preserve"> to be “extremist” resulting in a State-wide ban on their distribution and use in worship, it </w:t>
      </w:r>
      <w:r w:rsidRPr="006F34CD" w:rsidR="00967CB0">
        <w:t>also</w:t>
      </w:r>
      <w:r w:rsidRPr="006F34CD" w:rsidR="009D7D32">
        <w:t xml:space="preserve"> interfered </w:t>
      </w:r>
      <w:r w:rsidRPr="006F34CD" w:rsidR="00BC01F9">
        <w:t xml:space="preserve">with </w:t>
      </w:r>
      <w:r w:rsidRPr="006F34CD" w:rsidR="00967CB0">
        <w:t>the organisation and its members</w:t>
      </w:r>
      <w:r w:rsidRPr="006F34CD" w:rsidR="006F34CD">
        <w:t>’</w:t>
      </w:r>
      <w:r w:rsidRPr="006F34CD" w:rsidR="00967CB0">
        <w:t xml:space="preserve"> right to freedom of religion and </w:t>
      </w:r>
      <w:r w:rsidRPr="006F34CD" w:rsidR="009D7D32">
        <w:t xml:space="preserve">the right </w:t>
      </w:r>
      <w:r w:rsidRPr="006F34CD" w:rsidR="00967CB0">
        <w:t xml:space="preserve">of the </w:t>
      </w:r>
      <w:r w:rsidRPr="006F34CD" w:rsidR="00BC01F9">
        <w:t xml:space="preserve">applicant </w:t>
      </w:r>
      <w:r w:rsidRPr="006F34CD" w:rsidR="00967CB0">
        <w:t>publishers of Jehovah</w:t>
      </w:r>
      <w:r w:rsidRPr="006F34CD" w:rsidR="006F34CD">
        <w:t>’</w:t>
      </w:r>
      <w:r w:rsidRPr="006F34CD" w:rsidR="00967CB0">
        <w:t>s Witnesses</w:t>
      </w:r>
      <w:r w:rsidRPr="006F34CD" w:rsidR="006F34CD">
        <w:t>’</w:t>
      </w:r>
      <w:r w:rsidRPr="006F34CD" w:rsidR="00967CB0">
        <w:t xml:space="preserve"> literature </w:t>
      </w:r>
      <w:r w:rsidRPr="006F34CD" w:rsidR="009D7D32">
        <w:t xml:space="preserve">to impart information </w:t>
      </w:r>
      <w:r w:rsidRPr="006F34CD" w:rsidR="00FF027E">
        <w:t xml:space="preserve">under </w:t>
      </w:r>
      <w:r w:rsidRPr="006F34CD" w:rsidR="00F50F6F">
        <w:t>Article 1</w:t>
      </w:r>
      <w:r w:rsidRPr="006F34CD" w:rsidR="00FF027E">
        <w:t xml:space="preserve">0 of the Convention </w:t>
      </w:r>
      <w:r w:rsidRPr="006F34CD" w:rsidR="009D7D32">
        <w:t xml:space="preserve">(see </w:t>
      </w:r>
      <w:r w:rsidRPr="006F34CD" w:rsidR="009D7D32">
        <w:rPr>
          <w:i/>
        </w:rPr>
        <w:t>Association Ekin v.</w:t>
      </w:r>
      <w:r w:rsidRPr="006F34CD" w:rsidR="00FF027E">
        <w:rPr>
          <w:i/>
        </w:rPr>
        <w:t> </w:t>
      </w:r>
      <w:r w:rsidRPr="006F34CD" w:rsidR="009D7D32">
        <w:rPr>
          <w:i/>
        </w:rPr>
        <w:t>France</w:t>
      </w:r>
      <w:r w:rsidRPr="006F34CD" w:rsidR="009D7D32">
        <w:t xml:space="preserve">, </w:t>
      </w:r>
      <w:r w:rsidRPr="006F34CD" w:rsidR="00F50F6F">
        <w:t>no. 3</w:t>
      </w:r>
      <w:r w:rsidRPr="006F34CD" w:rsidR="009D7D32">
        <w:t xml:space="preserve">9288/98, </w:t>
      </w:r>
      <w:r w:rsidRPr="006F34CD" w:rsidR="00F50F6F">
        <w:t>§ 4</w:t>
      </w:r>
      <w:r w:rsidRPr="006F34CD" w:rsidR="009D7D32">
        <w:t>2, ECHR 2001</w:t>
      </w:r>
      <w:r w:rsidRPr="006F34CD" w:rsidR="009D7D32">
        <w:noBreakHyphen/>
        <w:t>VIII).</w:t>
      </w:r>
    </w:p>
    <w:p w:rsidRPr="006F34CD" w:rsidR="00FF027E" w:rsidP="006F34CD" w:rsidRDefault="00CB6108" w14:paraId="7462FB97" w14:textId="23F01DCD">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148</w:t>
      </w:r>
      <w:r>
        <w:rPr>
          <w:noProof/>
        </w:rPr>
        <w:fldChar w:fldCharType="end"/>
      </w:r>
      <w:r w:rsidRPr="006F34CD" w:rsidR="00FF027E">
        <w:t>.  The requirements and structure of the three provisions</w:t>
      </w:r>
      <w:r w:rsidRPr="006F34CD" w:rsidR="00982B7F">
        <w:t xml:space="preserve"> – </w:t>
      </w:r>
      <w:r w:rsidRPr="006F34CD" w:rsidR="00F50F6F">
        <w:t>Articles 9</w:t>
      </w:r>
      <w:r w:rsidRPr="006F34CD" w:rsidR="00982B7F">
        <w:t xml:space="preserve">, 10 or 11 of the Convention – </w:t>
      </w:r>
      <w:r w:rsidRPr="006F34CD" w:rsidR="00FF027E">
        <w:t xml:space="preserve">are essentially similar. </w:t>
      </w:r>
      <w:r w:rsidRPr="006F34CD" w:rsidR="00982B7F">
        <w:t xml:space="preserve">The interference will infringe the Convention unless it can be shown that it was “prescribed by law”, pursued one or more of the legitimate aims set out in paragraph 2 of </w:t>
      </w:r>
      <w:r w:rsidRPr="006F34CD" w:rsidR="0058191D">
        <w:t>the respective provision</w:t>
      </w:r>
      <w:r w:rsidRPr="006F34CD" w:rsidR="00982B7F">
        <w:t xml:space="preserve"> and was “necessary in a democratic society” to achieve those aims.</w:t>
      </w:r>
    </w:p>
    <w:p w:rsidRPr="006F34CD" w:rsidR="00F27848" w:rsidP="006F34CD" w:rsidRDefault="00AC129C" w14:paraId="145AD59B" w14:textId="77777777">
      <w:pPr>
        <w:pStyle w:val="JuHa0"/>
      </w:pPr>
      <w:bookmarkStart w:name="_Toc97301945" w:id="140"/>
      <w:r w:rsidRPr="006F34CD">
        <w:t>Justification for the interference</w:t>
      </w:r>
      <w:bookmarkEnd w:id="140"/>
    </w:p>
    <w:p w:rsidRPr="006F34CD" w:rsidR="00F85C1F" w:rsidP="006F34CD" w:rsidRDefault="00F85C1F" w14:paraId="7BC1579F" w14:textId="77777777">
      <w:pPr>
        <w:pStyle w:val="JuHi"/>
      </w:pPr>
      <w:bookmarkStart w:name="_Toc97301946" w:id="141"/>
      <w:r w:rsidRPr="006F34CD">
        <w:t xml:space="preserve">General </w:t>
      </w:r>
      <w:r w:rsidRPr="006F34CD" w:rsidR="00517BFE">
        <w:t>principles</w:t>
      </w:r>
      <w:bookmarkEnd w:id="141"/>
    </w:p>
    <w:bookmarkStart w:name="paragraph00149" w:id="142"/>
    <w:p w:rsidRPr="006F34CD" w:rsidR="001830A3" w:rsidP="006F34CD" w:rsidRDefault="00C971F2" w14:paraId="434B776E" w14:textId="7697B2BA">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149</w:t>
      </w:r>
      <w:r w:rsidRPr="006F34CD">
        <w:rPr>
          <w:noProof/>
        </w:rPr>
        <w:fldChar w:fldCharType="end"/>
      </w:r>
      <w:bookmarkEnd w:id="142"/>
      <w:r w:rsidRPr="006F34CD" w:rsidR="001830A3">
        <w:t>.  </w:t>
      </w:r>
      <w:r w:rsidRPr="006F34CD" w:rsidR="00096253">
        <w:t xml:space="preserve">The Court observes at the outset that the interference in question consisted in the dissolution of the applicant religious and the banning of its </w:t>
      </w:r>
      <w:r w:rsidRPr="006F34CD" w:rsidR="00122DE8">
        <w:t xml:space="preserve">activities and </w:t>
      </w:r>
      <w:r w:rsidRPr="006F34CD" w:rsidR="00096253">
        <w:t xml:space="preserve">religious literature, with immediate effect, which </w:t>
      </w:r>
      <w:r w:rsidRPr="006F34CD" w:rsidR="00EF4352">
        <w:t>are</w:t>
      </w:r>
      <w:r w:rsidRPr="006F34CD" w:rsidR="00096253">
        <w:t xml:space="preserve"> harsh measures entailing significant consequences for the believers</w:t>
      </w:r>
      <w:r w:rsidRPr="006F34CD" w:rsidR="00122DE8">
        <w:t xml:space="preserve"> (see</w:t>
      </w:r>
      <w:r w:rsidRPr="006F34CD" w:rsidR="00122DE8">
        <w:rPr>
          <w:i/>
        </w:rPr>
        <w:t xml:space="preserve"> Biblical Centre of the Chuvash Republic</w:t>
      </w:r>
      <w:r w:rsidRPr="006F34CD" w:rsidR="00F128D1">
        <w:t xml:space="preserve"> </w:t>
      </w:r>
      <w:r w:rsidRPr="006F34CD" w:rsidR="00F128D1">
        <w:rPr>
          <w:i/>
        </w:rPr>
        <w:t>v.</w:t>
      </w:r>
      <w:r w:rsidRPr="006F34CD" w:rsidR="00F128D1">
        <w:t> </w:t>
      </w:r>
      <w:r w:rsidRPr="006F34CD" w:rsidR="00F128D1">
        <w:rPr>
          <w:i/>
        </w:rPr>
        <w:t>R</w:t>
      </w:r>
      <w:r w:rsidRPr="006F34CD" w:rsidR="00122DE8">
        <w:rPr>
          <w:i/>
        </w:rPr>
        <w:t>ussia</w:t>
      </w:r>
      <w:r w:rsidRPr="006F34CD" w:rsidR="00122DE8">
        <w:t xml:space="preserve">, </w:t>
      </w:r>
      <w:r w:rsidRPr="006F34CD" w:rsidR="00F128D1">
        <w:t>no. 3</w:t>
      </w:r>
      <w:r w:rsidRPr="006F34CD" w:rsidR="00122DE8">
        <w:t xml:space="preserve">3203/08, § 54, </w:t>
      </w:r>
      <w:r w:rsidRPr="006F34CD" w:rsidR="00F128D1">
        <w:t>12 June 2014</w:t>
      </w:r>
      <w:r w:rsidRPr="006F34CD" w:rsidR="00122DE8">
        <w:t>)</w:t>
      </w:r>
      <w:r w:rsidRPr="006F34CD" w:rsidR="00096253">
        <w:t xml:space="preserve">. </w:t>
      </w:r>
      <w:r w:rsidRPr="006F34CD" w:rsidR="001830A3">
        <w:t xml:space="preserve">Such a drastic measure as the forced dissolution would be warranted only in the most serious of cases, as the exceptions to the rights </w:t>
      </w:r>
      <w:r w:rsidRPr="006F34CD" w:rsidR="00281C86">
        <w:t>to</w:t>
      </w:r>
      <w:r w:rsidRPr="006F34CD" w:rsidR="001830A3">
        <w:t xml:space="preserve"> freedom of religion and association are to be construed strictly and only convincing and compelling reasons can justify restrictions on that freedom (see</w:t>
      </w:r>
      <w:r w:rsidRPr="006F34CD" w:rsidR="001830A3">
        <w:rPr>
          <w:i/>
        </w:rPr>
        <w:t xml:space="preserve"> Jehovah</w:t>
      </w:r>
      <w:r w:rsidRPr="006F34CD" w:rsidR="006F34CD">
        <w:rPr>
          <w:i/>
        </w:rPr>
        <w:t>’</w:t>
      </w:r>
      <w:r w:rsidRPr="006F34CD" w:rsidR="001830A3">
        <w:rPr>
          <w:i/>
        </w:rPr>
        <w:t>s Witnesses of Moscow and Others</w:t>
      </w:r>
      <w:r w:rsidRPr="006F34CD" w:rsidR="001830A3">
        <w:t>, cited above, §</w:t>
      </w:r>
      <w:r w:rsidRPr="006F34CD" w:rsidR="00122DE8">
        <w:t>§ </w:t>
      </w:r>
      <w:r w:rsidRPr="006F34CD" w:rsidR="001830A3">
        <w:t>102 and 108, and</w:t>
      </w:r>
      <w:r w:rsidRPr="006F34CD" w:rsidR="001830A3">
        <w:rPr>
          <w:i/>
        </w:rPr>
        <w:t xml:space="preserve"> Association Rhino and Others v. Switzerland</w:t>
      </w:r>
      <w:r w:rsidRPr="006F34CD" w:rsidR="001830A3">
        <w:t>, no. 48848/07, § 62, 11 October 2011, with further references).</w:t>
      </w:r>
    </w:p>
    <w:bookmarkStart w:name="paragraph00150" w:id="143"/>
    <w:p w:rsidRPr="006F34CD" w:rsidR="00357F40" w:rsidP="006F34CD" w:rsidRDefault="00C971F2" w14:paraId="41319CCA" w14:textId="47795844">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150</w:t>
      </w:r>
      <w:r w:rsidRPr="006F34CD">
        <w:rPr>
          <w:noProof/>
        </w:rPr>
        <w:fldChar w:fldCharType="end"/>
      </w:r>
      <w:bookmarkEnd w:id="143"/>
      <w:r w:rsidRPr="006F34CD" w:rsidR="00F1494C">
        <w:t>.  </w:t>
      </w:r>
      <w:r w:rsidRPr="006F34CD" w:rsidR="002F5E1D">
        <w:t>When the Court carries out its scrutiny, its task is not to substitute its own view for that of the relevant national authorities but rather to review the decisions they delivered in the exercise of their discretion. This does not mean that it has to confine itself to ascertaining whether the respondent State exercised its discretion reasonably, carefully and in good faith; it must look at the interference complained of in the light of the case as a whole and determine whether it was “proportionate to the legitimate aim pursued” and whether the reasons adduced by the national authorities to justify it are “relevant and sufficient”. In so doing, the Court has to satisfy itself that the national authorities applied standards which were in conformity with the principles embodied in the Convention and, moreover, that they based their decisions on an acceptable assessment of the relevant facts (see</w:t>
      </w:r>
      <w:r w:rsidRPr="006F34CD" w:rsidR="002F5E1D">
        <w:rPr>
          <w:i/>
        </w:rPr>
        <w:t xml:space="preserve"> United</w:t>
      </w:r>
      <w:r w:rsidRPr="006F34CD" w:rsidR="001621EE">
        <w:rPr>
          <w:i/>
        </w:rPr>
        <w:t> </w:t>
      </w:r>
      <w:r w:rsidRPr="006F34CD" w:rsidR="002F5E1D">
        <w:rPr>
          <w:i/>
        </w:rPr>
        <w:t>Communist Party of Turkey and Others</w:t>
      </w:r>
      <w:r w:rsidRPr="006F34CD" w:rsidR="00F50F6F">
        <w:rPr>
          <w:i/>
        </w:rPr>
        <w:t xml:space="preserve"> v. T</w:t>
      </w:r>
      <w:r w:rsidRPr="006F34CD" w:rsidR="002F5E1D">
        <w:rPr>
          <w:i/>
        </w:rPr>
        <w:t>urkey</w:t>
      </w:r>
      <w:r w:rsidRPr="006F34CD" w:rsidR="002F5E1D">
        <w:t xml:space="preserve">, </w:t>
      </w:r>
      <w:r w:rsidRPr="006F34CD" w:rsidR="00F50F6F">
        <w:t>30 January 1998</w:t>
      </w:r>
      <w:r w:rsidRPr="006F34CD" w:rsidR="002F5E1D">
        <w:t xml:space="preserve">, § 47, </w:t>
      </w:r>
      <w:r w:rsidRPr="006F34CD" w:rsidR="002F5E1D">
        <w:rPr>
          <w:i/>
        </w:rPr>
        <w:t xml:space="preserve">Reports </w:t>
      </w:r>
      <w:r w:rsidRPr="006F34CD" w:rsidR="002F5E1D">
        <w:t>1998</w:t>
      </w:r>
      <w:r w:rsidRPr="006F34CD" w:rsidR="002F5E1D">
        <w:noBreakHyphen/>
        <w:t>I).</w:t>
      </w:r>
    </w:p>
    <w:p w:rsidRPr="006F34CD" w:rsidR="00E20B4B" w:rsidP="006F34CD" w:rsidRDefault="00E20B4B" w14:paraId="2758C574" w14:textId="77777777">
      <w:pPr>
        <w:pStyle w:val="JuHi"/>
      </w:pPr>
      <w:bookmarkStart w:name="_Toc97301947" w:id="144"/>
      <w:r w:rsidRPr="006F34CD">
        <w:t>“Prescribed by law”</w:t>
      </w:r>
      <w:bookmarkEnd w:id="144"/>
    </w:p>
    <w:p w:rsidRPr="006F34CD" w:rsidR="00530CDE" w:rsidP="006F34CD" w:rsidRDefault="00CB6108" w14:paraId="139BC557" w14:textId="72A26E42">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151</w:t>
      </w:r>
      <w:r>
        <w:rPr>
          <w:noProof/>
        </w:rPr>
        <w:fldChar w:fldCharType="end"/>
      </w:r>
      <w:r w:rsidRPr="006F34CD" w:rsidR="00357F40">
        <w:t>.  </w:t>
      </w:r>
      <w:r w:rsidRPr="006F34CD" w:rsidR="008A26D5">
        <w:t xml:space="preserve">On the first </w:t>
      </w:r>
      <w:r w:rsidRPr="006F34CD" w:rsidR="002F1AA2">
        <w:t>limb</w:t>
      </w:r>
      <w:r w:rsidRPr="006F34CD" w:rsidR="008A26D5">
        <w:t xml:space="preserve"> of its inquiry – whether the interference was “prescribed by law” – the Court notes </w:t>
      </w:r>
      <w:r w:rsidRPr="006F34CD" w:rsidR="00530CDE">
        <w:t xml:space="preserve">that the sanction imposed was contained within the range of penalties provided </w:t>
      </w:r>
      <w:r w:rsidRPr="006F34CD" w:rsidR="00357F40">
        <w:t xml:space="preserve">for </w:t>
      </w:r>
      <w:r w:rsidRPr="006F34CD" w:rsidR="002F5E1D">
        <w:t xml:space="preserve">in the </w:t>
      </w:r>
      <w:r w:rsidRPr="006F34CD" w:rsidR="00F1494C">
        <w:t>Suppression of Extremism Act</w:t>
      </w:r>
      <w:r w:rsidRPr="006F34CD" w:rsidR="00F27108">
        <w:t xml:space="preserve"> and the Religions Act</w:t>
      </w:r>
      <w:r w:rsidRPr="006F34CD" w:rsidR="008A26D5">
        <w:t>. In that sense</w:t>
      </w:r>
      <w:r w:rsidRPr="006F34CD" w:rsidR="00530CDE">
        <w:t>, it can be said that the interference was “prescribed by law”. However, the Court</w:t>
      </w:r>
      <w:r w:rsidRPr="006F34CD" w:rsidR="006F34CD">
        <w:t>’</w:t>
      </w:r>
      <w:r w:rsidRPr="006F34CD" w:rsidR="00530CDE">
        <w:t xml:space="preserve">s scrutiny of the lawfulness requirement </w:t>
      </w:r>
      <w:r w:rsidRPr="006F34CD" w:rsidR="00CC2511">
        <w:t>does not stop at</w:t>
      </w:r>
      <w:r w:rsidRPr="006F34CD" w:rsidR="00530CDE">
        <w:t xml:space="preserve"> </w:t>
      </w:r>
      <w:r w:rsidRPr="006F34CD" w:rsidR="00CC2511">
        <w:t>ascertaining that there was a</w:t>
      </w:r>
      <w:r w:rsidRPr="006F34CD" w:rsidR="00530CDE">
        <w:t xml:space="preserve"> statutory basis for the interference. The Court must </w:t>
      </w:r>
      <w:r w:rsidRPr="006F34CD" w:rsidR="00CC2511">
        <w:t>be satisfied</w:t>
      </w:r>
      <w:r w:rsidRPr="006F34CD" w:rsidR="00530CDE">
        <w:t xml:space="preserve"> that the </w:t>
      </w:r>
      <w:r w:rsidRPr="006F34CD" w:rsidR="00357F40">
        <w:t>statutory basis</w:t>
      </w:r>
      <w:r w:rsidRPr="006F34CD" w:rsidR="00530CDE">
        <w:t xml:space="preserve">, </w:t>
      </w:r>
      <w:r w:rsidRPr="006F34CD" w:rsidR="00357F40">
        <w:t xml:space="preserve">as interpreted </w:t>
      </w:r>
      <w:r w:rsidRPr="006F34CD" w:rsidR="00530CDE">
        <w:t>by the domestic courts, was sufficiently precise and foreseeable in its application so as to enable the applicants to anticipate the legal consequences of their acts and regulate their conduct accordingly.</w:t>
      </w:r>
      <w:r w:rsidRPr="006F34CD" w:rsidR="00357F40">
        <w:t xml:space="preserve"> To that end, the Court will consider </w:t>
      </w:r>
      <w:r w:rsidRPr="006F34CD" w:rsidR="00F27108">
        <w:t xml:space="preserve">individually </w:t>
      </w:r>
      <w:r w:rsidRPr="006F34CD" w:rsidR="00357F40">
        <w:t xml:space="preserve">each of the </w:t>
      </w:r>
      <w:r w:rsidRPr="006F34CD" w:rsidR="001E7BCD">
        <w:t>charges raised</w:t>
      </w:r>
      <w:r w:rsidRPr="006F34CD" w:rsidR="008A26D5">
        <w:t xml:space="preserve"> against the Taganrog LRO.</w:t>
      </w:r>
    </w:p>
    <w:p w:rsidRPr="006F34CD" w:rsidR="005F2924" w:rsidP="006F34CD" w:rsidRDefault="006D7689" w14:paraId="59EE580C" w14:textId="56798E5A">
      <w:pPr>
        <w:pStyle w:val="JuHalpha"/>
      </w:pPr>
      <w:bookmarkStart w:name="_Toc97301948" w:id="145"/>
      <w:r w:rsidRPr="006F34CD">
        <w:t xml:space="preserve">On the </w:t>
      </w:r>
      <w:r w:rsidRPr="006F34CD" w:rsidR="006F2B30">
        <w:t>proclamation of the superiority of Jehovah</w:t>
      </w:r>
      <w:r w:rsidRPr="006F34CD" w:rsidR="006F34CD">
        <w:t>’</w:t>
      </w:r>
      <w:r w:rsidRPr="006F34CD" w:rsidR="006F2B30">
        <w:t>s Witnesses</w:t>
      </w:r>
      <w:bookmarkEnd w:id="145"/>
    </w:p>
    <w:p w:rsidRPr="006F34CD" w:rsidR="006D7689" w:rsidP="006F34CD" w:rsidRDefault="006D7689" w14:paraId="27B49C1A" w14:textId="4644DE35">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152</w:t>
      </w:r>
      <w:r w:rsidRPr="006F34CD">
        <w:rPr>
          <w:lang w:bidi="en-US"/>
        </w:rPr>
        <w:fldChar w:fldCharType="end"/>
      </w:r>
      <w:r w:rsidRPr="006F34CD">
        <w:rPr>
          <w:lang w:bidi="en-US"/>
        </w:rPr>
        <w:t xml:space="preserve">.  The first ground for </w:t>
      </w:r>
      <w:r w:rsidRPr="006F34CD" w:rsidR="00176EA1">
        <w:rPr>
          <w:lang w:bidi="en-US"/>
        </w:rPr>
        <w:t>declaring</w:t>
      </w:r>
      <w:r w:rsidRPr="006F34CD">
        <w:rPr>
          <w:lang w:bidi="en-US"/>
        </w:rPr>
        <w:t xml:space="preserve"> the </w:t>
      </w:r>
      <w:r w:rsidRPr="006F34CD" w:rsidR="008E7644">
        <w:rPr>
          <w:lang w:bidi="en-US"/>
        </w:rPr>
        <w:t>Taganrog LRO</w:t>
      </w:r>
      <w:r w:rsidRPr="006F34CD">
        <w:rPr>
          <w:lang w:bidi="en-US"/>
        </w:rPr>
        <w:t xml:space="preserve"> </w:t>
      </w:r>
      <w:r w:rsidRPr="006F34CD" w:rsidR="00176EA1">
        <w:rPr>
          <w:lang w:bidi="en-US"/>
        </w:rPr>
        <w:t xml:space="preserve">to be an “extremist” organisation </w:t>
      </w:r>
      <w:r w:rsidRPr="006F34CD">
        <w:rPr>
          <w:lang w:bidi="en-US"/>
        </w:rPr>
        <w:t xml:space="preserve">was the charge that </w:t>
      </w:r>
      <w:r w:rsidRPr="006F34CD" w:rsidR="00212660">
        <w:rPr>
          <w:lang w:bidi="en-US"/>
        </w:rPr>
        <w:t>it</w:t>
      </w:r>
      <w:r w:rsidRPr="006F34CD" w:rsidR="008E7644">
        <w:rPr>
          <w:lang w:bidi="en-US"/>
        </w:rPr>
        <w:t>s texts</w:t>
      </w:r>
      <w:r w:rsidRPr="006F34CD" w:rsidR="00212660">
        <w:rPr>
          <w:lang w:bidi="en-US"/>
        </w:rPr>
        <w:t xml:space="preserve"> stoked religious </w:t>
      </w:r>
      <w:r w:rsidRPr="006F34CD" w:rsidR="00BF0502">
        <w:rPr>
          <w:lang w:bidi="en-US"/>
        </w:rPr>
        <w:t>hatred</w:t>
      </w:r>
      <w:r w:rsidRPr="006F34CD" w:rsidR="00212660">
        <w:rPr>
          <w:lang w:bidi="en-US"/>
        </w:rPr>
        <w:t xml:space="preserve"> by </w:t>
      </w:r>
      <w:r w:rsidRPr="006F34CD" w:rsidR="001E7BCD">
        <w:rPr>
          <w:lang w:bidi="en-US"/>
        </w:rPr>
        <w:t>casting</w:t>
      </w:r>
      <w:r w:rsidRPr="006F34CD" w:rsidR="00212660">
        <w:rPr>
          <w:lang w:bidi="en-US"/>
        </w:rPr>
        <w:t xml:space="preserve"> “traditional” Christian denominations in a negative light, undermining respect for their religious figures, urging people to leave those religions, and proclaiming the superiority of the religion of Jehovah</w:t>
      </w:r>
      <w:r w:rsidRPr="006F34CD" w:rsidR="006F34CD">
        <w:rPr>
          <w:lang w:bidi="en-US"/>
        </w:rPr>
        <w:t>’</w:t>
      </w:r>
      <w:r w:rsidRPr="006F34CD" w:rsidR="00212660">
        <w:rPr>
          <w:lang w:bidi="en-US"/>
        </w:rPr>
        <w:t>s Witnesses</w:t>
      </w:r>
      <w:r w:rsidRPr="006F34CD">
        <w:rPr>
          <w:lang w:bidi="en-US"/>
        </w:rPr>
        <w:t xml:space="preserve"> (see paragraph </w:t>
      </w:r>
      <w:r w:rsidRPr="006F34CD">
        <w:rPr>
          <w:lang w:bidi="en-US"/>
        </w:rPr>
        <w:fldChar w:fldCharType="begin"/>
      </w:r>
      <w:r w:rsidRPr="006F34CD" w:rsidR="006E5193">
        <w:rPr>
          <w:lang w:bidi="en-US"/>
        </w:rPr>
        <w:instrText xml:space="preserve">REF paragraph00018 \h \* CharFormat </w:instrText>
      </w:r>
      <w:r w:rsidRPr="006F34CD">
        <w:rPr>
          <w:lang w:bidi="en-US"/>
        </w:rPr>
      </w:r>
      <w:r w:rsidRPr="006F34CD">
        <w:rPr>
          <w:lang w:bidi="en-US"/>
        </w:rPr>
        <w:fldChar w:fldCharType="separate"/>
      </w:r>
      <w:r w:rsidRPr="006F34CD" w:rsidR="006F34CD">
        <w:rPr>
          <w:lang w:bidi="en-US"/>
        </w:rPr>
        <w:t>18</w:t>
      </w:r>
      <w:r w:rsidRPr="006F34CD">
        <w:rPr>
          <w:lang w:bidi="en-US"/>
        </w:rPr>
        <w:fldChar w:fldCharType="end"/>
      </w:r>
      <w:r w:rsidRPr="006F34CD">
        <w:rPr>
          <w:lang w:bidi="en-US"/>
        </w:rPr>
        <w:t xml:space="preserve"> above).</w:t>
      </w:r>
    </w:p>
    <w:bookmarkStart w:name="paragraph00153" w:id="146"/>
    <w:p w:rsidRPr="006F34CD" w:rsidR="00587DCF" w:rsidP="006F34CD" w:rsidRDefault="00597D02" w14:paraId="11AEB468" w14:textId="2C8CB0EF">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153</w:t>
      </w:r>
      <w:r w:rsidRPr="006F34CD">
        <w:rPr>
          <w:noProof/>
        </w:rPr>
        <w:fldChar w:fldCharType="end"/>
      </w:r>
      <w:bookmarkEnd w:id="146"/>
      <w:r w:rsidRPr="006F34CD" w:rsidR="00B07927">
        <w:t>.  </w:t>
      </w:r>
      <w:r w:rsidRPr="006F34CD" w:rsidR="009B6F43">
        <w:t>T</w:t>
      </w:r>
      <w:r w:rsidRPr="006F34CD" w:rsidR="00B07927">
        <w:t xml:space="preserve">he Court </w:t>
      </w:r>
      <w:r w:rsidRPr="006F34CD" w:rsidR="009B6F43">
        <w:t>reiterates</w:t>
      </w:r>
      <w:r w:rsidRPr="006F34CD" w:rsidR="00B07927">
        <w:t xml:space="preserve"> that preference for one</w:t>
      </w:r>
      <w:r w:rsidRPr="006F34CD" w:rsidR="006F34CD">
        <w:t>’</w:t>
      </w:r>
      <w:r w:rsidRPr="006F34CD" w:rsidR="00B07927">
        <w:t xml:space="preserve">s own religion, the perception of it as unique and the only true one or as a </w:t>
      </w:r>
      <w:r w:rsidRPr="006F34CD" w:rsidR="001E7BCD">
        <w:t>“</w:t>
      </w:r>
      <w:r w:rsidRPr="006F34CD" w:rsidR="00B07927">
        <w:t>superior explanation of the universe</w:t>
      </w:r>
      <w:r w:rsidRPr="006F34CD" w:rsidR="001E7BCD">
        <w:t>”</w:t>
      </w:r>
      <w:r w:rsidRPr="006F34CD" w:rsidR="00B07927">
        <w:t xml:space="preserve"> is a cornerstone of almost any religious system, as is the assessment of the other faiths as “false”, “wrong” or “not conducive to salvation” (see</w:t>
      </w:r>
      <w:r w:rsidRPr="006F34CD" w:rsidR="00AE4BCA">
        <w:rPr>
          <w:i/>
          <w:iCs/>
        </w:rPr>
        <w:t xml:space="preserve"> Ibragim Ibragimov and Others</w:t>
      </w:r>
      <w:r w:rsidRPr="006F34CD" w:rsidR="00BC0864">
        <w:rPr>
          <w:i/>
          <w:iCs/>
        </w:rPr>
        <w:t xml:space="preserve"> v. R</w:t>
      </w:r>
      <w:r w:rsidRPr="006F34CD" w:rsidR="00AE4BCA">
        <w:rPr>
          <w:i/>
          <w:iCs/>
        </w:rPr>
        <w:t>ussia</w:t>
      </w:r>
      <w:r w:rsidRPr="006F34CD" w:rsidR="00AE4BCA">
        <w:t xml:space="preserve">, </w:t>
      </w:r>
      <w:r w:rsidRPr="006F34CD" w:rsidR="00BC0864">
        <w:t>nos. 1</w:t>
      </w:r>
      <w:r w:rsidRPr="006F34CD" w:rsidR="00AE4BCA">
        <w:t>413/08 and</w:t>
      </w:r>
      <w:r w:rsidRPr="006F34CD" w:rsidR="001621EE">
        <w:t> </w:t>
      </w:r>
      <w:r w:rsidRPr="006F34CD" w:rsidR="00AE4BCA">
        <w:t xml:space="preserve">28621/11, §§ 116-17, </w:t>
      </w:r>
      <w:r w:rsidRPr="006F34CD" w:rsidR="00BC0864">
        <w:t>28 August 2018</w:t>
      </w:r>
      <w:r w:rsidRPr="006F34CD" w:rsidR="00B07927">
        <w:t>). Proclaiming the superiority of a particular religious dogma or conception of life is an essential aspect of a legitimate exercise of the right to try to convert others by means of non</w:t>
      </w:r>
      <w:r w:rsidRPr="006F34CD" w:rsidR="00601815">
        <w:noBreakHyphen/>
      </w:r>
      <w:r w:rsidRPr="006F34CD" w:rsidR="00B07927">
        <w:t xml:space="preserve">coercive persuasion which enjoys the protection under </w:t>
      </w:r>
      <w:r w:rsidRPr="006F34CD" w:rsidR="00F50F6F">
        <w:t>Article 9</w:t>
      </w:r>
      <w:r w:rsidRPr="006F34CD" w:rsidR="00B07927">
        <w:t xml:space="preserve"> of the Convention (see </w:t>
      </w:r>
      <w:r w:rsidRPr="006F34CD" w:rsidR="005752B8">
        <w:rPr>
          <w:i/>
        </w:rPr>
        <w:t>Kokkinakis</w:t>
      </w:r>
      <w:r w:rsidRPr="006F34CD" w:rsidR="005752B8">
        <w:t xml:space="preserve">, cited above, </w:t>
      </w:r>
      <w:r w:rsidRPr="006F34CD" w:rsidR="00F50F6F">
        <w:t>§ 4</w:t>
      </w:r>
      <w:r w:rsidRPr="006F34CD" w:rsidR="005752B8">
        <w:t xml:space="preserve">8, </w:t>
      </w:r>
      <w:bookmarkStart w:name="_Hlk76721220" w:id="147"/>
      <w:r w:rsidRPr="006F34CD" w:rsidR="005752B8">
        <w:t>and</w:t>
      </w:r>
      <w:r w:rsidRPr="006F34CD" w:rsidR="00982B7F">
        <w:rPr>
          <w:i/>
        </w:rPr>
        <w:t xml:space="preserve"> Larissis and Others</w:t>
      </w:r>
      <w:r w:rsidRPr="006F34CD" w:rsidR="00F50F6F">
        <w:rPr>
          <w:i/>
        </w:rPr>
        <w:t xml:space="preserve"> v. G</w:t>
      </w:r>
      <w:r w:rsidRPr="006F34CD" w:rsidR="00982B7F">
        <w:rPr>
          <w:i/>
        </w:rPr>
        <w:t>reece</w:t>
      </w:r>
      <w:r w:rsidRPr="006F34CD" w:rsidR="00982B7F">
        <w:t xml:space="preserve">, </w:t>
      </w:r>
      <w:r w:rsidRPr="006F34CD" w:rsidR="00F50F6F">
        <w:t>24 February 1998</w:t>
      </w:r>
      <w:r w:rsidRPr="006F34CD" w:rsidR="00982B7F">
        <w:t xml:space="preserve">, §§ 51 and 59, </w:t>
      </w:r>
      <w:r w:rsidRPr="006F34CD" w:rsidR="00982B7F">
        <w:rPr>
          <w:i/>
        </w:rPr>
        <w:t xml:space="preserve">Reports </w:t>
      </w:r>
      <w:r w:rsidRPr="006F34CD" w:rsidR="00982B7F">
        <w:t>1998</w:t>
      </w:r>
      <w:r w:rsidRPr="006F34CD" w:rsidR="00982B7F">
        <w:noBreakHyphen/>
        <w:t>I</w:t>
      </w:r>
      <w:bookmarkEnd w:id="147"/>
      <w:r w:rsidRPr="006F34CD" w:rsidR="00B07927">
        <w:t>). In the absence of expressions that seek to incite or justify violence or hatred based on religious intolerance, any religious entity or individual believers have the right to proclaim and defend their doctrine as the true and superior one and to engage in religious disputes and criticism seeking to prove the truth of one</w:t>
      </w:r>
      <w:r w:rsidRPr="006F34CD" w:rsidR="006F34CD">
        <w:t>’</w:t>
      </w:r>
      <w:r w:rsidRPr="006F34CD" w:rsidR="00B07927">
        <w:t>s own and the falsity of others</w:t>
      </w:r>
      <w:r w:rsidRPr="006F34CD" w:rsidR="006F34CD">
        <w:t>’</w:t>
      </w:r>
      <w:r w:rsidRPr="006F34CD" w:rsidR="00B07927">
        <w:t xml:space="preserve"> dogmas or beliefs (see</w:t>
      </w:r>
      <w:r w:rsidRPr="006F34CD" w:rsidR="00C075F2">
        <w:t xml:space="preserve">, </w:t>
      </w:r>
      <w:r w:rsidRPr="006F34CD" w:rsidR="00C075F2">
        <w:rPr>
          <w:i/>
          <w:iCs/>
        </w:rPr>
        <w:t>mutatis mutandis</w:t>
      </w:r>
      <w:r w:rsidRPr="006F34CD" w:rsidR="00C075F2">
        <w:t>,</w:t>
      </w:r>
      <w:r w:rsidRPr="006F34CD" w:rsidR="009F17AD">
        <w:rPr>
          <w:i/>
        </w:rPr>
        <w:t xml:space="preserve"> Gündüz</w:t>
      </w:r>
      <w:r w:rsidRPr="006F34CD" w:rsidR="001535E0">
        <w:rPr>
          <w:i/>
        </w:rPr>
        <w:t xml:space="preserve"> v. T</w:t>
      </w:r>
      <w:r w:rsidRPr="006F34CD" w:rsidR="009F17AD">
        <w:rPr>
          <w:i/>
        </w:rPr>
        <w:t>urkey</w:t>
      </w:r>
      <w:r w:rsidRPr="006F34CD" w:rsidR="009F17AD">
        <w:t xml:space="preserve">, </w:t>
      </w:r>
      <w:r w:rsidRPr="006F34CD" w:rsidR="001535E0">
        <w:t>no. 3</w:t>
      </w:r>
      <w:r w:rsidRPr="006F34CD" w:rsidR="009F17AD">
        <w:t>5071/97, § 51, ECHR 2003</w:t>
      </w:r>
      <w:r w:rsidRPr="006F34CD" w:rsidR="009F17AD">
        <w:noBreakHyphen/>
        <w:t>XI</w:t>
      </w:r>
      <w:r w:rsidRPr="006F34CD" w:rsidR="00B07927">
        <w:t>).</w:t>
      </w:r>
    </w:p>
    <w:bookmarkStart w:name="paragraph00154" w:id="148"/>
    <w:p w:rsidRPr="006F34CD" w:rsidR="007B6B34" w:rsidP="006F34CD" w:rsidRDefault="007B6B34" w14:paraId="52C9D4FA" w14:textId="366665E1">
      <w:pPr>
        <w:pStyle w:val="JuPara"/>
        <w:rPr>
          <w:iC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154</w:t>
      </w:r>
      <w:r w:rsidRPr="006F34CD">
        <w:rPr>
          <w:lang w:bidi="en-US"/>
        </w:rPr>
        <w:fldChar w:fldCharType="end"/>
      </w:r>
      <w:bookmarkEnd w:id="148"/>
      <w:r w:rsidRPr="006F34CD">
        <w:rPr>
          <w:lang w:bidi="en-US"/>
        </w:rPr>
        <w:t>.  The Regional Court attached significant weight to the fact that Orthodox priests and believers felt offended by the texts of Jehovah</w:t>
      </w:r>
      <w:r w:rsidRPr="006F34CD" w:rsidR="006F34CD">
        <w:rPr>
          <w:lang w:bidi="en-US"/>
        </w:rPr>
        <w:t>’</w:t>
      </w:r>
      <w:r w:rsidRPr="006F34CD">
        <w:rPr>
          <w:lang w:bidi="en-US"/>
        </w:rPr>
        <w:t xml:space="preserve">s Witnesses. </w:t>
      </w:r>
      <w:r w:rsidRPr="006F34CD" w:rsidR="00927E59">
        <w:rPr>
          <w:lang w:bidi="en-US"/>
        </w:rPr>
        <w:t>T</w:t>
      </w:r>
      <w:r w:rsidRPr="006F34CD">
        <w:rPr>
          <w:lang w:bidi="en-US"/>
        </w:rPr>
        <w:t>he Court reiterates that, in a pluralist and democratic society, those who exercise their right to freedom of religion, whether as members of a religious majority or a minority, cannot reasonably expect to be shielded from exposure to ideas that may offend, shock or disturb. They must tolerate and accept the denial by others of their religious beliefs and even the propagation by others of doctrines hostile to their faith (see</w:t>
      </w:r>
      <w:r w:rsidRPr="006F34CD">
        <w:rPr>
          <w:i/>
        </w:rPr>
        <w:t xml:space="preserve"> </w:t>
      </w:r>
      <w:r w:rsidRPr="006F34CD">
        <w:rPr>
          <w:i/>
          <w:lang w:bidi="en-US"/>
        </w:rPr>
        <w:t>Otto</w:t>
      </w:r>
      <w:r w:rsidRPr="006F34CD" w:rsidR="007754D0">
        <w:rPr>
          <w:i/>
          <w:lang w:bidi="en-US"/>
        </w:rPr>
        <w:noBreakHyphen/>
      </w:r>
      <w:r w:rsidRPr="006F34CD">
        <w:rPr>
          <w:i/>
          <w:lang w:bidi="en-US"/>
        </w:rPr>
        <w:t>Preminger</w:t>
      </w:r>
      <w:r w:rsidRPr="006F34CD" w:rsidR="007754D0">
        <w:rPr>
          <w:i/>
          <w:lang w:bidi="en-US"/>
        </w:rPr>
        <w:noBreakHyphen/>
      </w:r>
      <w:r w:rsidRPr="006F34CD">
        <w:rPr>
          <w:i/>
          <w:lang w:bidi="en-US"/>
        </w:rPr>
        <w:t>Institut</w:t>
      </w:r>
      <w:r w:rsidRPr="006F34CD" w:rsidR="00F50F6F">
        <w:rPr>
          <w:i/>
          <w:lang w:bidi="en-US"/>
        </w:rPr>
        <w:t xml:space="preserve"> v. A</w:t>
      </w:r>
      <w:r w:rsidRPr="006F34CD">
        <w:rPr>
          <w:i/>
          <w:lang w:bidi="en-US"/>
        </w:rPr>
        <w:t>ustria</w:t>
      </w:r>
      <w:r w:rsidRPr="006F34CD">
        <w:rPr>
          <w:lang w:bidi="en-US"/>
        </w:rPr>
        <w:t xml:space="preserve">, </w:t>
      </w:r>
      <w:r w:rsidRPr="006F34CD" w:rsidR="00F50F6F">
        <w:rPr>
          <w:lang w:bidi="en-US"/>
        </w:rPr>
        <w:t>20 September 1994</w:t>
      </w:r>
      <w:r w:rsidRPr="006F34CD">
        <w:rPr>
          <w:lang w:bidi="en-US"/>
        </w:rPr>
        <w:t xml:space="preserve">, § 47, </w:t>
      </w:r>
      <w:r w:rsidRPr="006F34CD" w:rsidR="00F50F6F">
        <w:rPr>
          <w:lang w:bidi="en-US"/>
        </w:rPr>
        <w:t>Series A</w:t>
      </w:r>
      <w:r w:rsidRPr="006F34CD">
        <w:rPr>
          <w:lang w:bidi="en-US"/>
        </w:rPr>
        <w:t xml:space="preserve"> </w:t>
      </w:r>
      <w:r w:rsidRPr="006F34CD" w:rsidR="00F50F6F">
        <w:rPr>
          <w:lang w:bidi="en-US"/>
        </w:rPr>
        <w:t>no. 2</w:t>
      </w:r>
      <w:r w:rsidRPr="006F34CD">
        <w:rPr>
          <w:lang w:bidi="en-US"/>
        </w:rPr>
        <w:t>95</w:t>
      </w:r>
      <w:r w:rsidRPr="006F34CD">
        <w:rPr>
          <w:lang w:bidi="en-US"/>
        </w:rPr>
        <w:noBreakHyphen/>
        <w:t>A</w:t>
      </w:r>
      <w:r w:rsidRPr="006F34CD">
        <w:rPr>
          <w:iCs/>
        </w:rPr>
        <w:t xml:space="preserve">, and </w:t>
      </w:r>
      <w:r w:rsidRPr="006F34CD">
        <w:rPr>
          <w:i/>
          <w:iCs/>
        </w:rPr>
        <w:t>Sekmadienis Ltd.</w:t>
      </w:r>
      <w:r w:rsidRPr="006F34CD" w:rsidR="00F50F6F">
        <w:rPr>
          <w:i/>
          <w:iCs/>
        </w:rPr>
        <w:t xml:space="preserve"> v. L</w:t>
      </w:r>
      <w:r w:rsidRPr="006F34CD">
        <w:rPr>
          <w:i/>
          <w:iCs/>
        </w:rPr>
        <w:t>ithuania</w:t>
      </w:r>
      <w:r w:rsidRPr="006F34CD">
        <w:rPr>
          <w:iCs/>
        </w:rPr>
        <w:t xml:space="preserve">, </w:t>
      </w:r>
      <w:r w:rsidRPr="006F34CD" w:rsidR="00F50F6F">
        <w:rPr>
          <w:iCs/>
        </w:rPr>
        <w:t>no. 6</w:t>
      </w:r>
      <w:r w:rsidRPr="006F34CD">
        <w:rPr>
          <w:iCs/>
        </w:rPr>
        <w:t xml:space="preserve">9317/14, § 81, </w:t>
      </w:r>
      <w:r w:rsidRPr="006F34CD" w:rsidR="00F50F6F">
        <w:rPr>
          <w:iCs/>
        </w:rPr>
        <w:t>30 January 2018</w:t>
      </w:r>
      <w:r w:rsidRPr="006F34CD">
        <w:rPr>
          <w:iCs/>
        </w:rPr>
        <w:t xml:space="preserve">). </w:t>
      </w:r>
      <w:r w:rsidRPr="006F34CD" w:rsidR="00927E59">
        <w:rPr>
          <w:iCs/>
        </w:rPr>
        <w:t>R</w:t>
      </w:r>
      <w:r w:rsidRPr="006F34CD">
        <w:rPr>
          <w:iCs/>
        </w:rPr>
        <w:t>eligious people may be</w:t>
      </w:r>
      <w:r w:rsidRPr="006F34CD" w:rsidR="00927E59">
        <w:rPr>
          <w:iCs/>
        </w:rPr>
        <w:t xml:space="preserve"> genuinely</w:t>
      </w:r>
      <w:r w:rsidRPr="006F34CD">
        <w:rPr>
          <w:iCs/>
        </w:rPr>
        <w:t xml:space="preserve"> offended by claims that others</w:t>
      </w:r>
      <w:r w:rsidRPr="006F34CD" w:rsidR="006F34CD">
        <w:rPr>
          <w:iCs/>
        </w:rPr>
        <w:t>’</w:t>
      </w:r>
      <w:r w:rsidRPr="006F34CD">
        <w:rPr>
          <w:iCs/>
        </w:rPr>
        <w:t xml:space="preserve"> religion is superior to theirs</w:t>
      </w:r>
      <w:r w:rsidRPr="006F34CD" w:rsidR="00927E59">
        <w:rPr>
          <w:iCs/>
        </w:rPr>
        <w:t>. However,</w:t>
      </w:r>
      <w:r w:rsidRPr="006F34CD">
        <w:rPr>
          <w:iCs/>
        </w:rPr>
        <w:t xml:space="preserve"> just because a remark may be perceived as offensive or insulting by particular individuals or groups does not mean that it constitutes “hate speech”. Although such sentiments are understandable, they cannot in themselves set limits on freedom of expression, let alone </w:t>
      </w:r>
      <w:r w:rsidRPr="006F34CD" w:rsidR="00927E59">
        <w:rPr>
          <w:iCs/>
        </w:rPr>
        <w:t>inhibit</w:t>
      </w:r>
      <w:r w:rsidRPr="006F34CD">
        <w:rPr>
          <w:iCs/>
        </w:rPr>
        <w:t xml:space="preserve"> the </w:t>
      </w:r>
      <w:r w:rsidRPr="006F34CD" w:rsidR="00927E59">
        <w:rPr>
          <w:iCs/>
        </w:rPr>
        <w:t xml:space="preserve">enjoyment of </w:t>
      </w:r>
      <w:r w:rsidRPr="006F34CD">
        <w:rPr>
          <w:iCs/>
        </w:rPr>
        <w:t>freedom of religion</w:t>
      </w:r>
      <w:r w:rsidRPr="006F34CD" w:rsidR="00927E59">
        <w:rPr>
          <w:iCs/>
        </w:rPr>
        <w:t xml:space="preserve"> by others</w:t>
      </w:r>
      <w:r w:rsidRPr="006F34CD" w:rsidR="00BF0502">
        <w:rPr>
          <w:iCs/>
        </w:rPr>
        <w:t xml:space="preserve"> (see </w:t>
      </w:r>
      <w:r w:rsidRPr="006F34CD" w:rsidR="00BF0502">
        <w:rPr>
          <w:i/>
          <w:iCs/>
        </w:rPr>
        <w:t>Ibragim Ibragimov and Others</w:t>
      </w:r>
      <w:r w:rsidRPr="006F34CD" w:rsidR="00BF0502">
        <w:rPr>
          <w:iCs/>
        </w:rPr>
        <w:t xml:space="preserve">, cited above, </w:t>
      </w:r>
      <w:r w:rsidRPr="006F34CD" w:rsidR="00F50F6F">
        <w:rPr>
          <w:iCs/>
        </w:rPr>
        <w:t>§ 1</w:t>
      </w:r>
      <w:r w:rsidRPr="006F34CD" w:rsidR="00BF0502">
        <w:rPr>
          <w:iCs/>
        </w:rPr>
        <w:t>15</w:t>
      </w:r>
      <w:r w:rsidRPr="006F34CD" w:rsidR="008D409F">
        <w:rPr>
          <w:iCs/>
        </w:rPr>
        <w:t xml:space="preserve">, and paragraph </w:t>
      </w:r>
      <w:r w:rsidRPr="006F34CD" w:rsidR="008D409F">
        <w:rPr>
          <w:iCs/>
        </w:rPr>
        <w:fldChar w:fldCharType="begin"/>
      </w:r>
      <w:r w:rsidRPr="006F34CD" w:rsidR="006E5193">
        <w:rPr>
          <w:iCs/>
        </w:rPr>
        <w:instrText xml:space="preserve">REF paragraph00130 \h \* CharFormat </w:instrText>
      </w:r>
      <w:r w:rsidRPr="006F34CD" w:rsidR="008D409F">
        <w:rPr>
          <w:iCs/>
        </w:rPr>
      </w:r>
      <w:r w:rsidRPr="006F34CD" w:rsidR="008D409F">
        <w:rPr>
          <w:iCs/>
        </w:rPr>
        <w:fldChar w:fldCharType="separate"/>
      </w:r>
      <w:r w:rsidRPr="006F34CD" w:rsidR="006F34CD">
        <w:rPr>
          <w:iCs/>
        </w:rPr>
        <w:t>130</w:t>
      </w:r>
      <w:r w:rsidRPr="006F34CD" w:rsidR="008D409F">
        <w:rPr>
          <w:iCs/>
        </w:rPr>
        <w:fldChar w:fldCharType="end"/>
      </w:r>
      <w:r w:rsidRPr="006F34CD" w:rsidR="008D409F">
        <w:rPr>
          <w:iCs/>
        </w:rPr>
        <w:t xml:space="preserve"> above</w:t>
      </w:r>
      <w:r w:rsidRPr="006F34CD" w:rsidR="00BF0502">
        <w:rPr>
          <w:iCs/>
        </w:rPr>
        <w:t>).</w:t>
      </w:r>
    </w:p>
    <w:p w:rsidRPr="006F34CD" w:rsidR="007B6B34" w:rsidP="006F34CD" w:rsidRDefault="00CB6108" w14:paraId="23FC64EC" w14:textId="6C56DD69">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155</w:t>
      </w:r>
      <w:r>
        <w:rPr>
          <w:noProof/>
        </w:rPr>
        <w:fldChar w:fldCharType="end"/>
      </w:r>
      <w:r w:rsidRPr="006F34CD" w:rsidR="00927E59">
        <w:t>.  </w:t>
      </w:r>
      <w:r w:rsidRPr="006F34CD" w:rsidR="007B6B34">
        <w:t xml:space="preserve">The key issue is thus whether the </w:t>
      </w:r>
      <w:r w:rsidRPr="006F34CD" w:rsidR="00927E59">
        <w:t>expressions</w:t>
      </w:r>
      <w:r w:rsidRPr="006F34CD" w:rsidR="007B6B34">
        <w:t xml:space="preserve"> in question, when read as a whole and in their context, could be seen as promoting violence, hatred or intolerance (see</w:t>
      </w:r>
      <w:r w:rsidRPr="006F34CD" w:rsidR="00213AA2">
        <w:rPr>
          <w:i/>
        </w:rPr>
        <w:t xml:space="preserve"> Perinçek</w:t>
      </w:r>
      <w:r w:rsidRPr="006F34CD" w:rsidR="00471944">
        <w:rPr>
          <w:i/>
        </w:rPr>
        <w:t xml:space="preserve"> v. S</w:t>
      </w:r>
      <w:r w:rsidRPr="006F34CD" w:rsidR="00213AA2">
        <w:rPr>
          <w:i/>
        </w:rPr>
        <w:t>witzerland</w:t>
      </w:r>
      <w:r w:rsidRPr="006F34CD" w:rsidR="00213AA2">
        <w:t xml:space="preserve"> [GC], </w:t>
      </w:r>
      <w:r w:rsidRPr="006F34CD" w:rsidR="00471944">
        <w:t>no. 2</w:t>
      </w:r>
      <w:r w:rsidRPr="006F34CD" w:rsidR="00213AA2">
        <w:t>7510/08, § 240, ECHR 2015 (extracts)</w:t>
      </w:r>
      <w:r w:rsidRPr="006F34CD" w:rsidR="007B6B34">
        <w:t>).</w:t>
      </w:r>
      <w:r w:rsidRPr="006F34CD" w:rsidR="00927E59">
        <w:rPr>
          <w:lang w:bidi="en-US"/>
        </w:rPr>
        <w:t xml:space="preserve"> Inciting to hatred does not necessarily entail a call for an act of violence, or other criminal acts. Attacks on </w:t>
      </w:r>
      <w:r w:rsidRPr="006F34CD" w:rsidR="008E7644">
        <w:rPr>
          <w:lang w:bidi="en-US"/>
        </w:rPr>
        <w:t>individuals</w:t>
      </w:r>
      <w:r w:rsidRPr="006F34CD" w:rsidR="00927E59">
        <w:rPr>
          <w:lang w:bidi="en-US"/>
        </w:rPr>
        <w:t xml:space="preserve"> committed by insulting, holding up to ridicule or slandering vulnerable groups of the population can be a sufficient ground warranting the suppression of such speech (see</w:t>
      </w:r>
      <w:r w:rsidRPr="006F34CD" w:rsidR="00927E59">
        <w:rPr>
          <w:i/>
        </w:rPr>
        <w:t xml:space="preserve"> </w:t>
      </w:r>
      <w:r w:rsidRPr="006F34CD" w:rsidR="00927E59">
        <w:rPr>
          <w:i/>
          <w:lang w:bidi="en-US"/>
        </w:rPr>
        <w:t>Féret</w:t>
      </w:r>
      <w:r w:rsidRPr="006F34CD" w:rsidR="00F50F6F">
        <w:rPr>
          <w:i/>
          <w:lang w:bidi="en-US"/>
        </w:rPr>
        <w:t xml:space="preserve"> v. B</w:t>
      </w:r>
      <w:r w:rsidRPr="006F34CD" w:rsidR="00927E59">
        <w:rPr>
          <w:i/>
          <w:lang w:bidi="en-US"/>
        </w:rPr>
        <w:t>elgium</w:t>
      </w:r>
      <w:r w:rsidRPr="006F34CD" w:rsidR="00927E59">
        <w:rPr>
          <w:lang w:bidi="en-US"/>
        </w:rPr>
        <w:t xml:space="preserve">, </w:t>
      </w:r>
      <w:r w:rsidRPr="006F34CD" w:rsidR="00F50F6F">
        <w:rPr>
          <w:lang w:bidi="en-US"/>
        </w:rPr>
        <w:t>no. 1</w:t>
      </w:r>
      <w:r w:rsidRPr="006F34CD" w:rsidR="00927E59">
        <w:rPr>
          <w:lang w:bidi="en-US"/>
        </w:rPr>
        <w:t xml:space="preserve">5615/07, § 73, </w:t>
      </w:r>
      <w:r w:rsidRPr="006F34CD" w:rsidR="00F50F6F">
        <w:rPr>
          <w:lang w:bidi="en-US"/>
        </w:rPr>
        <w:t>16 July 2009</w:t>
      </w:r>
      <w:r w:rsidRPr="006F34CD" w:rsidR="00927E59">
        <w:rPr>
          <w:lang w:bidi="en-US"/>
        </w:rPr>
        <w:t>, and</w:t>
      </w:r>
      <w:r w:rsidRPr="006F34CD" w:rsidR="00927E59">
        <w:rPr>
          <w:i/>
        </w:rPr>
        <w:t xml:space="preserve"> </w:t>
      </w:r>
      <w:r w:rsidRPr="006F34CD" w:rsidR="00927E59">
        <w:rPr>
          <w:i/>
          <w:lang w:bidi="en-US"/>
        </w:rPr>
        <w:t>Vejdeland and Others</w:t>
      </w:r>
      <w:r w:rsidRPr="006F34CD" w:rsidR="00F50F6F">
        <w:rPr>
          <w:i/>
          <w:lang w:bidi="en-US"/>
        </w:rPr>
        <w:t xml:space="preserve"> v. S</w:t>
      </w:r>
      <w:r w:rsidRPr="006F34CD" w:rsidR="00927E59">
        <w:rPr>
          <w:i/>
          <w:lang w:bidi="en-US"/>
        </w:rPr>
        <w:t>weden</w:t>
      </w:r>
      <w:r w:rsidRPr="006F34CD" w:rsidR="00927E59">
        <w:rPr>
          <w:lang w:bidi="en-US"/>
        </w:rPr>
        <w:t xml:space="preserve">, </w:t>
      </w:r>
      <w:r w:rsidRPr="006F34CD" w:rsidR="00F50F6F">
        <w:rPr>
          <w:lang w:bidi="en-US"/>
        </w:rPr>
        <w:t>no. 1</w:t>
      </w:r>
      <w:r w:rsidRPr="006F34CD" w:rsidR="00927E59">
        <w:rPr>
          <w:lang w:bidi="en-US"/>
        </w:rPr>
        <w:t xml:space="preserve">813/07, </w:t>
      </w:r>
      <w:r w:rsidRPr="006F34CD" w:rsidR="00F50F6F">
        <w:rPr>
          <w:lang w:bidi="en-US"/>
        </w:rPr>
        <w:t>§ 5</w:t>
      </w:r>
      <w:r w:rsidRPr="006F34CD" w:rsidR="00927E59">
        <w:rPr>
          <w:lang w:bidi="en-US"/>
        </w:rPr>
        <w:t xml:space="preserve">5, </w:t>
      </w:r>
      <w:r w:rsidRPr="006F34CD" w:rsidR="00F50F6F">
        <w:rPr>
          <w:lang w:bidi="en-US"/>
        </w:rPr>
        <w:t>9 February 2012</w:t>
      </w:r>
      <w:r w:rsidRPr="006F34CD" w:rsidR="00927E59">
        <w:rPr>
          <w:lang w:bidi="en-US"/>
        </w:rPr>
        <w:t>).</w:t>
      </w:r>
    </w:p>
    <w:bookmarkStart w:name="paragraph00156" w:id="149"/>
    <w:p w:rsidRPr="006F34CD" w:rsidR="00587DCF" w:rsidP="006F34CD" w:rsidRDefault="00597D02" w14:paraId="3117FE12" w14:textId="77BDB476">
      <w:pPr>
        <w:pStyle w:val="JuPara"/>
        <w:rPr>
          <w:lang w:bidi="en-US"/>
        </w:rPr>
      </w:pPr>
      <w:r w:rsidRPr="006F34CD">
        <w:fldChar w:fldCharType="begin"/>
      </w:r>
      <w:r w:rsidRPr="006F34CD">
        <w:instrText xml:space="preserve"> SEQ level0 \*arabic \* MERGEFORMAT </w:instrText>
      </w:r>
      <w:r w:rsidRPr="006F34CD">
        <w:fldChar w:fldCharType="separate"/>
      </w:r>
      <w:r w:rsidRPr="006F34CD" w:rsidR="006F34CD">
        <w:rPr>
          <w:noProof/>
        </w:rPr>
        <w:t>156</w:t>
      </w:r>
      <w:r w:rsidRPr="006F34CD">
        <w:rPr>
          <w:noProof/>
        </w:rPr>
        <w:fldChar w:fldCharType="end"/>
      </w:r>
      <w:bookmarkEnd w:id="149"/>
      <w:r w:rsidRPr="006F34CD" w:rsidR="00927E59">
        <w:t>.  </w:t>
      </w:r>
      <w:r w:rsidRPr="006F34CD" w:rsidR="008E7644">
        <w:rPr>
          <w:lang w:bidi="en-US"/>
        </w:rPr>
        <w:t>The Regional Court</w:t>
      </w:r>
      <w:r w:rsidRPr="006F34CD" w:rsidR="006F34CD">
        <w:rPr>
          <w:lang w:bidi="en-US"/>
        </w:rPr>
        <w:t>’</w:t>
      </w:r>
      <w:r w:rsidRPr="006F34CD" w:rsidR="008E7644">
        <w:rPr>
          <w:lang w:bidi="en-US"/>
        </w:rPr>
        <w:t xml:space="preserve">s judgment </w:t>
      </w:r>
      <w:r w:rsidRPr="006F34CD" w:rsidR="008D409F">
        <w:rPr>
          <w:lang w:bidi="en-US"/>
        </w:rPr>
        <w:t>did</w:t>
      </w:r>
      <w:r w:rsidRPr="006F34CD" w:rsidR="008E7644">
        <w:rPr>
          <w:lang w:bidi="en-US"/>
        </w:rPr>
        <w:t xml:space="preserve"> not </w:t>
      </w:r>
      <w:r w:rsidRPr="006F34CD" w:rsidR="008D409F">
        <w:rPr>
          <w:lang w:bidi="en-US"/>
        </w:rPr>
        <w:t>identify</w:t>
      </w:r>
      <w:r w:rsidRPr="006F34CD" w:rsidR="008E7644">
        <w:rPr>
          <w:lang w:bidi="en-US"/>
        </w:rPr>
        <w:t xml:space="preserve"> any expressions promoting violence, hatred or intolerance in the texts of the </w:t>
      </w:r>
      <w:r w:rsidRPr="006F34CD" w:rsidR="008D409F">
        <w:rPr>
          <w:lang w:bidi="en-US"/>
        </w:rPr>
        <w:t>Jehovah</w:t>
      </w:r>
      <w:r w:rsidRPr="006F34CD" w:rsidR="006F34CD">
        <w:rPr>
          <w:lang w:bidi="en-US"/>
        </w:rPr>
        <w:t>’</w:t>
      </w:r>
      <w:r w:rsidRPr="006F34CD" w:rsidR="008D409F">
        <w:rPr>
          <w:lang w:bidi="en-US"/>
        </w:rPr>
        <w:t>s Witnesses</w:t>
      </w:r>
      <w:r w:rsidRPr="006F34CD" w:rsidR="006F34CD">
        <w:rPr>
          <w:lang w:bidi="en-US"/>
        </w:rPr>
        <w:t>’</w:t>
      </w:r>
      <w:r w:rsidRPr="006F34CD" w:rsidR="008D409F">
        <w:rPr>
          <w:lang w:bidi="en-US"/>
        </w:rPr>
        <w:t xml:space="preserve"> publication which it held to be “extremist”. </w:t>
      </w:r>
      <w:bookmarkStart w:name="_Hlk77089217" w:id="150"/>
      <w:r w:rsidRPr="006F34CD" w:rsidR="007B6B34">
        <w:rPr>
          <w:lang w:bidi="en-US"/>
        </w:rPr>
        <w:t xml:space="preserve">Even accepting that </w:t>
      </w:r>
      <w:r w:rsidRPr="006F34CD" w:rsidR="008D409F">
        <w:rPr>
          <w:lang w:bidi="en-US"/>
        </w:rPr>
        <w:t>the</w:t>
      </w:r>
      <w:r w:rsidRPr="006F34CD" w:rsidR="007B6B34">
        <w:rPr>
          <w:lang w:bidi="en-US"/>
        </w:rPr>
        <w:t xml:space="preserve"> texts promoted the idea that </w:t>
      </w:r>
      <w:r w:rsidRPr="006F34CD" w:rsidR="008D409F">
        <w:rPr>
          <w:lang w:bidi="en-US"/>
        </w:rPr>
        <w:t>the religion of Jehovah</w:t>
      </w:r>
      <w:r w:rsidRPr="006F34CD" w:rsidR="006F34CD">
        <w:rPr>
          <w:lang w:bidi="en-US"/>
        </w:rPr>
        <w:t>’</w:t>
      </w:r>
      <w:r w:rsidRPr="006F34CD" w:rsidR="008D409F">
        <w:rPr>
          <w:lang w:bidi="en-US"/>
        </w:rPr>
        <w:t xml:space="preserve">s Witnesses </w:t>
      </w:r>
      <w:r w:rsidRPr="006F34CD" w:rsidR="00E07726">
        <w:rPr>
          <w:lang w:bidi="en-US"/>
        </w:rPr>
        <w:t>was superior to others</w:t>
      </w:r>
      <w:r w:rsidRPr="006F34CD" w:rsidR="008D409F">
        <w:rPr>
          <w:lang w:bidi="en-US"/>
        </w:rPr>
        <w:t xml:space="preserve"> or that it was better to be a Jehovah</w:t>
      </w:r>
      <w:r w:rsidRPr="006F34CD" w:rsidR="006F34CD">
        <w:rPr>
          <w:lang w:bidi="en-US"/>
        </w:rPr>
        <w:t>’</w:t>
      </w:r>
      <w:r w:rsidRPr="006F34CD" w:rsidR="008D409F">
        <w:rPr>
          <w:lang w:bidi="en-US"/>
        </w:rPr>
        <w:t xml:space="preserve">s Witness than a member of another Christian denomination, </w:t>
      </w:r>
      <w:bookmarkEnd w:id="150"/>
      <w:r w:rsidRPr="006F34CD" w:rsidR="007B6B34">
        <w:rPr>
          <w:lang w:bidi="en-US"/>
        </w:rPr>
        <w:t>it is significant that the</w:t>
      </w:r>
      <w:r w:rsidRPr="006F34CD" w:rsidR="008D409F">
        <w:rPr>
          <w:lang w:bidi="en-US"/>
        </w:rPr>
        <w:t xml:space="preserve"> texts</w:t>
      </w:r>
      <w:r w:rsidRPr="006F34CD" w:rsidR="007B6B34">
        <w:rPr>
          <w:lang w:bidi="en-US"/>
        </w:rPr>
        <w:t xml:space="preserve"> did not insult, hold up to ridicule or slander non-</w:t>
      </w:r>
      <w:r w:rsidRPr="006F34CD" w:rsidR="008E7644">
        <w:rPr>
          <w:lang w:bidi="en-US"/>
        </w:rPr>
        <w:t>Witnesses</w:t>
      </w:r>
      <w:r w:rsidRPr="006F34CD" w:rsidR="007B6B34">
        <w:rPr>
          <w:lang w:bidi="en-US"/>
        </w:rPr>
        <w:t xml:space="preserve">; nor did they use abusive terms in respect of them or of matters regarded as sacred by them (see </w:t>
      </w:r>
      <w:r w:rsidRPr="006F34CD" w:rsidR="007B6B34">
        <w:rPr>
          <w:i/>
          <w:lang w:bidi="en-US"/>
        </w:rPr>
        <w:t>Ibragim Ibragimov and Others</w:t>
      </w:r>
      <w:r w:rsidRPr="006F34CD" w:rsidR="007B6B34">
        <w:rPr>
          <w:lang w:bidi="en-US"/>
        </w:rPr>
        <w:t xml:space="preserve">, cited above, </w:t>
      </w:r>
      <w:r w:rsidRPr="006F34CD" w:rsidR="00F50F6F">
        <w:rPr>
          <w:lang w:bidi="en-US"/>
        </w:rPr>
        <w:t>§ 1</w:t>
      </w:r>
      <w:r w:rsidRPr="006F34CD" w:rsidR="007B6B34">
        <w:rPr>
          <w:lang w:bidi="en-US"/>
        </w:rPr>
        <w:t>17, with further references).</w:t>
      </w:r>
      <w:r w:rsidRPr="006F34CD" w:rsidR="008D409F">
        <w:rPr>
          <w:lang w:bidi="en-US"/>
        </w:rPr>
        <w:t xml:space="preserve"> </w:t>
      </w:r>
      <w:r w:rsidRPr="006F34CD" w:rsidR="00E07726">
        <w:rPr>
          <w:lang w:bidi="en-US"/>
        </w:rPr>
        <w:t>The Court concurs with the Venice Commission in that there is nothing extremist about criticising</w:t>
      </w:r>
      <w:r w:rsidRPr="006F34CD" w:rsidR="00E07726">
        <w:t xml:space="preserve">, “even harshly and unreasonably, belief systems, opinions, and institutions, as long as this does not amount to advocating hatred against an individual or groups” (see paragraph </w:t>
      </w:r>
      <w:r w:rsidRPr="006F34CD" w:rsidR="00E07726">
        <w:fldChar w:fldCharType="begin"/>
      </w:r>
      <w:r w:rsidRPr="006F34CD" w:rsidR="006E5193">
        <w:instrText xml:space="preserve">REF paragraph00130 \h \* CharFormat </w:instrText>
      </w:r>
      <w:r w:rsidRPr="006F34CD" w:rsidR="00E07726">
        <w:fldChar w:fldCharType="separate"/>
      </w:r>
      <w:r w:rsidRPr="006F34CD" w:rsidR="006F34CD">
        <w:t>130</w:t>
      </w:r>
      <w:r w:rsidRPr="006F34CD" w:rsidR="00E07726">
        <w:fldChar w:fldCharType="end"/>
      </w:r>
      <w:r w:rsidRPr="006F34CD" w:rsidR="00E07726">
        <w:t xml:space="preserve"> above). </w:t>
      </w:r>
      <w:r w:rsidRPr="006F34CD" w:rsidR="001C61F3">
        <w:rPr>
          <w:lang w:bidi="en-US"/>
        </w:rPr>
        <w:t>Peacefully seeking to convince others of the superiority of one</w:t>
      </w:r>
      <w:r w:rsidRPr="006F34CD" w:rsidR="006F34CD">
        <w:rPr>
          <w:lang w:bidi="en-US"/>
        </w:rPr>
        <w:t>’</w:t>
      </w:r>
      <w:r w:rsidRPr="006F34CD" w:rsidR="001C61F3">
        <w:rPr>
          <w:lang w:bidi="en-US"/>
        </w:rPr>
        <w:t xml:space="preserve">s </w:t>
      </w:r>
      <w:r w:rsidRPr="006F34CD" w:rsidR="00E07726">
        <w:rPr>
          <w:lang w:bidi="en-US"/>
        </w:rPr>
        <w:t xml:space="preserve">own </w:t>
      </w:r>
      <w:r w:rsidRPr="006F34CD" w:rsidR="001C61F3">
        <w:rPr>
          <w:lang w:bidi="en-US"/>
        </w:rPr>
        <w:t>religion</w:t>
      </w:r>
      <w:r w:rsidRPr="006F34CD" w:rsidR="00E07726">
        <w:rPr>
          <w:lang w:bidi="en-US"/>
        </w:rPr>
        <w:t xml:space="preserve"> and urg</w:t>
      </w:r>
      <w:r w:rsidRPr="006F34CD" w:rsidR="007617E1">
        <w:rPr>
          <w:lang w:bidi="en-US"/>
        </w:rPr>
        <w:t>ing</w:t>
      </w:r>
      <w:r w:rsidRPr="006F34CD" w:rsidR="00E07726">
        <w:rPr>
          <w:lang w:bidi="en-US"/>
        </w:rPr>
        <w:t xml:space="preserve"> them to </w:t>
      </w:r>
      <w:r w:rsidRPr="006F34CD" w:rsidR="007617E1">
        <w:rPr>
          <w:lang w:bidi="en-US"/>
        </w:rPr>
        <w:t>abandon</w:t>
      </w:r>
      <w:r w:rsidRPr="006F34CD" w:rsidR="00E07726">
        <w:rPr>
          <w:lang w:bidi="en-US"/>
        </w:rPr>
        <w:t xml:space="preserve"> “false religions” </w:t>
      </w:r>
      <w:r w:rsidRPr="006F34CD" w:rsidR="007617E1">
        <w:rPr>
          <w:lang w:bidi="en-US"/>
        </w:rPr>
        <w:t>and</w:t>
      </w:r>
      <w:r w:rsidRPr="006F34CD" w:rsidR="00E07726">
        <w:rPr>
          <w:lang w:bidi="en-US"/>
        </w:rPr>
        <w:t xml:space="preserve"> join the “true one” is a legitimate form of exercise of the right to freedom of religion and freedom of expression which enjoys the protection under </w:t>
      </w:r>
      <w:r w:rsidRPr="006F34CD" w:rsidR="00F50F6F">
        <w:rPr>
          <w:lang w:bidi="en-US"/>
        </w:rPr>
        <w:t>Articles 9</w:t>
      </w:r>
      <w:r w:rsidRPr="006F34CD" w:rsidR="00E07726">
        <w:rPr>
          <w:lang w:bidi="en-US"/>
        </w:rPr>
        <w:t xml:space="preserve"> and 10 of the Convention.</w:t>
      </w:r>
    </w:p>
    <w:bookmarkStart w:name="paragraph00157" w:id="151"/>
    <w:p w:rsidRPr="006F34CD" w:rsidR="002F1AA2" w:rsidP="006F34CD" w:rsidRDefault="00F27108" w14:paraId="0D3F9092" w14:textId="52A002F6">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157</w:t>
      </w:r>
      <w:r w:rsidRPr="006F34CD">
        <w:rPr>
          <w:lang w:bidi="en-US"/>
        </w:rPr>
        <w:fldChar w:fldCharType="end"/>
      </w:r>
      <w:bookmarkEnd w:id="151"/>
      <w:r w:rsidRPr="006F34CD">
        <w:rPr>
          <w:lang w:bidi="en-US"/>
        </w:rPr>
        <w:t>.  </w:t>
      </w:r>
      <w:r w:rsidRPr="006F34CD" w:rsidR="002F1AA2">
        <w:rPr>
          <w:lang w:bidi="en-US"/>
        </w:rPr>
        <w:t>For the Court, it is highly significant that no evidence of violence, hatred or coercion was adduced in the proceedings against the Taganrog LRO. Both the applicants</w:t>
      </w:r>
      <w:r w:rsidRPr="006F34CD" w:rsidR="006F34CD">
        <w:rPr>
          <w:lang w:bidi="en-US"/>
        </w:rPr>
        <w:t>’</w:t>
      </w:r>
      <w:r w:rsidRPr="006F34CD" w:rsidR="002F1AA2">
        <w:rPr>
          <w:lang w:bidi="en-US"/>
        </w:rPr>
        <w:t xml:space="preserve"> religious activities and the content of their publications appear to have been peaceful in line with their professed doctrine of non-violence. It was not shown that anyone, whether members of the Taganrog LRO or third parties, had been forced, prevailed upon or pressured into following religious injunctions against his or her will. The courts failed to identify evidence of the use of any improper methods to persuade others to prefer the religion of Jehovah</w:t>
      </w:r>
      <w:r w:rsidRPr="006F34CD" w:rsidR="006F34CD">
        <w:rPr>
          <w:lang w:bidi="en-US"/>
        </w:rPr>
        <w:t>’</w:t>
      </w:r>
      <w:r w:rsidRPr="006F34CD" w:rsidR="002F1AA2">
        <w:rPr>
          <w:lang w:bidi="en-US"/>
        </w:rPr>
        <w:t>s Witnesses. Not one of the banned publications was found to contain calls or incitement to violence or any insulting, slanderous or discriminatory statements against members of other faiths.</w:t>
      </w:r>
    </w:p>
    <w:bookmarkStart w:name="paragraph00158" w:id="152"/>
    <w:p w:rsidRPr="006F34CD" w:rsidR="00587DCF" w:rsidP="006F34CD" w:rsidRDefault="002F1AA2" w14:paraId="1B0F7115" w14:textId="69B5D01C">
      <w:pPr>
        <w:pStyle w:val="JuPara"/>
        <w:rPr>
          <w:lang w:val="en-US"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158</w:t>
      </w:r>
      <w:r w:rsidRPr="006F34CD">
        <w:rPr>
          <w:lang w:bidi="en-US"/>
        </w:rPr>
        <w:fldChar w:fldCharType="end"/>
      </w:r>
      <w:bookmarkEnd w:id="152"/>
      <w:r w:rsidRPr="006F34CD">
        <w:rPr>
          <w:lang w:bidi="en-US"/>
        </w:rPr>
        <w:t>.  It follows that the Russian authorities failed to put forward any elements which, according to the Court</w:t>
      </w:r>
      <w:r w:rsidRPr="006F34CD" w:rsidR="006F34CD">
        <w:rPr>
          <w:lang w:bidi="en-US"/>
        </w:rPr>
        <w:t>’</w:t>
      </w:r>
      <w:r w:rsidRPr="006F34CD">
        <w:rPr>
          <w:lang w:bidi="en-US"/>
        </w:rPr>
        <w:t>s case-law, could have warranted interference with the applicants</w:t>
      </w:r>
      <w:r w:rsidRPr="006F34CD" w:rsidR="006F34CD">
        <w:rPr>
          <w:lang w:bidi="en-US"/>
        </w:rPr>
        <w:t>’</w:t>
      </w:r>
      <w:r w:rsidRPr="006F34CD">
        <w:rPr>
          <w:lang w:bidi="en-US"/>
        </w:rPr>
        <w:t xml:space="preserve"> rights to freedom of religion, expression or association. The Court concurs with the assessment by the Venice Commission, the Monitoring Committee of the Parliamentary Assembly of the Council of Europe, and the UN Human Rights Committee that the interference with the applicants</w:t>
      </w:r>
      <w:r w:rsidRPr="006F34CD" w:rsidR="006F34CD">
        <w:rPr>
          <w:lang w:bidi="en-US"/>
        </w:rPr>
        <w:t>’</w:t>
      </w:r>
      <w:r w:rsidRPr="006F34CD">
        <w:rPr>
          <w:lang w:bidi="en-US"/>
        </w:rPr>
        <w:t xml:space="preserve"> fundamental rights was made possible because of the overly broad definition of “extremism” in Russian law (see paragraphs </w:t>
      </w:r>
      <w:r w:rsidRPr="006F34CD">
        <w:rPr>
          <w:lang w:bidi="en-US"/>
        </w:rPr>
        <w:fldChar w:fldCharType="begin"/>
      </w:r>
      <w:r w:rsidRPr="006F34CD" w:rsidR="006E5193">
        <w:rPr>
          <w:lang w:bidi="en-US"/>
        </w:rPr>
        <w:instrText xml:space="preserve">REF paragraph00128 \h \* CharFormat </w:instrText>
      </w:r>
      <w:r w:rsidRPr="006F34CD">
        <w:rPr>
          <w:lang w:bidi="en-US"/>
        </w:rPr>
      </w:r>
      <w:r w:rsidRPr="006F34CD">
        <w:rPr>
          <w:lang w:bidi="en-US"/>
        </w:rPr>
        <w:fldChar w:fldCharType="separate"/>
      </w:r>
      <w:r w:rsidRPr="006F34CD" w:rsidR="006F34CD">
        <w:rPr>
          <w:lang w:bidi="en-US"/>
        </w:rPr>
        <w:t>128</w:t>
      </w:r>
      <w:r w:rsidRPr="006F34CD">
        <w:rPr>
          <w:lang w:bidi="en-US"/>
        </w:rPr>
        <w:fldChar w:fldCharType="end"/>
      </w:r>
      <w:r w:rsidRPr="006F34CD">
        <w:rPr>
          <w:lang w:bidi="en-US"/>
        </w:rPr>
        <w:t xml:space="preserve">, </w:t>
      </w:r>
      <w:r w:rsidRPr="006F34CD">
        <w:rPr>
          <w:lang w:bidi="en-US"/>
        </w:rPr>
        <w:fldChar w:fldCharType="begin"/>
      </w:r>
      <w:r w:rsidRPr="006F34CD" w:rsidR="006E5193">
        <w:rPr>
          <w:lang w:bidi="en-US"/>
        </w:rPr>
        <w:instrText xml:space="preserve">REF paragraph00130 \h \* CharFormat </w:instrText>
      </w:r>
      <w:r w:rsidRPr="006F34CD">
        <w:rPr>
          <w:lang w:bidi="en-US"/>
        </w:rPr>
      </w:r>
      <w:r w:rsidRPr="006F34CD">
        <w:rPr>
          <w:lang w:bidi="en-US"/>
        </w:rPr>
        <w:fldChar w:fldCharType="separate"/>
      </w:r>
      <w:r w:rsidRPr="006F34CD" w:rsidR="006F34CD">
        <w:rPr>
          <w:lang w:bidi="en-US"/>
        </w:rPr>
        <w:t>130</w:t>
      </w:r>
      <w:r w:rsidRPr="006F34CD">
        <w:rPr>
          <w:lang w:bidi="en-US"/>
        </w:rPr>
        <w:fldChar w:fldCharType="end"/>
      </w:r>
      <w:r w:rsidRPr="006F34CD">
        <w:rPr>
          <w:lang w:bidi="en-US"/>
        </w:rPr>
        <w:t xml:space="preserve"> and </w:t>
      </w:r>
      <w:r w:rsidRPr="006F34CD">
        <w:rPr>
          <w:lang w:bidi="en-US"/>
        </w:rPr>
        <w:fldChar w:fldCharType="begin"/>
      </w:r>
      <w:r w:rsidRPr="006F34CD" w:rsidR="006E5193">
        <w:rPr>
          <w:lang w:bidi="en-US"/>
        </w:rPr>
        <w:instrText xml:space="preserve">REF paragraph00135 \h \* CharFormat </w:instrText>
      </w:r>
      <w:r w:rsidRPr="006F34CD">
        <w:rPr>
          <w:lang w:bidi="en-US"/>
        </w:rPr>
      </w:r>
      <w:r w:rsidRPr="006F34CD">
        <w:rPr>
          <w:lang w:bidi="en-US"/>
        </w:rPr>
        <w:fldChar w:fldCharType="separate"/>
      </w:r>
      <w:r w:rsidRPr="006F34CD" w:rsidR="006F34CD">
        <w:rPr>
          <w:lang w:bidi="en-US"/>
        </w:rPr>
        <w:t>135</w:t>
      </w:r>
      <w:r w:rsidRPr="006F34CD">
        <w:rPr>
          <w:lang w:bidi="en-US"/>
        </w:rPr>
        <w:fldChar w:fldCharType="end"/>
      </w:r>
      <w:r w:rsidRPr="006F34CD">
        <w:rPr>
          <w:lang w:bidi="en-US"/>
        </w:rPr>
        <w:t>, and also</w:t>
      </w:r>
      <w:r w:rsidRPr="006F34CD">
        <w:rPr>
          <w:i/>
          <w:iCs/>
        </w:rPr>
        <w:t xml:space="preserve"> Ibragim Ibragimov and Others</w:t>
      </w:r>
      <w:r w:rsidRPr="006F34CD">
        <w:rPr>
          <w:iCs/>
        </w:rPr>
        <w:t>, cited above, § 85</w:t>
      </w:r>
      <w:r w:rsidRPr="006F34CD">
        <w:rPr>
          <w:lang w:bidi="en-US"/>
        </w:rPr>
        <w:t xml:space="preserve">). </w:t>
      </w:r>
      <w:r w:rsidRPr="006F34CD">
        <w:rPr>
          <w:lang w:val="en-US" w:bidi="en-US"/>
        </w:rPr>
        <w:t>The Court reiterates that it is vitally important that criminal law provisions directed against expressions that stir up, promote or justify violence, hatred or intolerance clearly and precisely define the scope of relevant offences, and that those provisions be strictly construed in order to avoid a situation where the State</w:t>
      </w:r>
      <w:r w:rsidRPr="006F34CD" w:rsidR="006F34CD">
        <w:rPr>
          <w:lang w:val="en-US" w:bidi="en-US"/>
        </w:rPr>
        <w:t>’</w:t>
      </w:r>
      <w:r w:rsidRPr="006F34CD">
        <w:rPr>
          <w:lang w:val="en-US" w:bidi="en-US"/>
        </w:rPr>
        <w:t xml:space="preserve">s discretion to prosecute for such offences becomes too broad and potentially subject to abuse through selective enforcement (see </w:t>
      </w:r>
      <w:r w:rsidRPr="006F34CD">
        <w:rPr>
          <w:i/>
          <w:iCs/>
          <w:lang w:bidi="en-US"/>
        </w:rPr>
        <w:t>Savva Terentyev v. Russia</w:t>
      </w:r>
      <w:r w:rsidRPr="006F34CD">
        <w:rPr>
          <w:lang w:bidi="en-US"/>
        </w:rPr>
        <w:t xml:space="preserve">, no. 10692/09, § 85, 28 August 2018). The protection against arbitrariness is also an aspect or element or function of the principle of effectiveness as a norm of international law. However, the </w:t>
      </w:r>
      <w:r w:rsidRPr="006F34CD" w:rsidR="00F27108">
        <w:rPr>
          <w:lang w:bidi="en-US"/>
        </w:rPr>
        <w:t>extremely broad</w:t>
      </w:r>
      <w:r w:rsidRPr="006F34CD">
        <w:rPr>
          <w:lang w:bidi="en-US"/>
        </w:rPr>
        <w:t xml:space="preserve"> definition of “extremist activities” </w:t>
      </w:r>
      <w:r w:rsidRPr="006F34CD" w:rsidR="00F27108">
        <w:rPr>
          <w:lang w:bidi="en-US"/>
        </w:rPr>
        <w:t xml:space="preserve">in section 1 of the Suppression of Extremism Act </w:t>
      </w:r>
      <w:r w:rsidRPr="006F34CD">
        <w:rPr>
          <w:lang w:bidi="en-US"/>
        </w:rPr>
        <w:t xml:space="preserve">which </w:t>
      </w:r>
      <w:r w:rsidRPr="006F34CD" w:rsidR="00F27108">
        <w:rPr>
          <w:lang w:bidi="en-US"/>
        </w:rPr>
        <w:t>does not require</w:t>
      </w:r>
      <w:r w:rsidRPr="006F34CD">
        <w:rPr>
          <w:lang w:bidi="en-US"/>
        </w:rPr>
        <w:t xml:space="preserve"> any elements of violence or hatred open</w:t>
      </w:r>
      <w:r w:rsidRPr="006F34CD" w:rsidR="00F27108">
        <w:rPr>
          <w:lang w:bidi="en-US"/>
        </w:rPr>
        <w:t>s</w:t>
      </w:r>
      <w:r w:rsidRPr="006F34CD">
        <w:rPr>
          <w:lang w:bidi="en-US"/>
        </w:rPr>
        <w:t xml:space="preserve"> up the possibility of having individuals and organisations prosecuted on extremism charges for entirely peaceful forms of expression or worship, such as those pursued by the applicants in the instant case. </w:t>
      </w:r>
      <w:r w:rsidRPr="006F34CD" w:rsidR="00F27108">
        <w:rPr>
          <w:lang w:bidi="en-US"/>
        </w:rPr>
        <w:t>That</w:t>
      </w:r>
      <w:r w:rsidRPr="006F34CD">
        <w:rPr>
          <w:lang w:bidi="en-US"/>
        </w:rPr>
        <w:t xml:space="preserve"> broad definition of “extremism” not only could – and did – lead to arbitrary prosecutions, but also prevented individuals or organisations from being able to </w:t>
      </w:r>
      <w:r w:rsidRPr="006F34CD" w:rsidR="00F27108">
        <w:rPr>
          <w:lang w:bidi="en-US"/>
        </w:rPr>
        <w:t>anticipate</w:t>
      </w:r>
      <w:r w:rsidRPr="006F34CD">
        <w:rPr>
          <w:lang w:bidi="en-US"/>
        </w:rPr>
        <w:t xml:space="preserve"> that their conduct, however peaceful and devoid of hatred or animosity it was, could be categorised as “extremist” and censured with restrictive measures. As the Venice Commission observed, “w</w:t>
      </w:r>
      <w:r w:rsidRPr="006F34CD">
        <w:rPr>
          <w:lang w:val="en-US" w:bidi="en-US"/>
        </w:rPr>
        <w:t>here definitions are lacking the necessary precision, a law such as the</w:t>
      </w:r>
      <w:r w:rsidRPr="006F34CD" w:rsidR="007754D0">
        <w:rPr>
          <w:lang w:val="en-US" w:bidi="en-US"/>
        </w:rPr>
        <w:t xml:space="preserve"> </w:t>
      </w:r>
      <w:r w:rsidRPr="006F34CD">
        <w:rPr>
          <w:lang w:val="en-US" w:bidi="en-US"/>
        </w:rPr>
        <w:t>Extremism</w:t>
      </w:r>
      <w:r w:rsidRPr="006F34CD" w:rsidR="007754D0">
        <w:rPr>
          <w:lang w:val="en-US" w:bidi="en-US"/>
        </w:rPr>
        <w:t xml:space="preserve"> </w:t>
      </w:r>
      <w:r w:rsidRPr="006F34CD">
        <w:rPr>
          <w:lang w:val="en-US" w:bidi="en-US"/>
        </w:rPr>
        <w:t xml:space="preserve">Law dealing with very sensitive rights </w:t>
      </w:r>
      <w:r w:rsidRPr="006F34CD" w:rsidR="00587DCF">
        <w:rPr>
          <w:lang w:val="en-US" w:bidi="en-US"/>
        </w:rPr>
        <w:t>...</w:t>
      </w:r>
      <w:r w:rsidRPr="006F34CD">
        <w:rPr>
          <w:lang w:val="en-US" w:bidi="en-US"/>
        </w:rPr>
        <w:t xml:space="preserve"> can be interpreted in harmful ways” and misused for the prosecution of believers or religious ministers on the basis of the content of their beliefs alone (see paragraphs </w:t>
      </w:r>
      <w:r w:rsidRPr="006F34CD">
        <w:rPr>
          <w:lang w:val="en-US" w:bidi="en-US"/>
        </w:rPr>
        <w:fldChar w:fldCharType="begin"/>
      </w:r>
      <w:r w:rsidRPr="006F34CD" w:rsidR="006E5193">
        <w:rPr>
          <w:lang w:val="en-US" w:bidi="en-US"/>
        </w:rPr>
        <w:instrText xml:space="preserve">REF paragraph00130 \h \* CharFormat </w:instrText>
      </w:r>
      <w:r w:rsidRPr="006F34CD">
        <w:rPr>
          <w:lang w:val="en-US" w:bidi="en-US"/>
        </w:rPr>
      </w:r>
      <w:r w:rsidRPr="006F34CD">
        <w:rPr>
          <w:lang w:val="en-US" w:bidi="en-US"/>
        </w:rPr>
        <w:fldChar w:fldCharType="separate"/>
      </w:r>
      <w:r w:rsidRPr="006F34CD" w:rsidR="006F34CD">
        <w:rPr>
          <w:lang w:val="en-US" w:bidi="en-US"/>
        </w:rPr>
        <w:t>130</w:t>
      </w:r>
      <w:r w:rsidRPr="006F34CD">
        <w:rPr>
          <w:lang w:val="en-US" w:bidi="en-US"/>
        </w:rPr>
        <w:fldChar w:fldCharType="end"/>
      </w:r>
      <w:r w:rsidRPr="006F34CD">
        <w:rPr>
          <w:lang w:val="en-US" w:bidi="en-US"/>
        </w:rPr>
        <w:t xml:space="preserve"> and </w:t>
      </w:r>
      <w:r w:rsidRPr="006F34CD">
        <w:rPr>
          <w:lang w:val="en-US" w:bidi="en-US"/>
        </w:rPr>
        <w:fldChar w:fldCharType="begin"/>
      </w:r>
      <w:r w:rsidRPr="006F34CD" w:rsidR="006E5193">
        <w:rPr>
          <w:lang w:val="en-US" w:bidi="en-US"/>
        </w:rPr>
        <w:instrText xml:space="preserve">REF paragraph00135 \h \* CharFormat </w:instrText>
      </w:r>
      <w:r w:rsidRPr="006F34CD">
        <w:rPr>
          <w:lang w:val="en-US" w:bidi="en-US"/>
        </w:rPr>
      </w:r>
      <w:r w:rsidRPr="006F34CD">
        <w:rPr>
          <w:lang w:val="en-US" w:bidi="en-US"/>
        </w:rPr>
        <w:fldChar w:fldCharType="separate"/>
      </w:r>
      <w:r w:rsidRPr="006F34CD" w:rsidR="006F34CD">
        <w:rPr>
          <w:lang w:val="en-US" w:bidi="en-US"/>
        </w:rPr>
        <w:t>135</w:t>
      </w:r>
      <w:r w:rsidRPr="006F34CD">
        <w:rPr>
          <w:lang w:val="en-US" w:bidi="en-US"/>
        </w:rPr>
        <w:fldChar w:fldCharType="end"/>
      </w:r>
      <w:r w:rsidRPr="006F34CD">
        <w:rPr>
          <w:lang w:val="en-US" w:bidi="en-US"/>
        </w:rPr>
        <w:t xml:space="preserve"> above).</w:t>
      </w:r>
    </w:p>
    <w:bookmarkStart w:name="paragraph00159" w:id="153"/>
    <w:p w:rsidRPr="006F34CD" w:rsidR="00587DCF" w:rsidP="006F34CD" w:rsidRDefault="002F1AA2" w14:paraId="02945328" w14:textId="67DD3122">
      <w:pPr>
        <w:pStyle w:val="JuPara"/>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159</w:t>
      </w:r>
      <w:r w:rsidRPr="006F34CD">
        <w:rPr>
          <w:lang w:bidi="en-US"/>
        </w:rPr>
        <w:fldChar w:fldCharType="end"/>
      </w:r>
      <w:bookmarkEnd w:id="153"/>
      <w:r w:rsidRPr="006F34CD">
        <w:rPr>
          <w:lang w:bidi="en-US"/>
        </w:rPr>
        <w:t>.  Accordingly, the Court finds that the definitions of “extremism” and “extremist activities”</w:t>
      </w:r>
      <w:r w:rsidRPr="006F34CD" w:rsidR="00F27108">
        <w:rPr>
          <w:lang w:bidi="en-US"/>
        </w:rPr>
        <w:t xml:space="preserve"> in </w:t>
      </w:r>
      <w:r w:rsidRPr="006F34CD" w:rsidR="009770B2">
        <w:rPr>
          <w:lang w:bidi="en-US"/>
        </w:rPr>
        <w:t>section 1</w:t>
      </w:r>
      <w:r w:rsidRPr="006F34CD" w:rsidR="00F27108">
        <w:rPr>
          <w:lang w:bidi="en-US"/>
        </w:rPr>
        <w:t xml:space="preserve"> of the Suppression of Extremism Act</w:t>
      </w:r>
      <w:r w:rsidRPr="006F34CD">
        <w:rPr>
          <w:lang w:bidi="en-US"/>
        </w:rPr>
        <w:t>, as formulated and applied in practice by the Russian authorities, fell short of the lawfulness requirement. Furthermore, the facts of the present case demonstrate that a judicial review of the charges against the Taganrog LRO did not provide adequate and effective safeguards against an excessively broad interpretation of the concept of “extremism” by the prosecution authorities. In considering the charges, t</w:t>
      </w:r>
      <w:r w:rsidRPr="006F34CD">
        <w:t>he courts failed to examine the matter in the light of the principles established in the Court</w:t>
      </w:r>
      <w:r w:rsidRPr="006F34CD" w:rsidR="006F34CD">
        <w:t>’</w:t>
      </w:r>
      <w:r w:rsidRPr="006F34CD">
        <w:t>s case-law.</w:t>
      </w:r>
      <w:r w:rsidRPr="006F34CD">
        <w:rPr>
          <w:lang w:bidi="en-US"/>
        </w:rPr>
        <w:t xml:space="preserve"> </w:t>
      </w:r>
      <w:r w:rsidRPr="006F34CD" w:rsidR="00F27108">
        <w:rPr>
          <w:lang w:bidi="en-US"/>
        </w:rPr>
        <w:t>The impermissibly</w:t>
      </w:r>
      <w:r w:rsidRPr="006F34CD">
        <w:rPr>
          <w:lang w:bidi="en-US"/>
        </w:rPr>
        <w:t xml:space="preserve"> broad definition of “extremism activities”, coupled with a lack of judicial safeguards,</w:t>
      </w:r>
      <w:r w:rsidRPr="006F34CD">
        <w:t xml:space="preserve"> </w:t>
      </w:r>
      <w:r w:rsidRPr="006F34CD" w:rsidR="00F27108">
        <w:t>is</w:t>
      </w:r>
      <w:r w:rsidRPr="006F34CD">
        <w:t xml:space="preserve"> sufficient for a finding of a violation on the basis that the interference </w:t>
      </w:r>
      <w:r w:rsidRPr="006F34CD" w:rsidR="00F27108">
        <w:t xml:space="preserve">on the charge of “proclaiming superiority” </w:t>
      </w:r>
      <w:r w:rsidRPr="006F34CD">
        <w:t>was not “prescribed by law”.</w:t>
      </w:r>
    </w:p>
    <w:p w:rsidRPr="006F34CD" w:rsidR="00F27108" w:rsidP="006F34CD" w:rsidRDefault="00F27108" w14:paraId="2E3E1D55" w14:textId="07F5FA69">
      <w:pPr>
        <w:pStyle w:val="JuHalpha"/>
      </w:pPr>
      <w:r w:rsidRPr="006F34CD">
        <w:t>The other charges</w:t>
      </w:r>
    </w:p>
    <w:p w:rsidRPr="006F34CD" w:rsidR="00F27108" w:rsidP="006F34CD" w:rsidRDefault="00F27108" w14:paraId="40287582" w14:textId="24E2CE29">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160</w:t>
      </w:r>
      <w:r w:rsidRPr="006F34CD">
        <w:rPr>
          <w:lang w:bidi="en-US"/>
        </w:rPr>
        <w:fldChar w:fldCharType="end"/>
      </w:r>
      <w:r w:rsidRPr="006F34CD">
        <w:rPr>
          <w:lang w:bidi="en-US"/>
        </w:rPr>
        <w:t xml:space="preserve">.  As regards the other charges levelled against the Taganrog LRO under </w:t>
      </w:r>
      <w:r w:rsidRPr="006F34CD" w:rsidR="009770B2">
        <w:rPr>
          <w:lang w:bidi="en-US"/>
        </w:rPr>
        <w:t>section 1</w:t>
      </w:r>
      <w:r w:rsidRPr="006F34CD">
        <w:rPr>
          <w:lang w:bidi="en-US"/>
        </w:rPr>
        <w:t>4 of the Religions Act, the Court is prepared to assume, as it did in the previous case of Jehovah</w:t>
      </w:r>
      <w:r w:rsidRPr="006F34CD" w:rsidR="006F34CD">
        <w:rPr>
          <w:lang w:bidi="en-US"/>
        </w:rPr>
        <w:t>’</w:t>
      </w:r>
      <w:r w:rsidRPr="006F34CD">
        <w:rPr>
          <w:lang w:bidi="en-US"/>
        </w:rPr>
        <w:t>s Witnesses of Moscow, that the interference was “prescribed by law”</w:t>
      </w:r>
      <w:r w:rsidRPr="006F34CD" w:rsidR="00B5259B">
        <w:rPr>
          <w:lang w:bidi="en-US"/>
        </w:rPr>
        <w:t xml:space="preserve"> and pursued the legitimate aims of the protection of health and the rights of others</w:t>
      </w:r>
      <w:r w:rsidRPr="006F34CD">
        <w:rPr>
          <w:lang w:bidi="en-US"/>
        </w:rPr>
        <w:t xml:space="preserve"> (see </w:t>
      </w:r>
      <w:r w:rsidRPr="006F34CD">
        <w:rPr>
          <w:i/>
          <w:iCs/>
        </w:rPr>
        <w:t>Jehovah</w:t>
      </w:r>
      <w:r w:rsidRPr="006F34CD" w:rsidR="006F34CD">
        <w:rPr>
          <w:i/>
          <w:iCs/>
        </w:rPr>
        <w:t>’</w:t>
      </w:r>
      <w:r w:rsidRPr="006F34CD">
        <w:rPr>
          <w:i/>
          <w:iCs/>
        </w:rPr>
        <w:t>s Witnesses of Moscow and Others</w:t>
      </w:r>
      <w:r w:rsidRPr="006F34CD">
        <w:t>, cited above, §</w:t>
      </w:r>
      <w:r w:rsidRPr="006F34CD" w:rsidR="00B5259B">
        <w:t>§</w:t>
      </w:r>
      <w:r w:rsidRPr="006F34CD">
        <w:t> 105</w:t>
      </w:r>
      <w:r w:rsidRPr="006F34CD" w:rsidR="00B5259B">
        <w:t xml:space="preserve"> and 107</w:t>
      </w:r>
      <w:r w:rsidRPr="006F34CD">
        <w:t>).</w:t>
      </w:r>
      <w:r w:rsidRPr="006F34CD" w:rsidR="00B5259B">
        <w:t xml:space="preserve"> It will consider the justification for those charges from the standpoint of the necessity requirement (ibid., </w:t>
      </w:r>
      <w:r w:rsidRPr="006F34CD" w:rsidR="009770B2">
        <w:t>§ 1</w:t>
      </w:r>
      <w:r w:rsidRPr="006F34CD" w:rsidR="00B5259B">
        <w:t>08).</w:t>
      </w:r>
    </w:p>
    <w:p w:rsidRPr="006F34CD" w:rsidR="00F27108" w:rsidP="006F34CD" w:rsidRDefault="00F27108" w14:paraId="4FFEAC99" w14:textId="65C413F2">
      <w:pPr>
        <w:pStyle w:val="JuHi"/>
      </w:pPr>
      <w:r w:rsidRPr="006F34CD">
        <w:t>“Necessary in a democratic society”</w:t>
      </w:r>
    </w:p>
    <w:p w:rsidRPr="006F34CD" w:rsidR="006D7689" w:rsidP="006F34CD" w:rsidRDefault="006D7689" w14:paraId="523A8CD7" w14:textId="77777777">
      <w:pPr>
        <w:pStyle w:val="JuHalpha"/>
      </w:pPr>
      <w:bookmarkStart w:name="_Toc97301949" w:id="154"/>
      <w:r w:rsidRPr="006F34CD">
        <w:t>On the refusal of medical assistance</w:t>
      </w:r>
      <w:bookmarkEnd w:id="154"/>
    </w:p>
    <w:p w:rsidRPr="006F34CD" w:rsidR="006D7689" w:rsidP="006F34CD" w:rsidRDefault="00B5259B" w14:paraId="2B39E6E7" w14:textId="21EF0D37">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161</w:t>
      </w:r>
      <w:r w:rsidRPr="006F34CD">
        <w:rPr>
          <w:lang w:bidi="en-US"/>
        </w:rPr>
        <w:fldChar w:fldCharType="end"/>
      </w:r>
      <w:r w:rsidRPr="006F34CD">
        <w:rPr>
          <w:lang w:bidi="en-US"/>
        </w:rPr>
        <w:t>.  </w:t>
      </w:r>
      <w:r w:rsidRPr="006F34CD" w:rsidR="001A3585">
        <w:rPr>
          <w:lang w:bidi="en-US"/>
        </w:rPr>
        <w:t xml:space="preserve">The </w:t>
      </w:r>
      <w:r w:rsidRPr="006F34CD">
        <w:rPr>
          <w:lang w:bidi="en-US"/>
        </w:rPr>
        <w:t>Rostov court</w:t>
      </w:r>
      <w:r w:rsidRPr="006F34CD" w:rsidR="001A3585">
        <w:rPr>
          <w:lang w:bidi="en-US"/>
        </w:rPr>
        <w:t xml:space="preserve"> held the Taganrog LRO responsible for causing death of its founding member S. by encouraging her to refuse a blood transfusion</w:t>
      </w:r>
      <w:r w:rsidRPr="006F34CD" w:rsidR="006D7689">
        <w:rPr>
          <w:lang w:bidi="en-US"/>
        </w:rPr>
        <w:t xml:space="preserve"> (see paragraph </w:t>
      </w:r>
      <w:r w:rsidRPr="006F34CD" w:rsidR="006D7689">
        <w:rPr>
          <w:lang w:bidi="en-US"/>
        </w:rPr>
        <w:fldChar w:fldCharType="begin"/>
      </w:r>
      <w:r w:rsidRPr="006F34CD" w:rsidR="006E5193">
        <w:rPr>
          <w:lang w:bidi="en-US"/>
        </w:rPr>
        <w:instrText xml:space="preserve">REF paragraph00019 \h \* CharFormat </w:instrText>
      </w:r>
      <w:r w:rsidRPr="006F34CD" w:rsidR="006D7689">
        <w:rPr>
          <w:lang w:bidi="en-US"/>
        </w:rPr>
      </w:r>
      <w:r w:rsidRPr="006F34CD" w:rsidR="006D7689">
        <w:rPr>
          <w:lang w:bidi="en-US"/>
        </w:rPr>
        <w:fldChar w:fldCharType="separate"/>
      </w:r>
      <w:r w:rsidRPr="006F34CD" w:rsidR="006F34CD">
        <w:rPr>
          <w:lang w:bidi="en-US"/>
        </w:rPr>
        <w:t>19</w:t>
      </w:r>
      <w:r w:rsidRPr="006F34CD" w:rsidR="006D7689">
        <w:rPr>
          <w:lang w:bidi="en-US"/>
        </w:rPr>
        <w:fldChar w:fldCharType="end"/>
      </w:r>
      <w:r w:rsidRPr="006F34CD" w:rsidR="006D7689">
        <w:rPr>
          <w:lang w:bidi="en-US"/>
        </w:rPr>
        <w:t xml:space="preserve"> above).</w:t>
      </w:r>
    </w:p>
    <w:bookmarkStart w:name="_Hlk99641618" w:id="155"/>
    <w:p w:rsidRPr="006F34CD" w:rsidR="00D26D53" w:rsidP="006F34CD" w:rsidRDefault="001A3585" w14:paraId="4EAF2829" w14:textId="26829DE4">
      <w:pPr>
        <w:pStyle w:val="JuPara"/>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bookmarkStart w:name="paragraph00161" w:id="156"/>
      <w:r w:rsidRPr="006F34CD" w:rsidR="006F34CD">
        <w:rPr>
          <w:noProof/>
          <w:lang w:bidi="en-US"/>
        </w:rPr>
        <w:t>162</w:t>
      </w:r>
      <w:bookmarkEnd w:id="156"/>
      <w:r w:rsidRPr="006F34CD">
        <w:rPr>
          <w:lang w:bidi="en-US"/>
        </w:rPr>
        <w:fldChar w:fldCharType="end"/>
      </w:r>
      <w:r w:rsidRPr="006F34CD">
        <w:rPr>
          <w:lang w:bidi="en-US"/>
        </w:rPr>
        <w:t>.  </w:t>
      </w:r>
      <w:r w:rsidRPr="006F34CD" w:rsidR="00EE3310">
        <w:t>T</w:t>
      </w:r>
      <w:r w:rsidRPr="006F34CD">
        <w:t xml:space="preserve">he Court has </w:t>
      </w:r>
      <w:r w:rsidRPr="006F34CD" w:rsidR="000D12FF">
        <w:t>found</w:t>
      </w:r>
      <w:r w:rsidRPr="006F34CD">
        <w:t xml:space="preserve"> that the provisions of Russian law </w:t>
      </w:r>
      <w:r w:rsidRPr="006F34CD" w:rsidR="00D26D53">
        <w:t>on “the incitement to refuse medical assistance” reflect</w:t>
      </w:r>
      <w:r w:rsidRPr="006F34CD">
        <w:t xml:space="preserve"> the assumption that the State</w:t>
      </w:r>
      <w:r w:rsidRPr="006F34CD" w:rsidR="006F34CD">
        <w:t>’</w:t>
      </w:r>
      <w:r w:rsidRPr="006F34CD">
        <w:t xml:space="preserve">s power to protect </w:t>
      </w:r>
      <w:r w:rsidRPr="006F34CD" w:rsidR="000D12FF">
        <w:t>believers</w:t>
      </w:r>
      <w:r w:rsidRPr="006F34CD">
        <w:t xml:space="preserve"> from</w:t>
      </w:r>
      <w:r w:rsidRPr="006F34CD" w:rsidR="000D12FF">
        <w:t xml:space="preserve"> the</w:t>
      </w:r>
      <w:r w:rsidRPr="006F34CD">
        <w:t xml:space="preserve"> harmful consequences of their </w:t>
      </w:r>
      <w:r w:rsidRPr="006F34CD" w:rsidR="000D12FF">
        <w:t>medical choices</w:t>
      </w:r>
      <w:r w:rsidRPr="006F34CD">
        <w:t xml:space="preserve"> ought to override the right to respect for their private life and </w:t>
      </w:r>
      <w:r w:rsidRPr="006F34CD" w:rsidR="000D12FF">
        <w:t>the</w:t>
      </w:r>
      <w:r w:rsidRPr="006F34CD">
        <w:t xml:space="preserve"> freedom to manifest their religion in practice and observance</w:t>
      </w:r>
      <w:r w:rsidRPr="006F34CD" w:rsidR="00EE3310">
        <w:t xml:space="preserve"> (see </w:t>
      </w:r>
      <w:r w:rsidRPr="006F34CD" w:rsidR="001E36B6">
        <w:rPr>
          <w:i/>
          <w:iCs/>
        </w:rPr>
        <w:t>Jehovah</w:t>
      </w:r>
      <w:r w:rsidRPr="006F34CD" w:rsidR="006F34CD">
        <w:rPr>
          <w:i/>
          <w:iCs/>
        </w:rPr>
        <w:t>’</w:t>
      </w:r>
      <w:r w:rsidRPr="006F34CD" w:rsidR="001E36B6">
        <w:rPr>
          <w:i/>
          <w:iCs/>
        </w:rPr>
        <w:t xml:space="preserve">s Witnesses of Moscow </w:t>
      </w:r>
      <w:r w:rsidRPr="006F34CD" w:rsidR="00EE3310">
        <w:rPr>
          <w:i/>
          <w:iCs/>
        </w:rPr>
        <w:t>and Others</w:t>
      </w:r>
      <w:r w:rsidRPr="006F34CD" w:rsidR="00EE3310">
        <w:t xml:space="preserve">, cited above, </w:t>
      </w:r>
      <w:r w:rsidRPr="006F34CD" w:rsidR="00F50F6F">
        <w:t>§ 1</w:t>
      </w:r>
      <w:r w:rsidRPr="006F34CD" w:rsidR="00EE3310">
        <w:t>34).</w:t>
      </w:r>
      <w:r w:rsidRPr="006F34CD" w:rsidR="00D26D53">
        <w:rPr>
          <w:lang w:bidi="en-US"/>
        </w:rPr>
        <w:t>  </w:t>
      </w:r>
      <w:r w:rsidRPr="006F34CD" w:rsidR="003B3038">
        <w:rPr>
          <w:lang w:bidi="en-US"/>
        </w:rPr>
        <w:t xml:space="preserve">However, </w:t>
      </w:r>
      <w:r w:rsidRPr="006F34CD" w:rsidR="003B3038">
        <w:t>t</w:t>
      </w:r>
      <w:r w:rsidRPr="006F34CD" w:rsidR="00D26D53">
        <w:t xml:space="preserve">he </w:t>
      </w:r>
      <w:r w:rsidRPr="006F34CD" w:rsidR="00AE357B">
        <w:t xml:space="preserve">freedom to accept or refuse specific medical treatment or to select the alternative form of treatment is vital to the principles of self-determination and personal autonomy. </w:t>
      </w:r>
      <w:r w:rsidRPr="006F34CD" w:rsidR="000D12FF">
        <w:t xml:space="preserve">For this freedom to be meaningful, patients must have the right to make choices that accord with their own views and values, regardless of how irrational, unwise or imprudent such choices may appear to others. </w:t>
      </w:r>
      <w:r w:rsidRPr="006F34CD" w:rsidR="00AE357B">
        <w:t xml:space="preserve">A competent adult patient is free to decide, for instance, whether or not to undergo surgery or, by the same token, to have a </w:t>
      </w:r>
      <w:r w:rsidRPr="006F34CD" w:rsidR="000D12FF">
        <w:t xml:space="preserve">live </w:t>
      </w:r>
      <w:r w:rsidRPr="006F34CD" w:rsidR="00AE357B">
        <w:t>blood transfusion</w:t>
      </w:r>
      <w:r w:rsidRPr="006F34CD" w:rsidR="000D12FF">
        <w:t xml:space="preserve"> or to prefer artificial blood substitutes</w:t>
      </w:r>
      <w:r w:rsidRPr="006F34CD" w:rsidR="00B70940">
        <w:t>. Free choice and self</w:t>
      </w:r>
      <w:r w:rsidRPr="006F34CD" w:rsidR="007754D0">
        <w:noBreakHyphen/>
      </w:r>
      <w:r w:rsidRPr="006F34CD" w:rsidR="00B70940">
        <w:t xml:space="preserve">determination are fundamental constituents of life and that, absent any indication of the need to protect </w:t>
      </w:r>
      <w:r w:rsidRPr="006F34CD" w:rsidR="00CB03BF">
        <w:t>public health,</w:t>
      </w:r>
      <w:r w:rsidRPr="006F34CD" w:rsidR="00B70940">
        <w:t xml:space="preserve"> the State must abstain from interfering with the individual freedom of choice in the sphere of health care, for such interference can only lessen and not enhance the value of life</w:t>
      </w:r>
      <w:r w:rsidRPr="006F34CD" w:rsidR="00AE357B">
        <w:t xml:space="preserve"> </w:t>
      </w:r>
      <w:r w:rsidRPr="006F34CD" w:rsidR="00D26D53">
        <w:t>(</w:t>
      </w:r>
      <w:r w:rsidRPr="006F34CD" w:rsidR="000D12FF">
        <w:t>ibid.</w:t>
      </w:r>
      <w:r w:rsidRPr="006F34CD" w:rsidR="0047281A">
        <w:t xml:space="preserve">, </w:t>
      </w:r>
      <w:r w:rsidRPr="006F34CD" w:rsidR="00325FFE">
        <w:t>§</w:t>
      </w:r>
      <w:r w:rsidRPr="006F34CD" w:rsidR="00F50F6F">
        <w:t>§ 1</w:t>
      </w:r>
      <w:r w:rsidRPr="006F34CD" w:rsidR="00325FFE">
        <w:t>35</w:t>
      </w:r>
      <w:r w:rsidRPr="006F34CD" w:rsidR="00AE357B">
        <w:t>-36</w:t>
      </w:r>
      <w:r w:rsidRPr="006F34CD" w:rsidR="00B70940">
        <w:t xml:space="preserve">, and </w:t>
      </w:r>
      <w:r w:rsidRPr="006F34CD" w:rsidR="00AC2F9E">
        <w:rPr>
          <w:i/>
          <w:iCs/>
        </w:rPr>
        <w:t>Vavřička and Others v. the Czech Republic</w:t>
      </w:r>
      <w:r w:rsidRPr="006F34CD" w:rsidR="00AC2F9E">
        <w:t xml:space="preserve"> [GC], nos. 47621/13 and 5 others, § 276, 8 April 2021</w:t>
      </w:r>
      <w:r w:rsidRPr="006F34CD" w:rsidR="00D26D53">
        <w:t>).</w:t>
      </w:r>
    </w:p>
    <w:bookmarkEnd w:id="155"/>
    <w:p w:rsidRPr="006F34CD" w:rsidR="00587DCF" w:rsidP="006F34CD" w:rsidRDefault="00037FCB" w14:paraId="2DAC4022" w14:textId="194D4545">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163</w:t>
      </w:r>
      <w:r w:rsidRPr="006F34CD">
        <w:rPr>
          <w:noProof/>
        </w:rPr>
        <w:fldChar w:fldCharType="end"/>
      </w:r>
      <w:r w:rsidRPr="006F34CD" w:rsidR="006318BF">
        <w:t>.  </w:t>
      </w:r>
      <w:r w:rsidRPr="006F34CD" w:rsidR="00366AD9">
        <w:t>This position has been reflected in Russian law which safeguards the patients</w:t>
      </w:r>
      <w:r w:rsidRPr="006F34CD" w:rsidR="006F34CD">
        <w:t>’</w:t>
      </w:r>
      <w:r w:rsidRPr="006F34CD" w:rsidR="00366AD9">
        <w:t xml:space="preserve"> freedom of choice</w:t>
      </w:r>
      <w:r w:rsidRPr="006F34CD" w:rsidR="00A81250">
        <w:t xml:space="preserve"> in the sphere of medical assistance</w:t>
      </w:r>
      <w:r w:rsidRPr="006F34CD" w:rsidR="00366AD9">
        <w:t xml:space="preserve">. The Fundamentals of Russian Legislation on Health Protection, in force at the material time, and the Health Protection Act (Law </w:t>
      </w:r>
      <w:r w:rsidRPr="006F34CD" w:rsidR="00F50F6F">
        <w:t>no. 3</w:t>
      </w:r>
      <w:r w:rsidRPr="006F34CD" w:rsidR="00366AD9">
        <w:t xml:space="preserve">23-FZ of </w:t>
      </w:r>
      <w:r w:rsidRPr="006F34CD" w:rsidR="00F50F6F">
        <w:t>21 November 2011</w:t>
      </w:r>
      <w:r w:rsidRPr="006F34CD" w:rsidR="00366AD9">
        <w:t>)</w:t>
      </w:r>
      <w:r w:rsidRPr="006F34CD" w:rsidR="00B55051">
        <w:t>,</w:t>
      </w:r>
      <w:r w:rsidRPr="006F34CD" w:rsidR="00366AD9">
        <w:t xml:space="preserve"> which replaced it </w:t>
      </w:r>
      <w:r w:rsidRPr="006F34CD" w:rsidR="00B55051">
        <w:t xml:space="preserve">with effect </w:t>
      </w:r>
      <w:r w:rsidRPr="006F34CD" w:rsidR="00366AD9">
        <w:t>from 1 January 2012</w:t>
      </w:r>
      <w:r w:rsidRPr="006F34CD" w:rsidR="00B55051">
        <w:t>,</w:t>
      </w:r>
      <w:r w:rsidRPr="006F34CD" w:rsidR="00366AD9">
        <w:t xml:space="preserve"> have established the patients</w:t>
      </w:r>
      <w:r w:rsidRPr="006F34CD" w:rsidR="006F34CD">
        <w:t>’</w:t>
      </w:r>
      <w:r w:rsidRPr="006F34CD" w:rsidR="00366AD9">
        <w:t xml:space="preserve"> right to refuse </w:t>
      </w:r>
      <w:r w:rsidRPr="006F34CD" w:rsidR="00325412">
        <w:t>a specific</w:t>
      </w:r>
      <w:r w:rsidRPr="006F34CD" w:rsidR="00366AD9">
        <w:t xml:space="preserve"> medical treatment or to request its discontinuation on condition that they have received full and accessible information about the possible consequences of that decision (</w:t>
      </w:r>
      <w:r w:rsidRPr="006F34CD" w:rsidR="00075AC5">
        <w:t xml:space="preserve">see </w:t>
      </w:r>
      <w:r w:rsidRPr="006F34CD" w:rsidR="00075AC5">
        <w:rPr>
          <w:i/>
          <w:iCs/>
        </w:rPr>
        <w:t>Jehovah</w:t>
      </w:r>
      <w:r w:rsidRPr="006F34CD" w:rsidR="006F34CD">
        <w:rPr>
          <w:i/>
          <w:iCs/>
        </w:rPr>
        <w:t>’</w:t>
      </w:r>
      <w:r w:rsidRPr="006F34CD" w:rsidR="00075AC5">
        <w:rPr>
          <w:i/>
          <w:iCs/>
        </w:rPr>
        <w:t>s Witnesses of Moscow and Others</w:t>
      </w:r>
      <w:r w:rsidRPr="006F34CD" w:rsidR="00075AC5">
        <w:t>, cited above,</w:t>
      </w:r>
      <w:r w:rsidRPr="006F34CD" w:rsidR="00366AD9">
        <w:t xml:space="preserve"> </w:t>
      </w:r>
      <w:r w:rsidRPr="006F34CD" w:rsidR="00F50F6F">
        <w:t>§ 1</w:t>
      </w:r>
      <w:r w:rsidRPr="006F34CD" w:rsidR="00366AD9">
        <w:t>37).</w:t>
      </w:r>
    </w:p>
    <w:p w:rsidRPr="006F34CD" w:rsidR="006318BF" w:rsidP="006F34CD" w:rsidRDefault="006F34CD" w14:paraId="03AA64D8" w14:textId="18DA1FC0">
      <w:pPr>
        <w:pStyle w:val="JuPara"/>
      </w:pPr>
      <w:fldSimple w:instr=" SEQ level0 \*arabic \* MERGEFORMAT ">
        <w:r w:rsidRPr="006F34CD">
          <w:rPr>
            <w:noProof/>
          </w:rPr>
          <w:t>164</w:t>
        </w:r>
      </w:fldSimple>
      <w:r w:rsidRPr="006F34CD" w:rsidR="001535E0">
        <w:t>.  </w:t>
      </w:r>
      <w:r w:rsidRPr="006F34CD" w:rsidR="00366AD9">
        <w:t>The informed-</w:t>
      </w:r>
      <w:r w:rsidRPr="006F34CD" w:rsidR="00A81250">
        <w:t>consent</w:t>
      </w:r>
      <w:r w:rsidRPr="006F34CD" w:rsidR="00366AD9">
        <w:t xml:space="preserve"> requirement </w:t>
      </w:r>
      <w:r w:rsidRPr="006F34CD" w:rsidR="00B76C89">
        <w:t>is particularly relevant in the circumstances of the</w:t>
      </w:r>
      <w:r w:rsidRPr="006F34CD" w:rsidR="00366AD9">
        <w:t xml:space="preserve"> instant case</w:t>
      </w:r>
      <w:r w:rsidRPr="006F34CD" w:rsidR="00B76C89">
        <w:t xml:space="preserve"> in which </w:t>
      </w:r>
      <w:r w:rsidRPr="006F34CD" w:rsidR="00366AD9">
        <w:t xml:space="preserve">the refusal of blood transfusion had been formulated by </w:t>
      </w:r>
      <w:r w:rsidRPr="006F34CD" w:rsidR="00B55051">
        <w:t xml:space="preserve">an </w:t>
      </w:r>
      <w:r w:rsidRPr="006F34CD" w:rsidR="00366AD9">
        <w:t>adult Jehovah</w:t>
      </w:r>
      <w:r w:rsidRPr="006F34CD">
        <w:t>’</w:t>
      </w:r>
      <w:r w:rsidRPr="006F34CD" w:rsidR="00366AD9">
        <w:t xml:space="preserve">s Witness having capacity to make medical decisions for </w:t>
      </w:r>
      <w:r w:rsidRPr="006F34CD" w:rsidR="00B55051">
        <w:t>herself</w:t>
      </w:r>
      <w:r w:rsidRPr="006F34CD" w:rsidR="00366AD9">
        <w:t>.</w:t>
      </w:r>
      <w:r w:rsidRPr="006F34CD" w:rsidR="00B55051">
        <w:t xml:space="preserve"> However, the </w:t>
      </w:r>
      <w:r w:rsidRPr="006F34CD" w:rsidR="00A81250">
        <w:t xml:space="preserve">fact that she had </w:t>
      </w:r>
      <w:r w:rsidRPr="006F34CD" w:rsidR="00C65FAA">
        <w:t>exercised her legal right to refuse a specific form of medical treatment was</w:t>
      </w:r>
      <w:r w:rsidRPr="006F34CD" w:rsidR="00B55051">
        <w:t xml:space="preserve"> not addressed or mentioned in the </w:t>
      </w:r>
      <w:r w:rsidRPr="006F34CD" w:rsidR="00AD0A4A">
        <w:t xml:space="preserve">domestic </w:t>
      </w:r>
      <w:r w:rsidRPr="006F34CD" w:rsidR="00B55051">
        <w:t>judgment</w:t>
      </w:r>
      <w:r w:rsidRPr="006F34CD" w:rsidR="00AD0A4A">
        <w:t>s</w:t>
      </w:r>
      <w:r w:rsidRPr="006F34CD" w:rsidR="00B55051">
        <w:t xml:space="preserve">. </w:t>
      </w:r>
      <w:r w:rsidRPr="006F34CD" w:rsidR="00026500">
        <w:t>For the Court, the crucial legal test in this situation is whether the refusal was an expression of the person</w:t>
      </w:r>
      <w:r w:rsidRPr="006F34CD">
        <w:t>’</w:t>
      </w:r>
      <w:r w:rsidRPr="006F34CD" w:rsidR="00026500">
        <w:t>s authentic will or whether the degree of external influence brought to bear on the person had been such as to persuade him</w:t>
      </w:r>
      <w:r w:rsidRPr="006F34CD" w:rsidR="00AD0A4A">
        <w:t xml:space="preserve"> or her</w:t>
      </w:r>
      <w:r w:rsidRPr="006F34CD" w:rsidR="00026500">
        <w:t xml:space="preserve"> to depart from his </w:t>
      </w:r>
      <w:r w:rsidRPr="006F34CD" w:rsidR="00AD0A4A">
        <w:t xml:space="preserve">or her </w:t>
      </w:r>
      <w:r w:rsidRPr="006F34CD" w:rsidR="00026500">
        <w:t>own wishes (ibid., § 138). Yet,</w:t>
      </w:r>
      <w:r w:rsidRPr="006F34CD" w:rsidR="00894AFE">
        <w:t xml:space="preserve"> nothing in the domestic judgments suggest</w:t>
      </w:r>
      <w:r w:rsidRPr="006F34CD" w:rsidR="00026500">
        <w:t>s</w:t>
      </w:r>
      <w:r w:rsidRPr="006F34CD" w:rsidR="00894AFE">
        <w:t xml:space="preserve"> that any form of improper pressure or undue influence was applied</w:t>
      </w:r>
      <w:r w:rsidRPr="006F34CD" w:rsidR="00B76C89">
        <w:t xml:space="preserve">. There is no evidence that she wavered in her refusal of a blood transfusion upon admission to hospital. There </w:t>
      </w:r>
      <w:r w:rsidRPr="006F34CD" w:rsidR="00AD0A4A">
        <w:t>was accordingly</w:t>
      </w:r>
      <w:r w:rsidRPr="006F34CD" w:rsidR="00B76C89">
        <w:t xml:space="preserve"> no factual basis for claiming that her will was overborne or that the refusal of a blood transfer did not represent her true </w:t>
      </w:r>
      <w:r w:rsidRPr="006F34CD" w:rsidR="00084A80">
        <w:t xml:space="preserve">or genuine </w:t>
      </w:r>
      <w:r w:rsidRPr="006F34CD" w:rsidR="00B76C89">
        <w:t>decision.</w:t>
      </w:r>
    </w:p>
    <w:bookmarkStart w:name="paragraph00165" w:id="157"/>
    <w:p w:rsidRPr="006F34CD" w:rsidR="00D26D53" w:rsidP="006F34CD" w:rsidRDefault="00AD0A4A" w14:paraId="3AEB565C" w14:textId="03CBC18F">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165</w:t>
      </w:r>
      <w:r w:rsidRPr="006F34CD">
        <w:rPr>
          <w:lang w:bidi="en-US"/>
        </w:rPr>
        <w:fldChar w:fldCharType="end"/>
      </w:r>
      <w:bookmarkEnd w:id="157"/>
      <w:r w:rsidRPr="006F34CD">
        <w:rPr>
          <w:lang w:bidi="en-US"/>
        </w:rPr>
        <w:t>.  </w:t>
      </w:r>
      <w:r w:rsidRPr="006F34CD" w:rsidR="00B76C89">
        <w:rPr>
          <w:lang w:bidi="en-US"/>
        </w:rPr>
        <w:t>In the absence of any evidence of improper pressure,</w:t>
      </w:r>
      <w:r w:rsidRPr="006F34CD" w:rsidR="00C75B26">
        <w:rPr>
          <w:lang w:bidi="en-US"/>
        </w:rPr>
        <w:t xml:space="preserve"> </w:t>
      </w:r>
      <w:r w:rsidRPr="006F34CD" w:rsidR="00C75B26">
        <w:t>the refusal of blood transfusion was an expression of free will of a community member exercising her right to personal autonomy in the sphere of health care protected both under the Convention and in Russian law. T</w:t>
      </w:r>
      <w:r w:rsidRPr="006F34CD" w:rsidR="00B76C89">
        <w:rPr>
          <w:lang w:bidi="en-US"/>
        </w:rPr>
        <w:t xml:space="preserve">he </w:t>
      </w:r>
      <w:r w:rsidRPr="006F34CD" w:rsidR="00331102">
        <w:rPr>
          <w:lang w:bidi="en-US"/>
        </w:rPr>
        <w:t xml:space="preserve">imputation of </w:t>
      </w:r>
      <w:r w:rsidRPr="006F34CD" w:rsidR="00F50F6F">
        <w:rPr>
          <w:lang w:bidi="en-US"/>
        </w:rPr>
        <w:t>Ms S</w:t>
      </w:r>
      <w:r w:rsidRPr="006F34CD" w:rsidR="00331102">
        <w:rPr>
          <w:lang w:bidi="en-US"/>
        </w:rPr>
        <w:t>.</w:t>
      </w:r>
      <w:r w:rsidRPr="006F34CD" w:rsidR="006F34CD">
        <w:rPr>
          <w:lang w:bidi="en-US"/>
        </w:rPr>
        <w:t>’</w:t>
      </w:r>
      <w:r w:rsidRPr="006F34CD" w:rsidR="00331102">
        <w:rPr>
          <w:lang w:bidi="en-US"/>
        </w:rPr>
        <w:t xml:space="preserve">s death to the Taganrog LRO solely because </w:t>
      </w:r>
      <w:r w:rsidRPr="006F34CD" w:rsidR="00331102">
        <w:t>Jehovah</w:t>
      </w:r>
      <w:r w:rsidRPr="006F34CD" w:rsidR="006F34CD">
        <w:t>’</w:t>
      </w:r>
      <w:r w:rsidRPr="006F34CD" w:rsidR="00331102">
        <w:t>s Witnesses preach the doctrinal importance of abstaining from blood transfusions in their religious literature amounted to a declaration that their religious beliefs relating to the sacred nature of blood were illegitimate (</w:t>
      </w:r>
      <w:r w:rsidRPr="006F34CD" w:rsidR="00FE470F">
        <w:t xml:space="preserve">see </w:t>
      </w:r>
      <w:r w:rsidRPr="006F34CD" w:rsidR="00FE470F">
        <w:rPr>
          <w:i/>
          <w:iCs/>
        </w:rPr>
        <w:t>Jehovah</w:t>
      </w:r>
      <w:r w:rsidRPr="006F34CD" w:rsidR="006F34CD">
        <w:rPr>
          <w:i/>
          <w:iCs/>
        </w:rPr>
        <w:t>’</w:t>
      </w:r>
      <w:r w:rsidRPr="006F34CD" w:rsidR="00FE470F">
        <w:rPr>
          <w:i/>
          <w:iCs/>
        </w:rPr>
        <w:t>s Witnesses of Moscow and Others</w:t>
      </w:r>
      <w:r w:rsidRPr="006F34CD" w:rsidR="00FE470F">
        <w:t xml:space="preserve">, cited above, </w:t>
      </w:r>
      <w:r w:rsidRPr="006F34CD" w:rsidR="00F50F6F">
        <w:t>§ 1</w:t>
      </w:r>
      <w:r w:rsidRPr="006F34CD" w:rsidR="00331102">
        <w:t xml:space="preserve">41). </w:t>
      </w:r>
      <w:r w:rsidRPr="006F34CD" w:rsidR="007F6CE5">
        <w:t>T</w:t>
      </w:r>
      <w:r w:rsidRPr="006F34CD" w:rsidR="00331102">
        <w:t>he Court reiterates that State</w:t>
      </w:r>
      <w:r w:rsidRPr="006F34CD" w:rsidR="007F6CE5">
        <w:t>s</w:t>
      </w:r>
      <w:r w:rsidRPr="006F34CD" w:rsidR="00331102">
        <w:t xml:space="preserve"> do not have the right under the Convention to decide what beliefs may or may not be taught because the right to freedom of religion as guaranteed under the Convention excludes any discretion on the part of the State to determine whether religious beliefs or the means used to express such beliefs are legitimate (see</w:t>
      </w:r>
      <w:r w:rsidRPr="006F34CD" w:rsidR="00331102">
        <w:rPr>
          <w:i/>
        </w:rPr>
        <w:t xml:space="preserve"> Manoussakis and Others</w:t>
      </w:r>
      <w:r w:rsidRPr="006F34CD" w:rsidR="00F50F6F">
        <w:rPr>
          <w:i/>
        </w:rPr>
        <w:t xml:space="preserve"> v. G</w:t>
      </w:r>
      <w:r w:rsidRPr="006F34CD" w:rsidR="00331102">
        <w:rPr>
          <w:i/>
        </w:rPr>
        <w:t>reece</w:t>
      </w:r>
      <w:r w:rsidRPr="006F34CD" w:rsidR="00331102">
        <w:t xml:space="preserve">, </w:t>
      </w:r>
      <w:r w:rsidRPr="006F34CD" w:rsidR="00F50F6F">
        <w:t>26 September 1996</w:t>
      </w:r>
      <w:r w:rsidRPr="006F34CD" w:rsidR="00331102">
        <w:t xml:space="preserve">, § 47, </w:t>
      </w:r>
      <w:r w:rsidRPr="006F34CD" w:rsidR="00331102">
        <w:rPr>
          <w:i/>
        </w:rPr>
        <w:t xml:space="preserve">Reports </w:t>
      </w:r>
      <w:r w:rsidRPr="006F34CD" w:rsidR="00331102">
        <w:t>1996</w:t>
      </w:r>
      <w:r w:rsidRPr="006F34CD" w:rsidR="00331102">
        <w:noBreakHyphen/>
        <w:t>IV</w:t>
      </w:r>
      <w:r w:rsidRPr="006F34CD" w:rsidR="007F6CE5">
        <w:t>, and</w:t>
      </w:r>
      <w:r w:rsidRPr="006F34CD" w:rsidR="00D619E8">
        <w:rPr>
          <w:i/>
        </w:rPr>
        <w:t xml:space="preserve"> Hasan and Chaush</w:t>
      </w:r>
      <w:r w:rsidRPr="006F34CD" w:rsidR="00BC0864">
        <w:rPr>
          <w:i/>
        </w:rPr>
        <w:t xml:space="preserve"> v. B</w:t>
      </w:r>
      <w:r w:rsidRPr="006F34CD" w:rsidR="00D619E8">
        <w:rPr>
          <w:i/>
        </w:rPr>
        <w:t>ulgaria</w:t>
      </w:r>
      <w:r w:rsidRPr="006F34CD" w:rsidR="00D619E8">
        <w:t xml:space="preserve"> [GC], </w:t>
      </w:r>
      <w:r w:rsidRPr="006F34CD" w:rsidR="00BC0864">
        <w:t>no. 3</w:t>
      </w:r>
      <w:r w:rsidRPr="006F34CD" w:rsidR="00D619E8">
        <w:t>0985/96, § 78, ECHR 2000</w:t>
      </w:r>
      <w:r w:rsidRPr="006F34CD" w:rsidR="00D619E8">
        <w:noBreakHyphen/>
        <w:t>XI</w:t>
      </w:r>
      <w:r w:rsidRPr="006F34CD" w:rsidR="00331102">
        <w:t>).</w:t>
      </w:r>
    </w:p>
    <w:p w:rsidRPr="006F34CD" w:rsidR="006D7689" w:rsidP="006F34CD" w:rsidRDefault="006D7689" w14:paraId="715CE17C" w14:textId="77777777">
      <w:pPr>
        <w:pStyle w:val="JuHalpha"/>
      </w:pPr>
      <w:bookmarkStart w:name="_Toc97301950" w:id="158"/>
      <w:r w:rsidRPr="006F34CD">
        <w:t>On the abandonment of civic duties</w:t>
      </w:r>
      <w:bookmarkEnd w:id="158"/>
    </w:p>
    <w:p w:rsidRPr="006F34CD" w:rsidR="00587DCF" w:rsidP="006F34CD" w:rsidRDefault="00CB6108" w14:paraId="5F9C2F26" w14:textId="234F7162">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166</w:t>
      </w:r>
      <w:r>
        <w:rPr>
          <w:noProof/>
        </w:rPr>
        <w:fldChar w:fldCharType="end"/>
      </w:r>
      <w:r w:rsidRPr="006F34CD" w:rsidR="00C75B26">
        <w:t>.  </w:t>
      </w:r>
      <w:r w:rsidRPr="006F34CD" w:rsidR="003D07E2">
        <w:t xml:space="preserve">The Rostov court further held it against the Taganrog LRO that a conscript had requested alternative civilian service unconnected with military facilities as a result of talking to other conscripts who tried to convince him “not to serve” (see paragraph </w:t>
      </w:r>
      <w:r w:rsidRPr="006F34CD" w:rsidR="003D07E2">
        <w:fldChar w:fldCharType="begin"/>
      </w:r>
      <w:r w:rsidRPr="006F34CD" w:rsidR="006E5193">
        <w:instrText xml:space="preserve">REF paragraph00020 \h \* CharFormat </w:instrText>
      </w:r>
      <w:r w:rsidRPr="006F34CD" w:rsidR="003D07E2">
        <w:fldChar w:fldCharType="separate"/>
      </w:r>
      <w:r w:rsidRPr="006F34CD" w:rsidR="006F34CD">
        <w:t>20</w:t>
      </w:r>
      <w:r w:rsidRPr="006F34CD" w:rsidR="003D07E2">
        <w:fldChar w:fldCharType="end"/>
      </w:r>
      <w:r w:rsidRPr="006F34CD" w:rsidR="003D07E2">
        <w:t xml:space="preserve"> above).</w:t>
      </w:r>
    </w:p>
    <w:p w:rsidRPr="006F34CD" w:rsidR="00475204" w:rsidP="006F34CD" w:rsidRDefault="00CB6108" w14:paraId="14E01F3B" w14:textId="44D6E02E">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167</w:t>
      </w:r>
      <w:r>
        <w:rPr>
          <w:noProof/>
        </w:rPr>
        <w:fldChar w:fldCharType="end"/>
      </w:r>
      <w:r w:rsidRPr="006F34CD" w:rsidR="00475204">
        <w:t>.  It is a well-known fact that Jehovah</w:t>
      </w:r>
      <w:r w:rsidRPr="006F34CD" w:rsidR="006F34CD">
        <w:t>’</w:t>
      </w:r>
      <w:r w:rsidRPr="006F34CD" w:rsidR="00475204">
        <w:t xml:space="preserve">s Witnesses are a religious group committed to pacifism and that their doctrine prevents individual members from performing military service, wearing uniform or taking up weapons (see </w:t>
      </w:r>
      <w:r w:rsidRPr="006F34CD" w:rsidR="00475204">
        <w:rPr>
          <w:i/>
        </w:rPr>
        <w:t>Thlimmenos</w:t>
      </w:r>
      <w:r w:rsidRPr="006F34CD" w:rsidR="00F50F6F">
        <w:rPr>
          <w:i/>
        </w:rPr>
        <w:t xml:space="preserve"> v. G</w:t>
      </w:r>
      <w:r w:rsidRPr="006F34CD" w:rsidR="00475204">
        <w:rPr>
          <w:i/>
        </w:rPr>
        <w:t>reece</w:t>
      </w:r>
      <w:r w:rsidRPr="006F34CD" w:rsidR="00475204">
        <w:t xml:space="preserve"> [GC], </w:t>
      </w:r>
      <w:r w:rsidRPr="006F34CD" w:rsidR="00F50F6F">
        <w:t>no. 3</w:t>
      </w:r>
      <w:r w:rsidRPr="006F34CD" w:rsidR="00475204">
        <w:t>4369/97, § 42, ECHR</w:t>
      </w:r>
      <w:r w:rsidRPr="006F34CD" w:rsidR="00AC1B15">
        <w:t> </w:t>
      </w:r>
      <w:r w:rsidRPr="006F34CD" w:rsidR="00475204">
        <w:t>2000</w:t>
      </w:r>
      <w:r w:rsidRPr="006F34CD" w:rsidR="00475204">
        <w:noBreakHyphen/>
        <w:t>IV). Jehovah</w:t>
      </w:r>
      <w:r w:rsidRPr="006F34CD" w:rsidR="006F34CD">
        <w:t>’</w:t>
      </w:r>
      <w:r w:rsidRPr="006F34CD" w:rsidR="00475204">
        <w:t xml:space="preserve">s Witnesses agree to carry out alternative civilian service on condition it is not connected with military organisations (see </w:t>
      </w:r>
      <w:r w:rsidRPr="006F34CD" w:rsidR="00475204">
        <w:rPr>
          <w:i/>
        </w:rPr>
        <w:t>Faizov</w:t>
      </w:r>
      <w:r w:rsidRPr="006F34CD" w:rsidR="00F50F6F">
        <w:rPr>
          <w:i/>
        </w:rPr>
        <w:t xml:space="preserve"> v. R</w:t>
      </w:r>
      <w:r w:rsidRPr="006F34CD" w:rsidR="00475204">
        <w:rPr>
          <w:i/>
        </w:rPr>
        <w:t>ussia</w:t>
      </w:r>
      <w:r w:rsidRPr="006F34CD" w:rsidR="00475204">
        <w:t xml:space="preserve"> (dec.), </w:t>
      </w:r>
      <w:r w:rsidRPr="006F34CD" w:rsidR="00F50F6F">
        <w:t>no. 1</w:t>
      </w:r>
      <w:r w:rsidRPr="006F34CD" w:rsidR="00475204">
        <w:t xml:space="preserve">9820/04, 15 January 2009). </w:t>
      </w:r>
      <w:r w:rsidRPr="006F34CD" w:rsidR="0096204D">
        <w:t>Russia</w:t>
      </w:r>
      <w:r w:rsidRPr="006F34CD" w:rsidR="006F34CD">
        <w:t>’</w:t>
      </w:r>
      <w:r w:rsidRPr="006F34CD" w:rsidR="0096204D">
        <w:t>s</w:t>
      </w:r>
      <w:r w:rsidRPr="006F34CD" w:rsidR="00475204">
        <w:t xml:space="preserve"> Constitution (</w:t>
      </w:r>
      <w:r w:rsidRPr="006F34CD" w:rsidR="00F50F6F">
        <w:t>Article 5</w:t>
      </w:r>
      <w:r w:rsidRPr="006F34CD" w:rsidR="00475204">
        <w:t xml:space="preserve">9 </w:t>
      </w:r>
      <w:r w:rsidRPr="006F34CD" w:rsidR="00F50F6F">
        <w:t>§ 3</w:t>
      </w:r>
      <w:r w:rsidRPr="006F34CD" w:rsidR="00475204">
        <w:t>) and the Religions Act (</w:t>
      </w:r>
      <w:r w:rsidRPr="006F34CD" w:rsidR="00F50F6F">
        <w:t>section 3</w:t>
      </w:r>
      <w:r w:rsidRPr="006F34CD" w:rsidR="00475204">
        <w:t xml:space="preserve"> </w:t>
      </w:r>
      <w:r w:rsidRPr="006F34CD" w:rsidR="00F50F6F">
        <w:t>§ 4</w:t>
      </w:r>
      <w:r w:rsidRPr="006F34CD" w:rsidR="00475204">
        <w:t xml:space="preserve">) explicitly recognise the right of Russian nationals to conscientious objection to military service in which case it </w:t>
      </w:r>
      <w:r w:rsidRPr="006F34CD" w:rsidR="0096204D">
        <w:t xml:space="preserve">may </w:t>
      </w:r>
      <w:r w:rsidRPr="006F34CD" w:rsidR="00475204">
        <w:t>be substituted with alternative civilian service. The right to alternative civilian service has been consistently upheld by the Russian courts, including in cases where it was exercised by a Jehovah</w:t>
      </w:r>
      <w:r w:rsidRPr="006F34CD" w:rsidR="006F34CD">
        <w:t>’</w:t>
      </w:r>
      <w:r w:rsidRPr="006F34CD" w:rsidR="00475204">
        <w:t xml:space="preserve">s Witness (see </w:t>
      </w:r>
      <w:r w:rsidRPr="006F34CD" w:rsidR="00475204">
        <w:rPr>
          <w:i/>
        </w:rPr>
        <w:t>Faizov</w:t>
      </w:r>
      <w:r w:rsidRPr="006F34CD" w:rsidR="00475204">
        <w:t>, cited above).</w:t>
      </w:r>
    </w:p>
    <w:p w:rsidRPr="006F34CD" w:rsidR="005752B8" w:rsidP="006F34CD" w:rsidRDefault="00CB6108" w14:paraId="751ACA63" w14:textId="30BA2BD5">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168</w:t>
      </w:r>
      <w:r>
        <w:rPr>
          <w:noProof/>
        </w:rPr>
        <w:fldChar w:fldCharType="end"/>
      </w:r>
      <w:r w:rsidRPr="006F34CD" w:rsidR="003D07E2">
        <w:t>.  T</w:t>
      </w:r>
      <w:r w:rsidRPr="006F34CD" w:rsidR="00894AFE">
        <w:t>he Court reiterates that the right “to try to convince one</w:t>
      </w:r>
      <w:r w:rsidRPr="006F34CD" w:rsidR="006F34CD">
        <w:t>’</w:t>
      </w:r>
      <w:r w:rsidRPr="006F34CD" w:rsidR="00894AFE">
        <w:t xml:space="preserve">s neighbour” is an essential element of religious freedom (see </w:t>
      </w:r>
      <w:r w:rsidRPr="006F34CD" w:rsidR="00894AFE">
        <w:rPr>
          <w:i/>
        </w:rPr>
        <w:t>Kokkinakis</w:t>
      </w:r>
      <w:r w:rsidRPr="006F34CD" w:rsidR="00894AFE">
        <w:t xml:space="preserve">, cited above, </w:t>
      </w:r>
      <w:r w:rsidRPr="006F34CD" w:rsidR="00F50F6F">
        <w:t>§ 3</w:t>
      </w:r>
      <w:r w:rsidRPr="006F34CD" w:rsidR="00894AFE">
        <w:t xml:space="preserve">1, and </w:t>
      </w:r>
      <w:r w:rsidRPr="006F34CD" w:rsidR="003D07E2">
        <w:rPr>
          <w:i/>
        </w:rPr>
        <w:t>Larissis and Others</w:t>
      </w:r>
      <w:r w:rsidRPr="006F34CD" w:rsidR="003D07E2">
        <w:t xml:space="preserve">, cited above, </w:t>
      </w:r>
      <w:r w:rsidRPr="006F34CD" w:rsidR="00F50F6F">
        <w:t>§ 4</w:t>
      </w:r>
      <w:r w:rsidRPr="006F34CD" w:rsidR="003D07E2">
        <w:t>5</w:t>
      </w:r>
      <w:r w:rsidRPr="006F34CD" w:rsidR="00894AFE">
        <w:t>). In</w:t>
      </w:r>
      <w:r w:rsidRPr="006F34CD" w:rsidR="00397A43">
        <w:t xml:space="preserve"> the </w:t>
      </w:r>
      <w:r w:rsidRPr="006F34CD" w:rsidR="009F4CB9">
        <w:rPr>
          <w:i/>
          <w:iCs/>
        </w:rPr>
        <w:t>Larissis</w:t>
      </w:r>
      <w:r w:rsidRPr="006F34CD" w:rsidR="009F4CB9">
        <w:t xml:space="preserve"> </w:t>
      </w:r>
      <w:r w:rsidRPr="006F34CD" w:rsidR="00397A43">
        <w:t>case</w:t>
      </w:r>
      <w:r w:rsidRPr="006F34CD" w:rsidR="00894AFE">
        <w:t xml:space="preserve"> the Court drew a distinction between the position of servicemen who</w:t>
      </w:r>
      <w:r w:rsidRPr="006F34CD" w:rsidR="00B32B57">
        <w:t xml:space="preserve"> had</w:t>
      </w:r>
      <w:r w:rsidRPr="006F34CD" w:rsidR="00894AFE">
        <w:t xml:space="preserve"> found it difficult to withdraw from religious conversations initiated by their superiors, and that of civilians who </w:t>
      </w:r>
      <w:r w:rsidRPr="006F34CD" w:rsidR="00B32B57">
        <w:t>had</w:t>
      </w:r>
      <w:r w:rsidRPr="006F34CD" w:rsidR="00894AFE">
        <w:t xml:space="preserve"> not </w:t>
      </w:r>
      <w:r w:rsidRPr="006F34CD" w:rsidR="00B32B57">
        <w:t xml:space="preserve">been </w:t>
      </w:r>
      <w:r w:rsidRPr="006F34CD" w:rsidR="00894AFE">
        <w:t xml:space="preserve">subject to pressures and constraints of the same kind as military personnel. The former could be viewed as a form of harassment or the application of improper pressure, whereas the latter would be seen as an innocuous exchange of ideas (see </w:t>
      </w:r>
      <w:r w:rsidRPr="006F34CD" w:rsidR="00894AFE">
        <w:rPr>
          <w:i/>
        </w:rPr>
        <w:t>Larissis</w:t>
      </w:r>
      <w:r w:rsidRPr="006F34CD" w:rsidR="003D07E2">
        <w:rPr>
          <w:i/>
        </w:rPr>
        <w:t xml:space="preserve"> and Others</w:t>
      </w:r>
      <w:r w:rsidRPr="006F34CD" w:rsidR="00894AFE">
        <w:t>, §</w:t>
      </w:r>
      <w:r w:rsidRPr="006F34CD" w:rsidR="00F50F6F">
        <w:t>§ 5</w:t>
      </w:r>
      <w:r w:rsidRPr="006F34CD" w:rsidR="00894AFE">
        <w:t>1, 54, and 59).</w:t>
      </w:r>
    </w:p>
    <w:p w:rsidRPr="006F34CD" w:rsidR="00587DCF" w:rsidP="006F34CD" w:rsidRDefault="00CB6108" w14:paraId="22B5732B" w14:textId="4805CDB5">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169</w:t>
      </w:r>
      <w:r>
        <w:rPr>
          <w:noProof/>
        </w:rPr>
        <w:fldChar w:fldCharType="end"/>
      </w:r>
      <w:r w:rsidRPr="006F34CD" w:rsidR="00B32B57">
        <w:t>.  </w:t>
      </w:r>
      <w:r w:rsidRPr="006F34CD" w:rsidR="00475204">
        <w:t>In the instant case, the discussion about military service took place among conscripts, with Jehovah</w:t>
      </w:r>
      <w:r w:rsidRPr="006F34CD" w:rsidR="006F34CD">
        <w:t>’</w:t>
      </w:r>
      <w:r w:rsidRPr="006F34CD" w:rsidR="00475204">
        <w:t xml:space="preserve">s Witnesses trying to convince others of the virtue of their pacifist beliefs and sharing </w:t>
      </w:r>
      <w:r w:rsidRPr="006F34CD" w:rsidR="009A5D78">
        <w:t xml:space="preserve">their </w:t>
      </w:r>
      <w:r w:rsidRPr="006F34CD" w:rsidR="00475204">
        <w:t xml:space="preserve">religious literature with them. The conscripts were peers, there was no formal hierarchy among them, no superiors </w:t>
      </w:r>
      <w:r w:rsidRPr="006F34CD" w:rsidR="0096204D">
        <w:t>or</w:t>
      </w:r>
      <w:r w:rsidRPr="006F34CD" w:rsidR="00475204">
        <w:t xml:space="preserve"> subordinates. </w:t>
      </w:r>
      <w:r w:rsidRPr="006F34CD" w:rsidR="0089019D">
        <w:t>The domestic courts did not establish that any harassment or improper pressure had been brought to bear on the conscripts who were not Jehovah</w:t>
      </w:r>
      <w:r w:rsidRPr="006F34CD" w:rsidR="006F34CD">
        <w:t>’</w:t>
      </w:r>
      <w:r w:rsidRPr="006F34CD" w:rsidR="0089019D">
        <w:t>s Witnesses. They were free to withdraw from the conversation or refuse to engage with the Jehovah</w:t>
      </w:r>
      <w:r w:rsidRPr="006F34CD" w:rsidR="006F34CD">
        <w:t>’</w:t>
      </w:r>
      <w:r w:rsidRPr="006F34CD" w:rsidR="0089019D">
        <w:t>s Witnesses</w:t>
      </w:r>
      <w:r w:rsidRPr="006F34CD" w:rsidR="006F34CD">
        <w:t>’</w:t>
      </w:r>
      <w:r w:rsidRPr="006F34CD" w:rsidR="0089019D">
        <w:t xml:space="preserve"> arguments. </w:t>
      </w:r>
      <w:r w:rsidRPr="006F34CD" w:rsidR="009A5D78">
        <w:t xml:space="preserve">The religious admonishment to refuse military service </w:t>
      </w:r>
      <w:r w:rsidRPr="006F34CD" w:rsidR="00397A43">
        <w:t>did not break any</w:t>
      </w:r>
      <w:r w:rsidRPr="006F34CD" w:rsidR="009A5D78">
        <w:t xml:space="preserve"> Russian laws and the Jehovah</w:t>
      </w:r>
      <w:r w:rsidRPr="006F34CD" w:rsidR="006F34CD">
        <w:t>’</w:t>
      </w:r>
      <w:r w:rsidRPr="006F34CD" w:rsidR="009A5D78">
        <w:t xml:space="preserve">s Witnesses were entitled to </w:t>
      </w:r>
      <w:r w:rsidRPr="006F34CD" w:rsidR="0089019D">
        <w:t>seek to persuade</w:t>
      </w:r>
      <w:r w:rsidRPr="006F34CD" w:rsidR="009A5D78">
        <w:t xml:space="preserve"> others that they should prefer alternative civilian service</w:t>
      </w:r>
      <w:r w:rsidRPr="006F34CD" w:rsidR="0089019D">
        <w:t xml:space="preserve"> instead</w:t>
      </w:r>
      <w:r w:rsidRPr="006F34CD" w:rsidR="0096204D">
        <w:t xml:space="preserve"> of taking up weapons</w:t>
      </w:r>
      <w:r w:rsidRPr="006F34CD" w:rsidR="009A5D78">
        <w:t>.</w:t>
      </w:r>
    </w:p>
    <w:bookmarkStart w:name="paragraph00170" w:id="159"/>
    <w:p w:rsidRPr="006F34CD" w:rsidR="00587DCF" w:rsidP="006F34CD" w:rsidRDefault="00597D02" w14:paraId="710AF549" w14:textId="4DD5BA31">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170</w:t>
      </w:r>
      <w:r w:rsidRPr="006F34CD">
        <w:rPr>
          <w:noProof/>
        </w:rPr>
        <w:fldChar w:fldCharType="end"/>
      </w:r>
      <w:bookmarkEnd w:id="159"/>
      <w:r w:rsidRPr="006F34CD" w:rsidR="00673990">
        <w:t>.  </w:t>
      </w:r>
      <w:r w:rsidRPr="006F34CD" w:rsidR="009A5D78">
        <w:t xml:space="preserve">For the Court, it is obvious that choosing </w:t>
      </w:r>
      <w:r w:rsidRPr="006F34CD" w:rsidR="0089019D">
        <w:t xml:space="preserve">one </w:t>
      </w:r>
      <w:r w:rsidRPr="006F34CD" w:rsidR="009A5D78">
        <w:t xml:space="preserve">of the two legally available alternatives does not amount to </w:t>
      </w:r>
      <w:r w:rsidRPr="006F34CD" w:rsidR="0089019D">
        <w:t>incitement to</w:t>
      </w:r>
      <w:r w:rsidRPr="006F34CD" w:rsidR="009A5D78">
        <w:t xml:space="preserve"> abandon the civil duties. I</w:t>
      </w:r>
      <w:r w:rsidRPr="006F34CD" w:rsidR="003110C3">
        <w:t xml:space="preserve">n the absence of any evidence of improper pressure, </w:t>
      </w:r>
      <w:r w:rsidRPr="006F34CD" w:rsidR="0089019D">
        <w:t xml:space="preserve">holding the Taganrog LRO responsible for </w:t>
      </w:r>
      <w:r w:rsidRPr="006F34CD" w:rsidR="00673990">
        <w:t>disseminating</w:t>
      </w:r>
      <w:r w:rsidRPr="006F34CD" w:rsidR="0089019D">
        <w:t xml:space="preserve"> pacifist </w:t>
      </w:r>
      <w:r w:rsidRPr="006F34CD" w:rsidR="00673990">
        <w:t>convictions among</w:t>
      </w:r>
      <w:r w:rsidRPr="006F34CD" w:rsidR="00286436">
        <w:t xml:space="preserve"> conscripts also amounted to an impermissible judgment on the legitimacy of Jehovah</w:t>
      </w:r>
      <w:r w:rsidRPr="006F34CD" w:rsidR="006F34CD">
        <w:t>’</w:t>
      </w:r>
      <w:r w:rsidRPr="006F34CD" w:rsidR="00286436">
        <w:t>s Witnesses</w:t>
      </w:r>
      <w:r w:rsidRPr="006F34CD" w:rsidR="006F34CD">
        <w:t>’</w:t>
      </w:r>
      <w:r w:rsidRPr="006F34CD" w:rsidR="00286436">
        <w:t xml:space="preserve"> beliefs</w:t>
      </w:r>
      <w:r w:rsidRPr="006F34CD" w:rsidR="00673990">
        <w:t xml:space="preserve"> and means of their expression</w:t>
      </w:r>
      <w:r w:rsidRPr="006F34CD" w:rsidR="00286436">
        <w:t>.</w:t>
      </w:r>
    </w:p>
    <w:p w:rsidRPr="006F34CD" w:rsidR="001E754B" w:rsidP="006F34CD" w:rsidRDefault="006D7689" w14:paraId="189C6F7F" w14:textId="21270581">
      <w:pPr>
        <w:pStyle w:val="JuHalpha"/>
      </w:pPr>
      <w:bookmarkStart w:name="_Toc97301951" w:id="160"/>
      <w:r w:rsidRPr="006F34CD">
        <w:t>On the involvement of minors</w:t>
      </w:r>
      <w:bookmarkEnd w:id="160"/>
    </w:p>
    <w:p w:rsidRPr="006F34CD" w:rsidR="006D7689" w:rsidP="006F34CD" w:rsidRDefault="006D7689" w14:paraId="446E0878" w14:textId="1D4CC2FA">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171</w:t>
      </w:r>
      <w:r w:rsidRPr="006F34CD">
        <w:rPr>
          <w:lang w:bidi="en-US"/>
        </w:rPr>
        <w:fldChar w:fldCharType="end"/>
      </w:r>
      <w:r w:rsidRPr="006F34CD">
        <w:rPr>
          <w:lang w:bidi="en-US"/>
        </w:rPr>
        <w:t>.  </w:t>
      </w:r>
      <w:r w:rsidRPr="006F34CD" w:rsidR="00673990">
        <w:rPr>
          <w:lang w:bidi="en-US"/>
        </w:rPr>
        <w:t xml:space="preserve">The Rostov court held the Taganrog LRO liable for </w:t>
      </w:r>
      <w:r w:rsidRPr="006F34CD" w:rsidR="00BB561D">
        <w:rPr>
          <w:lang w:bidi="en-US"/>
        </w:rPr>
        <w:t>violating children</w:t>
      </w:r>
      <w:r w:rsidRPr="006F34CD" w:rsidR="006F34CD">
        <w:rPr>
          <w:lang w:bidi="en-US"/>
        </w:rPr>
        <w:t>’</w:t>
      </w:r>
      <w:r w:rsidRPr="006F34CD" w:rsidR="00BB561D">
        <w:rPr>
          <w:lang w:bidi="en-US"/>
        </w:rPr>
        <w:t>s right to leisure and recreation as a result of their participation in</w:t>
      </w:r>
      <w:r w:rsidRPr="006F34CD" w:rsidR="00673990">
        <w:rPr>
          <w:lang w:bidi="en-US"/>
        </w:rPr>
        <w:t xml:space="preserve"> door-to-door preaching and religious meetings</w:t>
      </w:r>
      <w:r w:rsidRPr="006F34CD" w:rsidR="003B4557">
        <w:rPr>
          <w:lang w:bidi="en-US"/>
        </w:rPr>
        <w:t>, despite the objections of a non-religious parent</w:t>
      </w:r>
      <w:r w:rsidRPr="006F34CD" w:rsidR="00673990">
        <w:rPr>
          <w:lang w:bidi="en-US"/>
        </w:rPr>
        <w:t xml:space="preserve">. It also held that the children did not thrive because all recreational activities were taking place “with the participation of other members of the organisation” and because they did not attend any sports, music or hobby groups </w:t>
      </w:r>
      <w:r w:rsidRPr="006F34CD">
        <w:rPr>
          <w:lang w:bidi="en-US"/>
        </w:rPr>
        <w:t xml:space="preserve">(see paragraph </w:t>
      </w:r>
      <w:r w:rsidRPr="006F34CD">
        <w:rPr>
          <w:lang w:bidi="en-US"/>
        </w:rPr>
        <w:fldChar w:fldCharType="begin"/>
      </w:r>
      <w:r w:rsidRPr="006F34CD" w:rsidR="006E5193">
        <w:rPr>
          <w:lang w:bidi="en-US"/>
        </w:rPr>
        <w:instrText xml:space="preserve">REF paragraph00021 \h \* CharFormat </w:instrText>
      </w:r>
      <w:r w:rsidRPr="006F34CD">
        <w:rPr>
          <w:lang w:bidi="en-US"/>
        </w:rPr>
      </w:r>
      <w:r w:rsidRPr="006F34CD">
        <w:rPr>
          <w:lang w:bidi="en-US"/>
        </w:rPr>
        <w:fldChar w:fldCharType="separate"/>
      </w:r>
      <w:r w:rsidRPr="006F34CD" w:rsidR="006F34CD">
        <w:rPr>
          <w:lang w:bidi="en-US"/>
        </w:rPr>
        <w:t>21</w:t>
      </w:r>
      <w:r w:rsidRPr="006F34CD">
        <w:rPr>
          <w:lang w:bidi="en-US"/>
        </w:rPr>
        <w:fldChar w:fldCharType="end"/>
      </w:r>
      <w:r w:rsidRPr="006F34CD">
        <w:rPr>
          <w:lang w:bidi="en-US"/>
        </w:rPr>
        <w:t xml:space="preserve"> above).</w:t>
      </w:r>
    </w:p>
    <w:bookmarkStart w:name="paragraph00172" w:id="161"/>
    <w:p w:rsidRPr="006F34CD" w:rsidR="00DE59AA" w:rsidP="006F34CD" w:rsidRDefault="00DE59AA" w14:paraId="4C47C4D0" w14:textId="740C818E">
      <w:pPr>
        <w:pStyle w:val="JuPara"/>
        <w:rPr>
          <w:iCs/>
        </w:rPr>
      </w:pPr>
      <w:r w:rsidRPr="006F34CD">
        <w:fldChar w:fldCharType="begin"/>
      </w:r>
      <w:r w:rsidRPr="006F34CD">
        <w:instrText xml:space="preserve"> SEQ level0 \*arabic </w:instrText>
      </w:r>
      <w:r w:rsidRPr="006F34CD">
        <w:fldChar w:fldCharType="separate"/>
      </w:r>
      <w:r w:rsidRPr="006F34CD" w:rsidR="006F34CD">
        <w:rPr>
          <w:noProof/>
        </w:rPr>
        <w:t>172</w:t>
      </w:r>
      <w:r w:rsidRPr="006F34CD">
        <w:fldChar w:fldCharType="end"/>
      </w:r>
      <w:bookmarkEnd w:id="161"/>
      <w:r w:rsidRPr="006F34CD">
        <w:t xml:space="preserve">.  The Court </w:t>
      </w:r>
      <w:r w:rsidRPr="006F34CD" w:rsidR="008A2214">
        <w:t xml:space="preserve">has </w:t>
      </w:r>
      <w:r w:rsidRPr="006F34CD" w:rsidR="003B4557">
        <w:t>held</w:t>
      </w:r>
      <w:r w:rsidRPr="006F34CD" w:rsidR="008A2214">
        <w:t xml:space="preserve"> that the decisions of Jehovah</w:t>
      </w:r>
      <w:r w:rsidRPr="006F34CD" w:rsidR="006F34CD">
        <w:t>’</w:t>
      </w:r>
      <w:r w:rsidRPr="006F34CD" w:rsidR="008A2214">
        <w:t>s Witnesses regarding their employment, celebration of events significant to them, and allocation of free time are all matters falling the sphere of “private life” of community members (see</w:t>
      </w:r>
      <w:r w:rsidRPr="006F34CD" w:rsidR="008A2214">
        <w:rPr>
          <w:i/>
        </w:rPr>
        <w:t xml:space="preserve"> Jehovah</w:t>
      </w:r>
      <w:r w:rsidRPr="006F34CD" w:rsidR="006F34CD">
        <w:rPr>
          <w:i/>
        </w:rPr>
        <w:t>’</w:t>
      </w:r>
      <w:r w:rsidRPr="006F34CD" w:rsidR="008A2214">
        <w:rPr>
          <w:i/>
        </w:rPr>
        <w:t>s Witnesses of Moscow and Others</w:t>
      </w:r>
      <w:r w:rsidRPr="006F34CD" w:rsidR="008A2214">
        <w:t xml:space="preserve">, cited above, </w:t>
      </w:r>
      <w:r w:rsidRPr="006F34CD" w:rsidR="00F50F6F">
        <w:t>§ 1</w:t>
      </w:r>
      <w:r w:rsidRPr="006F34CD" w:rsidR="008A2214">
        <w:t>17). I</w:t>
      </w:r>
      <w:r w:rsidRPr="006F34CD">
        <w:t>t is a common feature of many religions that they determine doctrinal standards of behaviour by which their followers must abide in their private lives</w:t>
      </w:r>
      <w:r w:rsidRPr="006F34CD" w:rsidR="008A2214">
        <w:t xml:space="preserve">, including matters such as </w:t>
      </w:r>
      <w:r w:rsidRPr="006F34CD">
        <w:t>attendance at church services, performance of rituals</w:t>
      </w:r>
      <w:r w:rsidRPr="006F34CD" w:rsidR="008A2214">
        <w:t xml:space="preserve">, </w:t>
      </w:r>
      <w:r w:rsidRPr="006F34CD">
        <w:t>wearing specific clothes</w:t>
      </w:r>
      <w:r w:rsidRPr="006F34CD" w:rsidR="008A2214">
        <w:t xml:space="preserve"> or observing </w:t>
      </w:r>
      <w:r w:rsidRPr="006F34CD">
        <w:t>dietary restrictions. Jehovah</w:t>
      </w:r>
      <w:r w:rsidRPr="006F34CD" w:rsidR="006F34CD">
        <w:t>’</w:t>
      </w:r>
      <w:r w:rsidRPr="006F34CD">
        <w:t>s Witnesses</w:t>
      </w:r>
      <w:r w:rsidRPr="006F34CD" w:rsidR="006F34CD">
        <w:t>’</w:t>
      </w:r>
      <w:r w:rsidRPr="006F34CD">
        <w:t xml:space="preserve"> regulations on </w:t>
      </w:r>
      <w:r w:rsidRPr="006F34CD" w:rsidR="008A2214">
        <w:t xml:space="preserve">engaging in door-to-door preaching and attendance at religious meetings are no </w:t>
      </w:r>
      <w:r w:rsidRPr="006F34CD">
        <w:t>different from similar limitations that other religions impose on their followers</w:t>
      </w:r>
      <w:r w:rsidRPr="006F34CD" w:rsidR="006F34CD">
        <w:t>’</w:t>
      </w:r>
      <w:r w:rsidRPr="006F34CD">
        <w:t xml:space="preserve"> private lives. By obeying these precepts in their daily lives, believers manifest their desire to comply strictly with the religious </w:t>
      </w:r>
      <w:r w:rsidRPr="006F34CD" w:rsidR="00B322B1">
        <w:t>doctrine</w:t>
      </w:r>
      <w:r w:rsidRPr="006F34CD">
        <w:t xml:space="preserve"> they profess and their </w:t>
      </w:r>
      <w:r w:rsidRPr="006F34CD" w:rsidR="00B322B1">
        <w:t>freedom</w:t>
      </w:r>
      <w:r w:rsidRPr="006F34CD">
        <w:t xml:space="preserve"> to do so </w:t>
      </w:r>
      <w:r w:rsidRPr="006F34CD" w:rsidR="00A531B2">
        <w:t>is</w:t>
      </w:r>
      <w:r w:rsidRPr="006F34CD">
        <w:t xml:space="preserve"> guaranteed by </w:t>
      </w:r>
      <w:r w:rsidRPr="006F34CD" w:rsidR="00F50F6F">
        <w:t>Article 9</w:t>
      </w:r>
      <w:r w:rsidRPr="006F34CD">
        <w:t xml:space="preserve"> of the Convention </w:t>
      </w:r>
      <w:r w:rsidRPr="006F34CD" w:rsidR="008A2214">
        <w:t xml:space="preserve">(ibid., </w:t>
      </w:r>
      <w:r w:rsidRPr="006F34CD" w:rsidR="00F50F6F">
        <w:t>§ 1</w:t>
      </w:r>
      <w:r w:rsidRPr="006F34CD" w:rsidR="008A2214">
        <w:t>18)</w:t>
      </w:r>
      <w:r w:rsidRPr="006F34CD">
        <w:t>.</w:t>
      </w:r>
      <w:r w:rsidRPr="006F34CD" w:rsidR="00B8177F">
        <w:t xml:space="preserve"> </w:t>
      </w:r>
      <w:r w:rsidRPr="006F34CD" w:rsidR="00B322B1">
        <w:t xml:space="preserve">An interference with that freedom may only be permissible if </w:t>
      </w:r>
      <w:r w:rsidRPr="006F34CD" w:rsidR="00B8177F">
        <w:t>their choices are incompatible with the key principles underlying the Convention, such as polygamous or underage marriage or a flagrant breach of gender equality</w:t>
      </w:r>
      <w:r w:rsidRPr="006F34CD" w:rsidR="00B8177F">
        <w:rPr>
          <w:iCs/>
        </w:rPr>
        <w:t>, or if they are imposed on the believers by force or coercion, against their will (</w:t>
      </w:r>
      <w:r w:rsidRPr="006F34CD" w:rsidR="00B322B1">
        <w:rPr>
          <w:iCs/>
        </w:rPr>
        <w:t>ibid.</w:t>
      </w:r>
      <w:r w:rsidRPr="006F34CD" w:rsidR="00B8177F">
        <w:t xml:space="preserve">, </w:t>
      </w:r>
      <w:r w:rsidRPr="006F34CD" w:rsidR="00F50F6F">
        <w:t>§ 1</w:t>
      </w:r>
      <w:r w:rsidRPr="006F34CD" w:rsidR="00B8177F">
        <w:t>19</w:t>
      </w:r>
      <w:r w:rsidRPr="006F34CD" w:rsidR="00CB464E">
        <w:t>, with further references</w:t>
      </w:r>
      <w:r w:rsidRPr="006F34CD" w:rsidR="00B8177F">
        <w:t>)</w:t>
      </w:r>
      <w:r w:rsidRPr="006F34CD" w:rsidR="00B8177F">
        <w:rPr>
          <w:iCs/>
        </w:rPr>
        <w:t>.</w:t>
      </w:r>
    </w:p>
    <w:p w:rsidRPr="006F34CD" w:rsidR="003B4557" w:rsidP="006F34CD" w:rsidRDefault="00CB6108" w14:paraId="78564038" w14:textId="7A7E6470">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Pr="006F34CD" w:rsidR="006F34CD">
        <w:rPr>
          <w:noProof/>
        </w:rPr>
        <w:t>173</w:t>
      </w:r>
      <w:r>
        <w:rPr>
          <w:noProof/>
        </w:rPr>
        <w:fldChar w:fldCharType="end"/>
      </w:r>
      <w:r w:rsidRPr="006F34CD" w:rsidR="003B4557">
        <w:t xml:space="preserve">.  The Court reiterates that </w:t>
      </w:r>
      <w:r w:rsidRPr="006F34CD" w:rsidR="00F50F6F">
        <w:t>Article 2</w:t>
      </w:r>
      <w:r w:rsidRPr="006F34CD" w:rsidR="003B4557">
        <w:t xml:space="preserve"> of Protocol No. 1 requires the State to respect the rights of parents to ensure education and teaching in conformity with their own religious convictions and that </w:t>
      </w:r>
      <w:r w:rsidRPr="006F34CD" w:rsidR="00F50F6F">
        <w:t>Article 5</w:t>
      </w:r>
      <w:r w:rsidRPr="006F34CD" w:rsidR="003B4557">
        <w:t xml:space="preserve"> of Protocol No. 7 establishes that spouses enjoy equality of rights in their relations with their children. Russia</w:t>
      </w:r>
      <w:r w:rsidRPr="006F34CD" w:rsidR="006F34CD">
        <w:t>’</w:t>
      </w:r>
      <w:r w:rsidRPr="006F34CD" w:rsidR="003B4557">
        <w:t>s Religions Act does not make religious education of children conditional on the existence of an agreement between the parents. Both parents, even in a situation where they adhere to differing doctrines or beliefs, have the right to raise their children in accordance with their religious or non-religious convictions and any disagreements between them in relation to the necessity and extent of the children</w:t>
      </w:r>
      <w:r w:rsidRPr="006F34CD" w:rsidR="006F34CD">
        <w:t>’</w:t>
      </w:r>
      <w:r w:rsidRPr="006F34CD" w:rsidR="003B4557">
        <w:t xml:space="preserve">s participation in religious practices and education are private disputes that are to be resolved according to the procedure established in family law (ibid., </w:t>
      </w:r>
      <w:r w:rsidRPr="006F34CD" w:rsidR="00F50F6F">
        <w:t>§ 1</w:t>
      </w:r>
      <w:r w:rsidRPr="006F34CD" w:rsidR="003B4557">
        <w:t>25).</w:t>
      </w:r>
    </w:p>
    <w:p w:rsidRPr="006F34CD" w:rsidR="00587DCF" w:rsidP="006F34CD" w:rsidRDefault="00CB6108" w14:paraId="79A3DE87" w14:textId="35A61BF7">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174</w:t>
      </w:r>
      <w:r>
        <w:rPr>
          <w:noProof/>
        </w:rPr>
        <w:fldChar w:fldCharType="end"/>
      </w:r>
      <w:r w:rsidRPr="006F34CD" w:rsidR="003B4557">
        <w:t>.  </w:t>
      </w:r>
      <w:r w:rsidRPr="006F34CD" w:rsidR="002B248D">
        <w:t>The Court finds no legal or factual basis for the Regional Court</w:t>
      </w:r>
      <w:r w:rsidRPr="006F34CD" w:rsidR="006F34CD">
        <w:t>’</w:t>
      </w:r>
      <w:r w:rsidRPr="006F34CD" w:rsidR="002B248D">
        <w:t xml:space="preserve">s finding that </w:t>
      </w:r>
      <w:r w:rsidRPr="006F34CD" w:rsidR="00BF27F2">
        <w:t>the</w:t>
      </w:r>
      <w:r w:rsidRPr="006F34CD" w:rsidR="00381E1E">
        <w:t xml:space="preserve"> children</w:t>
      </w:r>
      <w:r w:rsidRPr="006F34CD" w:rsidR="006F34CD">
        <w:t>’</w:t>
      </w:r>
      <w:r w:rsidRPr="006F34CD" w:rsidR="00381E1E">
        <w:t>s</w:t>
      </w:r>
      <w:r w:rsidRPr="006F34CD" w:rsidR="00BF27F2">
        <w:t xml:space="preserve"> alleged lack of </w:t>
      </w:r>
      <w:r w:rsidRPr="006F34CD" w:rsidR="00381E1E">
        <w:t xml:space="preserve">participation </w:t>
      </w:r>
      <w:r w:rsidRPr="006F34CD" w:rsidR="002B248D">
        <w:t xml:space="preserve">in sports, music or hobby groups was </w:t>
      </w:r>
      <w:r w:rsidRPr="006F34CD" w:rsidR="00BF27F2">
        <w:t xml:space="preserve">detrimental to their development or imputable to the Taganrog LRO. </w:t>
      </w:r>
      <w:r w:rsidRPr="006F34CD" w:rsidR="00A519CE">
        <w:t xml:space="preserve">There is no single normative parenting style or mandatory set of parenting practices, and the general conclusion that such are elements of a harmonious development, regardless of the age or circumstances of a child, would normally be supported by evidence of scientific, legal or social consensus, which was not the case here. </w:t>
      </w:r>
      <w:r w:rsidRPr="006F34CD" w:rsidR="00860480">
        <w:t>It is significant that, in reaching its findings, the Regional Court did not hear any evidence from the children themselves and did not identify any instances of abuse, coercion or non-consensual involvement of children in the religious practices.</w:t>
      </w:r>
    </w:p>
    <w:p w:rsidRPr="006F34CD" w:rsidR="00811F9F" w:rsidP="006F34CD" w:rsidRDefault="00CB6108" w14:paraId="03C94DE0" w14:textId="1AC23013">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175</w:t>
      </w:r>
      <w:r>
        <w:rPr>
          <w:noProof/>
        </w:rPr>
        <w:fldChar w:fldCharType="end"/>
      </w:r>
      <w:r w:rsidRPr="006F34CD" w:rsidR="00A519CE">
        <w:t>.  </w:t>
      </w:r>
      <w:r w:rsidRPr="006F34CD" w:rsidR="002B248D">
        <w:t>As long as there is no evidence of abuse</w:t>
      </w:r>
      <w:r w:rsidRPr="006F34CD" w:rsidR="00BF27F2">
        <w:t xml:space="preserve">, </w:t>
      </w:r>
      <w:r w:rsidRPr="006F34CD" w:rsidR="002B248D">
        <w:t>violence</w:t>
      </w:r>
      <w:r w:rsidRPr="006F34CD" w:rsidR="00BF27F2">
        <w:t xml:space="preserve"> or unlawful coercion</w:t>
      </w:r>
      <w:r w:rsidRPr="006F34CD" w:rsidR="002B248D">
        <w:t xml:space="preserve">, </w:t>
      </w:r>
      <w:r w:rsidRPr="006F34CD" w:rsidR="00BF27F2">
        <w:t>decisions</w:t>
      </w:r>
      <w:r w:rsidRPr="006F34CD" w:rsidR="002B248D">
        <w:t xml:space="preserve"> </w:t>
      </w:r>
      <w:r w:rsidRPr="006F34CD" w:rsidR="00381E1E">
        <w:t xml:space="preserve">about </w:t>
      </w:r>
      <w:r w:rsidRPr="006F34CD" w:rsidR="002B248D">
        <w:t xml:space="preserve">whether to give </w:t>
      </w:r>
      <w:r w:rsidRPr="006F34CD" w:rsidR="00381E1E">
        <w:t>a</w:t>
      </w:r>
      <w:r w:rsidRPr="006F34CD" w:rsidR="002B248D">
        <w:t xml:space="preserve"> child a religious or non-religious education, </w:t>
      </w:r>
      <w:r w:rsidRPr="006F34CD" w:rsidR="00381E1E">
        <w:t xml:space="preserve">whether </w:t>
      </w:r>
      <w:r w:rsidRPr="006F34CD" w:rsidR="00BF27F2">
        <w:t>to</w:t>
      </w:r>
      <w:r w:rsidRPr="006F34CD" w:rsidR="002B248D">
        <w:t xml:space="preserve"> involve</w:t>
      </w:r>
      <w:r w:rsidRPr="006F34CD" w:rsidR="00BF27F2">
        <w:t xml:space="preserve"> him or her</w:t>
      </w:r>
      <w:r w:rsidRPr="006F34CD" w:rsidR="002B248D">
        <w:t xml:space="preserve"> in sports, </w:t>
      </w:r>
      <w:r w:rsidRPr="006F34CD" w:rsidR="00A519CE">
        <w:t xml:space="preserve">science, </w:t>
      </w:r>
      <w:r w:rsidRPr="006F34CD" w:rsidR="002B248D">
        <w:t>arts or music</w:t>
      </w:r>
      <w:r w:rsidRPr="006F34CD" w:rsidR="00BF27F2">
        <w:t xml:space="preserve">, </w:t>
      </w:r>
      <w:r w:rsidRPr="006F34CD" w:rsidR="00381E1E">
        <w:t xml:space="preserve">whether </w:t>
      </w:r>
      <w:r w:rsidRPr="006F34CD" w:rsidR="00BF27F2">
        <w:t xml:space="preserve">to </w:t>
      </w:r>
      <w:r w:rsidRPr="006F34CD" w:rsidR="00381E1E">
        <w:t>provide</w:t>
      </w:r>
      <w:r w:rsidRPr="006F34CD" w:rsidR="00BF27F2">
        <w:t xml:space="preserve"> unstructured free time or </w:t>
      </w:r>
      <w:r w:rsidRPr="006F34CD" w:rsidR="00381E1E">
        <w:t>a strict daily routine</w:t>
      </w:r>
      <w:r w:rsidRPr="006F34CD" w:rsidR="00BF27F2">
        <w:t xml:space="preserve">, </w:t>
      </w:r>
      <w:r w:rsidRPr="006F34CD" w:rsidR="00381E1E">
        <w:t xml:space="preserve">and whether to keep company with like-minded people, </w:t>
      </w:r>
      <w:r w:rsidRPr="006F34CD" w:rsidR="00BF27F2">
        <w:t xml:space="preserve">are to be made exclusively </w:t>
      </w:r>
      <w:r w:rsidRPr="006F34CD" w:rsidR="00381E1E">
        <w:t>by</w:t>
      </w:r>
      <w:r w:rsidRPr="006F34CD" w:rsidR="00BF27F2">
        <w:t xml:space="preserve"> the child</w:t>
      </w:r>
      <w:r w:rsidRPr="006F34CD" w:rsidR="006F34CD">
        <w:t>’</w:t>
      </w:r>
      <w:r w:rsidRPr="006F34CD" w:rsidR="00BF27F2">
        <w:t xml:space="preserve">s parents or, as the case may be, the custodial parent. </w:t>
      </w:r>
      <w:r w:rsidRPr="006F34CD" w:rsidR="00381E1E">
        <w:t>Such decisions fall within the sphere of the private and family life which is protected from unjustified State interference.</w:t>
      </w:r>
      <w:r w:rsidRPr="006F34CD" w:rsidR="00811F9F">
        <w:t xml:space="preserve"> It follows that what was taken by the Russian courts to constitute impermissible involvement of minors was in fact a manifestation of the parents</w:t>
      </w:r>
      <w:r w:rsidRPr="006F34CD" w:rsidR="006F34CD">
        <w:t>’</w:t>
      </w:r>
      <w:r w:rsidRPr="006F34CD" w:rsidR="00811F9F">
        <w:t xml:space="preserve"> beliefs in their private lives in the sense protected by </w:t>
      </w:r>
      <w:r w:rsidRPr="006F34CD" w:rsidR="00F50F6F">
        <w:t>Article 9</w:t>
      </w:r>
      <w:r w:rsidRPr="006F34CD" w:rsidR="00811F9F">
        <w:t xml:space="preserve"> (ibid., </w:t>
      </w:r>
      <w:r w:rsidRPr="006F34CD" w:rsidR="00F50F6F">
        <w:t>§ 1</w:t>
      </w:r>
      <w:r w:rsidRPr="006F34CD" w:rsidR="00811F9F">
        <w:t>21).</w:t>
      </w:r>
    </w:p>
    <w:p w:rsidRPr="006F34CD" w:rsidR="00811F9F" w:rsidP="006F34CD" w:rsidRDefault="00811F9F" w14:paraId="5CBD34EF" w14:textId="529D2758">
      <w:pPr>
        <w:pStyle w:val="JuPara"/>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176</w:t>
      </w:r>
      <w:r w:rsidRPr="006F34CD">
        <w:rPr>
          <w:lang w:bidi="en-US"/>
        </w:rPr>
        <w:fldChar w:fldCharType="end"/>
      </w:r>
      <w:r w:rsidRPr="006F34CD">
        <w:rPr>
          <w:lang w:bidi="en-US"/>
        </w:rPr>
        <w:t>.  </w:t>
      </w:r>
      <w:r w:rsidRPr="006F34CD" w:rsidR="00860480">
        <w:rPr>
          <w:lang w:bidi="en-US"/>
        </w:rPr>
        <w:t>Lastly</w:t>
      </w:r>
      <w:r w:rsidRPr="006F34CD">
        <w:rPr>
          <w:lang w:bidi="en-US"/>
        </w:rPr>
        <w:t xml:space="preserve">, the Regional Court </w:t>
      </w:r>
      <w:r w:rsidRPr="006F34CD">
        <w:t>did not give any reasons for the finding that the Taganrog LRO should be held responsible for the parents</w:t>
      </w:r>
      <w:r w:rsidRPr="006F34CD" w:rsidR="006F34CD">
        <w:t>’</w:t>
      </w:r>
      <w:r w:rsidRPr="006F34CD">
        <w:t xml:space="preserve"> decision to involve their children in religious activities. Russia</w:t>
      </w:r>
      <w:r w:rsidRPr="006F34CD" w:rsidR="006F34CD">
        <w:t>’</w:t>
      </w:r>
      <w:r w:rsidRPr="006F34CD">
        <w:t>s Religions Act prohibits those who are not parents or substitute parents from coercing a child into participation in religious practices or education (ibid., §</w:t>
      </w:r>
      <w:r w:rsidRPr="006F34CD" w:rsidR="00F50F6F">
        <w:t>§ 7</w:t>
      </w:r>
      <w:r w:rsidRPr="006F34CD">
        <w:t>3 and</w:t>
      </w:r>
      <w:r w:rsidRPr="006F34CD" w:rsidR="001621EE">
        <w:t> </w:t>
      </w:r>
      <w:r w:rsidRPr="006F34CD">
        <w:t xml:space="preserve">124). In holding the Taganrog LRO responsible, the </w:t>
      </w:r>
      <w:r w:rsidRPr="006F34CD" w:rsidR="00110D29">
        <w:t>Regional Court</w:t>
      </w:r>
      <w:r w:rsidRPr="006F34CD">
        <w:t xml:space="preserve"> did not point to any evidence showing that the organisation itself or any non-parent members of the organisation had resorted to improper methods for involving minors in its activities, whether against their own will or that of their parents. </w:t>
      </w:r>
      <w:r w:rsidRPr="006F34CD" w:rsidR="00A16EE1">
        <w:t xml:space="preserve">On </w:t>
      </w:r>
      <w:r w:rsidRPr="006F34CD">
        <w:t>the contrary, the involvement of children in the community</w:t>
      </w:r>
      <w:r w:rsidRPr="006F34CD" w:rsidR="006F34CD">
        <w:t>’</w:t>
      </w:r>
      <w:r w:rsidRPr="006F34CD">
        <w:t>s religious life appears to have been approved and encouraged by one of the parents who had been a Jehovah</w:t>
      </w:r>
      <w:r w:rsidRPr="006F34CD" w:rsidR="006F34CD">
        <w:t>’</w:t>
      </w:r>
      <w:r w:rsidRPr="006F34CD">
        <w:t xml:space="preserve">s Witness himself or herself. Thus, the situation which had been imputed to the </w:t>
      </w:r>
      <w:r w:rsidRPr="006F34CD" w:rsidR="00860480">
        <w:t>organisation</w:t>
      </w:r>
      <w:r w:rsidRPr="006F34CD">
        <w:t xml:space="preserve"> had not actually been related </w:t>
      </w:r>
      <w:r w:rsidRPr="006F34CD" w:rsidR="00860480">
        <w:t>to anything the organisation did or did not do</w:t>
      </w:r>
      <w:r w:rsidRPr="006F34CD">
        <w:t>, but to the actions of its individual members who were parents of those children</w:t>
      </w:r>
      <w:r w:rsidRPr="006F34CD" w:rsidR="00110D29">
        <w:t xml:space="preserve"> (ibid., </w:t>
      </w:r>
      <w:r w:rsidRPr="006F34CD" w:rsidR="00F50F6F">
        <w:t>§ 1</w:t>
      </w:r>
      <w:r w:rsidRPr="006F34CD" w:rsidR="00110D29">
        <w:t>24).</w:t>
      </w:r>
    </w:p>
    <w:p w:rsidRPr="006F34CD" w:rsidR="00DF025B" w:rsidP="006F34CD" w:rsidRDefault="00DF025B" w14:paraId="61A49541" w14:textId="77777777">
      <w:pPr>
        <w:pStyle w:val="JuHalpha"/>
      </w:pPr>
      <w:bookmarkStart w:name="_Toc97301952" w:id="162"/>
      <w:r w:rsidRPr="006F34CD">
        <w:t>On the destruction of family</w:t>
      </w:r>
      <w:r w:rsidRPr="006F34CD" w:rsidR="00AD08CD">
        <w:t xml:space="preserve"> relationships</w:t>
      </w:r>
      <w:bookmarkEnd w:id="162"/>
    </w:p>
    <w:p w:rsidRPr="006F34CD" w:rsidR="00DF025B" w:rsidP="006F34CD" w:rsidRDefault="00DF025B" w14:paraId="01FED60E" w14:textId="44E4FFAA">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177</w:t>
      </w:r>
      <w:r w:rsidRPr="006F34CD">
        <w:rPr>
          <w:lang w:bidi="en-US"/>
        </w:rPr>
        <w:fldChar w:fldCharType="end"/>
      </w:r>
      <w:r w:rsidRPr="006F34CD">
        <w:rPr>
          <w:lang w:bidi="en-US"/>
        </w:rPr>
        <w:t>.  </w:t>
      </w:r>
      <w:r w:rsidRPr="006F34CD" w:rsidR="00860480">
        <w:rPr>
          <w:lang w:bidi="en-US"/>
        </w:rPr>
        <w:t xml:space="preserve">The </w:t>
      </w:r>
      <w:r w:rsidRPr="006F34CD" w:rsidR="00B5259B">
        <w:rPr>
          <w:lang w:bidi="en-US"/>
        </w:rPr>
        <w:t>Rostov court</w:t>
      </w:r>
      <w:r w:rsidRPr="006F34CD" w:rsidR="00860480">
        <w:rPr>
          <w:lang w:bidi="en-US"/>
        </w:rPr>
        <w:t xml:space="preserve"> found that the Taganrog LRO encouraged </w:t>
      </w:r>
      <w:r w:rsidRPr="006F34CD" w:rsidR="00537BC1">
        <w:rPr>
          <w:lang w:bidi="en-US"/>
        </w:rPr>
        <w:t>the</w:t>
      </w:r>
      <w:r w:rsidRPr="006F34CD" w:rsidR="00860480">
        <w:rPr>
          <w:lang w:bidi="en-US"/>
        </w:rPr>
        <w:t xml:space="preserve"> “destruction of family relations</w:t>
      </w:r>
      <w:r w:rsidRPr="006F34CD" w:rsidR="00537BC1">
        <w:rPr>
          <w:lang w:bidi="en-US"/>
        </w:rPr>
        <w:t>hips</w:t>
      </w:r>
      <w:r w:rsidRPr="006F34CD" w:rsidR="00860480">
        <w:rPr>
          <w:lang w:bidi="en-US"/>
        </w:rPr>
        <w:t xml:space="preserve">” </w:t>
      </w:r>
      <w:r w:rsidRPr="006F34CD" w:rsidR="00537BC1">
        <w:rPr>
          <w:lang w:bidi="en-US"/>
        </w:rPr>
        <w:t xml:space="preserve">in that it had </w:t>
      </w:r>
      <w:r w:rsidRPr="006F34CD" w:rsidR="00AD08CD">
        <w:rPr>
          <w:lang w:bidi="en-US"/>
        </w:rPr>
        <w:t>forced</w:t>
      </w:r>
      <w:r w:rsidRPr="006F34CD" w:rsidR="00537BC1">
        <w:rPr>
          <w:lang w:bidi="en-US"/>
        </w:rPr>
        <w:t xml:space="preserve"> the families of its members to break up </w:t>
      </w:r>
      <w:r w:rsidRPr="006F34CD">
        <w:rPr>
          <w:lang w:bidi="en-US"/>
        </w:rPr>
        <w:t xml:space="preserve">(see paragraph </w:t>
      </w:r>
      <w:r w:rsidRPr="006F34CD">
        <w:rPr>
          <w:lang w:bidi="en-US"/>
        </w:rPr>
        <w:fldChar w:fldCharType="begin"/>
      </w:r>
      <w:r w:rsidRPr="006F34CD" w:rsidR="006E5193">
        <w:rPr>
          <w:lang w:bidi="en-US"/>
        </w:rPr>
        <w:instrText xml:space="preserve">REF paragraph00022 \h \* CharFormat </w:instrText>
      </w:r>
      <w:r w:rsidRPr="006F34CD">
        <w:rPr>
          <w:lang w:bidi="en-US"/>
        </w:rPr>
      </w:r>
      <w:r w:rsidRPr="006F34CD">
        <w:rPr>
          <w:lang w:bidi="en-US"/>
        </w:rPr>
        <w:fldChar w:fldCharType="separate"/>
      </w:r>
      <w:r w:rsidRPr="006F34CD" w:rsidR="006F34CD">
        <w:rPr>
          <w:lang w:bidi="en-US"/>
        </w:rPr>
        <w:t>22</w:t>
      </w:r>
      <w:r w:rsidRPr="006F34CD">
        <w:rPr>
          <w:lang w:bidi="en-US"/>
        </w:rPr>
        <w:fldChar w:fldCharType="end"/>
      </w:r>
      <w:r w:rsidRPr="006F34CD">
        <w:rPr>
          <w:lang w:bidi="en-US"/>
        </w:rPr>
        <w:t xml:space="preserve"> above).</w:t>
      </w:r>
    </w:p>
    <w:p w:rsidRPr="006F34CD" w:rsidR="00860480" w:rsidP="006F34CD" w:rsidRDefault="00860480" w14:paraId="286678BB" w14:textId="1D87BF5D">
      <w:pPr>
        <w:pStyle w:val="JuPara"/>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178</w:t>
      </w:r>
      <w:r w:rsidRPr="006F34CD">
        <w:rPr>
          <w:lang w:bidi="en-US"/>
        </w:rPr>
        <w:fldChar w:fldCharType="end"/>
      </w:r>
      <w:r w:rsidRPr="006F34CD">
        <w:rPr>
          <w:lang w:bidi="en-US"/>
        </w:rPr>
        <w:t>.  </w:t>
      </w:r>
      <w:r w:rsidRPr="006F34CD" w:rsidR="00AD08CD">
        <w:t xml:space="preserve">The Court has previously found, in relation of </w:t>
      </w:r>
      <w:r w:rsidRPr="006F34CD" w:rsidR="00892ABB">
        <w:t xml:space="preserve">a </w:t>
      </w:r>
      <w:r w:rsidRPr="006F34CD" w:rsidR="00AD08CD">
        <w:t>similar charge, that</w:t>
      </w:r>
      <w:r w:rsidRPr="006F34CD" w:rsidR="005714D0">
        <w:t>,</w:t>
      </w:r>
      <w:r w:rsidRPr="006F34CD" w:rsidR="00AD08CD">
        <w:t xml:space="preserve"> in so far as the Russian courts did not give examples of any coercive, forceful or threatening action on the part of the </w:t>
      </w:r>
      <w:r w:rsidRPr="006F34CD" w:rsidR="00AD08CD">
        <w:rPr>
          <w:lang w:bidi="en-US"/>
        </w:rPr>
        <w:t>applicant organisation</w:t>
      </w:r>
      <w:r w:rsidRPr="006F34CD" w:rsidR="00AD08CD">
        <w:t>, what was taken by the courts to constitute “coercion into destroying the family” was the frustration that non-Witness family members experienced as a consequence of disagreements over the manner in which their Witness relatives decided to organise their lives in accordance with the religious precepts, and their increasing isolation resulting from having been left outside the life of the community to which their Witness relatives adhered. It is a known fact that a religious way of life requires from its followers both abidance by religious rules and self-dedication to religious work that can take up a significant portion of the believer</w:t>
      </w:r>
      <w:r w:rsidRPr="006F34CD" w:rsidR="006F34CD">
        <w:t>’</w:t>
      </w:r>
      <w:r w:rsidRPr="006F34CD" w:rsidR="00AD08CD">
        <w:t>s time. Nevertheless, as long as self-dedication to religious matters is the product of the believer</w:t>
      </w:r>
      <w:r w:rsidRPr="006F34CD" w:rsidR="006F34CD">
        <w:t>’</w:t>
      </w:r>
      <w:r w:rsidRPr="006F34CD" w:rsidR="00AD08CD">
        <w:t xml:space="preserve">s independent and free decision and however unhappy his or her family members may </w:t>
      </w:r>
      <w:r w:rsidRPr="006F34CD" w:rsidR="00892ABB">
        <w:t xml:space="preserve">feel </w:t>
      </w:r>
      <w:r w:rsidRPr="006F34CD" w:rsidR="00AD08CD">
        <w:t>about that decision, the ensuing estrangement cannot be taken to mean that the religion caused the break-up in the family. Quite often, the opposite is true: it is the resistance and unwillingness of non</w:t>
      </w:r>
      <w:r w:rsidRPr="006F34CD" w:rsidR="00AC1B15">
        <w:noBreakHyphen/>
      </w:r>
      <w:r w:rsidRPr="006F34CD" w:rsidR="00AD08CD">
        <w:t>religious family members to accept and to respect their religious relative</w:t>
      </w:r>
      <w:r w:rsidRPr="006F34CD" w:rsidR="006F34CD">
        <w:t>’</w:t>
      </w:r>
      <w:r w:rsidRPr="006F34CD" w:rsidR="00AD08CD">
        <w:t>s freedom to manifest and practise his or her religion that is the source of conflict. It is true that friction often exists in marriages where the spouses belong to different religious denominations or one of the spouses is a non-believer. However, this situation is common to all mixed-belief marriages and Jehovah</w:t>
      </w:r>
      <w:r w:rsidRPr="006F34CD" w:rsidR="006F34CD">
        <w:t>’</w:t>
      </w:r>
      <w:r w:rsidRPr="006F34CD" w:rsidR="00AD08CD">
        <w:t>s Witnesses are no exception (ibid., §</w:t>
      </w:r>
      <w:r w:rsidRPr="006F34CD" w:rsidR="00F50F6F">
        <w:t>§ 1</w:t>
      </w:r>
      <w:r w:rsidRPr="006F34CD" w:rsidR="00AD08CD">
        <w:t>10-11).</w:t>
      </w:r>
    </w:p>
    <w:p w:rsidRPr="006F34CD" w:rsidR="00587DCF" w:rsidP="006F34CD" w:rsidRDefault="000769BF" w14:paraId="00B6DF74" w14:textId="523D369D">
      <w:pPr>
        <w:pStyle w:val="JuPara"/>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179</w:t>
      </w:r>
      <w:r w:rsidRPr="006F34CD">
        <w:rPr>
          <w:lang w:bidi="en-US"/>
        </w:rPr>
        <w:fldChar w:fldCharType="end"/>
      </w:r>
      <w:r w:rsidRPr="006F34CD">
        <w:rPr>
          <w:lang w:bidi="en-US"/>
        </w:rPr>
        <w:t>.  </w:t>
      </w:r>
      <w:r w:rsidRPr="006F34CD" w:rsidR="00945F93">
        <w:rPr>
          <w:lang w:bidi="en-US"/>
        </w:rPr>
        <w:t>The Court is not satisfied that the Regional Court</w:t>
      </w:r>
      <w:r w:rsidRPr="006F34CD" w:rsidR="006F34CD">
        <w:rPr>
          <w:lang w:bidi="en-US"/>
        </w:rPr>
        <w:t>’</w:t>
      </w:r>
      <w:r w:rsidRPr="006F34CD" w:rsidR="00945F93">
        <w:rPr>
          <w:lang w:bidi="en-US"/>
        </w:rPr>
        <w:t>s findings were based on an acceptable assessment of facts.</w:t>
      </w:r>
      <w:r w:rsidRPr="006F34CD" w:rsidR="00816351">
        <w:t xml:space="preserve"> There was nothing to indicate that the </w:t>
      </w:r>
      <w:r w:rsidRPr="006F34CD" w:rsidR="00816351">
        <w:rPr>
          <w:lang w:bidi="en-US"/>
        </w:rPr>
        <w:t xml:space="preserve">religious organisation </w:t>
      </w:r>
      <w:r w:rsidRPr="006F34CD" w:rsidR="00816351">
        <w:t>had made any demands on its members as a condition for continuing their family relationship or, in the other sense, that it had imposed any kind of condition or made any demands on non-Witness members of the families of its followers under threat of breaking up their family relationship.</w:t>
      </w:r>
    </w:p>
    <w:p w:rsidRPr="006F34CD" w:rsidR="00587DCF" w:rsidP="006F34CD" w:rsidRDefault="00CB6108" w14:paraId="5D1531D7" w14:textId="2870A9B4">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180</w:t>
      </w:r>
      <w:r>
        <w:rPr>
          <w:noProof/>
        </w:rPr>
        <w:fldChar w:fldCharType="end"/>
      </w:r>
      <w:r w:rsidRPr="006F34CD" w:rsidR="005C3354">
        <w:t>.  </w:t>
      </w:r>
      <w:r w:rsidRPr="006F34CD" w:rsidR="001A7E16">
        <w:t>In addition, t</w:t>
      </w:r>
      <w:r w:rsidRPr="006F34CD" w:rsidR="005D6640">
        <w:t xml:space="preserve">he way </w:t>
      </w:r>
      <w:r w:rsidRPr="006F34CD" w:rsidR="001A7E16">
        <w:t xml:space="preserve">in which </w:t>
      </w:r>
      <w:r w:rsidRPr="006F34CD" w:rsidR="005D6640">
        <w:t xml:space="preserve">the Regional Court </w:t>
      </w:r>
      <w:r w:rsidRPr="006F34CD" w:rsidR="001A7E16">
        <w:t>dealt</w:t>
      </w:r>
      <w:r w:rsidRPr="006F34CD" w:rsidR="005D6640">
        <w:t xml:space="preserve"> </w:t>
      </w:r>
      <w:r w:rsidRPr="006F34CD" w:rsidR="00107698">
        <w:t xml:space="preserve">with </w:t>
      </w:r>
      <w:r w:rsidRPr="006F34CD" w:rsidR="005D6640">
        <w:t xml:space="preserve">witness evidence </w:t>
      </w:r>
      <w:r w:rsidRPr="006F34CD" w:rsidR="001A7E16">
        <w:t>was tainted by</w:t>
      </w:r>
      <w:r w:rsidRPr="006F34CD" w:rsidR="005D6640">
        <w:t xml:space="preserve"> bias against Jehovah</w:t>
      </w:r>
      <w:r w:rsidRPr="006F34CD" w:rsidR="006F34CD">
        <w:t>’</w:t>
      </w:r>
      <w:r w:rsidRPr="006F34CD" w:rsidR="005D6640">
        <w:t>s Witnesses. It</w:t>
      </w:r>
      <w:r w:rsidRPr="006F34CD" w:rsidR="001A7E16">
        <w:t xml:space="preserve">s decision on the credibility of testimony had nothing to do with its factual accuracy but referred, as </w:t>
      </w:r>
      <w:r w:rsidRPr="006F34CD" w:rsidR="005C4E43">
        <w:t>the sole criterion</w:t>
      </w:r>
      <w:r w:rsidRPr="006F34CD" w:rsidR="001A7E16">
        <w:t xml:space="preserve">, to </w:t>
      </w:r>
      <w:r w:rsidRPr="006F34CD" w:rsidR="005C4E43">
        <w:t>the witnesses</w:t>
      </w:r>
      <w:r w:rsidRPr="006F34CD" w:rsidR="006F34CD">
        <w:t>’</w:t>
      </w:r>
      <w:r w:rsidRPr="006F34CD" w:rsidR="001A7E16">
        <w:t xml:space="preserve"> affiliation with</w:t>
      </w:r>
      <w:r w:rsidRPr="006F34CD" w:rsidR="005C4E43">
        <w:t xml:space="preserve"> the religion of Jehovah</w:t>
      </w:r>
      <w:r w:rsidRPr="006F34CD" w:rsidR="006F34CD">
        <w:t>’</w:t>
      </w:r>
      <w:r w:rsidRPr="006F34CD" w:rsidR="005C4E43">
        <w:t xml:space="preserve">s Witnesses. </w:t>
      </w:r>
      <w:r w:rsidRPr="006F34CD" w:rsidR="001A7E16">
        <w:t>T</w:t>
      </w:r>
      <w:r w:rsidRPr="006F34CD" w:rsidR="005C4E43">
        <w:t xml:space="preserve">he evidence of a harmonious family life </w:t>
      </w:r>
      <w:r w:rsidRPr="006F34CD" w:rsidR="001A7E16">
        <w:t>given</w:t>
      </w:r>
      <w:r w:rsidRPr="006F34CD" w:rsidR="005C4E43">
        <w:t xml:space="preserve"> by four Jehovah</w:t>
      </w:r>
      <w:r w:rsidRPr="006F34CD" w:rsidR="006F34CD">
        <w:t>’</w:t>
      </w:r>
      <w:r w:rsidRPr="006F34CD" w:rsidR="005C4E43">
        <w:t xml:space="preserve">s Witnesses and </w:t>
      </w:r>
      <w:r w:rsidRPr="006F34CD" w:rsidR="001A7E16">
        <w:t>the</w:t>
      </w:r>
      <w:r w:rsidRPr="006F34CD" w:rsidR="005C4E43">
        <w:t xml:space="preserve"> non-religious spouse of a Jehovah</w:t>
      </w:r>
      <w:r w:rsidRPr="006F34CD" w:rsidR="006F34CD">
        <w:t>’</w:t>
      </w:r>
      <w:r w:rsidRPr="006F34CD" w:rsidR="005C4E43">
        <w:t xml:space="preserve">s Witness had not been shown to be </w:t>
      </w:r>
      <w:r w:rsidRPr="006F34CD" w:rsidR="00107698">
        <w:t>untrue</w:t>
      </w:r>
      <w:r w:rsidRPr="006F34CD" w:rsidR="001A7E16">
        <w:t xml:space="preserve">. However, the Regional Court refused to accept it, finding the members of the Taganrog LRO to be inherently unreliable witnesses, while at the same time accepting </w:t>
      </w:r>
      <w:r w:rsidRPr="006F34CD" w:rsidR="009C64F8">
        <w:t xml:space="preserve">as reliable </w:t>
      </w:r>
      <w:r w:rsidRPr="006F34CD" w:rsidR="001A7E16">
        <w:t xml:space="preserve">the evidence from </w:t>
      </w:r>
      <w:r w:rsidRPr="006F34CD" w:rsidR="009C64F8">
        <w:t>the aggrieved</w:t>
      </w:r>
      <w:r w:rsidRPr="006F34CD" w:rsidR="001A7E16">
        <w:t xml:space="preserve"> non-believer spouses and a member of an Orthodox entity</w:t>
      </w:r>
      <w:r w:rsidRPr="006F34CD" w:rsidR="00D80748">
        <w:t xml:space="preserve"> (see paragraph </w:t>
      </w:r>
      <w:r w:rsidRPr="006F34CD" w:rsidR="00D80748">
        <w:fldChar w:fldCharType="begin"/>
      </w:r>
      <w:r w:rsidRPr="006F34CD" w:rsidR="006E5193">
        <w:instrText xml:space="preserve">REF paragraph00022 \h \* CharFormat </w:instrText>
      </w:r>
      <w:r w:rsidRPr="006F34CD" w:rsidR="00D80748">
        <w:fldChar w:fldCharType="separate"/>
      </w:r>
      <w:r w:rsidRPr="006F34CD" w:rsidR="006F34CD">
        <w:t>22</w:t>
      </w:r>
      <w:r w:rsidRPr="006F34CD" w:rsidR="00D80748">
        <w:fldChar w:fldCharType="end"/>
      </w:r>
      <w:r w:rsidRPr="006F34CD" w:rsidR="00D80748">
        <w:t xml:space="preserve"> above)</w:t>
      </w:r>
      <w:r w:rsidRPr="006F34CD" w:rsidR="001A7E16">
        <w:t>.</w:t>
      </w:r>
    </w:p>
    <w:p w:rsidRPr="006F34CD" w:rsidR="00DF025B" w:rsidP="006F34CD" w:rsidRDefault="00DF025B" w14:paraId="239E589A" w14:textId="02A7091C">
      <w:pPr>
        <w:pStyle w:val="JuHalpha"/>
      </w:pPr>
      <w:bookmarkStart w:name="_Toc97301953" w:id="163"/>
      <w:r w:rsidRPr="006F34CD">
        <w:t>On the encroachment o</w:t>
      </w:r>
      <w:r w:rsidRPr="006F34CD" w:rsidR="008E5B54">
        <w:t>n</w:t>
      </w:r>
      <w:r w:rsidRPr="006F34CD">
        <w:t xml:space="preserve"> the rights of others</w:t>
      </w:r>
      <w:bookmarkEnd w:id="163"/>
    </w:p>
    <w:p w:rsidRPr="006F34CD" w:rsidR="00DF025B" w:rsidP="006F34CD" w:rsidRDefault="00DF025B" w14:paraId="0CB9E0B1" w14:textId="60B25F4F">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181</w:t>
      </w:r>
      <w:r w:rsidRPr="006F34CD">
        <w:rPr>
          <w:lang w:bidi="en-US"/>
        </w:rPr>
        <w:fldChar w:fldCharType="end"/>
      </w:r>
      <w:r w:rsidRPr="006F34CD">
        <w:rPr>
          <w:lang w:bidi="en-US"/>
        </w:rPr>
        <w:t>.  </w:t>
      </w:r>
      <w:r w:rsidRPr="006F34CD" w:rsidR="00363FEF">
        <w:rPr>
          <w:lang w:bidi="en-US"/>
        </w:rPr>
        <w:t xml:space="preserve">Lastly, the </w:t>
      </w:r>
      <w:r w:rsidRPr="006F34CD" w:rsidR="00B5259B">
        <w:rPr>
          <w:lang w:bidi="en-US"/>
        </w:rPr>
        <w:t>Rostov court</w:t>
      </w:r>
      <w:r w:rsidRPr="006F34CD" w:rsidR="00363FEF">
        <w:rPr>
          <w:lang w:bidi="en-US"/>
        </w:rPr>
        <w:t xml:space="preserve"> </w:t>
      </w:r>
      <w:r w:rsidRPr="006F34CD" w:rsidR="00B5259B">
        <w:rPr>
          <w:lang w:bidi="en-US"/>
        </w:rPr>
        <w:t>established</w:t>
      </w:r>
      <w:r w:rsidRPr="006F34CD" w:rsidR="00363FEF">
        <w:rPr>
          <w:lang w:bidi="en-US"/>
        </w:rPr>
        <w:t xml:space="preserve"> that the Taganrog LRO had encroached on the rights of its members by determining how they were spending their free time and prohibiting them from celebrating holidays and birthdays. It also encroached on the rights of those whom Jehovah</w:t>
      </w:r>
      <w:r w:rsidRPr="006F34CD" w:rsidR="006F34CD">
        <w:rPr>
          <w:lang w:bidi="en-US"/>
        </w:rPr>
        <w:t>’</w:t>
      </w:r>
      <w:r w:rsidRPr="006F34CD" w:rsidR="00363FEF">
        <w:rPr>
          <w:lang w:bidi="en-US"/>
        </w:rPr>
        <w:t xml:space="preserve">s Witnesses had visited at their homes without invitation </w:t>
      </w:r>
      <w:r w:rsidRPr="006F34CD">
        <w:rPr>
          <w:lang w:bidi="en-US"/>
        </w:rPr>
        <w:t xml:space="preserve">(see paragraph </w:t>
      </w:r>
      <w:r w:rsidRPr="006F34CD">
        <w:rPr>
          <w:lang w:bidi="en-US"/>
        </w:rPr>
        <w:fldChar w:fldCharType="begin"/>
      </w:r>
      <w:r w:rsidRPr="006F34CD" w:rsidR="006E5193">
        <w:rPr>
          <w:lang w:bidi="en-US"/>
        </w:rPr>
        <w:instrText xml:space="preserve">REF paragraph00023 \h \* CharFormat </w:instrText>
      </w:r>
      <w:r w:rsidRPr="006F34CD">
        <w:rPr>
          <w:lang w:bidi="en-US"/>
        </w:rPr>
      </w:r>
      <w:r w:rsidRPr="006F34CD">
        <w:rPr>
          <w:lang w:bidi="en-US"/>
        </w:rPr>
        <w:fldChar w:fldCharType="separate"/>
      </w:r>
      <w:r w:rsidRPr="006F34CD" w:rsidR="006F34CD">
        <w:rPr>
          <w:lang w:bidi="en-US"/>
        </w:rPr>
        <w:t>23</w:t>
      </w:r>
      <w:r w:rsidRPr="006F34CD">
        <w:rPr>
          <w:lang w:bidi="en-US"/>
        </w:rPr>
        <w:fldChar w:fldCharType="end"/>
      </w:r>
      <w:r w:rsidRPr="006F34CD">
        <w:rPr>
          <w:lang w:bidi="en-US"/>
        </w:rPr>
        <w:t xml:space="preserve"> above).</w:t>
      </w:r>
    </w:p>
    <w:p w:rsidRPr="006F34CD" w:rsidR="00363FEF" w:rsidP="006F34CD" w:rsidRDefault="00363FEF" w14:paraId="51EDAA7C" w14:textId="0EA0A1A2">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182</w:t>
      </w:r>
      <w:r w:rsidRPr="006F34CD">
        <w:rPr>
          <w:lang w:bidi="en-US"/>
        </w:rPr>
        <w:fldChar w:fldCharType="end"/>
      </w:r>
      <w:r w:rsidRPr="006F34CD">
        <w:rPr>
          <w:lang w:bidi="en-US"/>
        </w:rPr>
        <w:t xml:space="preserve">.  On the first </w:t>
      </w:r>
      <w:r w:rsidRPr="006F34CD" w:rsidR="00107698">
        <w:rPr>
          <w:lang w:bidi="en-US"/>
        </w:rPr>
        <w:t>limb</w:t>
      </w:r>
      <w:r w:rsidRPr="006F34CD">
        <w:rPr>
          <w:lang w:bidi="en-US"/>
        </w:rPr>
        <w:t xml:space="preserve"> of the charge, the Court reiterates that the right of </w:t>
      </w:r>
      <w:r w:rsidRPr="006F34CD" w:rsidR="00DB75AC">
        <w:rPr>
          <w:lang w:bidi="en-US"/>
        </w:rPr>
        <w:t>Jehovah</w:t>
      </w:r>
      <w:r w:rsidRPr="006F34CD" w:rsidR="006F34CD">
        <w:rPr>
          <w:lang w:bidi="en-US"/>
        </w:rPr>
        <w:t>’</w:t>
      </w:r>
      <w:r w:rsidRPr="006F34CD" w:rsidR="00DB75AC">
        <w:rPr>
          <w:lang w:bidi="en-US"/>
        </w:rPr>
        <w:t>s Witnesses</w:t>
      </w:r>
      <w:r w:rsidRPr="006F34CD">
        <w:rPr>
          <w:lang w:bidi="en-US"/>
        </w:rPr>
        <w:t xml:space="preserve"> to </w:t>
      </w:r>
      <w:r w:rsidRPr="006F34CD" w:rsidR="00946C93">
        <w:rPr>
          <w:lang w:bidi="en-US"/>
        </w:rPr>
        <w:t xml:space="preserve">organise their lives, including their daily routines, in accordance with the precepts of their religion is protected by </w:t>
      </w:r>
      <w:r w:rsidRPr="006F34CD" w:rsidR="00F50F6F">
        <w:rPr>
          <w:lang w:bidi="en-US"/>
        </w:rPr>
        <w:t>Article 9</w:t>
      </w:r>
      <w:r w:rsidRPr="006F34CD" w:rsidR="00946C93">
        <w:rPr>
          <w:lang w:bidi="en-US"/>
        </w:rPr>
        <w:t xml:space="preserve"> of the Convention (see paragraph </w:t>
      </w:r>
      <w:r w:rsidRPr="006F34CD" w:rsidR="00946C93">
        <w:rPr>
          <w:lang w:bidi="en-US"/>
        </w:rPr>
        <w:fldChar w:fldCharType="begin"/>
      </w:r>
      <w:r w:rsidRPr="006F34CD" w:rsidR="006E5193">
        <w:rPr>
          <w:lang w:bidi="en-US"/>
        </w:rPr>
        <w:instrText xml:space="preserve">REF paragraph00172 \h \* CharFormat </w:instrText>
      </w:r>
      <w:r w:rsidRPr="006F34CD" w:rsidR="00946C93">
        <w:rPr>
          <w:lang w:bidi="en-US"/>
        </w:rPr>
      </w:r>
      <w:r w:rsidRPr="006F34CD" w:rsidR="00946C93">
        <w:rPr>
          <w:lang w:bidi="en-US"/>
        </w:rPr>
        <w:fldChar w:fldCharType="separate"/>
      </w:r>
      <w:r w:rsidRPr="006F34CD" w:rsidR="006F34CD">
        <w:rPr>
          <w:lang w:bidi="en-US"/>
        </w:rPr>
        <w:t>172</w:t>
      </w:r>
      <w:r w:rsidRPr="006F34CD" w:rsidR="00946C93">
        <w:rPr>
          <w:lang w:bidi="en-US"/>
        </w:rPr>
        <w:fldChar w:fldCharType="end"/>
      </w:r>
      <w:r w:rsidRPr="006F34CD" w:rsidR="00946C93">
        <w:rPr>
          <w:lang w:bidi="en-US"/>
        </w:rPr>
        <w:t xml:space="preserve"> above). </w:t>
      </w:r>
      <w:r w:rsidRPr="006F34CD" w:rsidR="00946C93">
        <w:t xml:space="preserve">The Russian courts did not cite any evidence showing that members of the Taganrog LRO had been forced or prevailed upon to devote their free time to preaching </w:t>
      </w:r>
      <w:r w:rsidRPr="006F34CD" w:rsidR="00DB75AC">
        <w:t xml:space="preserve">and Bible study </w:t>
      </w:r>
      <w:r w:rsidRPr="006F34CD" w:rsidR="00946C93">
        <w:t xml:space="preserve">or to abstain from celebrating State holidays or personal events (ibid., </w:t>
      </w:r>
      <w:r w:rsidRPr="006F34CD" w:rsidR="00F50F6F">
        <w:t>§ 1</w:t>
      </w:r>
      <w:r w:rsidRPr="006F34CD" w:rsidR="00946C93">
        <w:t xml:space="preserve">20). Moreover, the Court reiterates that “participation in celebrations during State holidays” is not a civil duty as defined by law. In fact, there is no law compelling celebration of any holidays, whether secular or religious, and such compulsory participation in celebrations, had it been elevated to the rank of a legal obligation, could arguably have raised an issue under </w:t>
      </w:r>
      <w:r w:rsidRPr="006F34CD" w:rsidR="00F50F6F">
        <w:t>Articles 9</w:t>
      </w:r>
      <w:r w:rsidRPr="006F34CD" w:rsidR="00946C93">
        <w:t xml:space="preserve"> and 10 of the Convention (compare</w:t>
      </w:r>
      <w:r w:rsidRPr="006F34CD" w:rsidR="00107698">
        <w:rPr>
          <w:i/>
        </w:rPr>
        <w:t xml:space="preserve"> Efstratiou</w:t>
      </w:r>
      <w:r w:rsidRPr="006F34CD" w:rsidR="00F50F6F">
        <w:rPr>
          <w:i/>
        </w:rPr>
        <w:t xml:space="preserve"> v. G</w:t>
      </w:r>
      <w:r w:rsidRPr="006F34CD" w:rsidR="00107698">
        <w:rPr>
          <w:i/>
        </w:rPr>
        <w:t>reece</w:t>
      </w:r>
      <w:r w:rsidRPr="006F34CD" w:rsidR="00107698">
        <w:t xml:space="preserve">, </w:t>
      </w:r>
      <w:r w:rsidRPr="006F34CD" w:rsidR="00F50F6F">
        <w:t>18 December 1996</w:t>
      </w:r>
      <w:r w:rsidRPr="006F34CD" w:rsidR="00107698">
        <w:t xml:space="preserve">, § 32, </w:t>
      </w:r>
      <w:r w:rsidRPr="006F34CD" w:rsidR="00107698">
        <w:rPr>
          <w:i/>
        </w:rPr>
        <w:t xml:space="preserve">Reports </w:t>
      </w:r>
      <w:r w:rsidRPr="006F34CD" w:rsidR="00107698">
        <w:t>1996</w:t>
      </w:r>
      <w:r w:rsidRPr="006F34CD" w:rsidR="00107698">
        <w:noBreakHyphen/>
        <w:t>VI</w:t>
      </w:r>
      <w:r w:rsidRPr="006F34CD" w:rsidR="00946C93">
        <w:t>, concerning the participation of Jehovah</w:t>
      </w:r>
      <w:r w:rsidRPr="006F34CD" w:rsidR="006F34CD">
        <w:t>’</w:t>
      </w:r>
      <w:r w:rsidRPr="006F34CD" w:rsidR="00946C93">
        <w:t>s Witness children in a school parade).</w:t>
      </w:r>
    </w:p>
    <w:p w:rsidRPr="006F34CD" w:rsidR="0048170C" w:rsidP="006F34CD" w:rsidRDefault="00363FEF" w14:paraId="25B23C21" w14:textId="3AB5F104">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183</w:t>
      </w:r>
      <w:r w:rsidRPr="006F34CD">
        <w:rPr>
          <w:lang w:bidi="en-US"/>
        </w:rPr>
        <w:fldChar w:fldCharType="end"/>
      </w:r>
      <w:r w:rsidRPr="006F34CD">
        <w:rPr>
          <w:lang w:bidi="en-US"/>
        </w:rPr>
        <w:t>.  </w:t>
      </w:r>
      <w:r w:rsidRPr="006F34CD" w:rsidR="0048170C">
        <w:rPr>
          <w:lang w:bidi="en-US"/>
        </w:rPr>
        <w:t xml:space="preserve">The allegation that </w:t>
      </w:r>
      <w:r w:rsidRPr="006F34CD" w:rsidR="0048170C">
        <w:t>the Witnesses</w:t>
      </w:r>
      <w:r w:rsidRPr="006F34CD" w:rsidR="006F34CD">
        <w:t>’</w:t>
      </w:r>
      <w:r w:rsidRPr="006F34CD" w:rsidR="0048170C">
        <w:t xml:space="preserve"> practice of door-to-door preaching had invaded the privacy of others was not supported with any evidence. As the Court observed in the </w:t>
      </w:r>
      <w:r w:rsidRPr="006F34CD" w:rsidR="0048170C">
        <w:rPr>
          <w:i/>
        </w:rPr>
        <w:t>Kokkinakis</w:t>
      </w:r>
      <w:r w:rsidRPr="006F34CD" w:rsidR="0048170C">
        <w:t xml:space="preserve"> case, “bearing Christian witness </w:t>
      </w:r>
      <w:r w:rsidRPr="006F34CD" w:rsidR="00587DCF">
        <w:t>...</w:t>
      </w:r>
      <w:r w:rsidRPr="006F34CD" w:rsidR="0048170C">
        <w:t xml:space="preserve"> [is] an essential mission and a responsibility of every Christian and every Church” which has to be distinguished from improper proselytism that takes the form of offering material or social advantages with a view to gaining new members for a church, exerting improper pressure on people in distress or in need or even using violence or brainwashing (see </w:t>
      </w:r>
      <w:r w:rsidRPr="006F34CD" w:rsidR="0048170C">
        <w:rPr>
          <w:i/>
        </w:rPr>
        <w:t>Kokkinakis</w:t>
      </w:r>
      <w:r w:rsidRPr="006F34CD" w:rsidR="0048170C">
        <w:t xml:space="preserve">, cited above, § 48). </w:t>
      </w:r>
      <w:r w:rsidRPr="006F34CD" w:rsidR="000824FB">
        <w:t xml:space="preserve">The Regional Court did not cite a single case in which members of the Taganrog LRO had resorted to such abusive or improper methods or had </w:t>
      </w:r>
      <w:r w:rsidRPr="006F34CD" w:rsidR="0048170C">
        <w:t xml:space="preserve">trespassed into </w:t>
      </w:r>
      <w:r w:rsidRPr="006F34CD" w:rsidR="000824FB">
        <w:t>anyone</w:t>
      </w:r>
      <w:r w:rsidRPr="006F34CD" w:rsidR="006F34CD">
        <w:t>’</w:t>
      </w:r>
      <w:r w:rsidRPr="006F34CD" w:rsidR="000824FB">
        <w:t>s home. There is nothing to indicate that non-religious people were forced to talk to them or compelled to open the door and let them in.</w:t>
      </w:r>
    </w:p>
    <w:p w:rsidRPr="006F34CD" w:rsidR="00FC164F" w:rsidP="006F34CD" w:rsidRDefault="00BF02C1" w14:paraId="686F3620" w14:textId="7500942E">
      <w:pPr>
        <w:pStyle w:val="JuHalpha"/>
      </w:pPr>
      <w:r w:rsidRPr="006F34CD">
        <w:t>Nature and severity of the penalty</w:t>
      </w:r>
    </w:p>
    <w:p w:rsidRPr="006F34CD" w:rsidR="00B5259B" w:rsidP="006F34CD" w:rsidRDefault="00CB6108" w14:paraId="2C4957C7" w14:textId="27869DEC">
      <w:pPr>
        <w:pStyle w:val="JuPara"/>
        <w:rPr>
          <w:lang w:bidi="en-US"/>
        </w:rPr>
      </w:pPr>
      <w:r>
        <w:rPr>
          <w:noProof/>
        </w:rPr>
        <w:fldChar w:fldCharType="begin"/>
      </w:r>
      <w:r>
        <w:rPr>
          <w:noProof/>
        </w:rPr>
        <w:instrText xml:space="preserve"> SEQ level0 \*arabic \* MERGEFORMAT </w:instrText>
      </w:r>
      <w:r>
        <w:rPr>
          <w:noProof/>
        </w:rPr>
        <w:fldChar w:fldCharType="separate"/>
      </w:r>
      <w:r w:rsidRPr="006F34CD" w:rsidR="006F34CD">
        <w:rPr>
          <w:noProof/>
        </w:rPr>
        <w:t>184</w:t>
      </w:r>
      <w:r>
        <w:rPr>
          <w:noProof/>
        </w:rPr>
        <w:fldChar w:fldCharType="end"/>
      </w:r>
      <w:r w:rsidRPr="006F34CD" w:rsidR="00BF02C1">
        <w:t>.  The Court has thus found that none of the charges against the Taganrog LRO were borne out by an adequate assessment of facts or justified with “relevant and sufficient” reasons. It</w:t>
      </w:r>
      <w:r w:rsidRPr="006F34CD" w:rsidR="00B5259B">
        <w:t xml:space="preserve"> considers nevertheless that the particular character of the interference in the present case entailing as it does significant consequences for the believers requires it to consider briefly the issue whether a sanction of that nature and severity could be justified as being “necessary in a democratic society” (see </w:t>
      </w:r>
      <w:r w:rsidRPr="006F34CD" w:rsidR="00B5259B">
        <w:rPr>
          <w:i/>
        </w:rPr>
        <w:t>Jehovah</w:t>
      </w:r>
      <w:r w:rsidRPr="006F34CD" w:rsidR="006F34CD">
        <w:rPr>
          <w:i/>
        </w:rPr>
        <w:t>’</w:t>
      </w:r>
      <w:r w:rsidRPr="006F34CD" w:rsidR="00B5259B">
        <w:rPr>
          <w:i/>
        </w:rPr>
        <w:t>s Witnesses of Moscow and Others</w:t>
      </w:r>
      <w:r w:rsidRPr="006F34CD" w:rsidR="00B5259B">
        <w:rPr>
          <w:iCs/>
        </w:rPr>
        <w:t>, cited above, § 154)</w:t>
      </w:r>
      <w:r w:rsidRPr="006F34CD" w:rsidR="00B5259B">
        <w:t>.</w:t>
      </w:r>
    </w:p>
    <w:p w:rsidRPr="006F34CD" w:rsidR="00CE5973" w:rsidP="006F34CD" w:rsidRDefault="00CE5973" w14:paraId="0D7C4DE2" w14:textId="0469012A">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185</w:t>
      </w:r>
      <w:r w:rsidRPr="006F34CD">
        <w:rPr>
          <w:lang w:bidi="en-US"/>
        </w:rPr>
        <w:fldChar w:fldCharType="end"/>
      </w:r>
      <w:r w:rsidRPr="006F34CD">
        <w:rPr>
          <w:lang w:bidi="en-US"/>
        </w:rPr>
        <w:t xml:space="preserve">.  The Court reiterates that, to discharge their duty to uphold the right to freedom of religion in democratic societies in which several religions coexist within one and the same population, States have responsibility for ensuring, neutrally and impartially, the exercise of various religions, faiths and beliefs. Their role is to help maintain public order, religious harmony and tolerance, including in relations between the adherents of various religions, faiths and beliefs. Since States are not allowed to assess the legitimacy of religious beliefs or the ways in which those beliefs are expressed, the role of the authorities is not to remove the cause of tension by eliminating pluralism, but to ensure that the competing groups tolerate each other (see </w:t>
      </w:r>
      <w:r w:rsidRPr="006F34CD">
        <w:rPr>
          <w:i/>
          <w:lang w:bidi="en-US"/>
        </w:rPr>
        <w:t>Ibragim Ibragimov and Others</w:t>
      </w:r>
      <w:r w:rsidRPr="006F34CD">
        <w:rPr>
          <w:lang w:bidi="en-US"/>
        </w:rPr>
        <w:t xml:space="preserve">, cited above, </w:t>
      </w:r>
      <w:r w:rsidRPr="006F34CD" w:rsidR="00F128D1">
        <w:rPr>
          <w:lang w:bidi="en-US"/>
        </w:rPr>
        <w:t>§ 9</w:t>
      </w:r>
      <w:r w:rsidRPr="006F34CD">
        <w:rPr>
          <w:lang w:bidi="en-US"/>
        </w:rPr>
        <w:t>0, with further references).</w:t>
      </w:r>
    </w:p>
    <w:p w:rsidRPr="006F34CD" w:rsidR="006E3361" w:rsidP="006F34CD" w:rsidRDefault="00CB6108" w14:paraId="74C48BEC" w14:textId="2E515D70">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186</w:t>
      </w:r>
      <w:r>
        <w:rPr>
          <w:noProof/>
        </w:rPr>
        <w:fldChar w:fldCharType="end"/>
      </w:r>
      <w:r w:rsidRPr="006F34CD" w:rsidR="00122DE8">
        <w:t>.  </w:t>
      </w:r>
      <w:r w:rsidRPr="006F34CD" w:rsidR="00CE5973">
        <w:t>A</w:t>
      </w:r>
      <w:r w:rsidRPr="006F34CD" w:rsidR="00B0231C">
        <w:t>s in a previous case concerning the forced dissolution of the Moscow congregation of Jehovah</w:t>
      </w:r>
      <w:r w:rsidRPr="006F34CD" w:rsidR="006F34CD">
        <w:t>’</w:t>
      </w:r>
      <w:r w:rsidRPr="006F34CD" w:rsidR="00B0231C">
        <w:t xml:space="preserve">s Witnesses, </w:t>
      </w:r>
      <w:r w:rsidRPr="006F34CD" w:rsidR="00CE5973">
        <w:t xml:space="preserve">the Court </w:t>
      </w:r>
      <w:r w:rsidRPr="006F34CD" w:rsidR="00962C7F">
        <w:t>finds</w:t>
      </w:r>
      <w:r w:rsidRPr="006F34CD" w:rsidR="00CE5973">
        <w:t xml:space="preserve"> </w:t>
      </w:r>
      <w:r w:rsidRPr="006F34CD" w:rsidR="00B0231C">
        <w:t xml:space="preserve">that a blanket ban on the activities of a religious community belonging to a known Christian denomination is an extraordinary occurrence (see </w:t>
      </w:r>
      <w:r w:rsidRPr="006F34CD" w:rsidR="00B0231C">
        <w:rPr>
          <w:i/>
        </w:rPr>
        <w:t>Jehovah</w:t>
      </w:r>
      <w:r w:rsidRPr="006F34CD" w:rsidR="006F34CD">
        <w:rPr>
          <w:i/>
        </w:rPr>
        <w:t>’</w:t>
      </w:r>
      <w:r w:rsidRPr="006F34CD" w:rsidR="00B0231C">
        <w:rPr>
          <w:i/>
        </w:rPr>
        <w:t>s Witnesses of Moscow and Others</w:t>
      </w:r>
      <w:r w:rsidRPr="006F34CD" w:rsidR="00B0231C">
        <w:rPr>
          <w:iCs/>
        </w:rPr>
        <w:t xml:space="preserve">, cited above, </w:t>
      </w:r>
      <w:r w:rsidRPr="006F34CD" w:rsidR="00444568">
        <w:rPr>
          <w:iCs/>
        </w:rPr>
        <w:t>§ </w:t>
      </w:r>
      <w:r w:rsidRPr="006F34CD" w:rsidR="00B0231C">
        <w:rPr>
          <w:iCs/>
        </w:rPr>
        <w:t>155)</w:t>
      </w:r>
      <w:r w:rsidRPr="006F34CD" w:rsidR="00B0231C">
        <w:t xml:space="preserve">. </w:t>
      </w:r>
      <w:r w:rsidRPr="006F34CD" w:rsidR="006E3361">
        <w:t xml:space="preserve">It is even more extraordinary when such measure is imposed on grounds of </w:t>
      </w:r>
      <w:r w:rsidRPr="006F34CD" w:rsidR="001B2372">
        <w:t xml:space="preserve">the </w:t>
      </w:r>
      <w:r w:rsidRPr="006F34CD" w:rsidR="006E3361">
        <w:t xml:space="preserve">protection of </w:t>
      </w:r>
      <w:r w:rsidRPr="006F34CD" w:rsidR="00CE5973">
        <w:t>members of a majority religion</w:t>
      </w:r>
      <w:r w:rsidRPr="006F34CD" w:rsidR="006E3361">
        <w:t xml:space="preserve"> </w:t>
      </w:r>
      <w:r w:rsidRPr="006F34CD" w:rsidR="00900A60">
        <w:t>from</w:t>
      </w:r>
      <w:r w:rsidRPr="006F34CD" w:rsidR="006E3361">
        <w:t xml:space="preserve"> attempts to convince them </w:t>
      </w:r>
      <w:r w:rsidRPr="006F34CD" w:rsidR="00444568">
        <w:t xml:space="preserve">peacefully </w:t>
      </w:r>
      <w:r w:rsidRPr="006F34CD" w:rsidR="006E3361">
        <w:t xml:space="preserve">of the superiority of </w:t>
      </w:r>
      <w:r w:rsidRPr="006F34CD" w:rsidR="00CE5973">
        <w:t>a minority religion</w:t>
      </w:r>
      <w:r w:rsidRPr="006F34CD" w:rsidR="006E3361">
        <w:t xml:space="preserve"> (see paragraphs </w:t>
      </w:r>
      <w:r w:rsidRPr="006F34CD" w:rsidR="005E0774">
        <w:fldChar w:fldCharType="begin"/>
      </w:r>
      <w:r w:rsidRPr="006F34CD" w:rsidR="006E5193">
        <w:instrText xml:space="preserve">REF paragraph00153 \h \* CharFormat </w:instrText>
      </w:r>
      <w:r w:rsidRPr="006F34CD" w:rsidR="005E0774">
        <w:fldChar w:fldCharType="separate"/>
      </w:r>
      <w:r w:rsidRPr="006F34CD" w:rsidR="006F34CD">
        <w:t>153</w:t>
      </w:r>
      <w:r w:rsidRPr="006F34CD" w:rsidR="005E0774">
        <w:fldChar w:fldCharType="end"/>
      </w:r>
      <w:r w:rsidRPr="006F34CD" w:rsidR="005E0774">
        <w:t>-</w:t>
      </w:r>
      <w:r w:rsidRPr="006F34CD" w:rsidR="005E0774">
        <w:fldChar w:fldCharType="begin"/>
      </w:r>
      <w:r w:rsidRPr="006F34CD" w:rsidR="006E5193">
        <w:instrText xml:space="preserve">REF paragraph00156 \h \* CharFormat </w:instrText>
      </w:r>
      <w:r w:rsidRPr="006F34CD" w:rsidR="005E0774">
        <w:fldChar w:fldCharType="separate"/>
      </w:r>
      <w:r w:rsidRPr="006F34CD" w:rsidR="006F34CD">
        <w:t>156</w:t>
      </w:r>
      <w:r w:rsidRPr="006F34CD" w:rsidR="005E0774">
        <w:fldChar w:fldCharType="end"/>
      </w:r>
      <w:r w:rsidRPr="006F34CD" w:rsidR="006E3361">
        <w:t xml:space="preserve"> above).</w:t>
      </w:r>
      <w:r w:rsidRPr="006F34CD" w:rsidR="00CE5973">
        <w:t xml:space="preserve"> The free exchange of ideas is what characterises a democratic society. </w:t>
      </w:r>
      <w:r w:rsidRPr="006F34CD" w:rsidR="00900A60">
        <w:t>As the Court has held, d</w:t>
      </w:r>
      <w:r w:rsidRPr="006F34CD" w:rsidR="00CE5973">
        <w:t>emocracy does not simply mean that the views of a majority must always prevail: a balance must be achieved which ensures the fair treatment of people from minorities and avoids any abuse of a dominant position (</w:t>
      </w:r>
      <w:r w:rsidRPr="006F34CD" w:rsidR="00900A60">
        <w:t xml:space="preserve">see </w:t>
      </w:r>
      <w:r w:rsidRPr="006F34CD" w:rsidR="00900A60">
        <w:rPr>
          <w:i/>
        </w:rPr>
        <w:t>İzzettin Doğan and Others</w:t>
      </w:r>
      <w:r w:rsidRPr="006F34CD" w:rsidR="00900A60">
        <w:t xml:space="preserve">, cited above, </w:t>
      </w:r>
      <w:r w:rsidRPr="006F34CD" w:rsidR="00F128D1">
        <w:t>§ 1</w:t>
      </w:r>
      <w:r w:rsidRPr="006F34CD" w:rsidR="00900A60">
        <w:t>09</w:t>
      </w:r>
      <w:r w:rsidRPr="006F34CD" w:rsidR="00CE5973">
        <w:t>)</w:t>
      </w:r>
      <w:r w:rsidRPr="006F34CD" w:rsidR="00900A60">
        <w:t>.</w:t>
      </w:r>
    </w:p>
    <w:bookmarkStart w:name="paragraph00187" w:id="164"/>
    <w:p w:rsidRPr="006F34CD" w:rsidR="00BD2F25" w:rsidP="006F34CD" w:rsidRDefault="00444568" w14:paraId="3338DF1C" w14:textId="01602E8E">
      <w:pPr>
        <w:pStyle w:val="JuPara"/>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187</w:t>
      </w:r>
      <w:r w:rsidRPr="006F34CD">
        <w:rPr>
          <w:lang w:bidi="en-US"/>
        </w:rPr>
        <w:fldChar w:fldCharType="end"/>
      </w:r>
      <w:bookmarkEnd w:id="164"/>
      <w:r w:rsidRPr="006F34CD">
        <w:rPr>
          <w:lang w:bidi="en-US"/>
        </w:rPr>
        <w:t>.  </w:t>
      </w:r>
      <w:r w:rsidRPr="006F34CD">
        <w:t>As the Court has found above, the proceedings resulting in the banning of the Taganrog LRO were based on the assessment of Jehovah</w:t>
      </w:r>
      <w:r w:rsidRPr="006F34CD" w:rsidR="006F34CD">
        <w:t>’</w:t>
      </w:r>
      <w:r w:rsidRPr="006F34CD">
        <w:t>s Witnesses</w:t>
      </w:r>
      <w:r w:rsidRPr="006F34CD" w:rsidR="006F34CD">
        <w:t>’</w:t>
      </w:r>
      <w:r w:rsidRPr="006F34CD">
        <w:t xml:space="preserve"> religious beliefs and practices rather than on any evidence of incitement to hatred or violence</w:t>
      </w:r>
      <w:r w:rsidRPr="006F34CD" w:rsidR="004B39C5">
        <w:t xml:space="preserve"> (see paragraphs </w:t>
      </w:r>
      <w:r w:rsidRPr="006F34CD" w:rsidR="005E0774">
        <w:fldChar w:fldCharType="begin"/>
      </w:r>
      <w:r w:rsidRPr="006F34CD" w:rsidR="006E5193">
        <w:instrText xml:space="preserve">REF paragraph00165 \h \* CharFormat </w:instrText>
      </w:r>
      <w:r w:rsidRPr="006F34CD" w:rsidR="005E0774">
        <w:fldChar w:fldCharType="separate"/>
      </w:r>
      <w:r w:rsidRPr="006F34CD" w:rsidR="006F34CD">
        <w:t>165</w:t>
      </w:r>
      <w:r w:rsidRPr="006F34CD" w:rsidR="005E0774">
        <w:fldChar w:fldCharType="end"/>
      </w:r>
      <w:r w:rsidRPr="006F34CD" w:rsidR="004B39C5">
        <w:t xml:space="preserve"> and </w:t>
      </w:r>
      <w:r w:rsidRPr="006F34CD" w:rsidR="005E0774">
        <w:fldChar w:fldCharType="begin"/>
      </w:r>
      <w:r w:rsidRPr="006F34CD" w:rsidR="006E5193">
        <w:instrText xml:space="preserve">REF paragraph00170 \h \* CharFormat </w:instrText>
      </w:r>
      <w:r w:rsidRPr="006F34CD" w:rsidR="005E0774">
        <w:fldChar w:fldCharType="separate"/>
      </w:r>
      <w:r w:rsidRPr="006F34CD" w:rsidR="006F34CD">
        <w:t>170</w:t>
      </w:r>
      <w:r w:rsidRPr="006F34CD" w:rsidR="005E0774">
        <w:fldChar w:fldCharType="end"/>
      </w:r>
      <w:r w:rsidRPr="006F34CD" w:rsidR="004B39C5">
        <w:t xml:space="preserve"> above)</w:t>
      </w:r>
      <w:r w:rsidRPr="006F34CD">
        <w:t xml:space="preserve">. </w:t>
      </w:r>
      <w:r w:rsidRPr="006F34CD" w:rsidR="00B0231C">
        <w:t xml:space="preserve">Before the decision dissolving it was made, the </w:t>
      </w:r>
      <w:r w:rsidRPr="006F34CD" w:rsidR="0012048E">
        <w:t xml:space="preserve">local religious organisation </w:t>
      </w:r>
      <w:r w:rsidRPr="006F34CD" w:rsidR="00B0231C">
        <w:t>of Jehovah</w:t>
      </w:r>
      <w:r w:rsidRPr="006F34CD" w:rsidR="006F34CD">
        <w:t>’</w:t>
      </w:r>
      <w:r w:rsidRPr="006F34CD" w:rsidR="00B0231C">
        <w:t xml:space="preserve">s Witnesses </w:t>
      </w:r>
      <w:r w:rsidRPr="006F34CD" w:rsidR="0012048E">
        <w:t xml:space="preserve">in Taganrog </w:t>
      </w:r>
      <w:r w:rsidRPr="006F34CD" w:rsidR="00B0231C">
        <w:t xml:space="preserve">had </w:t>
      </w:r>
      <w:r w:rsidRPr="006F34CD" w:rsidR="001401EF">
        <w:t>been in existence</w:t>
      </w:r>
      <w:r w:rsidRPr="006F34CD" w:rsidR="00B0231C">
        <w:t xml:space="preserve"> and operated </w:t>
      </w:r>
      <w:r w:rsidRPr="006F34CD" w:rsidR="001401EF">
        <w:t xml:space="preserve">legally </w:t>
      </w:r>
      <w:r w:rsidRPr="006F34CD" w:rsidR="00B0231C">
        <w:t xml:space="preserve">for more than </w:t>
      </w:r>
      <w:r w:rsidRPr="006F34CD" w:rsidR="0012048E">
        <w:t>seventeen</w:t>
      </w:r>
      <w:r w:rsidRPr="006F34CD" w:rsidR="00B0231C">
        <w:t xml:space="preserve"> years, from 1992 to </w:t>
      </w:r>
      <w:r w:rsidRPr="006F34CD" w:rsidR="0012048E">
        <w:t>2009</w:t>
      </w:r>
      <w:r w:rsidRPr="006F34CD" w:rsidR="00B0231C">
        <w:t>.</w:t>
      </w:r>
      <w:r w:rsidRPr="006F34CD" w:rsidR="0012048E">
        <w:t xml:space="preserve"> </w:t>
      </w:r>
      <w:r w:rsidRPr="006F34CD" w:rsidR="00BD2F25">
        <w:t>Throughout that</w:t>
      </w:r>
      <w:r w:rsidRPr="006F34CD" w:rsidR="0012048E">
        <w:t xml:space="preserve"> period</w:t>
      </w:r>
      <w:r w:rsidRPr="006F34CD" w:rsidR="001401EF">
        <w:t>,</w:t>
      </w:r>
      <w:r w:rsidRPr="006F34CD" w:rsidR="0012048E">
        <w:t xml:space="preserve"> the organisation, its elders or members had not been </w:t>
      </w:r>
      <w:r w:rsidRPr="006F34CD" w:rsidR="001401EF">
        <w:t>held</w:t>
      </w:r>
      <w:r w:rsidRPr="006F34CD" w:rsidR="0012048E">
        <w:t xml:space="preserve"> liable for any criminal or administrative offence or a civil wrong; no such evidence was produced in the domestic dissolution proceedings or before the Court. </w:t>
      </w:r>
      <w:r w:rsidRPr="006F34CD" w:rsidR="001401EF">
        <w:t>R</w:t>
      </w:r>
      <w:r w:rsidRPr="006F34CD" w:rsidR="0012048E">
        <w:t>emarkabl</w:t>
      </w:r>
      <w:r w:rsidRPr="006F34CD" w:rsidR="001401EF">
        <w:t xml:space="preserve">y, </w:t>
      </w:r>
      <w:r w:rsidRPr="006F34CD" w:rsidR="0012048E">
        <w:t xml:space="preserve">an inquiry into </w:t>
      </w:r>
      <w:r w:rsidRPr="006F34CD" w:rsidR="001401EF">
        <w:t xml:space="preserve">the cause of </w:t>
      </w:r>
      <w:r w:rsidRPr="006F34CD" w:rsidR="0012048E">
        <w:t xml:space="preserve">death of </w:t>
      </w:r>
      <w:r w:rsidRPr="006F34CD" w:rsidR="001401EF">
        <w:t xml:space="preserve">a founding member of </w:t>
      </w:r>
      <w:r w:rsidRPr="006F34CD" w:rsidR="0012048E">
        <w:t xml:space="preserve">the organisation in 2004 did not </w:t>
      </w:r>
      <w:r w:rsidRPr="006F34CD" w:rsidR="001401EF">
        <w:t>begin</w:t>
      </w:r>
      <w:r w:rsidRPr="006F34CD" w:rsidR="0012048E">
        <w:t xml:space="preserve"> until three years later, after first the </w:t>
      </w:r>
      <w:r w:rsidRPr="006F34CD" w:rsidR="002F3DDF">
        <w:t>deputy Prosecutor General</w:t>
      </w:r>
      <w:r w:rsidRPr="006F34CD" w:rsidR="0012048E">
        <w:t xml:space="preserve"> and later the regional prosecutor </w:t>
      </w:r>
      <w:r w:rsidRPr="006F34CD" w:rsidR="001401EF">
        <w:t>had instructed their subordinates to investigate communities of Jehovah</w:t>
      </w:r>
      <w:r w:rsidRPr="006F34CD" w:rsidR="006F34CD">
        <w:t>’</w:t>
      </w:r>
      <w:r w:rsidRPr="006F34CD" w:rsidR="001401EF">
        <w:t xml:space="preserve">s Witnesses and lodge applications for liquidation of their organisations (see paragraphs </w:t>
      </w:r>
      <w:r w:rsidRPr="006F34CD" w:rsidR="001401EF">
        <w:fldChar w:fldCharType="begin"/>
      </w:r>
      <w:r w:rsidRPr="006F34CD" w:rsidR="006E5193">
        <w:instrText xml:space="preserve">REF paragraph00008 \h \* CharFormat </w:instrText>
      </w:r>
      <w:r w:rsidRPr="006F34CD" w:rsidR="001401EF">
        <w:fldChar w:fldCharType="separate"/>
      </w:r>
      <w:r w:rsidRPr="006F34CD" w:rsidR="006F34CD">
        <w:t>8</w:t>
      </w:r>
      <w:r w:rsidRPr="006F34CD" w:rsidR="001401EF">
        <w:fldChar w:fldCharType="end"/>
      </w:r>
      <w:r w:rsidRPr="006F34CD" w:rsidR="001401EF">
        <w:t xml:space="preserve"> and </w:t>
      </w:r>
      <w:r w:rsidRPr="006F34CD" w:rsidR="001401EF">
        <w:fldChar w:fldCharType="begin"/>
      </w:r>
      <w:r w:rsidRPr="006F34CD" w:rsidR="006E5193">
        <w:instrText xml:space="preserve">REF paragraph00010 \h \* CharFormat </w:instrText>
      </w:r>
      <w:r w:rsidRPr="006F34CD" w:rsidR="001401EF">
        <w:fldChar w:fldCharType="separate"/>
      </w:r>
      <w:r w:rsidRPr="006F34CD" w:rsidR="006F34CD">
        <w:t>10</w:t>
      </w:r>
      <w:r w:rsidRPr="006F34CD" w:rsidR="001401EF">
        <w:fldChar w:fldCharType="end"/>
      </w:r>
      <w:r w:rsidRPr="006F34CD" w:rsidR="001401EF">
        <w:t xml:space="preserve"> above). The regional prosecutor</w:t>
      </w:r>
      <w:r w:rsidRPr="006F34CD" w:rsidR="006F34CD">
        <w:t>’</w:t>
      </w:r>
      <w:r w:rsidRPr="006F34CD" w:rsidR="001401EF">
        <w:t xml:space="preserve">s letter appeared to </w:t>
      </w:r>
      <w:r w:rsidRPr="006F34CD" w:rsidR="00BD2F25">
        <w:t>consider</w:t>
      </w:r>
      <w:r w:rsidRPr="006F34CD" w:rsidR="001401EF">
        <w:t xml:space="preserve"> “violations of law [</w:t>
      </w:r>
      <w:r w:rsidRPr="006F34CD" w:rsidR="00337016">
        <w:t xml:space="preserve">committed by </w:t>
      </w:r>
      <w:r w:rsidRPr="006F34CD" w:rsidR="001401EF">
        <w:t>Jehovah</w:t>
      </w:r>
      <w:r w:rsidRPr="006F34CD" w:rsidR="006F34CD">
        <w:t>’</w:t>
      </w:r>
      <w:r w:rsidRPr="006F34CD" w:rsidR="001401EF">
        <w:t xml:space="preserve">s Witnesses]” </w:t>
      </w:r>
      <w:r w:rsidRPr="006F34CD" w:rsidR="00BD2F25">
        <w:t>to be</w:t>
      </w:r>
      <w:r w:rsidRPr="006F34CD" w:rsidR="001401EF">
        <w:t xml:space="preserve"> an established fact</w:t>
      </w:r>
      <w:r w:rsidRPr="006F34CD" w:rsidR="00BD2F25">
        <w:t>, disclosing</w:t>
      </w:r>
      <w:r w:rsidRPr="006F34CD" w:rsidR="001401EF">
        <w:t xml:space="preserve"> a predisposed bias against Jehovah</w:t>
      </w:r>
      <w:r w:rsidRPr="006F34CD" w:rsidR="006F34CD">
        <w:t>’</w:t>
      </w:r>
      <w:r w:rsidRPr="006F34CD" w:rsidR="001401EF">
        <w:t>s Witnesses and a determination to achi</w:t>
      </w:r>
      <w:r w:rsidRPr="006F34CD" w:rsidR="00BD2F25">
        <w:t>eve the desired outcome of terminating the legal existence of their organisation. By instituting and conducting the extremism proceedings in the absence of any evidence of hatred or violence on the part of the applicants, the Russian authorities had not acted in good faith and had breached the State</w:t>
      </w:r>
      <w:r w:rsidRPr="006F34CD" w:rsidR="006F34CD">
        <w:t>’</w:t>
      </w:r>
      <w:r w:rsidRPr="006F34CD" w:rsidR="00BD2F25">
        <w:t>s duty of neutrality and impartiality vis-à-vis the applicants</w:t>
      </w:r>
      <w:r w:rsidRPr="006F34CD" w:rsidR="006F34CD">
        <w:t>’</w:t>
      </w:r>
      <w:r w:rsidRPr="006F34CD" w:rsidR="00BD2F25">
        <w:t xml:space="preserve"> religious organisation (see </w:t>
      </w:r>
      <w:r w:rsidRPr="006F34CD" w:rsidR="00BD2F25">
        <w:rPr>
          <w:i/>
          <w:iCs/>
        </w:rPr>
        <w:t>Kuznetsov and Others</w:t>
      </w:r>
      <w:r w:rsidRPr="006F34CD" w:rsidR="00F128D1">
        <w:rPr>
          <w:i/>
          <w:iCs/>
        </w:rPr>
        <w:t xml:space="preserve"> v. R</w:t>
      </w:r>
      <w:r w:rsidRPr="006F34CD" w:rsidR="00BD2F25">
        <w:rPr>
          <w:i/>
          <w:iCs/>
        </w:rPr>
        <w:t>ussia</w:t>
      </w:r>
      <w:r w:rsidRPr="006F34CD" w:rsidR="00BD2F25">
        <w:rPr>
          <w:iCs/>
        </w:rPr>
        <w:t xml:space="preserve">, </w:t>
      </w:r>
      <w:r w:rsidRPr="006F34CD" w:rsidR="00F128D1">
        <w:rPr>
          <w:iCs/>
        </w:rPr>
        <w:t>no. 1</w:t>
      </w:r>
      <w:r w:rsidRPr="006F34CD" w:rsidR="00BD2F25">
        <w:rPr>
          <w:iCs/>
        </w:rPr>
        <w:t xml:space="preserve">84/02, § 74, </w:t>
      </w:r>
      <w:r w:rsidRPr="006F34CD" w:rsidR="00F128D1">
        <w:rPr>
          <w:iCs/>
        </w:rPr>
        <w:t>11 January 2007</w:t>
      </w:r>
      <w:r w:rsidRPr="006F34CD" w:rsidR="00BD2F25">
        <w:rPr>
          <w:iCs/>
        </w:rPr>
        <w:t xml:space="preserve">; </w:t>
      </w:r>
      <w:r w:rsidRPr="006F34CD" w:rsidR="00BD2F25">
        <w:rPr>
          <w:i/>
          <w:iCs/>
        </w:rPr>
        <w:t>Members of the Gldani Congregation of Jehovah</w:t>
      </w:r>
      <w:r w:rsidRPr="006F34CD" w:rsidR="006F34CD">
        <w:rPr>
          <w:i/>
          <w:iCs/>
        </w:rPr>
        <w:t>’</w:t>
      </w:r>
      <w:r w:rsidRPr="006F34CD" w:rsidR="00BD2F25">
        <w:rPr>
          <w:i/>
          <w:iCs/>
        </w:rPr>
        <w:t>s Witnesses and Others v. Georgia</w:t>
      </w:r>
      <w:r w:rsidRPr="006F34CD" w:rsidR="00BD2F25">
        <w:t xml:space="preserve">, no. 71156/01, §§ 131 and 132, 3 May 2007; and </w:t>
      </w:r>
      <w:r w:rsidRPr="006F34CD" w:rsidR="00BD2F25">
        <w:rPr>
          <w:i/>
        </w:rPr>
        <w:t>Jehovah</w:t>
      </w:r>
      <w:r w:rsidRPr="006F34CD" w:rsidR="006F34CD">
        <w:rPr>
          <w:i/>
        </w:rPr>
        <w:t>’</w:t>
      </w:r>
      <w:r w:rsidRPr="006F34CD" w:rsidR="00BD2F25">
        <w:rPr>
          <w:i/>
        </w:rPr>
        <w:t>s Witnesses of Moscow and Others</w:t>
      </w:r>
      <w:r w:rsidRPr="006F34CD" w:rsidR="00BD2F25">
        <w:rPr>
          <w:iCs/>
        </w:rPr>
        <w:t>, cited above, § 157</w:t>
      </w:r>
      <w:r w:rsidRPr="006F34CD" w:rsidR="00BD2F25">
        <w:t xml:space="preserve">). </w:t>
      </w:r>
      <w:r w:rsidRPr="006F34CD" w:rsidR="0083777D">
        <w:t>This was also incompatible with the principle of effectiveness which requires that the permissible exceptions to the right to freedom of association must be narrowly interpreted so as to give practical and effective protection to that freedom (see</w:t>
      </w:r>
      <w:r w:rsidRPr="006F34CD" w:rsidR="0083777D">
        <w:rPr>
          <w:i/>
        </w:rPr>
        <w:t xml:space="preserve"> Sidiropoulos and Others</w:t>
      </w:r>
      <w:r w:rsidRPr="006F34CD" w:rsidR="0083777D">
        <w:t xml:space="preserve">, cited above, </w:t>
      </w:r>
      <w:r w:rsidRPr="006F34CD" w:rsidR="008E2738">
        <w:t>§ 3</w:t>
      </w:r>
      <w:r w:rsidRPr="006F34CD" w:rsidR="0083777D">
        <w:t>8, and</w:t>
      </w:r>
      <w:r w:rsidRPr="006F34CD" w:rsidR="0083777D">
        <w:rPr>
          <w:i/>
        </w:rPr>
        <w:t xml:space="preserve"> Demir and Baykara</w:t>
      </w:r>
      <w:r w:rsidRPr="006F34CD" w:rsidR="008E2738">
        <w:rPr>
          <w:i/>
        </w:rPr>
        <w:t xml:space="preserve"> v. T</w:t>
      </w:r>
      <w:r w:rsidRPr="006F34CD" w:rsidR="0083777D">
        <w:rPr>
          <w:i/>
        </w:rPr>
        <w:t>urkey</w:t>
      </w:r>
      <w:r w:rsidRPr="006F34CD" w:rsidR="0083777D">
        <w:t xml:space="preserve"> [GC], </w:t>
      </w:r>
      <w:r w:rsidRPr="006F34CD" w:rsidR="008E2738">
        <w:t>no. 3</w:t>
      </w:r>
      <w:r w:rsidRPr="006F34CD" w:rsidR="0083777D">
        <w:t>4503/97, § 146, ECHR 2008).</w:t>
      </w:r>
    </w:p>
    <w:p w:rsidRPr="006F34CD" w:rsidR="0087774E" w:rsidP="006F34CD" w:rsidRDefault="00CB6108" w14:paraId="27D4111C" w14:textId="49A93554">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188</w:t>
      </w:r>
      <w:r>
        <w:rPr>
          <w:noProof/>
        </w:rPr>
        <w:fldChar w:fldCharType="end"/>
      </w:r>
      <w:r w:rsidRPr="006F34CD" w:rsidR="00BD2F25">
        <w:t>.  </w:t>
      </w:r>
      <w:r w:rsidRPr="006F34CD" w:rsidR="001401EF">
        <w:t xml:space="preserve">The </w:t>
      </w:r>
      <w:r w:rsidRPr="006F34CD" w:rsidR="0087774E">
        <w:t>judicial decisions</w:t>
      </w:r>
      <w:r w:rsidRPr="006F34CD" w:rsidR="001401EF">
        <w:t xml:space="preserve"> </w:t>
      </w:r>
      <w:r w:rsidRPr="006F34CD" w:rsidR="0087774E">
        <w:t>brought</w:t>
      </w:r>
      <w:r w:rsidRPr="006F34CD" w:rsidR="001401EF">
        <w:t xml:space="preserve"> an end to the </w:t>
      </w:r>
      <w:r w:rsidRPr="006F34CD" w:rsidR="000A78BF">
        <w:t xml:space="preserve">legal </w:t>
      </w:r>
      <w:r w:rsidRPr="006F34CD" w:rsidR="00EB338D">
        <w:t xml:space="preserve">form of </w:t>
      </w:r>
      <w:r w:rsidRPr="006F34CD" w:rsidR="001401EF">
        <w:t>existence of a</w:t>
      </w:r>
      <w:r w:rsidRPr="006F34CD" w:rsidR="00116750">
        <w:t>n entire</w:t>
      </w:r>
      <w:r w:rsidRPr="006F34CD" w:rsidR="001401EF">
        <w:t xml:space="preserve"> religious community and imposed an indefinite ban on its activities. </w:t>
      </w:r>
      <w:r w:rsidRPr="006F34CD" w:rsidR="0087774E">
        <w:t>The Court reiterates that t</w:t>
      </w:r>
      <w:r w:rsidRPr="006F34CD" w:rsidR="001401EF">
        <w:t xml:space="preserve">his </w:t>
      </w:r>
      <w:r w:rsidRPr="006F34CD" w:rsidR="0087774E">
        <w:t>was</w:t>
      </w:r>
      <w:r w:rsidRPr="006F34CD" w:rsidR="001401EF">
        <w:t xml:space="preserve"> obviously the most severe form of interference, affecting, as it did, the rights of </w:t>
      </w:r>
      <w:r w:rsidRPr="006F34CD" w:rsidR="0087774E">
        <w:t xml:space="preserve">many </w:t>
      </w:r>
      <w:r w:rsidRPr="006F34CD" w:rsidR="00116750">
        <w:t>local</w:t>
      </w:r>
      <w:r w:rsidRPr="006F34CD" w:rsidR="0087774E">
        <w:t xml:space="preserve"> congregations and hundreds of individual Jehovah</w:t>
      </w:r>
      <w:r w:rsidRPr="006F34CD" w:rsidR="006F34CD">
        <w:t>’</w:t>
      </w:r>
      <w:r w:rsidRPr="006F34CD" w:rsidR="0087774E">
        <w:t xml:space="preserve">s Witnesses </w:t>
      </w:r>
      <w:r w:rsidRPr="006F34CD" w:rsidR="001401EF">
        <w:t>who were consequen</w:t>
      </w:r>
      <w:r w:rsidRPr="006F34CD" w:rsidR="0087774E">
        <w:t>tly</w:t>
      </w:r>
      <w:r w:rsidRPr="006F34CD" w:rsidR="001401EF">
        <w:t xml:space="preserve"> denied the possibility of joining with fellow believers in prayer and observance</w:t>
      </w:r>
      <w:r w:rsidRPr="006F34CD" w:rsidR="0087774E">
        <w:t xml:space="preserve"> (see </w:t>
      </w:r>
      <w:r w:rsidRPr="006F34CD" w:rsidR="0087774E">
        <w:rPr>
          <w:i/>
        </w:rPr>
        <w:t>Jehovah</w:t>
      </w:r>
      <w:r w:rsidRPr="006F34CD" w:rsidR="006F34CD">
        <w:rPr>
          <w:i/>
        </w:rPr>
        <w:t>’</w:t>
      </w:r>
      <w:r w:rsidRPr="006F34CD" w:rsidR="0087774E">
        <w:rPr>
          <w:i/>
        </w:rPr>
        <w:t>s Witnesses of Moscow and Others</w:t>
      </w:r>
      <w:r w:rsidRPr="006F34CD" w:rsidR="0087774E">
        <w:rPr>
          <w:iCs/>
        </w:rPr>
        <w:t>, cited above,</w:t>
      </w:r>
      <w:r w:rsidRPr="006F34CD" w:rsidR="001621EE">
        <w:rPr>
          <w:iCs/>
        </w:rPr>
        <w:t xml:space="preserve"> </w:t>
      </w:r>
      <w:r w:rsidRPr="006F34CD" w:rsidR="0087774E">
        <w:rPr>
          <w:iCs/>
        </w:rPr>
        <w:t>§ 159)</w:t>
      </w:r>
      <w:r w:rsidRPr="006F34CD" w:rsidR="001401EF">
        <w:t xml:space="preserve">. </w:t>
      </w:r>
      <w:r w:rsidRPr="006F34CD" w:rsidR="0087774E">
        <w:t>The additional confiscation order deprived the applicants of many items of religious literature and the prayer hall, leaving them without a place where to come for worship and Bible study.</w:t>
      </w:r>
      <w:r w:rsidRPr="006F34CD" w:rsidR="004E0DDC">
        <w:t xml:space="preserve"> The Court reiterates that, if a religious community cannot have a place to worship, the right to freedom of religion in its collective dimension </w:t>
      </w:r>
      <w:r w:rsidRPr="006F34CD" w:rsidR="006112AE">
        <w:t>will be</w:t>
      </w:r>
      <w:r w:rsidRPr="006F34CD" w:rsidR="004E0DDC">
        <w:t xml:space="preserve"> devoid of all substance (see </w:t>
      </w:r>
      <w:r w:rsidRPr="006F34CD" w:rsidR="004E0DDC">
        <w:rPr>
          <w:i/>
        </w:rPr>
        <w:t>Association for Solidarity with Jehovah</w:t>
      </w:r>
      <w:r w:rsidRPr="006F34CD" w:rsidR="006F34CD">
        <w:rPr>
          <w:i/>
        </w:rPr>
        <w:t>’</w:t>
      </w:r>
      <w:r w:rsidRPr="006F34CD" w:rsidR="004E0DDC">
        <w:rPr>
          <w:i/>
        </w:rPr>
        <w:t>s Witnesses and Others v. Turkey</w:t>
      </w:r>
      <w:r w:rsidRPr="006F34CD" w:rsidR="004E0DDC">
        <w:t xml:space="preserve">, nos. 36915/10 and 8606/13, § 90, 24 May 2016). </w:t>
      </w:r>
      <w:r w:rsidRPr="006F34CD" w:rsidR="0087774E">
        <w:t>Most important</w:t>
      </w:r>
      <w:r w:rsidRPr="006F34CD" w:rsidR="004E0DDC">
        <w:t>ly</w:t>
      </w:r>
      <w:r w:rsidRPr="006F34CD" w:rsidR="0087774E">
        <w:t xml:space="preserve">, the finding of the “extremist” nature of the religious organisation and </w:t>
      </w:r>
      <w:r w:rsidRPr="006F34CD" w:rsidR="00D20717">
        <w:t xml:space="preserve">their </w:t>
      </w:r>
      <w:r w:rsidRPr="006F34CD" w:rsidR="0087774E">
        <w:t>publication</w:t>
      </w:r>
      <w:r w:rsidRPr="006F34CD" w:rsidR="00D20717">
        <w:t>s</w:t>
      </w:r>
      <w:r w:rsidRPr="006F34CD" w:rsidR="0087774E">
        <w:t xml:space="preserve"> exposed the applicants to the risk of criminal prosecution which did not fail to materialise (see paragraphs </w:t>
      </w:r>
      <w:r w:rsidRPr="006F34CD" w:rsidR="0087774E">
        <w:fldChar w:fldCharType="begin"/>
      </w:r>
      <w:r w:rsidRPr="006F34CD" w:rsidR="006E5193">
        <w:instrText xml:space="preserve">REF paragraph00095 \h \* CharFormat </w:instrText>
      </w:r>
      <w:r w:rsidRPr="006F34CD" w:rsidR="0087774E">
        <w:fldChar w:fldCharType="separate"/>
      </w:r>
      <w:r w:rsidRPr="006F34CD" w:rsidR="006F34CD">
        <w:t>95</w:t>
      </w:r>
      <w:r w:rsidRPr="006F34CD" w:rsidR="0087774E">
        <w:fldChar w:fldCharType="end"/>
      </w:r>
      <w:r w:rsidRPr="006F34CD" w:rsidR="00CA3E3A">
        <w:noBreakHyphen/>
      </w:r>
      <w:r w:rsidRPr="006F34CD" w:rsidR="00FC5AF5">
        <w:fldChar w:fldCharType="begin"/>
      </w:r>
      <w:r w:rsidRPr="006F34CD" w:rsidR="006E5193">
        <w:instrText xml:space="preserve">REF paragraph00106 \h \* CharFormat </w:instrText>
      </w:r>
      <w:r w:rsidRPr="006F34CD" w:rsidR="00FC5AF5">
        <w:fldChar w:fldCharType="separate"/>
      </w:r>
      <w:r w:rsidRPr="006F34CD" w:rsidR="006F34CD">
        <w:t>106</w:t>
      </w:r>
      <w:r w:rsidRPr="006F34CD" w:rsidR="00FC5AF5">
        <w:fldChar w:fldCharType="end"/>
      </w:r>
      <w:r w:rsidRPr="006F34CD" w:rsidR="0087774E">
        <w:t xml:space="preserve"> above). The domestic courts, faced with a decision of </w:t>
      </w:r>
      <w:r w:rsidRPr="006F34CD" w:rsidR="00B90AAB">
        <w:t>such a sweeping scope</w:t>
      </w:r>
      <w:r w:rsidRPr="006F34CD" w:rsidR="0087774E">
        <w:t xml:space="preserve"> which was to curtail the fundamental rights of many </w:t>
      </w:r>
      <w:r w:rsidRPr="006F34CD" w:rsidR="009976A3">
        <w:t>believers</w:t>
      </w:r>
      <w:r w:rsidRPr="006F34CD" w:rsidR="0087774E">
        <w:t xml:space="preserve">, </w:t>
      </w:r>
      <w:r w:rsidRPr="006F34CD" w:rsidR="0087774E">
        <w:rPr>
          <w:lang w:bidi="en-US"/>
        </w:rPr>
        <w:t>did not even acknowledge, let alone consider at any length, the effect of the dissolution</w:t>
      </w:r>
      <w:r w:rsidRPr="006F34CD" w:rsidR="00B90AAB">
        <w:rPr>
          <w:lang w:bidi="en-US"/>
        </w:rPr>
        <w:t xml:space="preserve">, </w:t>
      </w:r>
      <w:r w:rsidRPr="006F34CD" w:rsidR="0087774E">
        <w:rPr>
          <w:lang w:bidi="en-US"/>
        </w:rPr>
        <w:t xml:space="preserve">banning </w:t>
      </w:r>
      <w:r w:rsidRPr="006F34CD" w:rsidR="00B90AAB">
        <w:rPr>
          <w:lang w:bidi="en-US"/>
        </w:rPr>
        <w:t xml:space="preserve">and confiscation </w:t>
      </w:r>
      <w:r w:rsidRPr="006F34CD" w:rsidR="0087774E">
        <w:rPr>
          <w:lang w:bidi="en-US"/>
        </w:rPr>
        <w:t>orders on the applicants</w:t>
      </w:r>
      <w:r w:rsidRPr="006F34CD" w:rsidR="006F34CD">
        <w:rPr>
          <w:lang w:bidi="en-US"/>
        </w:rPr>
        <w:t>’</w:t>
      </w:r>
      <w:r w:rsidRPr="006F34CD" w:rsidR="0087774E">
        <w:rPr>
          <w:lang w:bidi="en-US"/>
        </w:rPr>
        <w:t xml:space="preserve"> rights under </w:t>
      </w:r>
      <w:r w:rsidRPr="006F34CD" w:rsidR="00F128D1">
        <w:rPr>
          <w:lang w:bidi="en-US"/>
        </w:rPr>
        <w:t>Articles 9</w:t>
      </w:r>
      <w:r w:rsidRPr="006F34CD" w:rsidR="0087774E">
        <w:rPr>
          <w:lang w:bidi="en-US"/>
        </w:rPr>
        <w:t xml:space="preserve">, 10 and 11 of the Convention or their domestic-law equivalents (see </w:t>
      </w:r>
      <w:r w:rsidRPr="006F34CD" w:rsidR="0087774E">
        <w:rPr>
          <w:i/>
          <w:iCs/>
          <w:lang w:bidi="en-US"/>
        </w:rPr>
        <w:t>Perinçek</w:t>
      </w:r>
      <w:r w:rsidRPr="006F34CD" w:rsidR="0087774E">
        <w:rPr>
          <w:lang w:bidi="en-US"/>
        </w:rPr>
        <w:t>, cited above, § 277</w:t>
      </w:r>
      <w:r w:rsidRPr="006F34CD" w:rsidR="0045359B">
        <w:rPr>
          <w:lang w:bidi="en-US"/>
        </w:rPr>
        <w:t xml:space="preserve">, and </w:t>
      </w:r>
      <w:r w:rsidRPr="006F34CD" w:rsidR="0045359B">
        <w:rPr>
          <w:i/>
          <w:iCs/>
        </w:rPr>
        <w:t>Ibragim Ibragimov and Others</w:t>
      </w:r>
      <w:r w:rsidRPr="006F34CD" w:rsidR="0045359B">
        <w:t>, cited above, § 107</w:t>
      </w:r>
      <w:r w:rsidRPr="006F34CD" w:rsidR="0087774E">
        <w:rPr>
          <w:lang w:bidi="en-US"/>
        </w:rPr>
        <w:t xml:space="preserve">). Accordingly, the Court finds that the interference was </w:t>
      </w:r>
      <w:r w:rsidRPr="006F34CD" w:rsidR="0042048D">
        <w:rPr>
          <w:lang w:bidi="en-US"/>
        </w:rPr>
        <w:t xml:space="preserve">also </w:t>
      </w:r>
      <w:r w:rsidRPr="006F34CD" w:rsidR="0087774E">
        <w:rPr>
          <w:lang w:bidi="en-US"/>
        </w:rPr>
        <w:t>not “necessary in a democratic society”.</w:t>
      </w:r>
    </w:p>
    <w:p w:rsidRPr="006F34CD" w:rsidR="00CE5973" w:rsidP="006F34CD" w:rsidRDefault="00CE5973" w14:paraId="0DA13425" w14:textId="77777777">
      <w:pPr>
        <w:pStyle w:val="JuHi"/>
      </w:pPr>
      <w:bookmarkStart w:name="_Toc97301956" w:id="165"/>
      <w:r w:rsidRPr="006F34CD">
        <w:t>Conclusion</w:t>
      </w:r>
      <w:bookmarkEnd w:id="165"/>
    </w:p>
    <w:p w:rsidRPr="006F34CD" w:rsidR="00F27848" w:rsidP="006F34CD" w:rsidRDefault="00CB6108" w14:paraId="7C5A222A" w14:textId="36852636">
      <w:pPr>
        <w:pStyle w:val="JuPara"/>
      </w:pPr>
      <w:r>
        <w:rPr>
          <w:noProof/>
        </w:rPr>
        <w:fldChar w:fldCharType="begin"/>
      </w:r>
      <w:r>
        <w:rPr>
          <w:noProof/>
        </w:rPr>
        <w:instrText xml:space="preserve"> SEQ level0 \*arabic \* MERGEFORMAT </w:instrText>
      </w:r>
      <w:r>
        <w:rPr>
          <w:noProof/>
        </w:rPr>
        <w:fldChar w:fldCharType="separate"/>
      </w:r>
      <w:bookmarkStart w:name="paragraph00188" w:id="166"/>
      <w:r w:rsidRPr="006F34CD" w:rsidR="006F34CD">
        <w:rPr>
          <w:noProof/>
        </w:rPr>
        <w:t>189</w:t>
      </w:r>
      <w:bookmarkEnd w:id="166"/>
      <w:r>
        <w:rPr>
          <w:noProof/>
        </w:rPr>
        <w:fldChar w:fldCharType="end"/>
      </w:r>
      <w:r w:rsidRPr="006F34CD" w:rsidR="00F128D1">
        <w:t>.  </w:t>
      </w:r>
      <w:r w:rsidRPr="006F34CD" w:rsidR="007321C9">
        <w:t xml:space="preserve">Having regard to the foregoing, the Court concludes that the interference was </w:t>
      </w:r>
      <w:r w:rsidRPr="006F34CD" w:rsidR="00B2564A">
        <w:t>not</w:t>
      </w:r>
      <w:r w:rsidRPr="006F34CD" w:rsidR="007321C9">
        <w:t xml:space="preserve"> “prescribed by law” </w:t>
      </w:r>
      <w:r w:rsidRPr="006F34CD" w:rsidR="000542C0">
        <w:t xml:space="preserve">in so far as it was based on the provisions of </w:t>
      </w:r>
      <w:r w:rsidRPr="006F34CD" w:rsidR="006E5193">
        <w:t>section 1</w:t>
      </w:r>
      <w:r w:rsidRPr="006F34CD" w:rsidR="000542C0">
        <w:t xml:space="preserve">(1) of the Suppression of Extremism Act </w:t>
      </w:r>
      <w:r w:rsidRPr="006F34CD" w:rsidR="00B2564A">
        <w:t xml:space="preserve">and </w:t>
      </w:r>
      <w:r w:rsidRPr="006F34CD" w:rsidR="000542C0">
        <w:t xml:space="preserve">that it </w:t>
      </w:r>
      <w:r w:rsidRPr="006F34CD" w:rsidR="00B2564A">
        <w:t xml:space="preserve">was </w:t>
      </w:r>
      <w:r w:rsidRPr="006F34CD" w:rsidR="000542C0">
        <w:t xml:space="preserve">also </w:t>
      </w:r>
      <w:r w:rsidRPr="006F34CD" w:rsidR="00B2564A">
        <w:t>not</w:t>
      </w:r>
      <w:r w:rsidRPr="006F34CD" w:rsidR="007321C9">
        <w:t xml:space="preserve"> “necessary in a democratic society”. </w:t>
      </w:r>
      <w:r w:rsidRPr="006F34CD" w:rsidR="00F27848">
        <w:t xml:space="preserve">There has accordingly been </w:t>
      </w:r>
      <w:bookmarkStart w:name="conclusionII" w:id="167"/>
      <w:r w:rsidRPr="006F34CD" w:rsidR="00F27848">
        <w:t xml:space="preserve">a violation of </w:t>
      </w:r>
      <w:r w:rsidRPr="006F34CD" w:rsidR="00F50F6F">
        <w:t>Article 9</w:t>
      </w:r>
      <w:r w:rsidRPr="006F34CD" w:rsidR="00D97A6A">
        <w:t xml:space="preserve"> of the Convention</w:t>
      </w:r>
      <w:r w:rsidRPr="006F34CD" w:rsidR="00AC4C1D">
        <w:t>,</w:t>
      </w:r>
      <w:r w:rsidRPr="006F34CD" w:rsidR="00351105">
        <w:t xml:space="preserve"> read in the light of </w:t>
      </w:r>
      <w:r w:rsidRPr="006F34CD" w:rsidR="003179D7">
        <w:t>Article 1</w:t>
      </w:r>
      <w:r w:rsidRPr="006F34CD" w:rsidR="00351105">
        <w:t>1</w:t>
      </w:r>
      <w:r w:rsidRPr="006F34CD" w:rsidR="00AC4C1D">
        <w:t>,</w:t>
      </w:r>
      <w:r w:rsidRPr="006F34CD" w:rsidR="00351105">
        <w:t xml:space="preserve"> </w:t>
      </w:r>
      <w:r w:rsidRPr="006F34CD" w:rsidR="00D97A6A">
        <w:t xml:space="preserve">on account of the forced dissolution of Taganrog LRO </w:t>
      </w:r>
      <w:r w:rsidRPr="006F34CD" w:rsidR="00351105">
        <w:t xml:space="preserve">and </w:t>
      </w:r>
      <w:r w:rsidRPr="006F34CD" w:rsidR="00D97A6A">
        <w:t xml:space="preserve">a violation of </w:t>
      </w:r>
      <w:r w:rsidRPr="006F34CD" w:rsidR="003179D7">
        <w:t>Article 1</w:t>
      </w:r>
      <w:r w:rsidRPr="006F34CD" w:rsidR="00351105">
        <w:t xml:space="preserve">0 </w:t>
      </w:r>
      <w:r w:rsidRPr="006F34CD" w:rsidR="00F27848">
        <w:t>of the Convention</w:t>
      </w:r>
      <w:r w:rsidRPr="006F34CD" w:rsidR="00B55DA3">
        <w:t xml:space="preserve"> </w:t>
      </w:r>
      <w:r w:rsidRPr="006F34CD" w:rsidR="00D97A6A">
        <w:t xml:space="preserve">on account of </w:t>
      </w:r>
      <w:r w:rsidRPr="006F34CD" w:rsidR="00FF027E">
        <w:t xml:space="preserve">the declaration </w:t>
      </w:r>
      <w:r w:rsidRPr="006F34CD" w:rsidR="002B4A08">
        <w:t xml:space="preserve">of </w:t>
      </w:r>
      <w:r w:rsidRPr="006F34CD" w:rsidR="00FF027E">
        <w:t>Jehovah</w:t>
      </w:r>
      <w:r w:rsidRPr="006F34CD" w:rsidR="006F34CD">
        <w:t>’</w:t>
      </w:r>
      <w:r w:rsidRPr="006F34CD" w:rsidR="00FF027E">
        <w:t>s Witnesses</w:t>
      </w:r>
      <w:r w:rsidRPr="006F34CD" w:rsidR="006F34CD">
        <w:t>’</w:t>
      </w:r>
      <w:r w:rsidRPr="006F34CD" w:rsidR="00FF027E">
        <w:t xml:space="preserve"> </w:t>
      </w:r>
      <w:r w:rsidRPr="006F34CD" w:rsidR="002C74E0">
        <w:t xml:space="preserve">publications </w:t>
      </w:r>
      <w:r w:rsidRPr="006F34CD" w:rsidR="00DF4DCA">
        <w:t>“</w:t>
      </w:r>
      <w:r w:rsidRPr="006F34CD" w:rsidR="002C74E0">
        <w:t>extremist</w:t>
      </w:r>
      <w:r w:rsidRPr="006F34CD" w:rsidR="00DF4DCA">
        <w:t>”</w:t>
      </w:r>
      <w:bookmarkEnd w:id="167"/>
      <w:r w:rsidRPr="006F34CD" w:rsidR="00F27848">
        <w:t>.</w:t>
      </w:r>
    </w:p>
    <w:p w:rsidRPr="006F34CD" w:rsidR="00F27848" w:rsidP="006F34CD" w:rsidRDefault="006838B5" w14:paraId="28DDA457" w14:textId="7A2F3AD3">
      <w:pPr>
        <w:pStyle w:val="JuHIRoman"/>
      </w:pPr>
      <w:bookmarkStart w:name="_Toc97301957" w:id="168"/>
      <w:r w:rsidRPr="006F34CD">
        <w:rPr>
          <w:caps w:val="0"/>
        </w:rPr>
        <w:t>ALLEGED VIOLATION OF ARTICLES 9, 10 AND 11 OF THE CONVENTION ON ACCOUNT OF THE BANNING OF JEHOVAH</w:t>
      </w:r>
      <w:r w:rsidRPr="006F34CD" w:rsidR="006F34CD">
        <w:rPr>
          <w:caps w:val="0"/>
        </w:rPr>
        <w:t>’</w:t>
      </w:r>
      <w:r w:rsidRPr="006F34CD">
        <w:rPr>
          <w:caps w:val="0"/>
        </w:rPr>
        <w:t>S WITNESSES PUBLICATIONS AND PROSECUTION FOR THEIR USE IN RELIGIOUS MINISTRY</w:t>
      </w:r>
      <w:bookmarkEnd w:id="168"/>
    </w:p>
    <w:p w:rsidRPr="006F34CD" w:rsidR="001E754B" w:rsidP="006F34CD" w:rsidRDefault="00F27848" w14:paraId="59F6537A" w14:textId="62ED1CF8">
      <w:pPr>
        <w:pStyle w:val="JuPara"/>
      </w:pPr>
      <w:r w:rsidRPr="006F34CD">
        <w:fldChar w:fldCharType="begin"/>
      </w:r>
      <w:r w:rsidRPr="006F34CD">
        <w:instrText xml:space="preserve"> SEQ level0 \*arabic </w:instrText>
      </w:r>
      <w:r w:rsidRPr="006F34CD">
        <w:fldChar w:fldCharType="separate"/>
      </w:r>
      <w:r w:rsidRPr="006F34CD" w:rsidR="006F34CD">
        <w:rPr>
          <w:noProof/>
        </w:rPr>
        <w:t>190</w:t>
      </w:r>
      <w:r w:rsidRPr="006F34CD">
        <w:fldChar w:fldCharType="end"/>
      </w:r>
      <w:r w:rsidRPr="006F34CD">
        <w:t>.</w:t>
      </w:r>
      <w:r w:rsidRPr="006F34CD" w:rsidR="001370AA">
        <w:t>  </w:t>
      </w:r>
      <w:r w:rsidRPr="006F34CD">
        <w:t>The Court will next consider the applicants</w:t>
      </w:r>
      <w:r w:rsidRPr="006F34CD" w:rsidR="006F34CD">
        <w:t>’</w:t>
      </w:r>
      <w:r w:rsidRPr="006F34CD">
        <w:t xml:space="preserve"> complaints relating to the banning of Jehovah</w:t>
      </w:r>
      <w:r w:rsidRPr="006F34CD" w:rsidR="006F34CD">
        <w:t>’</w:t>
      </w:r>
      <w:r w:rsidRPr="006F34CD">
        <w:t>s Witnesses</w:t>
      </w:r>
      <w:r w:rsidRPr="006F34CD" w:rsidR="006F34CD">
        <w:t>’</w:t>
      </w:r>
      <w:r w:rsidRPr="006F34CD">
        <w:t xml:space="preserve"> religious publications as extremist material </w:t>
      </w:r>
      <w:r w:rsidRPr="006F34CD" w:rsidR="00D55F69">
        <w:t xml:space="preserve">(section </w:t>
      </w:r>
      <w:r w:rsidRPr="006F34CD" w:rsidR="00D55F69">
        <w:fldChar w:fldCharType="begin"/>
      </w:r>
      <w:r w:rsidRPr="006F34CD" w:rsidR="00D55F69">
        <w:instrText xml:space="preserve"> REF _Ref76487375 \n \h </w:instrText>
      </w:r>
      <w:r w:rsidRPr="006F34CD" w:rsidR="00D55F69">
        <w:fldChar w:fldCharType="separate"/>
      </w:r>
      <w:r w:rsidRPr="006F34CD" w:rsidR="006F34CD">
        <w:t>B</w:t>
      </w:r>
      <w:r w:rsidRPr="006F34CD" w:rsidR="00D55F69">
        <w:fldChar w:fldCharType="end"/>
      </w:r>
      <w:r w:rsidRPr="006F34CD" w:rsidR="00D55F69">
        <w:t xml:space="preserve"> of the Facts)</w:t>
      </w:r>
      <w:r w:rsidRPr="006F34CD">
        <w:t xml:space="preserve"> and </w:t>
      </w:r>
      <w:r w:rsidRPr="006F34CD" w:rsidR="00791DC6">
        <w:t xml:space="preserve">also </w:t>
      </w:r>
      <w:r w:rsidRPr="006F34CD">
        <w:t xml:space="preserve">the prosecution of individual </w:t>
      </w:r>
      <w:r w:rsidRPr="006F34CD" w:rsidR="00791DC6">
        <w:t>Jehovah</w:t>
      </w:r>
      <w:r w:rsidRPr="006F34CD" w:rsidR="006F34CD">
        <w:t>’</w:t>
      </w:r>
      <w:r w:rsidRPr="006F34CD" w:rsidR="00791DC6">
        <w:t>s Witnesses</w:t>
      </w:r>
      <w:r w:rsidRPr="006F34CD" w:rsidR="002C7489">
        <w:t xml:space="preserve"> </w:t>
      </w:r>
      <w:r w:rsidRPr="006F34CD">
        <w:t xml:space="preserve">and forced dissolution of </w:t>
      </w:r>
      <w:r w:rsidRPr="006F34CD" w:rsidR="0046437A">
        <w:t xml:space="preserve">their organisations </w:t>
      </w:r>
      <w:r w:rsidRPr="006F34CD">
        <w:t xml:space="preserve">for using such publications in </w:t>
      </w:r>
      <w:r w:rsidRPr="006F34CD" w:rsidR="0046437A">
        <w:t>religious</w:t>
      </w:r>
      <w:r w:rsidRPr="006F34CD">
        <w:t xml:space="preserve"> ministry</w:t>
      </w:r>
      <w:r w:rsidRPr="006F34CD" w:rsidR="00D55F69">
        <w:t xml:space="preserve"> (sections </w:t>
      </w:r>
      <w:r w:rsidRPr="006F34CD" w:rsidR="00D55F69">
        <w:fldChar w:fldCharType="begin"/>
      </w:r>
      <w:r w:rsidRPr="006F34CD" w:rsidR="00D55F69">
        <w:instrText xml:space="preserve"> REF _Ref76487396 \n \h </w:instrText>
      </w:r>
      <w:r w:rsidRPr="006F34CD" w:rsidR="00D55F69">
        <w:fldChar w:fldCharType="separate"/>
      </w:r>
      <w:r w:rsidRPr="006F34CD" w:rsidR="006F34CD">
        <w:t>C</w:t>
      </w:r>
      <w:r w:rsidRPr="006F34CD" w:rsidR="00D55F69">
        <w:fldChar w:fldCharType="end"/>
      </w:r>
      <w:r w:rsidRPr="006F34CD" w:rsidR="00D55F69">
        <w:t xml:space="preserve"> and </w:t>
      </w:r>
      <w:r w:rsidRPr="006F34CD" w:rsidR="00D55F69">
        <w:fldChar w:fldCharType="begin"/>
      </w:r>
      <w:r w:rsidRPr="006F34CD" w:rsidR="00D55F69">
        <w:instrText xml:space="preserve"> REF _Ref76487398 \n \h </w:instrText>
      </w:r>
      <w:r w:rsidRPr="006F34CD" w:rsidR="00D55F69">
        <w:fldChar w:fldCharType="separate"/>
      </w:r>
      <w:r w:rsidRPr="006F34CD" w:rsidR="006F34CD">
        <w:t>D</w:t>
      </w:r>
      <w:r w:rsidRPr="006F34CD" w:rsidR="00D55F69">
        <w:fldChar w:fldCharType="end"/>
      </w:r>
      <w:r w:rsidRPr="006F34CD" w:rsidR="002C7489">
        <w:t xml:space="preserve"> of the Facts</w:t>
      </w:r>
      <w:r w:rsidRPr="006F34CD" w:rsidR="00D55F69">
        <w:t>)</w:t>
      </w:r>
      <w:r w:rsidRPr="006F34CD">
        <w:t>.</w:t>
      </w:r>
      <w:r w:rsidRPr="006F34CD" w:rsidR="001370AA">
        <w:t xml:space="preserve"> </w:t>
      </w:r>
      <w:r w:rsidRPr="006F34CD" w:rsidR="00563DE6">
        <w:t xml:space="preserve">The applicants complained that such actions by the Russian authorities had been in breach of </w:t>
      </w:r>
      <w:r w:rsidRPr="006F34CD" w:rsidR="001370AA">
        <w:t>Articles 9</w:t>
      </w:r>
      <w:r w:rsidRPr="006F34CD" w:rsidR="0096204D">
        <w:t xml:space="preserve">, </w:t>
      </w:r>
      <w:r w:rsidRPr="006F34CD" w:rsidR="00563DE6">
        <w:t xml:space="preserve">10 </w:t>
      </w:r>
      <w:r w:rsidRPr="006F34CD" w:rsidR="0096204D">
        <w:t xml:space="preserve">and 11 </w:t>
      </w:r>
      <w:r w:rsidRPr="006F34CD" w:rsidR="00563DE6">
        <w:t>of the Convention.</w:t>
      </w:r>
    </w:p>
    <w:p w:rsidRPr="006F34CD" w:rsidR="00E206CB" w:rsidP="006F34CD" w:rsidRDefault="00E206CB" w14:paraId="59ED6029" w14:textId="77777777">
      <w:pPr>
        <w:pStyle w:val="JuHA"/>
        <w:numPr>
          <w:ilvl w:val="2"/>
          <w:numId w:val="4"/>
        </w:numPr>
      </w:pPr>
      <w:bookmarkStart w:name="_Toc97301958" w:id="169"/>
      <w:r w:rsidRPr="006F34CD">
        <w:t>Admissibility</w:t>
      </w:r>
      <w:bookmarkEnd w:id="169"/>
    </w:p>
    <w:bookmarkStart w:name="paragraph00191" w:id="170"/>
    <w:p w:rsidRPr="006F34CD" w:rsidR="00CA0953" w:rsidP="006F34CD" w:rsidRDefault="00B640EB" w14:paraId="028EF3DE" w14:textId="1070B727">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191</w:t>
      </w:r>
      <w:r w:rsidRPr="006F34CD">
        <w:rPr>
          <w:noProof/>
        </w:rPr>
        <w:fldChar w:fldCharType="end"/>
      </w:r>
      <w:bookmarkEnd w:id="170"/>
      <w:r w:rsidRPr="006F34CD" w:rsidR="00CA0953">
        <w:t xml:space="preserve">.  The Government submitted that the complaints by </w:t>
      </w:r>
      <w:r w:rsidRPr="006F34CD" w:rsidR="00B618C2">
        <w:t>Mr F</w:t>
      </w:r>
      <w:r w:rsidRPr="006F34CD" w:rsidR="00CA0953">
        <w:t xml:space="preserve">edorin and </w:t>
      </w:r>
      <w:r w:rsidRPr="006F34CD" w:rsidR="00B618C2">
        <w:t>Ms C</w:t>
      </w:r>
      <w:r w:rsidRPr="006F34CD" w:rsidR="00CA0953">
        <w:t xml:space="preserve">hekhovskaya </w:t>
      </w:r>
      <w:r w:rsidRPr="006F34CD" w:rsidR="004021E0">
        <w:t xml:space="preserve">in </w:t>
      </w:r>
      <w:r w:rsidRPr="006F34CD" w:rsidR="00CA0953">
        <w:t xml:space="preserve">application </w:t>
      </w:r>
      <w:r w:rsidRPr="006F34CD" w:rsidR="00B618C2">
        <w:t>no. 1</w:t>
      </w:r>
      <w:r w:rsidRPr="006F34CD" w:rsidR="00CA0953">
        <w:t>7552/11 were belated as the application form was dated more than six month</w:t>
      </w:r>
      <w:r w:rsidRPr="006F34CD" w:rsidR="004021E0">
        <w:t>s</w:t>
      </w:r>
      <w:r w:rsidRPr="006F34CD" w:rsidR="00CA0953">
        <w:t xml:space="preserve"> after the final decisions in their cases. The applicants replied that the date of introduction should be the date of the letter stating their intention to lodge an application with the Court. As that letter had been sent within six months of the final decisions, their complaints were not belated.</w:t>
      </w:r>
    </w:p>
    <w:bookmarkStart w:name="paragraph00192" w:id="171"/>
    <w:p w:rsidRPr="006F34CD" w:rsidR="00D96601" w:rsidP="006F34CD" w:rsidRDefault="00597D02" w14:paraId="412E3F80" w14:textId="3282CEC6">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192</w:t>
      </w:r>
      <w:r w:rsidRPr="006F34CD">
        <w:rPr>
          <w:noProof/>
        </w:rPr>
        <w:fldChar w:fldCharType="end"/>
      </w:r>
      <w:bookmarkEnd w:id="171"/>
      <w:r w:rsidRPr="006F34CD" w:rsidR="00CA0953">
        <w:t>.  </w:t>
      </w:r>
      <w:r w:rsidRPr="006F34CD" w:rsidR="004021E0">
        <w:t>In accordance with its practice and the Rules of Court</w:t>
      </w:r>
      <w:r w:rsidRPr="006F34CD" w:rsidR="00D92A0D">
        <w:t>,</w:t>
      </w:r>
      <w:r w:rsidRPr="006F34CD" w:rsidR="004021E0">
        <w:t xml:space="preserve"> as </w:t>
      </w:r>
      <w:r w:rsidRPr="006F34CD" w:rsidR="00D92A0D">
        <w:t xml:space="preserve">they applied </w:t>
      </w:r>
      <w:r w:rsidRPr="006F34CD" w:rsidR="004021E0">
        <w:t xml:space="preserve">at the material time, the Court considered the date of the introduction of an application to be the date of the first communication indicating an intention to lodge an application and giving some indication of </w:t>
      </w:r>
      <w:r w:rsidRPr="006F34CD" w:rsidR="00C875BD">
        <w:t>its</w:t>
      </w:r>
      <w:r w:rsidRPr="006F34CD" w:rsidR="004021E0">
        <w:t xml:space="preserve"> nature. Such first communication was in principle </w:t>
      </w:r>
      <w:r w:rsidRPr="006F34CD" w:rsidR="00371E76">
        <w:t xml:space="preserve">sufficient to </w:t>
      </w:r>
      <w:r w:rsidRPr="006F34CD" w:rsidR="004021E0">
        <w:t>interrupt the running of the six-month period</w:t>
      </w:r>
      <w:r w:rsidRPr="006F34CD" w:rsidR="00371E76">
        <w:t>, provided that it was followed up by the submission of the completed application form within the time-limit fixed by the Court</w:t>
      </w:r>
      <w:r w:rsidRPr="006F34CD" w:rsidR="004021E0">
        <w:t xml:space="preserve"> (see </w:t>
      </w:r>
      <w:r w:rsidRPr="006F34CD" w:rsidR="004021E0">
        <w:rPr>
          <w:i/>
        </w:rPr>
        <w:t>Yartsev</w:t>
      </w:r>
      <w:r w:rsidRPr="006F34CD" w:rsidR="00B618C2">
        <w:rPr>
          <w:i/>
        </w:rPr>
        <w:t xml:space="preserve"> v. R</w:t>
      </w:r>
      <w:r w:rsidRPr="006F34CD" w:rsidR="004021E0">
        <w:rPr>
          <w:i/>
        </w:rPr>
        <w:t>ussia</w:t>
      </w:r>
      <w:r w:rsidRPr="006F34CD" w:rsidR="004021E0">
        <w:t xml:space="preserve"> (dec.), no. 13776/11, §</w:t>
      </w:r>
      <w:r w:rsidRPr="006F34CD" w:rsidR="00371E76">
        <w:t>§</w:t>
      </w:r>
      <w:r w:rsidRPr="006F34CD" w:rsidR="004021E0">
        <w:t> 21</w:t>
      </w:r>
      <w:r w:rsidRPr="006F34CD" w:rsidR="00371E76">
        <w:t>-22</w:t>
      </w:r>
      <w:r w:rsidRPr="006F34CD" w:rsidR="004021E0">
        <w:t xml:space="preserve">, 26 March 2013). </w:t>
      </w:r>
      <w:r w:rsidRPr="006F34CD" w:rsidR="00D96601">
        <w:t xml:space="preserve">In application </w:t>
      </w:r>
      <w:r w:rsidRPr="006F34CD" w:rsidR="00B618C2">
        <w:t>no. 1</w:t>
      </w:r>
      <w:r w:rsidRPr="006F34CD" w:rsidR="00D96601">
        <w:t xml:space="preserve">7552/11, on </w:t>
      </w:r>
      <w:r w:rsidRPr="006F34CD" w:rsidR="00B618C2">
        <w:t>28 March 2011</w:t>
      </w:r>
      <w:r w:rsidRPr="006F34CD" w:rsidR="00D96601">
        <w:t xml:space="preserve"> the Court acknowledged receipt of the introductory letter of 11 March and asked the applicants to return the completed application form no later than 23 May, which they actually did on 20 May. </w:t>
      </w:r>
      <w:r w:rsidRPr="006F34CD" w:rsidR="00047367">
        <w:t xml:space="preserve">The date of introduction </w:t>
      </w:r>
      <w:r w:rsidRPr="006F34CD" w:rsidR="00A95943">
        <w:t>is</w:t>
      </w:r>
      <w:r w:rsidRPr="006F34CD" w:rsidR="00047367">
        <w:t xml:space="preserve"> therefore </w:t>
      </w:r>
      <w:r w:rsidRPr="006F34CD" w:rsidR="00B618C2">
        <w:t>11 March 2011</w:t>
      </w:r>
      <w:r w:rsidRPr="006F34CD" w:rsidR="00047367">
        <w:t>. As that date was less than six months from the dates of the final decisions</w:t>
      </w:r>
      <w:r w:rsidRPr="006F34CD" w:rsidR="00A95943">
        <w:t xml:space="preserve"> (see paragraph</w:t>
      </w:r>
      <w:r w:rsidRPr="006F34CD" w:rsidR="006C5A86">
        <w:t>s</w:t>
      </w:r>
      <w:r w:rsidRPr="006F34CD" w:rsidR="00A95943">
        <w:t xml:space="preserve"> </w:t>
      </w:r>
      <w:r w:rsidRPr="006F34CD" w:rsidR="006C5A86">
        <w:fldChar w:fldCharType="begin"/>
      </w:r>
      <w:r w:rsidRPr="006F34CD" w:rsidR="006E5193">
        <w:instrText xml:space="preserve">REF paragraph00053 \h \* CharFormat </w:instrText>
      </w:r>
      <w:r w:rsidRPr="006F34CD" w:rsidR="006C5A86">
        <w:fldChar w:fldCharType="separate"/>
      </w:r>
      <w:r w:rsidRPr="006F34CD" w:rsidR="006F34CD">
        <w:t>53</w:t>
      </w:r>
      <w:r w:rsidRPr="006F34CD" w:rsidR="006C5A86">
        <w:fldChar w:fldCharType="end"/>
      </w:r>
      <w:r w:rsidRPr="006F34CD" w:rsidR="006C5A86">
        <w:t>-</w:t>
      </w:r>
      <w:r w:rsidRPr="006F34CD" w:rsidR="006C5A86">
        <w:fldChar w:fldCharType="begin"/>
      </w:r>
      <w:r w:rsidRPr="006F34CD" w:rsidR="006E5193">
        <w:instrText xml:space="preserve">REF paragraph00054 \h \* CharFormat </w:instrText>
      </w:r>
      <w:r w:rsidRPr="006F34CD" w:rsidR="006C5A86">
        <w:fldChar w:fldCharType="separate"/>
      </w:r>
      <w:r w:rsidRPr="006F34CD" w:rsidR="006F34CD">
        <w:t>54</w:t>
      </w:r>
      <w:r w:rsidRPr="006F34CD" w:rsidR="006C5A86">
        <w:fldChar w:fldCharType="end"/>
      </w:r>
      <w:r w:rsidRPr="006F34CD" w:rsidR="00A95943">
        <w:t xml:space="preserve"> above)</w:t>
      </w:r>
      <w:r w:rsidRPr="006F34CD" w:rsidR="00047367">
        <w:t xml:space="preserve">, the complaints </w:t>
      </w:r>
      <w:r w:rsidRPr="006F34CD" w:rsidR="00C366D4">
        <w:t xml:space="preserve">are </w:t>
      </w:r>
      <w:r w:rsidRPr="006F34CD" w:rsidR="00047367">
        <w:t>not belated.</w:t>
      </w:r>
    </w:p>
    <w:bookmarkStart w:name="paragraph00193" w:id="172"/>
    <w:p w:rsidRPr="006F34CD" w:rsidR="00587DCF" w:rsidP="006F34CD" w:rsidRDefault="00B640EB" w14:paraId="40042813" w14:textId="0B985C78">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193</w:t>
      </w:r>
      <w:r w:rsidRPr="006F34CD">
        <w:rPr>
          <w:noProof/>
        </w:rPr>
        <w:fldChar w:fldCharType="end"/>
      </w:r>
      <w:bookmarkEnd w:id="172"/>
      <w:r w:rsidRPr="006F34CD" w:rsidR="00791EA2">
        <w:t xml:space="preserve">.  The Government </w:t>
      </w:r>
      <w:r w:rsidRPr="006F34CD" w:rsidR="00047367">
        <w:t xml:space="preserve">also </w:t>
      </w:r>
      <w:r w:rsidRPr="006F34CD" w:rsidR="00791EA2">
        <w:t xml:space="preserve">claimed that the complaint was inadmissible by virtue of </w:t>
      </w:r>
      <w:r w:rsidRPr="006F34CD" w:rsidR="001C659E">
        <w:t>Article 1</w:t>
      </w:r>
      <w:r w:rsidRPr="006F34CD" w:rsidR="00791EA2">
        <w:t>7 of the Convention. T</w:t>
      </w:r>
      <w:r w:rsidRPr="006F34CD" w:rsidR="00E206CB">
        <w:t xml:space="preserve">he Court </w:t>
      </w:r>
      <w:r w:rsidRPr="006F34CD" w:rsidR="00365447">
        <w:t>has dismissed the Government</w:t>
      </w:r>
      <w:r w:rsidRPr="006F34CD" w:rsidR="006F34CD">
        <w:t>’</w:t>
      </w:r>
      <w:r w:rsidRPr="006F34CD" w:rsidR="00365447">
        <w:t xml:space="preserve">s </w:t>
      </w:r>
      <w:r w:rsidRPr="006F34CD" w:rsidR="00776714">
        <w:t>identical</w:t>
      </w:r>
      <w:r w:rsidRPr="006F34CD" w:rsidR="00791EA2">
        <w:t xml:space="preserve"> </w:t>
      </w:r>
      <w:r w:rsidRPr="006F34CD" w:rsidR="00365447">
        <w:t xml:space="preserve">objection </w:t>
      </w:r>
      <w:r w:rsidRPr="006F34CD" w:rsidR="00791EA2">
        <w:t>in</w:t>
      </w:r>
      <w:r w:rsidRPr="006F34CD" w:rsidR="00365447">
        <w:t xml:space="preserve"> paragraph </w:t>
      </w:r>
      <w:r w:rsidRPr="006F34CD" w:rsidR="00365447">
        <w:fldChar w:fldCharType="begin"/>
      </w:r>
      <w:r w:rsidRPr="006F34CD" w:rsidR="006E5193">
        <w:instrText xml:space="preserve">REF paragraph00141 \h \* CharFormat </w:instrText>
      </w:r>
      <w:r w:rsidRPr="006F34CD" w:rsidR="00365447">
        <w:fldChar w:fldCharType="separate"/>
      </w:r>
      <w:r w:rsidRPr="006F34CD" w:rsidR="006F34CD">
        <w:t>141</w:t>
      </w:r>
      <w:r w:rsidRPr="006F34CD" w:rsidR="00365447">
        <w:fldChar w:fldCharType="end"/>
      </w:r>
      <w:r w:rsidRPr="006F34CD" w:rsidR="00365447">
        <w:t xml:space="preserve"> above</w:t>
      </w:r>
      <w:r w:rsidRPr="006F34CD" w:rsidR="00791EA2">
        <w:t xml:space="preserve"> and does not need to revisit this finding.</w:t>
      </w:r>
    </w:p>
    <w:p w:rsidRPr="006F34CD" w:rsidR="00E206CB" w:rsidP="006F34CD" w:rsidRDefault="00CB6108" w14:paraId="07FEE575" w14:textId="44322213">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194</w:t>
      </w:r>
      <w:r>
        <w:rPr>
          <w:noProof/>
        </w:rPr>
        <w:fldChar w:fldCharType="end"/>
      </w:r>
      <w:r w:rsidRPr="006F34CD" w:rsidR="00047367">
        <w:t>.  The Court</w:t>
      </w:r>
      <w:r w:rsidRPr="006F34CD" w:rsidR="00791EA2">
        <w:t xml:space="preserve"> further</w:t>
      </w:r>
      <w:r w:rsidRPr="006F34CD" w:rsidR="00952FE7">
        <w:t xml:space="preserve"> </w:t>
      </w:r>
      <w:r w:rsidRPr="006F34CD" w:rsidR="00365447">
        <w:t xml:space="preserve">notes </w:t>
      </w:r>
      <w:r w:rsidRPr="006F34CD" w:rsidR="00E206CB">
        <w:t xml:space="preserve">that this complaint is </w:t>
      </w:r>
      <w:r w:rsidRPr="006F34CD" w:rsidR="00F27848">
        <w:t>not manifestly ill</w:t>
      </w:r>
      <w:r w:rsidRPr="006F34CD" w:rsidR="00AC1B15">
        <w:noBreakHyphen/>
      </w:r>
      <w:r w:rsidRPr="006F34CD" w:rsidR="00F27848">
        <w:t xml:space="preserve">founded within the meaning of </w:t>
      </w:r>
      <w:r w:rsidRPr="006F34CD" w:rsidR="001370AA">
        <w:t>Article 3</w:t>
      </w:r>
      <w:r w:rsidRPr="006F34CD" w:rsidR="00F27848">
        <w:t>5</w:t>
      </w:r>
      <w:r w:rsidRPr="006F34CD" w:rsidR="001370AA">
        <w:t xml:space="preserve"> § 3 </w:t>
      </w:r>
      <w:r w:rsidRPr="006F34CD" w:rsidR="00F27848">
        <w:t>(a) of the Convention</w:t>
      </w:r>
      <w:r w:rsidRPr="006F34CD" w:rsidR="00365447">
        <w:t xml:space="preserve"> or </w:t>
      </w:r>
      <w:r w:rsidRPr="006F34CD" w:rsidR="00F27848">
        <w:t>inadmissible on any other grounds.</w:t>
      </w:r>
      <w:r w:rsidRPr="006F34CD" w:rsidR="001370AA">
        <w:t xml:space="preserve"> </w:t>
      </w:r>
      <w:r w:rsidRPr="006F34CD" w:rsidR="00E206CB">
        <w:t>It must therefore be declared admissible.</w:t>
      </w:r>
    </w:p>
    <w:p w:rsidRPr="006F34CD" w:rsidR="00563DE6" w:rsidP="006F34CD" w:rsidRDefault="00E206CB" w14:paraId="58B58089" w14:textId="77777777">
      <w:pPr>
        <w:pStyle w:val="JuHA"/>
        <w:numPr>
          <w:ilvl w:val="2"/>
          <w:numId w:val="4"/>
        </w:numPr>
      </w:pPr>
      <w:bookmarkStart w:name="_Toc97301959" w:id="173"/>
      <w:r w:rsidRPr="006F34CD">
        <w:t>Merits</w:t>
      </w:r>
      <w:bookmarkEnd w:id="173"/>
    </w:p>
    <w:p w:rsidRPr="006F34CD" w:rsidR="00EE5F9D" w:rsidP="006F34CD" w:rsidRDefault="00EE5F9D" w14:paraId="4610E91A" w14:textId="77777777">
      <w:pPr>
        <w:pStyle w:val="JuH1"/>
      </w:pPr>
      <w:bookmarkStart w:name="_Toc97301960" w:id="174"/>
      <w:r w:rsidRPr="006F34CD">
        <w:t>Submissions by the parties</w:t>
      </w:r>
      <w:bookmarkEnd w:id="174"/>
    </w:p>
    <w:bookmarkStart w:name="paragraph00195" w:id="175"/>
    <w:p w:rsidRPr="006F34CD" w:rsidR="00F27848" w:rsidP="006F34CD" w:rsidRDefault="00563DE6" w14:paraId="11CB626A" w14:textId="3512FAE1">
      <w:pPr>
        <w:pStyle w:val="JuPara"/>
      </w:pPr>
      <w:r w:rsidRPr="006F34CD">
        <w:fldChar w:fldCharType="begin"/>
      </w:r>
      <w:r w:rsidRPr="006F34CD">
        <w:instrText xml:space="preserve"> SEQ level0 \*arabic </w:instrText>
      </w:r>
      <w:r w:rsidRPr="006F34CD">
        <w:fldChar w:fldCharType="separate"/>
      </w:r>
      <w:r w:rsidRPr="006F34CD" w:rsidR="006F34CD">
        <w:rPr>
          <w:noProof/>
        </w:rPr>
        <w:t>195</w:t>
      </w:r>
      <w:r w:rsidRPr="006F34CD">
        <w:fldChar w:fldCharType="end"/>
      </w:r>
      <w:bookmarkEnd w:id="175"/>
      <w:r w:rsidRPr="006F34CD">
        <w:t>.</w:t>
      </w:r>
      <w:r w:rsidRPr="006F34CD" w:rsidR="001370AA">
        <w:t>  </w:t>
      </w:r>
      <w:r w:rsidRPr="006F34CD">
        <w:t xml:space="preserve">The applicants submitted that the ban </w:t>
      </w:r>
      <w:r w:rsidRPr="006F34CD" w:rsidR="00BB54B2">
        <w:t xml:space="preserve">on religious publications had </w:t>
      </w:r>
      <w:r w:rsidRPr="006F34CD">
        <w:t>interfered with their ability to study and discuss religious texts and exposed them to criminal and administrative liability for using the publications the court</w:t>
      </w:r>
      <w:r w:rsidRPr="006F34CD" w:rsidR="00EE5F9D">
        <w:t>s</w:t>
      </w:r>
      <w:r w:rsidRPr="006F34CD">
        <w:t xml:space="preserve"> declared “extremist”. The courts </w:t>
      </w:r>
      <w:r w:rsidRPr="006F34CD" w:rsidR="00BB54B2">
        <w:t xml:space="preserve">had </w:t>
      </w:r>
      <w:r w:rsidRPr="006F34CD">
        <w:t xml:space="preserve">banned the publications simply because they demonstrated a negative attitude toward various elements of traditional Christianity and urged people to leave other Christian religions. Yet peaceful disagreements about religious doctrine and practices were at the heart of religious pluralism guaranteed by </w:t>
      </w:r>
      <w:r w:rsidRPr="006F34CD" w:rsidR="001370AA">
        <w:t>Article 9</w:t>
      </w:r>
      <w:r w:rsidRPr="006F34CD">
        <w:t>, and the right “to try to convince one</w:t>
      </w:r>
      <w:r w:rsidRPr="006F34CD" w:rsidR="006F34CD">
        <w:t>’</w:t>
      </w:r>
      <w:r w:rsidRPr="006F34CD">
        <w:t xml:space="preserve">s neighbour” was an essential element of religious freedom. The expert assessment of the publications amounted to an impermissible State evaluation of the legitimacy of their religious beliefs but, even so, the experts concurred that the publications did </w:t>
      </w:r>
      <w:r w:rsidRPr="006F34CD" w:rsidR="00F27848">
        <w:t>not contain calls or incitement to violence, and the Government did not argue otherwise.</w:t>
      </w:r>
      <w:r w:rsidRPr="006F34CD" w:rsidR="001370AA">
        <w:t xml:space="preserve"> </w:t>
      </w:r>
      <w:r w:rsidRPr="006F34CD">
        <w:t xml:space="preserve">The </w:t>
      </w:r>
      <w:r w:rsidRPr="006F34CD" w:rsidR="00B27A74">
        <w:t>publications</w:t>
      </w:r>
      <w:r w:rsidRPr="006F34CD">
        <w:t xml:space="preserve"> had </w:t>
      </w:r>
      <w:r w:rsidRPr="006F34CD" w:rsidR="00F27848">
        <w:t>not been gratuitously offensive, disrespectful or hateful.</w:t>
      </w:r>
      <w:r w:rsidRPr="006F34CD" w:rsidR="001370AA">
        <w:t xml:space="preserve"> </w:t>
      </w:r>
      <w:r w:rsidRPr="006F34CD">
        <w:t>They had been sincere statements of religious belief on the interpretation and application of scriptures from the Bible.</w:t>
      </w:r>
      <w:r w:rsidRPr="006F34CD" w:rsidR="00BB54B2">
        <w:t xml:space="preserve"> </w:t>
      </w:r>
      <w:r w:rsidRPr="006F34CD" w:rsidR="00F27848">
        <w:t>In the case of the Samara LRO, the applicants alleged that the banned literature had been planted on its premises by police officers disguised as “electricity inspectors”.</w:t>
      </w:r>
      <w:r w:rsidRPr="006F34CD" w:rsidR="001370AA">
        <w:t xml:space="preserve"> </w:t>
      </w:r>
      <w:r w:rsidRPr="006F34CD">
        <w:t>When they had come back in uniform, they had k</w:t>
      </w:r>
      <w:r w:rsidRPr="006F34CD" w:rsidR="00F27848">
        <w:t>nown where precisely to look and found seven copies of brochures in a closed box in the cloakroom.</w:t>
      </w:r>
      <w:r w:rsidRPr="006F34CD" w:rsidR="001370AA">
        <w:t xml:space="preserve"> </w:t>
      </w:r>
      <w:r w:rsidRPr="006F34CD">
        <w:t xml:space="preserve">Using planted evidence as a basis for dissolving the organisation rendered the interference unlawful. In addition, holding the Samara LRO liable for the activities of its congregations contradicted the position of </w:t>
      </w:r>
      <w:r w:rsidRPr="006F34CD" w:rsidR="00BB54B2">
        <w:t>Russia</w:t>
      </w:r>
      <w:r w:rsidRPr="006F34CD" w:rsidR="006F34CD">
        <w:t>’</w:t>
      </w:r>
      <w:r w:rsidRPr="006F34CD" w:rsidR="00BB54B2">
        <w:t>s</w:t>
      </w:r>
      <w:r w:rsidRPr="006F34CD">
        <w:t xml:space="preserve"> Supreme Court which held that religious groups, such as congregations, could </w:t>
      </w:r>
      <w:r w:rsidRPr="006F34CD" w:rsidR="00F27848">
        <w:t>not be part of the structure of religious organisations.</w:t>
      </w:r>
      <w:r w:rsidRPr="006F34CD" w:rsidR="001370AA">
        <w:t xml:space="preserve"> Mr M</w:t>
      </w:r>
      <w:r w:rsidRPr="006F34CD">
        <w:t xml:space="preserve">oskvin had </w:t>
      </w:r>
      <w:r w:rsidRPr="006F34CD" w:rsidR="00F27848">
        <w:t>not been the director or member of the Samara LRO, and his conviction was not imputable to the organisation.</w:t>
      </w:r>
      <w:r w:rsidRPr="006F34CD" w:rsidR="001370AA">
        <w:t xml:space="preserve"> </w:t>
      </w:r>
      <w:r w:rsidRPr="006F34CD">
        <w:t>Finally, it was disproportionate to punish the Samara LRO with a modest fine in the administrative proceedings and, less than three months later, to pro</w:t>
      </w:r>
      <w:r w:rsidRPr="006F34CD" w:rsidR="00F27848">
        <w:t>nounce the most severe sanction, the forced dissolution, without any further alleged violations by the Samara LRO.</w:t>
      </w:r>
    </w:p>
    <w:p w:rsidRPr="006F34CD" w:rsidR="00EE5F9D" w:rsidP="006F34CD" w:rsidRDefault="00EE5F9D" w14:paraId="428B396D" w14:textId="330614DC">
      <w:pPr>
        <w:pStyle w:val="JuPara"/>
      </w:pPr>
      <w:r w:rsidRPr="006F34CD">
        <w:fldChar w:fldCharType="begin"/>
      </w:r>
      <w:r w:rsidRPr="006F34CD">
        <w:instrText xml:space="preserve"> SEQ level0 \*arabic </w:instrText>
      </w:r>
      <w:r w:rsidRPr="006F34CD">
        <w:fldChar w:fldCharType="separate"/>
      </w:r>
      <w:r w:rsidRPr="006F34CD" w:rsidR="006F34CD">
        <w:rPr>
          <w:noProof/>
        </w:rPr>
        <w:t>196</w:t>
      </w:r>
      <w:r w:rsidRPr="006F34CD">
        <w:fldChar w:fldCharType="end"/>
      </w:r>
      <w:r w:rsidRPr="006F34CD">
        <w:t>.  The Government submitted the applicants</w:t>
      </w:r>
      <w:r w:rsidRPr="006F34CD" w:rsidR="006F34CD">
        <w:t>’</w:t>
      </w:r>
      <w:r w:rsidRPr="006F34CD">
        <w:t xml:space="preserve"> rights to freedom of religion and expression had to be weighed against the public interest in </w:t>
      </w:r>
      <w:r w:rsidRPr="006F34CD" w:rsidR="004E6993">
        <w:t>the protection of</w:t>
      </w:r>
      <w:r w:rsidRPr="006F34CD">
        <w:t xml:space="preserve"> national security and </w:t>
      </w:r>
      <w:r w:rsidRPr="006F34CD" w:rsidR="004E6993">
        <w:t>the prevention of</w:t>
      </w:r>
      <w:r w:rsidRPr="006F34CD">
        <w:t xml:space="preserve"> disorder or extremist offences. Distribution of extremist material was not a form of lawful exercise of the applicant</w:t>
      </w:r>
      <w:r w:rsidRPr="006F34CD" w:rsidR="006F34CD">
        <w:t>’</w:t>
      </w:r>
      <w:r w:rsidRPr="006F34CD">
        <w:t xml:space="preserve">s rights under Articles 9 and 10 of the Convention. The Russian courts had thoroughly and comprehensively scrutinised the </w:t>
      </w:r>
      <w:r w:rsidRPr="006F34CD" w:rsidR="00C1274F">
        <w:t xml:space="preserve">publications </w:t>
      </w:r>
      <w:r w:rsidRPr="006F34CD">
        <w:t>and upheld the prosecutor</w:t>
      </w:r>
      <w:r w:rsidRPr="006F34CD" w:rsidR="006F34CD">
        <w:t>’</w:t>
      </w:r>
      <w:r w:rsidRPr="006F34CD">
        <w:t>s claim that, even though the literature of Jehovah</w:t>
      </w:r>
      <w:r w:rsidRPr="006F34CD" w:rsidR="006F34CD">
        <w:t>’</w:t>
      </w:r>
      <w:r w:rsidRPr="006F34CD">
        <w:t>s Witnesses did not contain direct calls for violence or incitement to violence, it nevertheless offended religious feelings, incited religious enmity, provoked inter-faith conflicts and encouraged relinquishment of civil duties.</w:t>
      </w:r>
      <w:r w:rsidRPr="006F34CD" w:rsidR="00C1274F">
        <w:t xml:space="preserve"> The individual applicants</w:t>
      </w:r>
      <w:r w:rsidRPr="006F34CD">
        <w:t xml:space="preserve"> </w:t>
      </w:r>
      <w:r w:rsidRPr="006F34CD" w:rsidR="00EF1CA5">
        <w:t>had been</w:t>
      </w:r>
      <w:r w:rsidRPr="006F34CD">
        <w:t xml:space="preserve"> brought to administrative liability for breaching the ban on disseminating extremist material, not for </w:t>
      </w:r>
      <w:r w:rsidRPr="006F34CD" w:rsidR="00C1274F">
        <w:t xml:space="preserve">their </w:t>
      </w:r>
      <w:r w:rsidRPr="006F34CD">
        <w:t>religious convictions or for the exercise of the right to freedom of peaceful assembly. In the case of the Samara LRO, there had existed a close connection between the Novokuybyshevsk community and the Samara LRO. The latter had rented the place where the former had celebrated religious services. The Novokuybyshevsk community had not sent a notice to the municipal authorities to inform them of its existence as an independent religious group; instead, it had functioned as part of the Samara LRO. By keeping the publications which it ought to have known to have been extremist, the Samara LRO had maliciously carried on its extremist activities after the prosecutor</w:t>
      </w:r>
      <w:r w:rsidRPr="006F34CD" w:rsidR="006F34CD">
        <w:t>’</w:t>
      </w:r>
      <w:r w:rsidRPr="006F34CD">
        <w:t>s warning. In those circumstances, after preventive measures had turned out to be ineffective, the Russian courts had deemed liquidation to be the only appropriate sanction.</w:t>
      </w:r>
    </w:p>
    <w:p w:rsidRPr="006F34CD" w:rsidR="003242AE" w:rsidP="006F34CD" w:rsidRDefault="003242AE" w14:paraId="7226D7EC" w14:textId="404D6C4A">
      <w:pPr>
        <w:pStyle w:val="JuH1"/>
      </w:pPr>
      <w:bookmarkStart w:name="_Toc97301961" w:id="176"/>
      <w:r w:rsidRPr="006F34CD">
        <w:t>The Court</w:t>
      </w:r>
      <w:r w:rsidRPr="006F34CD" w:rsidR="006F34CD">
        <w:t>’</w:t>
      </w:r>
      <w:r w:rsidRPr="006F34CD">
        <w:t>s assessment</w:t>
      </w:r>
      <w:bookmarkEnd w:id="176"/>
    </w:p>
    <w:p w:rsidRPr="006F34CD" w:rsidR="00E31FB4" w:rsidP="006F34CD" w:rsidRDefault="00E31FB4" w14:paraId="573663F5" w14:textId="77777777">
      <w:pPr>
        <w:pStyle w:val="JuHa0"/>
        <w:rPr>
          <w:lang w:val="ru-RU"/>
        </w:rPr>
      </w:pPr>
      <w:bookmarkStart w:name="_Toc97301962" w:id="177"/>
      <w:r w:rsidRPr="006F34CD">
        <w:t>Existence of interference</w:t>
      </w:r>
      <w:bookmarkEnd w:id="177"/>
    </w:p>
    <w:p w:rsidRPr="006F34CD" w:rsidR="00B33E66" w:rsidP="006F34CD" w:rsidRDefault="00CB6108" w14:paraId="5CA58525" w14:textId="62788AA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197</w:t>
      </w:r>
      <w:r>
        <w:rPr>
          <w:noProof/>
        </w:rPr>
        <w:fldChar w:fldCharType="end"/>
      </w:r>
      <w:r w:rsidRPr="006F34CD" w:rsidR="00E31FB4">
        <w:t>.  </w:t>
      </w:r>
      <w:r w:rsidRPr="006F34CD" w:rsidR="007542CE">
        <w:t>There is no dispute between the parties that declaring Jehovah</w:t>
      </w:r>
      <w:r w:rsidRPr="006F34CD" w:rsidR="006F34CD">
        <w:t>’</w:t>
      </w:r>
      <w:r w:rsidRPr="006F34CD" w:rsidR="007542CE">
        <w:t>s Witnesses</w:t>
      </w:r>
      <w:r w:rsidRPr="006F34CD" w:rsidR="006F34CD">
        <w:t>’</w:t>
      </w:r>
      <w:r w:rsidRPr="006F34CD" w:rsidR="007542CE">
        <w:t xml:space="preserve"> publications “extremist” </w:t>
      </w:r>
      <w:r w:rsidRPr="006F34CD" w:rsidR="00CC4044">
        <w:t xml:space="preserve">and sanctioning the applicants for the possession or distribution of the publications </w:t>
      </w:r>
      <w:r w:rsidRPr="006F34CD" w:rsidR="007542CE">
        <w:t>amounted to “interference by a public authority” with the</w:t>
      </w:r>
      <w:r w:rsidRPr="006F34CD" w:rsidR="00CC4044">
        <w:t>ir</w:t>
      </w:r>
      <w:r w:rsidRPr="006F34CD" w:rsidR="007542CE">
        <w:t xml:space="preserve"> right to freedom of expression</w:t>
      </w:r>
      <w:r w:rsidRPr="006F34CD" w:rsidR="00805B3C">
        <w:t xml:space="preserve"> under </w:t>
      </w:r>
      <w:r w:rsidRPr="006F34CD" w:rsidR="003179D7">
        <w:t>Article 1</w:t>
      </w:r>
      <w:r w:rsidRPr="006F34CD" w:rsidR="00805B3C">
        <w:t>0 of the Convention</w:t>
      </w:r>
      <w:r w:rsidRPr="006F34CD" w:rsidR="002B4A08">
        <w:t xml:space="preserve"> which must be</w:t>
      </w:r>
      <w:r w:rsidRPr="006F34CD" w:rsidR="007542CE">
        <w:t xml:space="preserve"> interpreted in the light of </w:t>
      </w:r>
      <w:r w:rsidRPr="006F34CD" w:rsidR="003179D7">
        <w:t>Article 9</w:t>
      </w:r>
      <w:r w:rsidRPr="006F34CD" w:rsidR="007542CE">
        <w:t xml:space="preserve"> to take account of the religious nature of the </w:t>
      </w:r>
      <w:r w:rsidRPr="006F34CD" w:rsidR="00CC4044">
        <w:t xml:space="preserve">publications </w:t>
      </w:r>
      <w:r w:rsidRPr="006F34CD" w:rsidR="007542CE">
        <w:t xml:space="preserve">and </w:t>
      </w:r>
      <w:r w:rsidRPr="006F34CD" w:rsidR="002B4A08">
        <w:t xml:space="preserve">their </w:t>
      </w:r>
      <w:r w:rsidRPr="006F34CD" w:rsidR="007542CE">
        <w:t>intended use it for religious purposes. As the Court stated, the “collective study and discussion of religious texts by the members of the religious group of Jehovah</w:t>
      </w:r>
      <w:r w:rsidRPr="006F34CD" w:rsidR="006F34CD">
        <w:t>’</w:t>
      </w:r>
      <w:r w:rsidRPr="006F34CD" w:rsidR="007542CE">
        <w:t>s Witnesses [is] a recogn</w:t>
      </w:r>
      <w:r w:rsidRPr="006F34CD" w:rsidR="00934CE0">
        <w:t>ise</w:t>
      </w:r>
      <w:r w:rsidRPr="006F34CD" w:rsidR="007542CE">
        <w:t xml:space="preserve">d form of manifestation of their religion in worship and teaching” (see </w:t>
      </w:r>
      <w:r w:rsidRPr="006F34CD" w:rsidR="00D619E8">
        <w:rPr>
          <w:i/>
        </w:rPr>
        <w:t>Kuznetsov and Others</w:t>
      </w:r>
      <w:r w:rsidRPr="006F34CD" w:rsidR="00D619E8">
        <w:t xml:space="preserve">, cited above, </w:t>
      </w:r>
      <w:r w:rsidRPr="006F34CD" w:rsidR="00BC0864">
        <w:t>§ 5</w:t>
      </w:r>
      <w:r w:rsidRPr="006F34CD" w:rsidR="00D619E8">
        <w:t>7</w:t>
      </w:r>
      <w:r w:rsidRPr="006F34CD" w:rsidR="007542CE">
        <w:t xml:space="preserve">). </w:t>
      </w:r>
      <w:r w:rsidRPr="006F34CD" w:rsidR="00CB6850">
        <w:t xml:space="preserve">The ban </w:t>
      </w:r>
      <w:r w:rsidRPr="006F34CD" w:rsidR="00CC4044">
        <w:t xml:space="preserve">on publications </w:t>
      </w:r>
      <w:r w:rsidRPr="006F34CD" w:rsidR="00CB6850">
        <w:t xml:space="preserve">also interfered with the rights of the </w:t>
      </w:r>
      <w:r w:rsidRPr="006F34CD" w:rsidR="002B4A08">
        <w:t xml:space="preserve">applicant </w:t>
      </w:r>
      <w:r w:rsidRPr="006F34CD" w:rsidR="00CB6850">
        <w:t>publishers of the Jehovah</w:t>
      </w:r>
      <w:r w:rsidRPr="006F34CD" w:rsidR="006F34CD">
        <w:t>’</w:t>
      </w:r>
      <w:r w:rsidRPr="006F34CD" w:rsidR="00CB6850">
        <w:t>s Witnesses</w:t>
      </w:r>
      <w:r w:rsidRPr="006F34CD" w:rsidR="006F34CD">
        <w:t>’</w:t>
      </w:r>
      <w:r w:rsidRPr="006F34CD" w:rsidR="00CB6850">
        <w:t xml:space="preserve"> literature (see paragraph </w:t>
      </w:r>
      <w:r w:rsidRPr="006F34CD" w:rsidR="00CB6850">
        <w:fldChar w:fldCharType="begin"/>
      </w:r>
      <w:r w:rsidRPr="006F34CD" w:rsidR="006E5193">
        <w:instrText xml:space="preserve">REF paragraph00147 \h \* CharFormat </w:instrText>
      </w:r>
      <w:r w:rsidRPr="006F34CD" w:rsidR="00CB6850">
        <w:fldChar w:fldCharType="separate"/>
      </w:r>
      <w:r w:rsidRPr="006F34CD" w:rsidR="006F34CD">
        <w:t>147</w:t>
      </w:r>
      <w:r w:rsidRPr="006F34CD" w:rsidR="00CB6850">
        <w:fldChar w:fldCharType="end"/>
      </w:r>
      <w:r w:rsidRPr="006F34CD" w:rsidR="00CB6850">
        <w:t xml:space="preserve"> above).</w:t>
      </w:r>
    </w:p>
    <w:bookmarkStart w:name="paragraph00198" w:id="178"/>
    <w:p w:rsidRPr="006F34CD" w:rsidR="007D5B32" w:rsidP="006F34CD" w:rsidRDefault="00B33E66" w14:paraId="54F1BFCC" w14:textId="7C5B8E4C">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198</w:t>
      </w:r>
      <w:r w:rsidRPr="006F34CD">
        <w:rPr>
          <w:noProof/>
        </w:rPr>
        <w:fldChar w:fldCharType="end"/>
      </w:r>
      <w:bookmarkEnd w:id="178"/>
      <w:r w:rsidRPr="006F34CD">
        <w:t>.  </w:t>
      </w:r>
      <w:r w:rsidRPr="006F34CD" w:rsidR="00EF610E">
        <w:t>In so far as</w:t>
      </w:r>
      <w:r w:rsidRPr="006F34CD">
        <w:t xml:space="preserve"> possession of prohibited publications was relied upon as </w:t>
      </w:r>
      <w:r w:rsidRPr="006F34CD" w:rsidR="00CC4044">
        <w:t xml:space="preserve">a </w:t>
      </w:r>
      <w:r w:rsidRPr="006F34CD">
        <w:t xml:space="preserve">ground for the forced dissolution of a religious organisation, the complaint must be considered </w:t>
      </w:r>
      <w:r w:rsidRPr="006F34CD" w:rsidR="00CC4044">
        <w:t xml:space="preserve">as an instance of </w:t>
      </w:r>
      <w:r w:rsidRPr="006F34CD" w:rsidR="00CB6850">
        <w:t xml:space="preserve">interference with </w:t>
      </w:r>
      <w:r w:rsidRPr="006F34CD">
        <w:t xml:space="preserve">the </w:t>
      </w:r>
      <w:r w:rsidRPr="006F34CD" w:rsidR="007542CE">
        <w:t>applicants</w:t>
      </w:r>
      <w:r w:rsidRPr="006F34CD" w:rsidR="006F34CD">
        <w:t>’</w:t>
      </w:r>
      <w:r w:rsidRPr="006F34CD" w:rsidR="007542CE">
        <w:t xml:space="preserve"> </w:t>
      </w:r>
      <w:r w:rsidRPr="006F34CD">
        <w:t>right to freedom of association safeguarded by Article</w:t>
      </w:r>
      <w:r w:rsidRPr="006F34CD" w:rsidR="00CB6850">
        <w:t> </w:t>
      </w:r>
      <w:r w:rsidRPr="006F34CD">
        <w:t xml:space="preserve">11 of the Convention, </w:t>
      </w:r>
      <w:r w:rsidRPr="006F34CD" w:rsidR="0045359B">
        <w:t>interpreted</w:t>
      </w:r>
      <w:r w:rsidRPr="006F34CD">
        <w:t xml:space="preserve"> in the light of </w:t>
      </w:r>
      <w:r w:rsidRPr="006F34CD" w:rsidR="00F50F6F">
        <w:t>Article 9</w:t>
      </w:r>
      <w:r w:rsidRPr="006F34CD">
        <w:t>.</w:t>
      </w:r>
      <w:r w:rsidRPr="006F34CD" w:rsidR="00CC4044">
        <w:t xml:space="preserve"> </w:t>
      </w:r>
      <w:r w:rsidRPr="006F34CD" w:rsidR="007D5B32">
        <w:t xml:space="preserve">Such interference will infringe the Convention unless it </w:t>
      </w:r>
      <w:r w:rsidRPr="006F34CD" w:rsidR="00CC4044">
        <w:t>can be shown that it has satisfied the requirements of the second paragraph of those provisions.</w:t>
      </w:r>
    </w:p>
    <w:p w:rsidRPr="006F34CD" w:rsidR="00E31FB4" w:rsidP="006F34CD" w:rsidRDefault="00E31FB4" w14:paraId="5957C967" w14:textId="77777777">
      <w:pPr>
        <w:pStyle w:val="JuHa0"/>
      </w:pPr>
      <w:bookmarkStart w:name="_Toc97301963" w:id="179"/>
      <w:r w:rsidRPr="006F34CD">
        <w:t>Justification for the interference</w:t>
      </w:r>
      <w:bookmarkEnd w:id="179"/>
    </w:p>
    <w:bookmarkStart w:name="paragraph00199" w:id="180"/>
    <w:p w:rsidRPr="006F34CD" w:rsidR="00383412" w:rsidP="006F34CD" w:rsidRDefault="00383412" w14:paraId="17D65B86" w14:textId="5BD72CF5">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199</w:t>
      </w:r>
      <w:r w:rsidRPr="006F34CD">
        <w:fldChar w:fldCharType="end"/>
      </w:r>
      <w:bookmarkEnd w:id="180"/>
      <w:r w:rsidRPr="006F34CD">
        <w:t xml:space="preserve">.  The general principles regarding freedom of expression and religion have been summarised in the case of </w:t>
      </w:r>
      <w:r w:rsidRPr="006F34CD">
        <w:rPr>
          <w:i/>
          <w:iCs/>
        </w:rPr>
        <w:t>Ibragim Ibragimov and</w:t>
      </w:r>
      <w:r w:rsidRPr="006F34CD" w:rsidR="001621EE">
        <w:rPr>
          <w:i/>
          <w:iCs/>
        </w:rPr>
        <w:t> </w:t>
      </w:r>
      <w:r w:rsidRPr="006F34CD">
        <w:rPr>
          <w:i/>
          <w:iCs/>
        </w:rPr>
        <w:t>Others</w:t>
      </w:r>
      <w:r w:rsidRPr="006F34CD" w:rsidR="00471944">
        <w:t xml:space="preserve">, </w:t>
      </w:r>
      <w:r w:rsidRPr="006F34CD">
        <w:rPr>
          <w:lang w:eastAsia="en-GB"/>
        </w:rPr>
        <w:t xml:space="preserve">cited above, </w:t>
      </w:r>
      <w:r w:rsidRPr="006F34CD">
        <w:t xml:space="preserve">§§ 88-99. In its assessment of the interference with freedom of expression in cases concerning </w:t>
      </w:r>
      <w:r w:rsidRPr="006F34CD" w:rsidR="00110420">
        <w:t>allegedly extremist speech</w:t>
      </w:r>
      <w:r w:rsidRPr="006F34CD">
        <w:t xml:space="preserve">, the Court takes into account </w:t>
      </w:r>
      <w:r w:rsidRPr="006F34CD" w:rsidR="00110420">
        <w:t>such factors as</w:t>
      </w:r>
      <w:r w:rsidRPr="006F34CD">
        <w:t xml:space="preserve"> the existence of a tense political or social background; the presence of calls for – or a justification of – violence, hatred or intolerance, the manner in which the statements were made, and their potential to lead to harmful consequences. It is normally not sufficient that the interference was imposed because its subject-matter fell within a particular category or was caught by a legal rule formulated in general terms; what is rather required is that it was necessary in the specific circumstances (see also </w:t>
      </w:r>
      <w:r w:rsidRPr="006F34CD" w:rsidR="00213AA2">
        <w:rPr>
          <w:i/>
        </w:rPr>
        <w:t>Perinçek</w:t>
      </w:r>
      <w:r w:rsidRPr="006F34CD" w:rsidR="00213AA2">
        <w:t>, cited above, §</w:t>
      </w:r>
      <w:r w:rsidRPr="006F34CD" w:rsidR="00471944">
        <w:t>§ 2</w:t>
      </w:r>
      <w:r w:rsidRPr="006F34CD" w:rsidR="00213AA2">
        <w:t>05-08</w:t>
      </w:r>
      <w:r w:rsidRPr="006F34CD">
        <w:t>).</w:t>
      </w:r>
    </w:p>
    <w:bookmarkStart w:name="paragraph00200" w:id="181"/>
    <w:p w:rsidRPr="006F34CD" w:rsidR="009A3F3B" w:rsidP="006F34CD" w:rsidRDefault="00C971F2" w14:paraId="1581D4C3" w14:textId="772DADD7">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200</w:t>
      </w:r>
      <w:r w:rsidRPr="006F34CD">
        <w:rPr>
          <w:noProof/>
        </w:rPr>
        <w:fldChar w:fldCharType="end"/>
      </w:r>
      <w:bookmarkEnd w:id="181"/>
      <w:r w:rsidRPr="006F34CD" w:rsidR="008B0039">
        <w:t>.  </w:t>
      </w:r>
      <w:r w:rsidRPr="006F34CD" w:rsidR="009A3F3B">
        <w:t>The Court notes that the Russian courts banned the Jehovah</w:t>
      </w:r>
      <w:r w:rsidRPr="006F34CD" w:rsidR="006F34CD">
        <w:t>’</w:t>
      </w:r>
      <w:r w:rsidRPr="006F34CD" w:rsidR="009A3F3B">
        <w:t>s Witnesses</w:t>
      </w:r>
      <w:r w:rsidRPr="006F34CD" w:rsidR="006F34CD">
        <w:t>’</w:t>
      </w:r>
      <w:r w:rsidRPr="006F34CD" w:rsidR="009A3F3B">
        <w:t xml:space="preserve"> publication</w:t>
      </w:r>
      <w:r w:rsidRPr="006F34CD" w:rsidR="001A3337">
        <w:t>s</w:t>
      </w:r>
      <w:r w:rsidRPr="006F34CD" w:rsidR="009A3F3B">
        <w:t xml:space="preserve"> as “extremist” on the </w:t>
      </w:r>
      <w:r w:rsidRPr="006F34CD" w:rsidR="00471944">
        <w:t>grounds</w:t>
      </w:r>
      <w:r w:rsidRPr="006F34CD" w:rsidR="009A3F3B">
        <w:t xml:space="preserve"> that</w:t>
      </w:r>
      <w:r w:rsidRPr="006F34CD" w:rsidR="001A3337">
        <w:t xml:space="preserve"> they incited religious hatred and discord by </w:t>
      </w:r>
      <w:r w:rsidRPr="006F34CD" w:rsidR="009A3F3B">
        <w:t xml:space="preserve">proclaiming the “superiority” of the </w:t>
      </w:r>
      <w:r w:rsidRPr="006F34CD" w:rsidR="001A3337">
        <w:t xml:space="preserve">“true” </w:t>
      </w:r>
      <w:r w:rsidRPr="006F34CD" w:rsidR="009A3F3B">
        <w:t>religion of Jehovah</w:t>
      </w:r>
      <w:r w:rsidRPr="006F34CD" w:rsidR="006F34CD">
        <w:t>’</w:t>
      </w:r>
      <w:r w:rsidRPr="006F34CD" w:rsidR="009A3F3B">
        <w:t xml:space="preserve">s Witnesses and “hostility” to other </w:t>
      </w:r>
      <w:r w:rsidRPr="006F34CD" w:rsidR="001A3337">
        <w:t xml:space="preserve">“false” </w:t>
      </w:r>
      <w:r w:rsidRPr="006F34CD" w:rsidR="009A3F3B">
        <w:t>religions</w:t>
      </w:r>
      <w:r w:rsidRPr="006F34CD" w:rsidR="00B04173">
        <w:t xml:space="preserve"> </w:t>
      </w:r>
      <w:r w:rsidRPr="006F34CD" w:rsidR="00C977C8">
        <w:t>or</w:t>
      </w:r>
      <w:r w:rsidRPr="006F34CD" w:rsidR="00B04173">
        <w:t xml:space="preserve"> their ministers and that they encouraged relinquishment of civic duties and military service</w:t>
      </w:r>
      <w:r w:rsidRPr="006F34CD" w:rsidR="00471944">
        <w:t xml:space="preserve">. </w:t>
      </w:r>
      <w:r w:rsidRPr="006F34CD" w:rsidR="0074561C">
        <w:t>However</w:t>
      </w:r>
      <w:r w:rsidRPr="006F34CD" w:rsidR="00471944">
        <w:t>, no elements of violence, hatred</w:t>
      </w:r>
      <w:r w:rsidRPr="006F34CD" w:rsidR="00BF7FEA">
        <w:t>, abuse, insults, ridicule</w:t>
      </w:r>
      <w:r w:rsidRPr="006F34CD" w:rsidR="00471944">
        <w:t xml:space="preserve"> or calls for </w:t>
      </w:r>
      <w:r w:rsidRPr="006F34CD" w:rsidR="0074561C">
        <w:t>anyone</w:t>
      </w:r>
      <w:r w:rsidRPr="006F34CD" w:rsidR="006F34CD">
        <w:t>’</w:t>
      </w:r>
      <w:r w:rsidRPr="006F34CD" w:rsidR="0074561C">
        <w:t xml:space="preserve">s </w:t>
      </w:r>
      <w:r w:rsidRPr="006F34CD" w:rsidR="00471944">
        <w:t>exclusion or discrimination have been identified in any of the publications</w:t>
      </w:r>
      <w:r w:rsidRPr="006F34CD" w:rsidR="0085326A">
        <w:t xml:space="preserve"> </w:t>
      </w:r>
      <w:r w:rsidRPr="006F34CD" w:rsidR="009A3F3B">
        <w:t xml:space="preserve">(see paragraphs </w:t>
      </w:r>
      <w:r w:rsidRPr="006F34CD" w:rsidR="009A3F3B">
        <w:fldChar w:fldCharType="begin"/>
      </w:r>
      <w:r w:rsidRPr="006F34CD" w:rsidR="006E5193">
        <w:instrText xml:space="preserve">REF paragraph00030 \h \* CharFormat </w:instrText>
      </w:r>
      <w:r w:rsidRPr="006F34CD" w:rsidR="009A3F3B">
        <w:fldChar w:fldCharType="separate"/>
      </w:r>
      <w:r w:rsidRPr="006F34CD" w:rsidR="006F34CD">
        <w:t>30</w:t>
      </w:r>
      <w:r w:rsidRPr="006F34CD" w:rsidR="009A3F3B">
        <w:fldChar w:fldCharType="end"/>
      </w:r>
      <w:r w:rsidRPr="006F34CD" w:rsidR="009A3F3B">
        <w:t xml:space="preserve">, </w:t>
      </w:r>
      <w:r w:rsidRPr="006F34CD" w:rsidR="00B04173">
        <w:fldChar w:fldCharType="begin"/>
      </w:r>
      <w:r w:rsidRPr="006F34CD" w:rsidR="006E5193">
        <w:instrText xml:space="preserve">REF paragraph00031 \h \* CharFormat </w:instrText>
      </w:r>
      <w:r w:rsidRPr="006F34CD" w:rsidR="00B04173">
        <w:fldChar w:fldCharType="separate"/>
      </w:r>
      <w:r w:rsidRPr="006F34CD" w:rsidR="006F34CD">
        <w:t>31</w:t>
      </w:r>
      <w:r w:rsidRPr="006F34CD" w:rsidR="00B04173">
        <w:fldChar w:fldCharType="end"/>
      </w:r>
      <w:r w:rsidRPr="006F34CD" w:rsidR="00B04173">
        <w:t xml:space="preserve">, </w:t>
      </w:r>
      <w:r w:rsidRPr="006F34CD" w:rsidR="00B04173">
        <w:fldChar w:fldCharType="begin"/>
      </w:r>
      <w:r w:rsidRPr="006F34CD" w:rsidR="006E5193">
        <w:instrText xml:space="preserve">REF paragraph00034 \h \* CharFormat </w:instrText>
      </w:r>
      <w:r w:rsidRPr="006F34CD" w:rsidR="00B04173">
        <w:fldChar w:fldCharType="separate"/>
      </w:r>
      <w:r w:rsidRPr="006F34CD" w:rsidR="006F34CD">
        <w:t>34</w:t>
      </w:r>
      <w:r w:rsidRPr="006F34CD" w:rsidR="00B04173">
        <w:fldChar w:fldCharType="end"/>
      </w:r>
      <w:r w:rsidRPr="006F34CD" w:rsidR="00B04173">
        <w:t xml:space="preserve">, </w:t>
      </w:r>
      <w:r w:rsidRPr="006F34CD" w:rsidR="00B04173">
        <w:fldChar w:fldCharType="begin"/>
      </w:r>
      <w:r w:rsidRPr="006F34CD" w:rsidR="006E5193">
        <w:instrText xml:space="preserve">REF paragraph00036 \h \* CharFormat </w:instrText>
      </w:r>
      <w:r w:rsidRPr="006F34CD" w:rsidR="00B04173">
        <w:fldChar w:fldCharType="separate"/>
      </w:r>
      <w:r w:rsidRPr="006F34CD" w:rsidR="006F34CD">
        <w:t>36</w:t>
      </w:r>
      <w:r w:rsidRPr="006F34CD" w:rsidR="00B04173">
        <w:fldChar w:fldCharType="end"/>
      </w:r>
      <w:r w:rsidRPr="006F34CD" w:rsidR="00B04173">
        <w:t xml:space="preserve">, </w:t>
      </w:r>
      <w:r w:rsidRPr="006F34CD" w:rsidR="00B04173">
        <w:fldChar w:fldCharType="begin"/>
      </w:r>
      <w:r w:rsidRPr="006F34CD" w:rsidR="006E5193">
        <w:instrText xml:space="preserve">REF paragraph00040 \h \* CharFormat </w:instrText>
      </w:r>
      <w:r w:rsidRPr="006F34CD" w:rsidR="00B04173">
        <w:fldChar w:fldCharType="separate"/>
      </w:r>
      <w:r w:rsidRPr="006F34CD" w:rsidR="006F34CD">
        <w:t>40</w:t>
      </w:r>
      <w:r w:rsidRPr="006F34CD" w:rsidR="00B04173">
        <w:fldChar w:fldCharType="end"/>
      </w:r>
      <w:r w:rsidRPr="006F34CD" w:rsidR="00B04173">
        <w:t xml:space="preserve">, </w:t>
      </w:r>
      <w:r w:rsidRPr="006F34CD" w:rsidR="00B04173">
        <w:fldChar w:fldCharType="begin"/>
      </w:r>
      <w:r w:rsidRPr="006F34CD" w:rsidR="006E5193">
        <w:instrText xml:space="preserve">REF paragraph00043 \h \* CharFormat </w:instrText>
      </w:r>
      <w:r w:rsidRPr="006F34CD" w:rsidR="00B04173">
        <w:fldChar w:fldCharType="separate"/>
      </w:r>
      <w:r w:rsidRPr="006F34CD" w:rsidR="006F34CD">
        <w:t>43</w:t>
      </w:r>
      <w:r w:rsidRPr="006F34CD" w:rsidR="00B04173">
        <w:fldChar w:fldCharType="end"/>
      </w:r>
      <w:r w:rsidRPr="006F34CD" w:rsidR="00B04173">
        <w:t xml:space="preserve">, </w:t>
      </w:r>
      <w:r w:rsidRPr="006F34CD" w:rsidR="00B04173">
        <w:fldChar w:fldCharType="begin"/>
      </w:r>
      <w:r w:rsidRPr="006F34CD" w:rsidR="006E5193">
        <w:instrText xml:space="preserve">REF paragraph00045 \h \* CharFormat </w:instrText>
      </w:r>
      <w:r w:rsidRPr="006F34CD" w:rsidR="00B04173">
        <w:fldChar w:fldCharType="separate"/>
      </w:r>
      <w:r w:rsidRPr="006F34CD" w:rsidR="006F34CD">
        <w:t>45</w:t>
      </w:r>
      <w:r w:rsidRPr="006F34CD" w:rsidR="00B04173">
        <w:fldChar w:fldCharType="end"/>
      </w:r>
      <w:r w:rsidRPr="006F34CD" w:rsidR="00B04173">
        <w:t xml:space="preserve"> and </w:t>
      </w:r>
      <w:r w:rsidRPr="006F34CD" w:rsidR="00B04173">
        <w:fldChar w:fldCharType="begin"/>
      </w:r>
      <w:r w:rsidRPr="006F34CD" w:rsidR="006E5193">
        <w:instrText xml:space="preserve">REF paragraph00047 \h \* CharFormat </w:instrText>
      </w:r>
      <w:r w:rsidRPr="006F34CD" w:rsidR="00B04173">
        <w:fldChar w:fldCharType="separate"/>
      </w:r>
      <w:r w:rsidRPr="006F34CD" w:rsidR="006F34CD">
        <w:t>47</w:t>
      </w:r>
      <w:r w:rsidRPr="006F34CD" w:rsidR="00B04173">
        <w:fldChar w:fldCharType="end"/>
      </w:r>
      <w:r w:rsidRPr="006F34CD" w:rsidR="00B04173">
        <w:t xml:space="preserve"> above).</w:t>
      </w:r>
      <w:r w:rsidRPr="006F34CD" w:rsidR="0040393C">
        <w:t xml:space="preserve"> There is no indication that the domestic courts perceived the texts in question as capable of leading to public disturbances or unrest. Neither the domestic courts nor the Government referred to any circumstances indicative of a sensitive background at the material time.</w:t>
      </w:r>
      <w:r w:rsidRPr="006F34CD" w:rsidR="001532D0">
        <w:t xml:space="preserve"> Although the Jehovah</w:t>
      </w:r>
      <w:r w:rsidRPr="006F34CD" w:rsidR="006F34CD">
        <w:t>’</w:t>
      </w:r>
      <w:r w:rsidRPr="006F34CD" w:rsidR="001532D0">
        <w:t>s Witnesses</w:t>
      </w:r>
      <w:r w:rsidRPr="006F34CD" w:rsidR="006F34CD">
        <w:t>’</w:t>
      </w:r>
      <w:r w:rsidRPr="006F34CD" w:rsidR="001532D0">
        <w:t xml:space="preserve"> publications have been widely available in many countries for decades, including in Russia, the Government have not submitted any evidence that they have caused interreligious tensions or led to any harmful consequences or violence, in Russia or elsewhere (see, for similar reasoning, </w:t>
      </w:r>
      <w:r w:rsidRPr="006F34CD" w:rsidR="001532D0">
        <w:rPr>
          <w:i/>
          <w:iCs/>
        </w:rPr>
        <w:t>Öztürk v. Turkey</w:t>
      </w:r>
      <w:r w:rsidRPr="006F34CD" w:rsidR="001532D0">
        <w:t xml:space="preserve"> [GC], no. 22479/93, § 69, ECHR</w:t>
      </w:r>
      <w:r w:rsidRPr="006F34CD" w:rsidR="00AC1B15">
        <w:t> </w:t>
      </w:r>
      <w:r w:rsidRPr="006F34CD" w:rsidR="001532D0">
        <w:t>1999‑VI).</w:t>
      </w:r>
    </w:p>
    <w:bookmarkStart w:name="paragraph00201" w:id="182"/>
    <w:p w:rsidRPr="006F34CD" w:rsidR="008B0039" w:rsidP="006F34CD" w:rsidRDefault="007146F9" w14:paraId="30CBEF58" w14:textId="6CB16DA5">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201</w:t>
      </w:r>
      <w:r w:rsidRPr="006F34CD">
        <w:rPr>
          <w:noProof/>
        </w:rPr>
        <w:fldChar w:fldCharType="end"/>
      </w:r>
      <w:bookmarkEnd w:id="182"/>
      <w:r w:rsidRPr="006F34CD" w:rsidR="00995650">
        <w:t xml:space="preserve">.  The Court has found above that peaceful and non-violent attempts to persuade others of the </w:t>
      </w:r>
      <w:r w:rsidRPr="006F34CD" w:rsidR="0074561C">
        <w:t>virtues</w:t>
      </w:r>
      <w:r w:rsidRPr="006F34CD" w:rsidR="00995650">
        <w:t xml:space="preserve"> of </w:t>
      </w:r>
      <w:r w:rsidRPr="006F34CD" w:rsidR="00995650">
        <w:rPr>
          <w:lang w:bidi="en-US"/>
        </w:rPr>
        <w:t>one</w:t>
      </w:r>
      <w:r w:rsidRPr="006F34CD" w:rsidR="006F34CD">
        <w:rPr>
          <w:lang w:bidi="en-US"/>
        </w:rPr>
        <w:t>’</w:t>
      </w:r>
      <w:r w:rsidRPr="006F34CD" w:rsidR="00995650">
        <w:rPr>
          <w:lang w:bidi="en-US"/>
        </w:rPr>
        <w:t xml:space="preserve">s own religion </w:t>
      </w:r>
      <w:r w:rsidRPr="006F34CD" w:rsidR="0074561C">
        <w:rPr>
          <w:lang w:bidi="en-US"/>
        </w:rPr>
        <w:t xml:space="preserve">and the flaws of others </w:t>
      </w:r>
      <w:r w:rsidRPr="006F34CD" w:rsidR="00995650">
        <w:rPr>
          <w:lang w:bidi="en-US"/>
        </w:rPr>
        <w:t>and to urge them to abandon “false religions” and join the “true one” is a legitimate form of exercising the right</w:t>
      </w:r>
      <w:r w:rsidRPr="006F34CD" w:rsidR="00640C3F">
        <w:rPr>
          <w:lang w:bidi="en-US"/>
        </w:rPr>
        <w:t>s</w:t>
      </w:r>
      <w:r w:rsidRPr="006F34CD" w:rsidR="00995650">
        <w:rPr>
          <w:lang w:bidi="en-US"/>
        </w:rPr>
        <w:t xml:space="preserve"> to freedom of religion and expression, and that it was also </w:t>
      </w:r>
      <w:r w:rsidRPr="006F34CD" w:rsidR="00E346D4">
        <w:rPr>
          <w:lang w:bidi="en-US"/>
        </w:rPr>
        <w:t xml:space="preserve">permissible </w:t>
      </w:r>
      <w:r w:rsidRPr="006F34CD" w:rsidR="00995650">
        <w:rPr>
          <w:lang w:bidi="en-US"/>
        </w:rPr>
        <w:t xml:space="preserve">to seek to convince others to prefer alternative civilian service (see paragraphs </w:t>
      </w:r>
      <w:r w:rsidRPr="006F34CD" w:rsidR="00995650">
        <w:rPr>
          <w:lang w:bidi="en-US"/>
        </w:rPr>
        <w:fldChar w:fldCharType="begin"/>
      </w:r>
      <w:r w:rsidRPr="006F34CD" w:rsidR="006E5193">
        <w:rPr>
          <w:lang w:bidi="en-US"/>
        </w:rPr>
        <w:instrText xml:space="preserve">REF paragraph00156 \h \* CharFormat </w:instrText>
      </w:r>
      <w:r w:rsidRPr="006F34CD" w:rsidR="00995650">
        <w:rPr>
          <w:lang w:bidi="en-US"/>
        </w:rPr>
      </w:r>
      <w:r w:rsidRPr="006F34CD" w:rsidR="00995650">
        <w:rPr>
          <w:lang w:bidi="en-US"/>
        </w:rPr>
        <w:fldChar w:fldCharType="separate"/>
      </w:r>
      <w:r w:rsidRPr="006F34CD" w:rsidR="006F34CD">
        <w:rPr>
          <w:lang w:bidi="en-US"/>
        </w:rPr>
        <w:t>156</w:t>
      </w:r>
      <w:r w:rsidRPr="006F34CD" w:rsidR="00995650">
        <w:rPr>
          <w:lang w:bidi="en-US"/>
        </w:rPr>
        <w:fldChar w:fldCharType="end"/>
      </w:r>
      <w:r w:rsidRPr="006F34CD" w:rsidR="00995650">
        <w:rPr>
          <w:lang w:bidi="en-US"/>
        </w:rPr>
        <w:t xml:space="preserve"> and </w:t>
      </w:r>
      <w:r w:rsidRPr="006F34CD" w:rsidR="00995650">
        <w:rPr>
          <w:lang w:bidi="en-US"/>
        </w:rPr>
        <w:fldChar w:fldCharType="begin"/>
      </w:r>
      <w:r w:rsidRPr="006F34CD" w:rsidR="006E5193">
        <w:rPr>
          <w:lang w:bidi="en-US"/>
        </w:rPr>
        <w:instrText xml:space="preserve">REF paragraph00170 \h \* CharFormat </w:instrText>
      </w:r>
      <w:r w:rsidRPr="006F34CD" w:rsidR="00995650">
        <w:rPr>
          <w:lang w:bidi="en-US"/>
        </w:rPr>
      </w:r>
      <w:r w:rsidRPr="006F34CD" w:rsidR="00995650">
        <w:rPr>
          <w:lang w:bidi="en-US"/>
        </w:rPr>
        <w:fldChar w:fldCharType="separate"/>
      </w:r>
      <w:r w:rsidRPr="006F34CD" w:rsidR="006F34CD">
        <w:rPr>
          <w:lang w:bidi="en-US"/>
        </w:rPr>
        <w:t>170</w:t>
      </w:r>
      <w:r w:rsidRPr="006F34CD" w:rsidR="00995650">
        <w:rPr>
          <w:lang w:bidi="en-US"/>
        </w:rPr>
        <w:fldChar w:fldCharType="end"/>
      </w:r>
      <w:r w:rsidRPr="006F34CD" w:rsidR="00995650">
        <w:rPr>
          <w:lang w:bidi="en-US"/>
        </w:rPr>
        <w:t xml:space="preserve"> above). It has also found that the banning of Jehovah</w:t>
      </w:r>
      <w:r w:rsidRPr="006F34CD" w:rsidR="006F34CD">
        <w:rPr>
          <w:lang w:bidi="en-US"/>
        </w:rPr>
        <w:t>’</w:t>
      </w:r>
      <w:r w:rsidRPr="006F34CD" w:rsidR="00995650">
        <w:rPr>
          <w:lang w:bidi="en-US"/>
        </w:rPr>
        <w:t>s Witnesses</w:t>
      </w:r>
      <w:r w:rsidRPr="006F34CD" w:rsidR="006F34CD">
        <w:rPr>
          <w:lang w:bidi="en-US"/>
        </w:rPr>
        <w:t>’</w:t>
      </w:r>
      <w:r w:rsidRPr="006F34CD" w:rsidR="00995650">
        <w:rPr>
          <w:lang w:bidi="en-US"/>
        </w:rPr>
        <w:t xml:space="preserve"> publications solely on that basis, in the absence of any </w:t>
      </w:r>
      <w:r w:rsidRPr="006F34CD" w:rsidR="0074561C">
        <w:rPr>
          <w:lang w:bidi="en-US"/>
        </w:rPr>
        <w:t xml:space="preserve">statements </w:t>
      </w:r>
      <w:r w:rsidRPr="006F34CD" w:rsidR="00A30A9F">
        <w:rPr>
          <w:lang w:bidi="en-US"/>
        </w:rPr>
        <w:t>advocating</w:t>
      </w:r>
      <w:r w:rsidRPr="006F34CD" w:rsidR="00995650">
        <w:rPr>
          <w:lang w:bidi="en-US"/>
        </w:rPr>
        <w:t xml:space="preserve"> violence, hatred or intimidation, was only possible because </w:t>
      </w:r>
      <w:r w:rsidRPr="006F34CD" w:rsidR="00A30A9F">
        <w:rPr>
          <w:lang w:bidi="en-US"/>
        </w:rPr>
        <w:t>the</w:t>
      </w:r>
      <w:r w:rsidRPr="006F34CD" w:rsidR="00995650">
        <w:rPr>
          <w:lang w:bidi="en-US"/>
        </w:rPr>
        <w:t xml:space="preserve"> definition of “extremism” in Russian law</w:t>
      </w:r>
      <w:r w:rsidRPr="006F34CD" w:rsidR="0074561C">
        <w:rPr>
          <w:lang w:bidi="en-US"/>
        </w:rPr>
        <w:t xml:space="preserve"> </w:t>
      </w:r>
      <w:r w:rsidRPr="006F34CD" w:rsidR="00A30A9F">
        <w:rPr>
          <w:lang w:bidi="en-US"/>
        </w:rPr>
        <w:t>was overly broad and could be</w:t>
      </w:r>
      <w:r w:rsidRPr="006F34CD" w:rsidR="00523A5F">
        <w:rPr>
          <w:lang w:bidi="en-US"/>
        </w:rPr>
        <w:t>, and had been,</w:t>
      </w:r>
      <w:r w:rsidRPr="006F34CD" w:rsidR="00A30A9F">
        <w:rPr>
          <w:lang w:bidi="en-US"/>
        </w:rPr>
        <w:t xml:space="preserve"> applied to entirely peaceful forms of expression </w:t>
      </w:r>
      <w:r w:rsidRPr="006F34CD" w:rsidR="0074561C">
        <w:rPr>
          <w:lang w:bidi="en-US"/>
        </w:rPr>
        <w:t xml:space="preserve">(see paragraph </w:t>
      </w:r>
      <w:r w:rsidRPr="006F34CD" w:rsidR="0074561C">
        <w:rPr>
          <w:lang w:bidi="en-US"/>
        </w:rPr>
        <w:fldChar w:fldCharType="begin"/>
      </w:r>
      <w:r w:rsidRPr="006F34CD" w:rsidR="006E5193">
        <w:rPr>
          <w:lang w:bidi="en-US"/>
        </w:rPr>
        <w:instrText xml:space="preserve">REF paragraph00158 \h \* CharFormat </w:instrText>
      </w:r>
      <w:r w:rsidRPr="006F34CD" w:rsidR="0074561C">
        <w:rPr>
          <w:lang w:bidi="en-US"/>
        </w:rPr>
      </w:r>
      <w:r w:rsidRPr="006F34CD" w:rsidR="0074561C">
        <w:rPr>
          <w:lang w:bidi="en-US"/>
        </w:rPr>
        <w:fldChar w:fldCharType="separate"/>
      </w:r>
      <w:r w:rsidRPr="006F34CD" w:rsidR="006F34CD">
        <w:rPr>
          <w:lang w:bidi="en-US"/>
        </w:rPr>
        <w:t>158</w:t>
      </w:r>
      <w:r w:rsidRPr="006F34CD" w:rsidR="0074561C">
        <w:rPr>
          <w:lang w:bidi="en-US"/>
        </w:rPr>
        <w:fldChar w:fldCharType="end"/>
      </w:r>
      <w:r w:rsidRPr="006F34CD" w:rsidR="0074561C">
        <w:rPr>
          <w:lang w:bidi="en-US"/>
        </w:rPr>
        <w:t xml:space="preserve"> above).</w:t>
      </w:r>
      <w:r w:rsidRPr="006F34CD" w:rsidR="00523A5F">
        <w:rPr>
          <w:lang w:bidi="en-US"/>
        </w:rPr>
        <w:t xml:space="preserve"> </w:t>
      </w:r>
      <w:r w:rsidRPr="006F34CD" w:rsidR="00FF3C78">
        <w:rPr>
          <w:lang w:bidi="en-US"/>
        </w:rPr>
        <w:t>T</w:t>
      </w:r>
      <w:r w:rsidRPr="006F34CD" w:rsidR="00523A5F">
        <w:rPr>
          <w:lang w:bidi="en-US"/>
        </w:rPr>
        <w:t>his</w:t>
      </w:r>
      <w:r w:rsidRPr="006F34CD" w:rsidR="00A30A9F">
        <w:rPr>
          <w:lang w:bidi="en-US"/>
        </w:rPr>
        <w:t xml:space="preserve"> sweeping </w:t>
      </w:r>
      <w:r w:rsidRPr="006F34CD" w:rsidR="00640C3F">
        <w:rPr>
          <w:lang w:bidi="en-US"/>
        </w:rPr>
        <w:t>definition enable</w:t>
      </w:r>
      <w:r w:rsidRPr="006F34CD" w:rsidR="00FF3C78">
        <w:rPr>
          <w:lang w:bidi="en-US"/>
        </w:rPr>
        <w:t>d</w:t>
      </w:r>
      <w:r w:rsidRPr="006F34CD" w:rsidR="00640C3F">
        <w:rPr>
          <w:lang w:bidi="en-US"/>
        </w:rPr>
        <w:t xml:space="preserve"> the Russian authorities to restrict </w:t>
      </w:r>
      <w:r w:rsidRPr="006F34CD" w:rsidR="00523A5F">
        <w:rPr>
          <w:lang w:bidi="en-US"/>
        </w:rPr>
        <w:t xml:space="preserve">the distribution of non-violent religious publications but also </w:t>
      </w:r>
      <w:r w:rsidRPr="006F34CD" w:rsidR="00FF3C78">
        <w:rPr>
          <w:lang w:bidi="en-US"/>
        </w:rPr>
        <w:t xml:space="preserve">prevented publishers and users of the publications to </w:t>
      </w:r>
      <w:r w:rsidRPr="006F34CD" w:rsidR="002A4819">
        <w:rPr>
          <w:lang w:bidi="en-US"/>
        </w:rPr>
        <w:t>anticipate</w:t>
      </w:r>
      <w:r w:rsidRPr="006F34CD" w:rsidR="00FF3C78">
        <w:rPr>
          <w:lang w:bidi="en-US"/>
        </w:rPr>
        <w:t xml:space="preserve">, on account of its lacking the necessary precision, which </w:t>
      </w:r>
      <w:r w:rsidRPr="006F34CD" w:rsidR="00A30A9F">
        <w:rPr>
          <w:lang w:bidi="en-US"/>
        </w:rPr>
        <w:t xml:space="preserve">publications could be categorised as “extremist” and banned on that account. </w:t>
      </w:r>
      <w:r w:rsidRPr="006F34CD" w:rsidR="00FF3C78">
        <w:rPr>
          <w:lang w:bidi="en-US"/>
        </w:rPr>
        <w:t xml:space="preserve">It thus failed to meet the </w:t>
      </w:r>
      <w:r w:rsidRPr="006F34CD" w:rsidR="002A4819">
        <w:rPr>
          <w:lang w:bidi="en-US"/>
        </w:rPr>
        <w:t>quality-of-law</w:t>
      </w:r>
      <w:r w:rsidRPr="006F34CD" w:rsidR="00FF3C78">
        <w:rPr>
          <w:lang w:bidi="en-US"/>
        </w:rPr>
        <w:t xml:space="preserve"> requirement which is a key element of the test of whether the interference was “prescribed by law” </w:t>
      </w:r>
      <w:r w:rsidRPr="006F34CD" w:rsidR="00A30A9F">
        <w:rPr>
          <w:lang w:bidi="en-US"/>
        </w:rPr>
        <w:t xml:space="preserve">(see paragraph </w:t>
      </w:r>
      <w:r w:rsidRPr="006F34CD" w:rsidR="00A30A9F">
        <w:rPr>
          <w:lang w:bidi="en-US"/>
        </w:rPr>
        <w:fldChar w:fldCharType="begin"/>
      </w:r>
      <w:r w:rsidRPr="006F34CD" w:rsidR="006E5193">
        <w:rPr>
          <w:lang w:bidi="en-US"/>
        </w:rPr>
        <w:instrText xml:space="preserve">REF paragraph00159 \h \* CharFormat </w:instrText>
      </w:r>
      <w:r w:rsidRPr="006F34CD" w:rsidR="00A30A9F">
        <w:rPr>
          <w:lang w:bidi="en-US"/>
        </w:rPr>
      </w:r>
      <w:r w:rsidRPr="006F34CD" w:rsidR="00A30A9F">
        <w:rPr>
          <w:lang w:bidi="en-US"/>
        </w:rPr>
        <w:fldChar w:fldCharType="separate"/>
      </w:r>
      <w:r w:rsidRPr="006F34CD" w:rsidR="006F34CD">
        <w:rPr>
          <w:lang w:bidi="en-US"/>
        </w:rPr>
        <w:t>159</w:t>
      </w:r>
      <w:r w:rsidRPr="006F34CD" w:rsidR="00A30A9F">
        <w:rPr>
          <w:lang w:bidi="en-US"/>
        </w:rPr>
        <w:fldChar w:fldCharType="end"/>
      </w:r>
      <w:r w:rsidRPr="006F34CD" w:rsidR="00A30A9F">
        <w:rPr>
          <w:lang w:bidi="en-US"/>
        </w:rPr>
        <w:t xml:space="preserve"> above).</w:t>
      </w:r>
    </w:p>
    <w:p w:rsidRPr="006F34CD" w:rsidR="00EF3340" w:rsidP="006F34CD" w:rsidRDefault="00CB6108" w14:paraId="1AA9C6C8" w14:textId="51D1B8BC">
      <w:pPr>
        <w:pStyle w:val="JuPara"/>
      </w:pPr>
      <w:r>
        <w:rPr>
          <w:noProof/>
        </w:rPr>
        <w:fldChar w:fldCharType="begin"/>
      </w:r>
      <w:r>
        <w:rPr>
          <w:noProof/>
        </w:rPr>
        <w:instrText xml:space="preserve"> SEQ lev</w:instrText>
      </w:r>
      <w:r>
        <w:rPr>
          <w:noProof/>
        </w:rPr>
        <w:instrText xml:space="preserve">el0 \*arabic \* MERGEFORMAT </w:instrText>
      </w:r>
      <w:r>
        <w:rPr>
          <w:noProof/>
        </w:rPr>
        <w:fldChar w:fldCharType="separate"/>
      </w:r>
      <w:r w:rsidRPr="006F34CD" w:rsidR="006F34CD">
        <w:rPr>
          <w:noProof/>
        </w:rPr>
        <w:t>202</w:t>
      </w:r>
      <w:r>
        <w:rPr>
          <w:noProof/>
        </w:rPr>
        <w:fldChar w:fldCharType="end"/>
      </w:r>
      <w:r w:rsidRPr="006F34CD" w:rsidR="00AD545F">
        <w:t>.  </w:t>
      </w:r>
      <w:r w:rsidRPr="006F34CD" w:rsidR="008B0039">
        <w:t xml:space="preserve">Apart from the above </w:t>
      </w:r>
      <w:r w:rsidRPr="006F34CD" w:rsidR="00F75484">
        <w:t>elements</w:t>
      </w:r>
      <w:r w:rsidRPr="006F34CD" w:rsidR="008B0039">
        <w:t xml:space="preserve">, </w:t>
      </w:r>
      <w:r w:rsidRPr="006F34CD" w:rsidR="00D9394B">
        <w:t xml:space="preserve">the principle of effectiveness and </w:t>
      </w:r>
      <w:r w:rsidRPr="006F34CD" w:rsidR="008B0039">
        <w:t xml:space="preserve">the procedural guarantees afforded are </w:t>
      </w:r>
      <w:r w:rsidRPr="006F34CD" w:rsidR="00D9394B">
        <w:t xml:space="preserve">the </w:t>
      </w:r>
      <w:r w:rsidRPr="006F34CD" w:rsidR="008B0039">
        <w:t xml:space="preserve">factors which may have to be taken into account when assessing the interference with freedom of expression (see </w:t>
      </w:r>
      <w:r w:rsidRPr="006F34CD" w:rsidR="00E468F3">
        <w:rPr>
          <w:i/>
        </w:rPr>
        <w:t>Karácsony and Others</w:t>
      </w:r>
      <w:r w:rsidRPr="006F34CD" w:rsidR="00471944">
        <w:rPr>
          <w:i/>
        </w:rPr>
        <w:t xml:space="preserve"> v. H</w:t>
      </w:r>
      <w:r w:rsidRPr="006F34CD" w:rsidR="00E468F3">
        <w:rPr>
          <w:i/>
        </w:rPr>
        <w:t>ungary</w:t>
      </w:r>
      <w:r w:rsidRPr="006F34CD" w:rsidR="00E468F3">
        <w:t xml:space="preserve"> [GC], </w:t>
      </w:r>
      <w:r w:rsidRPr="006F34CD" w:rsidR="00471944">
        <w:t>nos. 4</w:t>
      </w:r>
      <w:r w:rsidRPr="006F34CD" w:rsidR="00E468F3">
        <w:t>2461/13 and</w:t>
      </w:r>
      <w:r w:rsidRPr="006F34CD" w:rsidR="001621EE">
        <w:t> </w:t>
      </w:r>
      <w:r w:rsidRPr="006F34CD" w:rsidR="00E468F3">
        <w:t xml:space="preserve">44357/13, </w:t>
      </w:r>
      <w:r w:rsidRPr="006F34CD" w:rsidR="00471944">
        <w:t>§ 1</w:t>
      </w:r>
      <w:r w:rsidRPr="006F34CD" w:rsidR="00E468F3">
        <w:t xml:space="preserve">33, </w:t>
      </w:r>
      <w:r w:rsidRPr="006F34CD" w:rsidR="00471944">
        <w:t>17 May 2016</w:t>
      </w:r>
      <w:r w:rsidRPr="006F34CD" w:rsidR="00923EAC">
        <w:t xml:space="preserve">, with further references). </w:t>
      </w:r>
      <w:r w:rsidRPr="006F34CD" w:rsidR="00EF3340">
        <w:t>The Court reiterates that it was first of all for the national authorities to carry out a comprehensive assessment of the statements in the context, putting forward relevant and sufficient reasons for justifying the interference and considering the applicant community</w:t>
      </w:r>
      <w:r w:rsidRPr="006F34CD" w:rsidR="006F34CD">
        <w:t>’</w:t>
      </w:r>
      <w:r w:rsidRPr="006F34CD" w:rsidR="00EF3340">
        <w:t xml:space="preserve">s right to freedom of expression and religion (see </w:t>
      </w:r>
      <w:r w:rsidRPr="006F34CD" w:rsidR="00EF3340">
        <w:rPr>
          <w:i/>
        </w:rPr>
        <w:t>Religious Community of Jehovah</w:t>
      </w:r>
      <w:r w:rsidRPr="006F34CD" w:rsidR="006F34CD">
        <w:rPr>
          <w:i/>
        </w:rPr>
        <w:t>’</w:t>
      </w:r>
      <w:r w:rsidRPr="006F34CD" w:rsidR="00EF3340">
        <w:rPr>
          <w:i/>
        </w:rPr>
        <w:t>s Witnesses v. Azerbaijan</w:t>
      </w:r>
      <w:r w:rsidRPr="006F34CD" w:rsidR="00EF3340">
        <w:t>, no. 52884/09, § 36, 20 February 2020).</w:t>
      </w:r>
    </w:p>
    <w:p w:rsidRPr="006F34CD" w:rsidR="00F75484" w:rsidP="006F34CD" w:rsidRDefault="00F75484" w14:paraId="7E3BA8E4" w14:textId="68CC487D">
      <w:pPr>
        <w:pStyle w:val="JuPara"/>
        <w:rPr>
          <w:iCs/>
        </w:rPr>
      </w:pPr>
      <w:r w:rsidRPr="006F34CD">
        <w:fldChar w:fldCharType="begin"/>
      </w:r>
      <w:r w:rsidRPr="006F34CD">
        <w:instrText xml:space="preserve"> SEQ level0 \*arabic </w:instrText>
      </w:r>
      <w:r w:rsidRPr="006F34CD">
        <w:fldChar w:fldCharType="separate"/>
      </w:r>
      <w:r w:rsidRPr="006F34CD" w:rsidR="006F34CD">
        <w:rPr>
          <w:noProof/>
        </w:rPr>
        <w:t>203</w:t>
      </w:r>
      <w:r w:rsidRPr="006F34CD">
        <w:fldChar w:fldCharType="end"/>
      </w:r>
      <w:r w:rsidRPr="006F34CD">
        <w:t xml:space="preserve">.  The Court has previously identified a number of fundamental </w:t>
      </w:r>
      <w:r w:rsidRPr="006F34CD" w:rsidR="00EF3340">
        <w:t>procedural flaws</w:t>
      </w:r>
      <w:r w:rsidRPr="006F34CD">
        <w:t xml:space="preserve"> in </w:t>
      </w:r>
      <w:r w:rsidRPr="006F34CD" w:rsidR="00EF3340">
        <w:t xml:space="preserve">the </w:t>
      </w:r>
      <w:r w:rsidRPr="006F34CD" w:rsidR="00160CEC">
        <w:t>manner</w:t>
      </w:r>
      <w:r w:rsidRPr="006F34CD">
        <w:t xml:space="preserve"> in which Russian courts </w:t>
      </w:r>
      <w:r w:rsidRPr="006F34CD" w:rsidR="00152A31">
        <w:t xml:space="preserve">have </w:t>
      </w:r>
      <w:r w:rsidRPr="006F34CD" w:rsidR="00160CEC">
        <w:t>consider</w:t>
      </w:r>
      <w:r w:rsidRPr="006F34CD" w:rsidR="00152A31">
        <w:t>ed</w:t>
      </w:r>
      <w:r w:rsidRPr="006F34CD">
        <w:t xml:space="preserve"> applications </w:t>
      </w:r>
      <w:r w:rsidRPr="006F34CD" w:rsidR="00EF3340">
        <w:t>to</w:t>
      </w:r>
      <w:r w:rsidRPr="006F34CD">
        <w:t xml:space="preserve"> categoris</w:t>
      </w:r>
      <w:r w:rsidRPr="006F34CD" w:rsidR="00EF3340">
        <w:t>e</w:t>
      </w:r>
      <w:r w:rsidRPr="006F34CD">
        <w:t xml:space="preserve"> material</w:t>
      </w:r>
      <w:r w:rsidRPr="006F34CD" w:rsidR="00EF3340">
        <w:t>s</w:t>
      </w:r>
      <w:r w:rsidRPr="006F34CD">
        <w:t xml:space="preserve"> as “extremist”. The first such </w:t>
      </w:r>
      <w:r w:rsidRPr="006F34CD" w:rsidR="00EF3340">
        <w:t>flaw</w:t>
      </w:r>
      <w:r w:rsidRPr="006F34CD">
        <w:t xml:space="preserve"> is the courts</w:t>
      </w:r>
      <w:r w:rsidRPr="006F34CD" w:rsidR="006F34CD">
        <w:t>’</w:t>
      </w:r>
      <w:r w:rsidRPr="006F34CD">
        <w:t xml:space="preserve"> </w:t>
      </w:r>
      <w:r w:rsidRPr="006F34CD" w:rsidR="00152A31">
        <w:t>relinquishment</w:t>
      </w:r>
      <w:r w:rsidRPr="006F34CD" w:rsidR="00EF3340">
        <w:t xml:space="preserve"> of their duty </w:t>
      </w:r>
      <w:r w:rsidRPr="006F34CD">
        <w:t>to rule on issues of law in favour of a</w:t>
      </w:r>
      <w:r w:rsidRPr="006F34CD" w:rsidR="00160CEC">
        <w:t xml:space="preserve"> </w:t>
      </w:r>
      <w:r w:rsidRPr="006F34CD" w:rsidR="00EF3340">
        <w:t>wholesale</w:t>
      </w:r>
      <w:r w:rsidRPr="006F34CD">
        <w:t xml:space="preserve"> endorsement of expert</w:t>
      </w:r>
      <w:r w:rsidRPr="006F34CD" w:rsidR="00EF3340">
        <w:t xml:space="preserve"> conclusions </w:t>
      </w:r>
      <w:r w:rsidRPr="006F34CD" w:rsidR="00612FC8">
        <w:t>which</w:t>
      </w:r>
      <w:r w:rsidRPr="006F34CD">
        <w:t xml:space="preserve"> go beyond </w:t>
      </w:r>
      <w:r w:rsidRPr="006F34CD" w:rsidR="00EF3340">
        <w:t>addressing purely specialist</w:t>
      </w:r>
      <w:r w:rsidRPr="006F34CD">
        <w:t xml:space="preserve"> issues</w:t>
      </w:r>
      <w:r w:rsidRPr="006F34CD" w:rsidR="00612FC8">
        <w:t xml:space="preserve">, </w:t>
      </w:r>
      <w:r w:rsidRPr="006F34CD">
        <w:t xml:space="preserve">such as clarifying the </w:t>
      </w:r>
      <w:r w:rsidRPr="006F34CD" w:rsidR="00EF3340">
        <w:t xml:space="preserve">import or </w:t>
      </w:r>
      <w:r w:rsidRPr="006F34CD">
        <w:t>meaning of particular words and expressions</w:t>
      </w:r>
      <w:r w:rsidRPr="006F34CD" w:rsidR="00612FC8">
        <w:t>,</w:t>
      </w:r>
      <w:r w:rsidRPr="006F34CD">
        <w:t xml:space="preserve"> and provide what is in </w:t>
      </w:r>
      <w:r w:rsidRPr="006F34CD" w:rsidR="00EF3340">
        <w:t>effect</w:t>
      </w:r>
      <w:r w:rsidRPr="006F34CD">
        <w:t xml:space="preserve"> a legal assessment of </w:t>
      </w:r>
      <w:r w:rsidRPr="006F34CD" w:rsidR="00AD545F">
        <w:t>publications</w:t>
      </w:r>
      <w:r w:rsidRPr="006F34CD">
        <w:t xml:space="preserve">. The Court has found that situation unacceptable and stressed that all issues of law </w:t>
      </w:r>
      <w:r w:rsidRPr="006F34CD" w:rsidR="00EF3340">
        <w:t>should</w:t>
      </w:r>
      <w:r w:rsidRPr="006F34CD">
        <w:t xml:space="preserve"> be </w:t>
      </w:r>
      <w:r w:rsidRPr="006F34CD" w:rsidR="00EF3340">
        <w:t>determined</w:t>
      </w:r>
      <w:r w:rsidRPr="006F34CD">
        <w:t xml:space="preserve"> exclusively by judges (see</w:t>
      </w:r>
      <w:r w:rsidRPr="006F34CD" w:rsidR="00954A84">
        <w:rPr>
          <w:i/>
          <w:iCs/>
        </w:rPr>
        <w:t xml:space="preserve"> Mariya Alekhina and Others</w:t>
      </w:r>
      <w:r w:rsidRPr="006F34CD" w:rsidR="00BC0864">
        <w:rPr>
          <w:i/>
          <w:iCs/>
        </w:rPr>
        <w:t xml:space="preserve"> v. R</w:t>
      </w:r>
      <w:r w:rsidRPr="006F34CD" w:rsidR="00954A84">
        <w:rPr>
          <w:i/>
          <w:iCs/>
        </w:rPr>
        <w:t>ussia</w:t>
      </w:r>
      <w:r w:rsidRPr="006F34CD" w:rsidR="00954A84">
        <w:t xml:space="preserve">, </w:t>
      </w:r>
      <w:r w:rsidRPr="006F34CD" w:rsidR="00BC0864">
        <w:t>no. 3</w:t>
      </w:r>
      <w:r w:rsidRPr="006F34CD" w:rsidR="00954A84">
        <w:t xml:space="preserve">8004/12, § 262, </w:t>
      </w:r>
      <w:r w:rsidRPr="006F34CD" w:rsidR="00BC0864">
        <w:t>17 July 2018</w:t>
      </w:r>
      <w:r w:rsidRPr="006F34CD">
        <w:t>,</w:t>
      </w:r>
      <w:r w:rsidRPr="006F34CD">
        <w:rPr>
          <w:rStyle w:val="JuParaChar"/>
          <w:iCs/>
        </w:rPr>
        <w:t xml:space="preserve"> and</w:t>
      </w:r>
      <w:r w:rsidRPr="006F34CD" w:rsidR="00954A84">
        <w:rPr>
          <w:i/>
          <w:iCs/>
        </w:rPr>
        <w:t xml:space="preserve"> Dmitriyevskiy</w:t>
      </w:r>
      <w:r w:rsidRPr="006F34CD" w:rsidR="00BC0864">
        <w:rPr>
          <w:i/>
          <w:iCs/>
        </w:rPr>
        <w:t xml:space="preserve"> v. R</w:t>
      </w:r>
      <w:r w:rsidRPr="006F34CD" w:rsidR="00954A84">
        <w:rPr>
          <w:i/>
          <w:iCs/>
        </w:rPr>
        <w:t>ussia</w:t>
      </w:r>
      <w:r w:rsidRPr="006F34CD" w:rsidR="00954A84">
        <w:rPr>
          <w:iCs/>
        </w:rPr>
        <w:t xml:space="preserve">, </w:t>
      </w:r>
      <w:r w:rsidRPr="006F34CD" w:rsidR="00BC0864">
        <w:rPr>
          <w:iCs/>
        </w:rPr>
        <w:t>no. 4</w:t>
      </w:r>
      <w:r w:rsidRPr="006F34CD" w:rsidR="00954A84">
        <w:rPr>
          <w:iCs/>
        </w:rPr>
        <w:t xml:space="preserve">2168/06, § 113, </w:t>
      </w:r>
      <w:r w:rsidRPr="006F34CD" w:rsidR="00BC0864">
        <w:rPr>
          <w:iCs/>
        </w:rPr>
        <w:t>3 October 2017</w:t>
      </w:r>
      <w:r w:rsidRPr="006F34CD">
        <w:rPr>
          <w:rStyle w:val="JuParaChar"/>
          <w:iCs/>
        </w:rPr>
        <w:t>).</w:t>
      </w:r>
      <w:r w:rsidRPr="006F34CD" w:rsidR="00F31C32">
        <w:rPr>
          <w:rStyle w:val="JuParaChar"/>
          <w:iCs/>
        </w:rPr>
        <w:t xml:space="preserve"> This position </w:t>
      </w:r>
      <w:r w:rsidRPr="006F34CD" w:rsidR="00AD545F">
        <w:rPr>
          <w:rStyle w:val="JuParaChar"/>
          <w:iCs/>
        </w:rPr>
        <w:t>has been</w:t>
      </w:r>
      <w:r w:rsidRPr="006F34CD" w:rsidR="00F31C32">
        <w:rPr>
          <w:rStyle w:val="JuParaChar"/>
          <w:iCs/>
        </w:rPr>
        <w:t xml:space="preserve"> also reflected in the binding guidance by the Supreme Court of Russia (see paragraph </w:t>
      </w:r>
      <w:r w:rsidRPr="006F34CD" w:rsidR="00F31C32">
        <w:rPr>
          <w:rStyle w:val="JuParaChar"/>
          <w:iCs/>
        </w:rPr>
        <w:fldChar w:fldCharType="begin"/>
      </w:r>
      <w:r w:rsidRPr="006F34CD" w:rsidR="006E5193">
        <w:rPr>
          <w:rStyle w:val="JuParaChar"/>
          <w:iCs/>
        </w:rPr>
        <w:instrText xml:space="preserve">REF paragraph00127 \h \* CharFormat </w:instrText>
      </w:r>
      <w:r w:rsidRPr="006F34CD" w:rsidR="00F31C32">
        <w:rPr>
          <w:rStyle w:val="JuParaChar"/>
          <w:iCs/>
        </w:rPr>
      </w:r>
      <w:r w:rsidRPr="006F34CD" w:rsidR="00F31C32">
        <w:rPr>
          <w:rStyle w:val="JuParaChar"/>
          <w:iCs/>
        </w:rPr>
        <w:fldChar w:fldCharType="separate"/>
      </w:r>
      <w:r w:rsidRPr="006F34CD" w:rsidR="006F34CD">
        <w:rPr>
          <w:rStyle w:val="JuParaChar"/>
          <w:iCs/>
        </w:rPr>
        <w:t>127</w:t>
      </w:r>
      <w:r w:rsidRPr="006F34CD" w:rsidR="00F31C32">
        <w:rPr>
          <w:rStyle w:val="JuParaChar"/>
          <w:iCs/>
        </w:rPr>
        <w:fldChar w:fldCharType="end"/>
      </w:r>
      <w:r w:rsidRPr="006F34CD" w:rsidR="00F31C32">
        <w:rPr>
          <w:rStyle w:val="JuParaChar"/>
          <w:iCs/>
        </w:rPr>
        <w:t xml:space="preserve"> above).</w:t>
      </w:r>
      <w:r w:rsidRPr="006F34CD" w:rsidR="00E26051">
        <w:rPr>
          <w:rStyle w:val="JuParaChar"/>
          <w:iCs/>
        </w:rPr>
        <w:t xml:space="preserve"> A second procedural flaw stems from the fact that Russian law does not establish explicitly the right for affected parties, such as authors or publishers of the texts liable to be banned, to participate in the proceedings under the Suppression of Extremism Act. The Court has held that a domestic court would not be in a position to provide “relevant and sufficient” reasons for the interference without some form of adversarial proceedings in which the arguments put forward by the prosecutor could be weighed up against those of the affected party (see </w:t>
      </w:r>
      <w:r w:rsidRPr="006F34CD" w:rsidR="00E26051">
        <w:rPr>
          <w:rStyle w:val="JuParaChar"/>
          <w:i/>
          <w:iCs/>
        </w:rPr>
        <w:t>Mariya Alekhina and Others</w:t>
      </w:r>
      <w:r w:rsidRPr="006F34CD" w:rsidR="00E26051">
        <w:rPr>
          <w:rStyle w:val="JuParaChar"/>
          <w:iCs/>
        </w:rPr>
        <w:t>, cited above, §§ 265-67).</w:t>
      </w:r>
    </w:p>
    <w:p w:rsidRPr="006F34CD" w:rsidR="00E26051" w:rsidP="006F34CD" w:rsidRDefault="00CB6108" w14:paraId="51CB228C" w14:textId="1DD819E2">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204</w:t>
      </w:r>
      <w:r>
        <w:rPr>
          <w:noProof/>
        </w:rPr>
        <w:fldChar w:fldCharType="end"/>
      </w:r>
      <w:r w:rsidRPr="006F34CD" w:rsidR="003B1979">
        <w:t>.  </w:t>
      </w:r>
      <w:r w:rsidRPr="006F34CD" w:rsidR="008664BF">
        <w:t>In the instant case, the domestic courts</w:t>
      </w:r>
      <w:r w:rsidRPr="006F34CD" w:rsidR="006F34CD">
        <w:t>’</w:t>
      </w:r>
      <w:r w:rsidRPr="006F34CD" w:rsidR="008664BF">
        <w:t xml:space="preserve"> decisions were based on expert reports obtained by the prosecutors or police from experts in linguistics or in religious studies, and, in one case, on a statement by an Orthodox priest who offered his opinion on the </w:t>
      </w:r>
      <w:r w:rsidRPr="006F34CD" w:rsidR="005B3F4B">
        <w:t>“</w:t>
      </w:r>
      <w:r w:rsidRPr="006F34CD" w:rsidR="008664BF">
        <w:t>extremist</w:t>
      </w:r>
      <w:r w:rsidRPr="006F34CD" w:rsidR="005B3F4B">
        <w:t>”</w:t>
      </w:r>
      <w:r w:rsidRPr="006F34CD" w:rsidR="008664BF">
        <w:t xml:space="preserve"> nature of the Jehovah</w:t>
      </w:r>
      <w:r w:rsidRPr="006F34CD" w:rsidR="006F34CD">
        <w:t>’</w:t>
      </w:r>
      <w:r w:rsidRPr="006F34CD" w:rsidR="008664BF">
        <w:t>s Witnesses</w:t>
      </w:r>
      <w:r w:rsidRPr="006F34CD" w:rsidR="006F34CD">
        <w:t>’</w:t>
      </w:r>
      <w:r w:rsidRPr="006F34CD" w:rsidR="008664BF">
        <w:t xml:space="preserve"> publications (see paragraph </w:t>
      </w:r>
      <w:r w:rsidRPr="006F34CD" w:rsidR="008664BF">
        <w:fldChar w:fldCharType="begin"/>
      </w:r>
      <w:r w:rsidRPr="006F34CD" w:rsidR="006E5193">
        <w:instrText xml:space="preserve">REF paragraph00047 \h \* CharFormat </w:instrText>
      </w:r>
      <w:r w:rsidRPr="006F34CD" w:rsidR="008664BF">
        <w:fldChar w:fldCharType="separate"/>
      </w:r>
      <w:r w:rsidRPr="006F34CD" w:rsidR="006F34CD">
        <w:t>47</w:t>
      </w:r>
      <w:r w:rsidRPr="006F34CD" w:rsidR="008664BF">
        <w:fldChar w:fldCharType="end"/>
      </w:r>
      <w:r w:rsidRPr="006F34CD" w:rsidR="008664BF">
        <w:t xml:space="preserve"> above). </w:t>
      </w:r>
      <w:r w:rsidRPr="006F34CD" w:rsidR="00F75484">
        <w:t xml:space="preserve">The courts limited their analysis to </w:t>
      </w:r>
      <w:r w:rsidRPr="006F34CD" w:rsidR="00E26051">
        <w:t>reproducing</w:t>
      </w:r>
      <w:r w:rsidRPr="006F34CD" w:rsidR="00F75484">
        <w:t xml:space="preserve"> </w:t>
      </w:r>
      <w:r w:rsidRPr="006F34CD" w:rsidR="00E26051">
        <w:t>a summary of findings by expert</w:t>
      </w:r>
      <w:r w:rsidRPr="006F34CD" w:rsidR="005B3F4B">
        <w:t xml:space="preserve"> witnesses</w:t>
      </w:r>
      <w:r w:rsidRPr="006F34CD" w:rsidR="005433EE">
        <w:t xml:space="preserve"> which they endorsed in their entirety </w:t>
      </w:r>
      <w:r w:rsidRPr="006F34CD" w:rsidR="00F75484">
        <w:t xml:space="preserve">without </w:t>
      </w:r>
      <w:r w:rsidRPr="006F34CD" w:rsidR="00E26051">
        <w:t>drawing any legal conclusions from them</w:t>
      </w:r>
      <w:r w:rsidRPr="006F34CD" w:rsidR="00F75484">
        <w:t xml:space="preserve">, stating simply that they had no reason to doubt them. </w:t>
      </w:r>
      <w:r w:rsidRPr="006F34CD" w:rsidR="005433EE">
        <w:t>I</w:t>
      </w:r>
      <w:r w:rsidRPr="006F34CD" w:rsidR="00F75484">
        <w:t xml:space="preserve">t is </w:t>
      </w:r>
      <w:r w:rsidRPr="006F34CD" w:rsidR="005433EE">
        <w:t>apparent</w:t>
      </w:r>
      <w:r w:rsidRPr="006F34CD" w:rsidR="00F75484">
        <w:t xml:space="preserve"> from the judgments that it was not the court </w:t>
      </w:r>
      <w:r w:rsidRPr="006F34CD" w:rsidR="005433EE">
        <w:t>that</w:t>
      </w:r>
      <w:r w:rsidRPr="006F34CD" w:rsidR="00F75484">
        <w:t xml:space="preserve"> made the </w:t>
      </w:r>
      <w:r w:rsidRPr="006F34CD" w:rsidR="005433EE">
        <w:t>decisive</w:t>
      </w:r>
      <w:r w:rsidRPr="006F34CD" w:rsidR="00F75484">
        <w:t xml:space="preserve"> findings as to the </w:t>
      </w:r>
      <w:r w:rsidRPr="006F34CD" w:rsidR="005433EE">
        <w:t>“</w:t>
      </w:r>
      <w:r w:rsidRPr="006F34CD" w:rsidR="00F75484">
        <w:t>extremist</w:t>
      </w:r>
      <w:r w:rsidRPr="006F34CD" w:rsidR="005433EE">
        <w:t>”</w:t>
      </w:r>
      <w:r w:rsidRPr="006F34CD" w:rsidR="00F75484">
        <w:t xml:space="preserve"> nature of the Jehovah</w:t>
      </w:r>
      <w:r w:rsidRPr="006F34CD" w:rsidR="006F34CD">
        <w:t>’</w:t>
      </w:r>
      <w:r w:rsidRPr="006F34CD" w:rsidR="00F75484">
        <w:t xml:space="preserve">s Witnesses </w:t>
      </w:r>
      <w:r w:rsidRPr="006F34CD" w:rsidR="003B1979">
        <w:t>publications</w:t>
      </w:r>
      <w:r w:rsidRPr="006F34CD" w:rsidR="00F75484">
        <w:t xml:space="preserve"> but the experts </w:t>
      </w:r>
      <w:r w:rsidRPr="006F34CD" w:rsidR="005433EE">
        <w:t xml:space="preserve">selected by the prosecutors and police </w:t>
      </w:r>
      <w:r w:rsidRPr="006F34CD" w:rsidR="00F75484">
        <w:t xml:space="preserve">(see </w:t>
      </w:r>
      <w:r w:rsidRPr="006F34CD" w:rsidR="00954A84">
        <w:rPr>
          <w:i/>
        </w:rPr>
        <w:t>Dmitriyevskiy</w:t>
      </w:r>
      <w:r w:rsidRPr="006F34CD" w:rsidR="00954A84">
        <w:t xml:space="preserve">, cited above, </w:t>
      </w:r>
      <w:r w:rsidRPr="006F34CD" w:rsidR="00BC0864">
        <w:t>§ 1</w:t>
      </w:r>
      <w:r w:rsidRPr="006F34CD" w:rsidR="00954A84">
        <w:t>13</w:t>
      </w:r>
      <w:r w:rsidRPr="006F34CD" w:rsidR="00F75484">
        <w:t>).</w:t>
      </w:r>
      <w:r w:rsidRPr="006F34CD" w:rsidR="00612FC8">
        <w:t xml:space="preserve"> </w:t>
      </w:r>
      <w:r w:rsidRPr="006F34CD" w:rsidR="00E26051">
        <w:t xml:space="preserve">The courts made no attempt to conduct their own legal analysis of the allegedly “extremist” statements and consider them in the broader context of publications, seeking to establish the ideas they sought to impart. </w:t>
      </w:r>
      <w:r w:rsidRPr="006F34CD" w:rsidR="005B3F4B">
        <w:t>Nor</w:t>
      </w:r>
      <w:r w:rsidRPr="006F34CD" w:rsidR="00E26051">
        <w:t xml:space="preserve"> did </w:t>
      </w:r>
      <w:r w:rsidRPr="006F34CD" w:rsidR="005B3F4B">
        <w:t>they</w:t>
      </w:r>
      <w:r w:rsidRPr="006F34CD" w:rsidR="00E26051">
        <w:t xml:space="preserve"> apply the Court</w:t>
      </w:r>
      <w:r w:rsidRPr="006F34CD" w:rsidR="006F34CD">
        <w:t>’</w:t>
      </w:r>
      <w:r w:rsidRPr="006F34CD" w:rsidR="00E26051">
        <w:t xml:space="preserve">s case-law relating to the extremist speech and freedom of expression in general </w:t>
      </w:r>
      <w:r w:rsidRPr="006F34CD" w:rsidR="005B3F4B">
        <w:t>or</w:t>
      </w:r>
      <w:r w:rsidRPr="006F34CD" w:rsidR="00E26051">
        <w:t xml:space="preserve"> assess the effect of the ban on the applicants</w:t>
      </w:r>
      <w:r w:rsidRPr="006F34CD" w:rsidR="006F34CD">
        <w:t>’</w:t>
      </w:r>
      <w:r w:rsidRPr="006F34CD" w:rsidR="00E26051">
        <w:t xml:space="preserve"> rights under </w:t>
      </w:r>
      <w:r w:rsidRPr="006F34CD" w:rsidR="00BC0864">
        <w:t>Article 9</w:t>
      </w:r>
      <w:r w:rsidRPr="006F34CD" w:rsidR="00E26051">
        <w:t xml:space="preserve"> of the Convention or its domestic-law equivalent (see</w:t>
      </w:r>
      <w:r w:rsidRPr="006F34CD" w:rsidR="00D619E8">
        <w:rPr>
          <w:i/>
          <w:iCs/>
        </w:rPr>
        <w:t xml:space="preserve"> Ibragim Ibragimov and Others</w:t>
      </w:r>
      <w:r w:rsidRPr="006F34CD" w:rsidR="00D619E8">
        <w:rPr>
          <w:iCs/>
        </w:rPr>
        <w:t xml:space="preserve">, cited above, </w:t>
      </w:r>
      <w:r w:rsidRPr="006F34CD" w:rsidR="00BC0864">
        <w:rPr>
          <w:iCs/>
        </w:rPr>
        <w:t>§ 1</w:t>
      </w:r>
      <w:r w:rsidRPr="006F34CD" w:rsidR="00D619E8">
        <w:rPr>
          <w:iCs/>
        </w:rPr>
        <w:t>07</w:t>
      </w:r>
      <w:r w:rsidRPr="006F34CD" w:rsidR="00E26051">
        <w:t>). The Court cannot therefore accept the reasons provided by the Russian courts as “relevant and sufficient” for the purpose of justifying the interference in question.</w:t>
      </w:r>
    </w:p>
    <w:p w:rsidRPr="006F34CD" w:rsidR="00E26051" w:rsidP="006F34CD" w:rsidRDefault="00CB6108" w14:paraId="78F9281A" w14:textId="3363C8D8">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205</w:t>
      </w:r>
      <w:r>
        <w:rPr>
          <w:noProof/>
        </w:rPr>
        <w:fldChar w:fldCharType="end"/>
      </w:r>
      <w:r w:rsidRPr="006F34CD" w:rsidR="00E26051">
        <w:t xml:space="preserve">.  Furthermore, </w:t>
      </w:r>
      <w:r w:rsidRPr="006F34CD" w:rsidR="00855302">
        <w:t xml:space="preserve">not only did the courts fail to provide relevant and sufficient reasons to justify the interference, they also failed to uphold the adversarial nature of the proceedings. Some </w:t>
      </w:r>
      <w:r w:rsidRPr="006F34CD" w:rsidR="005B3F4B">
        <w:t xml:space="preserve">applicants </w:t>
      </w:r>
      <w:r w:rsidRPr="006F34CD" w:rsidR="00855302">
        <w:t>were unable to effectively put forward arguments in defence of their position</w:t>
      </w:r>
      <w:r w:rsidRPr="006F34CD" w:rsidR="005B3F4B">
        <w:t>,</w:t>
      </w:r>
      <w:r w:rsidRPr="006F34CD" w:rsidR="00855302">
        <w:t xml:space="preserve"> as the courts rejected their evidence, including alternative expert opinions, on the grounds that they had been prepared by a party to the case (see paragraph </w:t>
      </w:r>
      <w:r w:rsidRPr="006F34CD" w:rsidR="00855302">
        <w:fldChar w:fldCharType="begin"/>
      </w:r>
      <w:r w:rsidRPr="006F34CD" w:rsidR="006E5193">
        <w:instrText xml:space="preserve">REF paragraph00035 \h \* CharFormat </w:instrText>
      </w:r>
      <w:r w:rsidRPr="006F34CD" w:rsidR="00855302">
        <w:fldChar w:fldCharType="separate"/>
      </w:r>
      <w:r w:rsidRPr="006F34CD" w:rsidR="006F34CD">
        <w:t>35</w:t>
      </w:r>
      <w:r w:rsidRPr="006F34CD" w:rsidR="00855302">
        <w:fldChar w:fldCharType="end"/>
      </w:r>
      <w:r w:rsidRPr="006F34CD" w:rsidR="00855302">
        <w:t xml:space="preserve"> above). Other applicants had not been even informed of the banning proceedings and denied the possibility to challenge the first-instance judgment by way of appeal (see paragraphs </w:t>
      </w:r>
      <w:r w:rsidRPr="006F34CD" w:rsidR="00855302">
        <w:fldChar w:fldCharType="begin"/>
      </w:r>
      <w:r w:rsidRPr="006F34CD" w:rsidR="006E5193">
        <w:instrText xml:space="preserve">REF paragraph00037 \h \* CharFormat </w:instrText>
      </w:r>
      <w:r w:rsidRPr="006F34CD" w:rsidR="00855302">
        <w:fldChar w:fldCharType="separate"/>
      </w:r>
      <w:r w:rsidRPr="006F34CD" w:rsidR="006F34CD">
        <w:t>37</w:t>
      </w:r>
      <w:r w:rsidRPr="006F34CD" w:rsidR="00855302">
        <w:fldChar w:fldCharType="end"/>
      </w:r>
      <w:r w:rsidRPr="006F34CD" w:rsidR="00855302">
        <w:t>-</w:t>
      </w:r>
      <w:r w:rsidRPr="006F34CD" w:rsidR="00855302">
        <w:fldChar w:fldCharType="begin"/>
      </w:r>
      <w:r w:rsidRPr="006F34CD" w:rsidR="006E5193">
        <w:instrText xml:space="preserve">REF paragraph00039 \h \* CharFormat </w:instrText>
      </w:r>
      <w:r w:rsidRPr="006F34CD" w:rsidR="00855302">
        <w:fldChar w:fldCharType="separate"/>
      </w:r>
      <w:r w:rsidRPr="006F34CD" w:rsidR="006F34CD">
        <w:t>39</w:t>
      </w:r>
      <w:r w:rsidRPr="006F34CD" w:rsidR="00855302">
        <w:fldChar w:fldCharType="end"/>
      </w:r>
      <w:r w:rsidRPr="006F34CD" w:rsidR="00855302">
        <w:t xml:space="preserve"> above). This brings the Court to the conclusion that the applicants were stripped of the procedural protection that they were entitled to enjoy by virtue of their rights under </w:t>
      </w:r>
      <w:r w:rsidRPr="006F34CD" w:rsidR="00BC0864">
        <w:t>Article 1</w:t>
      </w:r>
      <w:r w:rsidRPr="006F34CD" w:rsidR="00855302">
        <w:t>0 of the Convention</w:t>
      </w:r>
      <w:r w:rsidRPr="006F34CD" w:rsidR="00E26051">
        <w:t xml:space="preserve"> (see </w:t>
      </w:r>
      <w:r w:rsidRPr="006F34CD" w:rsidR="00E26051">
        <w:rPr>
          <w:i/>
          <w:iCs/>
        </w:rPr>
        <w:t>Dmitriyevskiy</w:t>
      </w:r>
      <w:r w:rsidRPr="006F34CD" w:rsidR="00E26051">
        <w:t>, cited above, § 116).</w:t>
      </w:r>
    </w:p>
    <w:bookmarkStart w:name="paragraph00206" w:id="183"/>
    <w:p w:rsidRPr="006F34CD" w:rsidR="00434BF9" w:rsidP="006F34CD" w:rsidRDefault="00C971F2" w14:paraId="09846615" w14:textId="757E9CE9">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206</w:t>
      </w:r>
      <w:r w:rsidRPr="006F34CD">
        <w:rPr>
          <w:noProof/>
        </w:rPr>
        <w:fldChar w:fldCharType="end"/>
      </w:r>
      <w:bookmarkEnd w:id="183"/>
      <w:r w:rsidRPr="006F34CD" w:rsidR="00855302">
        <w:t>.  </w:t>
      </w:r>
      <w:r w:rsidRPr="006F34CD" w:rsidR="00310591">
        <w:t>As regards the applicants who were convicted on charges of “</w:t>
      </w:r>
      <w:r w:rsidRPr="006F34CD" w:rsidR="007346BD">
        <w:t>mass dissemination</w:t>
      </w:r>
      <w:r w:rsidRPr="006F34CD" w:rsidR="00310591">
        <w:t xml:space="preserve"> of extremist literature” for using the previously banned publications in religious ministry, the Court notes that </w:t>
      </w:r>
      <w:r w:rsidRPr="006F34CD" w:rsidR="00426B87">
        <w:t xml:space="preserve">an offence of mass dissemination of extremist material under Article 20.29 of the CAO is conceptualised </w:t>
      </w:r>
      <w:r w:rsidRPr="006F34CD" w:rsidR="00EE573B">
        <w:t xml:space="preserve">under Russian law </w:t>
      </w:r>
      <w:r w:rsidRPr="006F34CD" w:rsidR="00426B87">
        <w:t xml:space="preserve">as a formal offence. </w:t>
      </w:r>
      <w:r w:rsidRPr="006F34CD" w:rsidR="00B75600">
        <w:t>It is sufficient to establish that the publication in question was included in the Federal List of Extremist Material and that the offender engaged in its dissemination or possessed it with a view to disseminating</w:t>
      </w:r>
      <w:r w:rsidRPr="006F34CD" w:rsidR="00426B87">
        <w:t xml:space="preserve">. The law does not require the courts hearing the charges to evaluate the context </w:t>
      </w:r>
      <w:r w:rsidRPr="006F34CD" w:rsidR="007346BD">
        <w:t>in which</w:t>
      </w:r>
      <w:r w:rsidRPr="006F34CD" w:rsidR="00426B87">
        <w:t xml:space="preserve"> the </w:t>
      </w:r>
      <w:r w:rsidRPr="006F34CD" w:rsidR="007346BD">
        <w:t>dissemination occurred</w:t>
      </w:r>
      <w:r w:rsidRPr="006F34CD" w:rsidR="00426B87">
        <w:t xml:space="preserve">, to examine the intentions of the </w:t>
      </w:r>
      <w:r w:rsidRPr="006F34CD" w:rsidR="007346BD">
        <w:t>offender</w:t>
      </w:r>
      <w:r w:rsidRPr="006F34CD" w:rsidR="00426B87">
        <w:t xml:space="preserve">, or to assess its actual or likely deleterious consequences. </w:t>
      </w:r>
      <w:r w:rsidRPr="006F34CD" w:rsidR="007346BD">
        <w:t>Because of</w:t>
      </w:r>
      <w:r w:rsidRPr="006F34CD" w:rsidR="00426B87">
        <w:t xml:space="preserve"> the formal nature of the offence, the </w:t>
      </w:r>
      <w:r w:rsidRPr="006F34CD" w:rsidR="00E90A52">
        <w:t>court</w:t>
      </w:r>
      <w:r w:rsidRPr="006F34CD" w:rsidR="00426B87">
        <w:t xml:space="preserve"> decisions holding the applicants liable for the dissemination of extremist material </w:t>
      </w:r>
      <w:r w:rsidRPr="006F34CD" w:rsidR="007346BD">
        <w:t xml:space="preserve">did not </w:t>
      </w:r>
      <w:r w:rsidRPr="006F34CD" w:rsidR="00426B87">
        <w:t>contain an</w:t>
      </w:r>
      <w:r w:rsidRPr="006F34CD" w:rsidR="007346BD">
        <w:t>y</w:t>
      </w:r>
      <w:r w:rsidRPr="006F34CD" w:rsidR="00426B87">
        <w:t xml:space="preserve"> assessment of the context of </w:t>
      </w:r>
      <w:r w:rsidRPr="006F34CD" w:rsidR="00EE573B">
        <w:t>dissemination</w:t>
      </w:r>
      <w:r w:rsidRPr="006F34CD" w:rsidR="00426B87">
        <w:t xml:space="preserve"> or its potential for harmful consequences. However, the fact that domestic law does not require proof that the offence has had any concrete effect does not obviate the need to justify the interference </w:t>
      </w:r>
      <w:r w:rsidRPr="006F34CD" w:rsidR="007346BD">
        <w:t xml:space="preserve">and to show that it was necessary in the specific circumstances </w:t>
      </w:r>
      <w:r w:rsidRPr="006F34CD" w:rsidR="00426B87">
        <w:t xml:space="preserve">(see </w:t>
      </w:r>
      <w:r w:rsidRPr="006F34CD" w:rsidR="007346BD">
        <w:rPr>
          <w:i/>
        </w:rPr>
        <w:t>Öztürk</w:t>
      </w:r>
      <w:r w:rsidRPr="006F34CD" w:rsidR="007346BD">
        <w:t xml:space="preserve">, cited above, </w:t>
      </w:r>
      <w:r w:rsidRPr="006F34CD" w:rsidR="00BC0864">
        <w:t>§ 6</w:t>
      </w:r>
      <w:r w:rsidRPr="006F34CD" w:rsidR="007346BD">
        <w:t xml:space="preserve">9, and </w:t>
      </w:r>
      <w:r w:rsidRPr="006F34CD" w:rsidR="007346BD">
        <w:rPr>
          <w:i/>
        </w:rPr>
        <w:t>Perinçek</w:t>
      </w:r>
      <w:r w:rsidRPr="006F34CD" w:rsidR="007346BD">
        <w:t xml:space="preserve">, cited above, </w:t>
      </w:r>
      <w:r w:rsidRPr="006F34CD" w:rsidR="00BC0864">
        <w:t>§ 2</w:t>
      </w:r>
      <w:r w:rsidRPr="006F34CD" w:rsidR="007346BD">
        <w:t>75</w:t>
      </w:r>
      <w:r w:rsidRPr="006F34CD" w:rsidR="00426B87">
        <w:t>). By focusing exclusively on the formal elements of an offence under Article 20.29 of the CAO, the domestic courts failed to consider the criteria developed by the Court in cases relating to freedom of expression</w:t>
      </w:r>
      <w:r w:rsidRPr="006F34CD" w:rsidR="00EE573B">
        <w:t xml:space="preserve"> and religion</w:t>
      </w:r>
      <w:r w:rsidRPr="006F34CD" w:rsidR="00426B87">
        <w:t xml:space="preserve"> and adduce “relevant and sufficient” reasons for the interference (see </w:t>
      </w:r>
      <w:r w:rsidRPr="006F34CD" w:rsidR="00426B87">
        <w:rPr>
          <w:i/>
        </w:rPr>
        <w:t>Gözel and Özer v. Turkey</w:t>
      </w:r>
      <w:r w:rsidRPr="006F34CD" w:rsidR="00426B87">
        <w:t>, nos. 43453/04 and 31098/05, § 51, 6 July 2010).</w:t>
      </w:r>
      <w:r w:rsidRPr="006F34CD" w:rsidR="00EA05AE">
        <w:t xml:space="preserve"> In t</w:t>
      </w:r>
      <w:r w:rsidRPr="006F34CD" w:rsidR="00434BF9">
        <w:t>he case of the Samara LRO</w:t>
      </w:r>
      <w:r w:rsidRPr="006F34CD" w:rsidR="00EA05AE">
        <w:t xml:space="preserve">, </w:t>
      </w:r>
      <w:r w:rsidRPr="006F34CD" w:rsidR="00B67666">
        <w:t xml:space="preserve">the domestic courts neither considered </w:t>
      </w:r>
      <w:r w:rsidRPr="006F34CD" w:rsidR="00434BF9">
        <w:t xml:space="preserve">a very serious allegation that the extremist publications had been planted on their premises </w:t>
      </w:r>
      <w:r w:rsidRPr="006F34CD" w:rsidR="00B940BF">
        <w:t xml:space="preserve">(see paragraph </w:t>
      </w:r>
      <w:r w:rsidRPr="006F34CD" w:rsidR="00B940BF">
        <w:fldChar w:fldCharType="begin"/>
      </w:r>
      <w:r w:rsidRPr="006F34CD" w:rsidR="006E5193">
        <w:instrText xml:space="preserve">REF paragraph00195 \h \* CharFormat </w:instrText>
      </w:r>
      <w:r w:rsidRPr="006F34CD" w:rsidR="00B940BF">
        <w:fldChar w:fldCharType="separate"/>
      </w:r>
      <w:r w:rsidRPr="006F34CD" w:rsidR="006F34CD">
        <w:t>195</w:t>
      </w:r>
      <w:r w:rsidRPr="006F34CD" w:rsidR="00B940BF">
        <w:fldChar w:fldCharType="end"/>
      </w:r>
      <w:r w:rsidRPr="006F34CD" w:rsidR="00B940BF">
        <w:t xml:space="preserve"> above)</w:t>
      </w:r>
      <w:r w:rsidRPr="006F34CD" w:rsidR="00434BF9">
        <w:t xml:space="preserve"> </w:t>
      </w:r>
      <w:r w:rsidRPr="006F34CD" w:rsidR="00B67666">
        <w:t xml:space="preserve">nor </w:t>
      </w:r>
      <w:r w:rsidRPr="006F34CD" w:rsidR="00EA05AE">
        <w:t>assess</w:t>
      </w:r>
      <w:r w:rsidRPr="006F34CD" w:rsidR="00B67666">
        <w:t>ed</w:t>
      </w:r>
      <w:r w:rsidRPr="006F34CD" w:rsidR="00EA05AE">
        <w:t xml:space="preserve"> the proportionality </w:t>
      </w:r>
      <w:r w:rsidRPr="006F34CD" w:rsidR="00B67666">
        <w:t xml:space="preserve">and necessity </w:t>
      </w:r>
      <w:r w:rsidRPr="006F34CD" w:rsidR="00EA05AE">
        <w:t xml:space="preserve">of </w:t>
      </w:r>
      <w:r w:rsidRPr="006F34CD" w:rsidR="00B9030F">
        <w:t>such a drastic measure</w:t>
      </w:r>
      <w:r w:rsidRPr="006F34CD" w:rsidR="00EA05AE">
        <w:t xml:space="preserve"> </w:t>
      </w:r>
      <w:r w:rsidRPr="006F34CD" w:rsidR="00B67666">
        <w:t xml:space="preserve">as the dissolution of a religious organisation </w:t>
      </w:r>
      <w:r w:rsidRPr="006F34CD" w:rsidR="00EA05AE">
        <w:t xml:space="preserve">in a situation where copies of the “extremist” publications </w:t>
      </w:r>
      <w:r w:rsidRPr="006F34CD" w:rsidR="00B70191">
        <w:t>were</w:t>
      </w:r>
      <w:r w:rsidRPr="006F34CD" w:rsidR="00EA05AE">
        <w:t xml:space="preserve"> </w:t>
      </w:r>
      <w:r w:rsidRPr="006F34CD" w:rsidR="002A4819">
        <w:t>apparently</w:t>
      </w:r>
      <w:r w:rsidRPr="006F34CD" w:rsidR="006617C6">
        <w:t xml:space="preserve"> </w:t>
      </w:r>
      <w:r w:rsidRPr="006F34CD" w:rsidR="00EA05AE">
        <w:t xml:space="preserve">kept </w:t>
      </w:r>
      <w:r w:rsidRPr="006F34CD" w:rsidR="006617C6">
        <w:t>in a locked cabinet</w:t>
      </w:r>
      <w:r w:rsidRPr="006F34CD" w:rsidR="00EA05AE">
        <w:t xml:space="preserve">. </w:t>
      </w:r>
      <w:r w:rsidRPr="006F34CD" w:rsidR="00C85670">
        <w:t xml:space="preserve">The failure to carry out a balancing exercise leads the Court to the conclusion that the interference </w:t>
      </w:r>
      <w:r w:rsidRPr="006F34CD" w:rsidR="00265C13">
        <w:t xml:space="preserve">did not pursue any “pressing social need” and </w:t>
      </w:r>
      <w:r w:rsidRPr="006F34CD" w:rsidR="00C85670">
        <w:t xml:space="preserve">was </w:t>
      </w:r>
      <w:r w:rsidRPr="006F34CD" w:rsidR="00265C13">
        <w:t>therefore</w:t>
      </w:r>
      <w:r w:rsidRPr="006F34CD" w:rsidR="00C85670">
        <w:t xml:space="preserve"> not “necessary in a democratic society”.</w:t>
      </w:r>
    </w:p>
    <w:bookmarkStart w:name="paragraph00207" w:id="184"/>
    <w:p w:rsidRPr="006F34CD" w:rsidR="00563DE6" w:rsidP="006F34CD" w:rsidRDefault="007146F9" w14:paraId="374CF830" w14:textId="09BFAB18">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207</w:t>
      </w:r>
      <w:r w:rsidRPr="006F34CD">
        <w:rPr>
          <w:noProof/>
        </w:rPr>
        <w:fldChar w:fldCharType="end"/>
      </w:r>
      <w:bookmarkEnd w:id="184"/>
      <w:r w:rsidRPr="006F34CD" w:rsidR="004475D6">
        <w:t xml:space="preserve">.  There has therefore been </w:t>
      </w:r>
      <w:bookmarkStart w:name="conclusionIII" w:id="185"/>
      <w:r w:rsidRPr="006F34CD" w:rsidR="004475D6">
        <w:t xml:space="preserve">a violation of </w:t>
      </w:r>
      <w:r w:rsidRPr="006F34CD" w:rsidR="00471944">
        <w:t>Article</w:t>
      </w:r>
      <w:r w:rsidRPr="006F34CD" w:rsidR="00182517">
        <w:t>s</w:t>
      </w:r>
      <w:r w:rsidRPr="006F34CD" w:rsidR="00471944">
        <w:t> </w:t>
      </w:r>
      <w:r w:rsidRPr="006F34CD" w:rsidR="004475D6">
        <w:t>10</w:t>
      </w:r>
      <w:r w:rsidRPr="006F34CD" w:rsidR="001F20AC">
        <w:t xml:space="preserve"> </w:t>
      </w:r>
      <w:r w:rsidRPr="006F34CD" w:rsidR="00182517">
        <w:t xml:space="preserve">and 11 </w:t>
      </w:r>
      <w:r w:rsidRPr="006F34CD" w:rsidR="001F20AC">
        <w:t xml:space="preserve">of the Convention, read in the light of </w:t>
      </w:r>
      <w:r w:rsidRPr="006F34CD" w:rsidR="003179D7">
        <w:t>Article 9</w:t>
      </w:r>
      <w:r w:rsidRPr="006F34CD" w:rsidR="001F20AC">
        <w:t xml:space="preserve">, </w:t>
      </w:r>
      <w:r w:rsidRPr="006F34CD" w:rsidR="004475D6">
        <w:t>on account of the declaration of the Jehovah</w:t>
      </w:r>
      <w:r w:rsidRPr="006F34CD" w:rsidR="006F34CD">
        <w:t>’</w:t>
      </w:r>
      <w:r w:rsidRPr="006F34CD" w:rsidR="004475D6">
        <w:t>s Witnesses</w:t>
      </w:r>
      <w:r w:rsidRPr="006F34CD" w:rsidR="006F34CD">
        <w:t>’</w:t>
      </w:r>
      <w:r w:rsidRPr="006F34CD" w:rsidR="004475D6">
        <w:t xml:space="preserve"> publications “extremist”</w:t>
      </w:r>
      <w:r w:rsidRPr="006F34CD" w:rsidR="00E573DF">
        <w:t xml:space="preserve"> and </w:t>
      </w:r>
      <w:r w:rsidRPr="006F34CD" w:rsidR="004475D6">
        <w:t xml:space="preserve">the prosecution of </w:t>
      </w:r>
      <w:r w:rsidRPr="006F34CD" w:rsidR="00182517">
        <w:t>individual</w:t>
      </w:r>
      <w:r w:rsidRPr="006F34CD" w:rsidR="004475D6">
        <w:t xml:space="preserve"> applicants and the forced dissolution of the Samara LRO for using </w:t>
      </w:r>
      <w:r w:rsidRPr="006F34CD" w:rsidR="000F74D0">
        <w:t>those publications</w:t>
      </w:r>
      <w:r w:rsidRPr="006F34CD" w:rsidR="004475D6">
        <w:t xml:space="preserve"> in their religious ministry</w:t>
      </w:r>
      <w:bookmarkEnd w:id="185"/>
      <w:r w:rsidRPr="006F34CD" w:rsidR="004475D6">
        <w:t>.</w:t>
      </w:r>
    </w:p>
    <w:p w:rsidRPr="006F34CD" w:rsidR="00563DE6" w:rsidP="006F34CD" w:rsidRDefault="006838B5" w14:paraId="1EDA2AFF" w14:textId="77777777">
      <w:pPr>
        <w:pStyle w:val="JuHIRoman"/>
      </w:pPr>
      <w:bookmarkStart w:name="_Toc97301964" w:id="186"/>
      <w:r w:rsidRPr="006F34CD">
        <w:rPr>
          <w:caps w:val="0"/>
        </w:rPr>
        <w:t>ALLEGED VIOLATION OF ARTICLE 10 OF THE CONVENTION, READ IN THE LIGHT OF ARTICLE 9, ON ACCOUNT OF THE WITHDRAWAL OF THE DISTRIBUTION PERMIT</w:t>
      </w:r>
      <w:bookmarkEnd w:id="186"/>
    </w:p>
    <w:p w:rsidRPr="006F34CD" w:rsidR="00563DE6" w:rsidP="006F34CD" w:rsidRDefault="00563DE6" w14:paraId="32B03F25" w14:textId="17B90B26">
      <w:pPr>
        <w:pStyle w:val="JuPara"/>
      </w:pPr>
      <w:r w:rsidRPr="006F34CD">
        <w:fldChar w:fldCharType="begin"/>
      </w:r>
      <w:r w:rsidRPr="006F34CD">
        <w:instrText xml:space="preserve"> SEQ level0 \*arabic </w:instrText>
      </w:r>
      <w:r w:rsidRPr="006F34CD">
        <w:fldChar w:fldCharType="separate"/>
      </w:r>
      <w:r w:rsidRPr="006F34CD" w:rsidR="006F34CD">
        <w:rPr>
          <w:noProof/>
        </w:rPr>
        <w:t>208</w:t>
      </w:r>
      <w:r w:rsidRPr="006F34CD">
        <w:fldChar w:fldCharType="end"/>
      </w:r>
      <w:r w:rsidRPr="006F34CD">
        <w:t>.</w:t>
      </w:r>
      <w:r w:rsidRPr="006F34CD" w:rsidR="001370AA">
        <w:t>  </w:t>
      </w:r>
      <w:r w:rsidRPr="006F34CD">
        <w:t xml:space="preserve">The applicants complained that the decision to </w:t>
      </w:r>
      <w:r w:rsidRPr="006F34CD" w:rsidR="004C071B">
        <w:t>withdraw</w:t>
      </w:r>
      <w:r w:rsidRPr="006F34CD">
        <w:t xml:space="preserve"> the permit to distribute religious magazines </w:t>
      </w:r>
      <w:r w:rsidRPr="006F34CD" w:rsidR="004F322A">
        <w:t xml:space="preserve">(see section </w:t>
      </w:r>
      <w:r w:rsidRPr="006F34CD" w:rsidR="004F322A">
        <w:fldChar w:fldCharType="begin"/>
      </w:r>
      <w:r w:rsidRPr="006F34CD" w:rsidR="004F322A">
        <w:instrText xml:space="preserve"> REF _Ref76460194 \n \h </w:instrText>
      </w:r>
      <w:r w:rsidRPr="006F34CD" w:rsidR="004F322A">
        <w:fldChar w:fldCharType="separate"/>
      </w:r>
      <w:r w:rsidRPr="006F34CD" w:rsidR="006F34CD">
        <w:t>E</w:t>
      </w:r>
      <w:r w:rsidRPr="006F34CD" w:rsidR="004F322A">
        <w:fldChar w:fldCharType="end"/>
      </w:r>
      <w:r w:rsidRPr="006F34CD" w:rsidR="004F322A">
        <w:t xml:space="preserve"> of the Facts) </w:t>
      </w:r>
      <w:r w:rsidRPr="006F34CD">
        <w:t xml:space="preserve">had </w:t>
      </w:r>
      <w:r w:rsidRPr="006F34CD" w:rsidR="00F53B1A">
        <w:t>had no basis in Russian law and was not necessary in a democratic society.</w:t>
      </w:r>
      <w:r w:rsidRPr="006F34CD" w:rsidR="001370AA">
        <w:t xml:space="preserve"> </w:t>
      </w:r>
      <w:r w:rsidRPr="006F34CD">
        <w:t xml:space="preserve">They relied </w:t>
      </w:r>
      <w:r w:rsidRPr="006F34CD" w:rsidR="005C6A0C">
        <w:t xml:space="preserve">in particular </w:t>
      </w:r>
      <w:r w:rsidRPr="006F34CD">
        <w:t xml:space="preserve">on </w:t>
      </w:r>
      <w:r w:rsidRPr="006F34CD" w:rsidR="001370AA">
        <w:t>Articles 9</w:t>
      </w:r>
      <w:r w:rsidRPr="006F34CD">
        <w:t xml:space="preserve"> and 10 of the Convention</w:t>
      </w:r>
      <w:r w:rsidRPr="006F34CD" w:rsidR="00415134">
        <w:t xml:space="preserve"> which have been</w:t>
      </w:r>
      <w:r w:rsidRPr="006F34CD">
        <w:t xml:space="preserve"> cited above.</w:t>
      </w:r>
    </w:p>
    <w:p w:rsidRPr="006F34CD" w:rsidR="00E206CB" w:rsidP="006F34CD" w:rsidRDefault="00E206CB" w14:paraId="2E73455C" w14:textId="77777777">
      <w:pPr>
        <w:pStyle w:val="JuHA"/>
        <w:numPr>
          <w:ilvl w:val="2"/>
          <w:numId w:val="5"/>
        </w:numPr>
      </w:pPr>
      <w:bookmarkStart w:name="_Toc97301965" w:id="187"/>
      <w:r w:rsidRPr="006F34CD">
        <w:t>Admissibility</w:t>
      </w:r>
      <w:bookmarkEnd w:id="187"/>
    </w:p>
    <w:p w:rsidRPr="006F34CD" w:rsidR="00CA0953" w:rsidP="006F34CD" w:rsidRDefault="00CB6108" w14:paraId="1738A8E0" w14:textId="739A5A16">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209</w:t>
      </w:r>
      <w:r>
        <w:rPr>
          <w:noProof/>
        </w:rPr>
        <w:fldChar w:fldCharType="end"/>
      </w:r>
      <w:r w:rsidRPr="006F34CD" w:rsidR="00CA0953">
        <w:t xml:space="preserve">.  The Government submitted that the complaints by </w:t>
      </w:r>
      <w:r w:rsidRPr="006F34CD" w:rsidR="00B618C2">
        <w:t>Mr E</w:t>
      </w:r>
      <w:r w:rsidRPr="006F34CD" w:rsidR="00CA0953">
        <w:t>b</w:t>
      </w:r>
      <w:r w:rsidRPr="006F34CD" w:rsidR="00310591">
        <w:t>eling</w:t>
      </w:r>
      <w:r w:rsidRPr="006F34CD" w:rsidR="00CA0953">
        <w:t xml:space="preserve"> and </w:t>
      </w:r>
      <w:r w:rsidRPr="006F34CD" w:rsidR="00B618C2">
        <w:t>Mr K</w:t>
      </w:r>
      <w:r w:rsidRPr="006F34CD" w:rsidR="00CA0953">
        <w:t xml:space="preserve">onyukhov </w:t>
      </w:r>
      <w:r w:rsidRPr="006F34CD" w:rsidR="001F771D">
        <w:t xml:space="preserve">in </w:t>
      </w:r>
      <w:r w:rsidRPr="006F34CD" w:rsidR="00CA0953">
        <w:t xml:space="preserve">application </w:t>
      </w:r>
      <w:r w:rsidRPr="006F34CD" w:rsidR="00B618C2">
        <w:t>no. 1</w:t>
      </w:r>
      <w:r w:rsidRPr="006F34CD" w:rsidR="00CA0953">
        <w:t>7552/11 were belated</w:t>
      </w:r>
      <w:r w:rsidRPr="006F34CD" w:rsidR="001F771D">
        <w:t xml:space="preserve">. The Court has dismissed a similar objection in paragraph </w:t>
      </w:r>
      <w:r w:rsidRPr="006F34CD" w:rsidR="00213AA2">
        <w:fldChar w:fldCharType="begin"/>
      </w:r>
      <w:r w:rsidRPr="006F34CD" w:rsidR="006E5193">
        <w:instrText xml:space="preserve">REF paragraph00192 \h \* CharFormat </w:instrText>
      </w:r>
      <w:r w:rsidRPr="006F34CD" w:rsidR="00213AA2">
        <w:fldChar w:fldCharType="separate"/>
      </w:r>
      <w:r w:rsidRPr="006F34CD" w:rsidR="006F34CD">
        <w:t>192</w:t>
      </w:r>
      <w:r w:rsidRPr="006F34CD" w:rsidR="00213AA2">
        <w:fldChar w:fldCharType="end"/>
      </w:r>
      <w:r w:rsidRPr="006F34CD" w:rsidR="001F771D">
        <w:t xml:space="preserve"> above in which it established the date of introduction of that application to be </w:t>
      </w:r>
      <w:r w:rsidRPr="006F34CD" w:rsidR="00B618C2">
        <w:t>11 March 2011</w:t>
      </w:r>
      <w:r w:rsidRPr="006F34CD" w:rsidR="001F771D">
        <w:t xml:space="preserve">. As that date was less than six months from the dates of the final decisions (see paragraph </w:t>
      </w:r>
      <w:r w:rsidRPr="006F34CD" w:rsidR="001F771D">
        <w:fldChar w:fldCharType="begin"/>
      </w:r>
      <w:r w:rsidRPr="006F34CD" w:rsidR="006E5193">
        <w:instrText xml:space="preserve">REF paragraph00073 \h \* CharFormat </w:instrText>
      </w:r>
      <w:r w:rsidRPr="006F34CD" w:rsidR="001F771D">
        <w:fldChar w:fldCharType="separate"/>
      </w:r>
      <w:r w:rsidRPr="006F34CD" w:rsidR="006F34CD">
        <w:t>73</w:t>
      </w:r>
      <w:r w:rsidRPr="006F34CD" w:rsidR="001F771D">
        <w:fldChar w:fldCharType="end"/>
      </w:r>
      <w:r w:rsidRPr="006F34CD" w:rsidR="001F771D">
        <w:t xml:space="preserve"> above), the complaints were not belated.</w:t>
      </w:r>
    </w:p>
    <w:p w:rsidRPr="006F34CD" w:rsidR="00E206CB" w:rsidP="006F34CD" w:rsidRDefault="00E206CB" w14:paraId="73B353AB" w14:textId="5E72890C">
      <w:pPr>
        <w:pStyle w:val="JuPara"/>
      </w:pPr>
      <w:r w:rsidRPr="006F34CD">
        <w:fldChar w:fldCharType="begin"/>
      </w:r>
      <w:r w:rsidRPr="006F34CD">
        <w:instrText xml:space="preserve"> SEQ level0 \*arabic </w:instrText>
      </w:r>
      <w:r w:rsidRPr="006F34CD">
        <w:fldChar w:fldCharType="separate"/>
      </w:r>
      <w:r w:rsidRPr="006F34CD" w:rsidR="006F34CD">
        <w:rPr>
          <w:noProof/>
        </w:rPr>
        <w:t>210</w:t>
      </w:r>
      <w:r w:rsidRPr="006F34CD">
        <w:fldChar w:fldCharType="end"/>
      </w:r>
      <w:r w:rsidRPr="006F34CD">
        <w:t>.</w:t>
      </w:r>
      <w:r w:rsidRPr="006F34CD" w:rsidR="001370AA">
        <w:t>  </w:t>
      </w:r>
      <w:r w:rsidRPr="006F34CD">
        <w:t xml:space="preserve">The Court considers that this complaint is </w:t>
      </w:r>
      <w:r w:rsidRPr="006F34CD" w:rsidR="00F27848">
        <w:t>not manifestly ill</w:t>
      </w:r>
      <w:r w:rsidRPr="006F34CD" w:rsidR="00AC1B15">
        <w:noBreakHyphen/>
      </w:r>
      <w:r w:rsidRPr="006F34CD" w:rsidR="00F27848">
        <w:t xml:space="preserve">founded within the meaning of </w:t>
      </w:r>
      <w:r w:rsidRPr="006F34CD" w:rsidR="001370AA">
        <w:t>Article 3</w:t>
      </w:r>
      <w:r w:rsidRPr="006F34CD" w:rsidR="00F27848">
        <w:t>5</w:t>
      </w:r>
      <w:r w:rsidRPr="006F34CD" w:rsidR="001370AA">
        <w:t xml:space="preserve"> § 3 </w:t>
      </w:r>
      <w:r w:rsidRPr="006F34CD" w:rsidR="00F27848">
        <w:t>(a) of the Convention.</w:t>
      </w:r>
      <w:r w:rsidRPr="006F34CD" w:rsidR="001370AA">
        <w:t xml:space="preserve"> </w:t>
      </w:r>
      <w:r w:rsidRPr="006F34CD">
        <w:t xml:space="preserve">It further </w:t>
      </w:r>
      <w:r w:rsidRPr="006F34CD" w:rsidR="00F27848">
        <w:t>notes that it is not inadmissible on any other grounds.</w:t>
      </w:r>
      <w:r w:rsidRPr="006F34CD" w:rsidR="001370AA">
        <w:t xml:space="preserve"> </w:t>
      </w:r>
      <w:r w:rsidRPr="006F34CD">
        <w:t>It must therefore be declared admissible.</w:t>
      </w:r>
    </w:p>
    <w:p w:rsidRPr="006F34CD" w:rsidR="00563DE6" w:rsidP="006F34CD" w:rsidRDefault="00EF74FA" w14:paraId="419DAD19" w14:textId="77777777">
      <w:pPr>
        <w:pStyle w:val="JuHA"/>
        <w:numPr>
          <w:ilvl w:val="2"/>
          <w:numId w:val="5"/>
        </w:numPr>
      </w:pPr>
      <w:bookmarkStart w:name="_Toc97301966" w:id="188"/>
      <w:r w:rsidRPr="006F34CD">
        <w:t>Merits</w:t>
      </w:r>
      <w:bookmarkEnd w:id="188"/>
    </w:p>
    <w:p w:rsidRPr="006F34CD" w:rsidR="00C60557" w:rsidP="006F34CD" w:rsidRDefault="00C60557" w14:paraId="59067A29" w14:textId="77777777">
      <w:pPr>
        <w:pStyle w:val="JuH1"/>
      </w:pPr>
      <w:bookmarkStart w:name="_Toc97301967" w:id="189"/>
      <w:r w:rsidRPr="006F34CD">
        <w:t>Submissions by the parties</w:t>
      </w:r>
      <w:bookmarkEnd w:id="189"/>
    </w:p>
    <w:p w:rsidRPr="006F34CD" w:rsidR="001E754B" w:rsidP="006F34CD" w:rsidRDefault="00CA47D4" w14:paraId="68896E2E" w14:textId="1A1BC2D5">
      <w:pPr>
        <w:pStyle w:val="JuPara"/>
      </w:pPr>
      <w:r w:rsidRPr="006F34CD">
        <w:fldChar w:fldCharType="begin"/>
      </w:r>
      <w:r w:rsidRPr="006F34CD">
        <w:instrText xml:space="preserve"> SEQ level0 \*arabic </w:instrText>
      </w:r>
      <w:r w:rsidRPr="006F34CD">
        <w:fldChar w:fldCharType="separate"/>
      </w:r>
      <w:r w:rsidRPr="006F34CD" w:rsidR="006F34CD">
        <w:rPr>
          <w:noProof/>
        </w:rPr>
        <w:t>211</w:t>
      </w:r>
      <w:r w:rsidRPr="006F34CD">
        <w:fldChar w:fldCharType="end"/>
      </w:r>
      <w:r w:rsidRPr="006F34CD">
        <w:t>.</w:t>
      </w:r>
      <w:r w:rsidRPr="006F34CD" w:rsidR="001370AA">
        <w:t>  </w:t>
      </w:r>
      <w:r w:rsidRPr="006F34CD">
        <w:t xml:space="preserve">The applicants emphasised that the application of </w:t>
      </w:r>
      <w:r w:rsidRPr="006F34CD" w:rsidR="001370AA">
        <w:t>section 3</w:t>
      </w:r>
      <w:r w:rsidRPr="006F34CD">
        <w:t>2 of the Mass Media Act “by analogy”, without any advance notice, without a court hearing or court order and by reference to the Rostov and Gorno-Altaysk proceedings, to which neither the applicant nor the Roskomnadzor had been parties, was not foreseeable.</w:t>
      </w:r>
      <w:r w:rsidRPr="006F34CD" w:rsidR="001370AA">
        <w:t xml:space="preserve"> </w:t>
      </w:r>
      <w:r w:rsidRPr="006F34CD">
        <w:t>Section 32 related exclusively to television and radio broadcasting; it had never been applied to print media. The Roskomnadzor had not invoked that provision when making the 2010 order.</w:t>
      </w:r>
      <w:r w:rsidRPr="006F34CD" w:rsidR="001370AA">
        <w:t xml:space="preserve"> </w:t>
      </w:r>
      <w:r w:rsidRPr="006F34CD">
        <w:t xml:space="preserve">It was raised for the first time in the Federal </w:t>
      </w:r>
      <w:r w:rsidRPr="006F34CD" w:rsidR="004844E1">
        <w:t>Commercial</w:t>
      </w:r>
      <w:r w:rsidRPr="006F34CD">
        <w:t xml:space="preserve"> Court</w:t>
      </w:r>
      <w:r w:rsidRPr="006F34CD" w:rsidR="006F34CD">
        <w:t>’</w:t>
      </w:r>
      <w:r w:rsidRPr="006F34CD">
        <w:t xml:space="preserve">s decision of </w:t>
      </w:r>
      <w:r w:rsidRPr="006F34CD" w:rsidR="00F50F6F">
        <w:t>29 May 2012</w:t>
      </w:r>
      <w:r w:rsidRPr="006F34CD">
        <w:t xml:space="preserve">. By that time, however, </w:t>
      </w:r>
      <w:r w:rsidRPr="006F34CD" w:rsidR="001370AA">
        <w:t>section 3</w:t>
      </w:r>
      <w:r w:rsidRPr="006F34CD">
        <w:t>2 was no longer in force, having been replaced in 2011 with a new procedure in which a license could be revoked only on notice and only by court order.</w:t>
      </w:r>
      <w:r w:rsidRPr="006F34CD" w:rsidR="001370AA">
        <w:t xml:space="preserve"> </w:t>
      </w:r>
      <w:r w:rsidRPr="006F34CD">
        <w:t>The applicants submitted that they could not have foreseen which of many provisions the Roskomnadzor would apply “by analogy”, for it could have issued instead a “warning” or make an application to a court to suspend the circulation of periodicals.</w:t>
      </w:r>
      <w:r w:rsidRPr="006F34CD" w:rsidR="001370AA">
        <w:t xml:space="preserve"> </w:t>
      </w:r>
      <w:r w:rsidRPr="006F34CD">
        <w:t>Finally, the decision did not pursue any “pressing social need”.</w:t>
      </w:r>
      <w:r w:rsidRPr="006F34CD" w:rsidR="001370AA">
        <w:t xml:space="preserve"> </w:t>
      </w:r>
      <w:r w:rsidRPr="006F34CD">
        <w:t>Contrary to the Government</w:t>
      </w:r>
      <w:r w:rsidRPr="006F34CD" w:rsidR="006F34CD">
        <w:t>’</w:t>
      </w:r>
      <w:r w:rsidRPr="006F34CD">
        <w:t>s assertion, the publications had not incited “religious hatred”, as mere comparison of religions and beliefs, even unfavourable, was not tantamount to inciting “hatred”.</w:t>
      </w:r>
    </w:p>
    <w:p w:rsidRPr="006F34CD" w:rsidR="001E754B" w:rsidP="006F34CD" w:rsidRDefault="00563DE6" w14:paraId="7B54BB24" w14:textId="55F35A32">
      <w:pPr>
        <w:pStyle w:val="JuPara"/>
      </w:pPr>
      <w:r w:rsidRPr="006F34CD">
        <w:fldChar w:fldCharType="begin"/>
      </w:r>
      <w:r w:rsidRPr="006F34CD">
        <w:instrText xml:space="preserve"> SEQ level0 \*arabic </w:instrText>
      </w:r>
      <w:r w:rsidRPr="006F34CD">
        <w:fldChar w:fldCharType="separate"/>
      </w:r>
      <w:r w:rsidRPr="006F34CD" w:rsidR="006F34CD">
        <w:rPr>
          <w:noProof/>
        </w:rPr>
        <w:t>212</w:t>
      </w:r>
      <w:r w:rsidRPr="006F34CD">
        <w:fldChar w:fldCharType="end"/>
      </w:r>
      <w:r w:rsidRPr="006F34CD">
        <w:t>.</w:t>
      </w:r>
      <w:r w:rsidRPr="006F34CD" w:rsidR="001370AA">
        <w:t>  </w:t>
      </w:r>
      <w:r w:rsidRPr="006F34CD">
        <w:t xml:space="preserve">The Government submitted that the </w:t>
      </w:r>
      <w:r w:rsidRPr="006F34CD">
        <w:rPr>
          <w:i/>
          <w:iCs/>
        </w:rPr>
        <w:t xml:space="preserve">Watchtower </w:t>
      </w:r>
      <w:r w:rsidRPr="006F34CD">
        <w:t xml:space="preserve">and </w:t>
      </w:r>
      <w:r w:rsidRPr="006F34CD">
        <w:rPr>
          <w:i/>
          <w:iCs/>
        </w:rPr>
        <w:t xml:space="preserve">Awake! </w:t>
      </w:r>
      <w:r w:rsidRPr="006F34CD">
        <w:t>magazines were foreign printed media which could be distributed in Russia on the basis of a permit. After the Rostov and Gor</w:t>
      </w:r>
      <w:r w:rsidRPr="006F34CD" w:rsidR="00F27848">
        <w:t>no-Altaysk courts had identified certain publications to be extremist, the applicants should have faced the consequences of publishing such materials.</w:t>
      </w:r>
      <w:r w:rsidRPr="006F34CD" w:rsidR="001370AA">
        <w:t xml:space="preserve"> </w:t>
      </w:r>
      <w:r w:rsidRPr="006F34CD">
        <w:t xml:space="preserve">Since the Russian legislation at that time had </w:t>
      </w:r>
      <w:r w:rsidRPr="006F34CD" w:rsidR="00F27848">
        <w:t xml:space="preserve">not established a clear procedure for annulling the distribution permit, </w:t>
      </w:r>
      <w:r w:rsidRPr="006F34CD" w:rsidR="001370AA">
        <w:t>section 3</w:t>
      </w:r>
      <w:r w:rsidRPr="006F34CD" w:rsidR="00F27848">
        <w:t>2 of the Mass Media Act had been applied by analogy which, in the Government</w:t>
      </w:r>
      <w:r w:rsidRPr="006F34CD" w:rsidR="006F34CD">
        <w:t>’</w:t>
      </w:r>
      <w:r w:rsidRPr="006F34CD" w:rsidR="00F27848">
        <w:t>s view, was the only accessible mechanism for exercising State control over distribution of extremist materials in Russia.</w:t>
      </w:r>
      <w:r w:rsidRPr="006F34CD" w:rsidR="001370AA">
        <w:t xml:space="preserve"> </w:t>
      </w:r>
      <w:r w:rsidRPr="006F34CD">
        <w:t xml:space="preserve">The decision to revoke the permit had pursued the legitimate aims of the protection </w:t>
      </w:r>
      <w:r w:rsidRPr="006F34CD" w:rsidR="004844E1">
        <w:t>of</w:t>
      </w:r>
      <w:r w:rsidRPr="006F34CD">
        <w:t xml:space="preserve"> national security, prevention of disorders and crimes of extremist nature. There had been a trend towards an increasing number of extremist publications: of the twenty-six publications printed between 1998 and 2009, eleven had been issued after 2007.</w:t>
      </w:r>
    </w:p>
    <w:p w:rsidRPr="006F34CD" w:rsidR="00C60557" w:rsidP="006F34CD" w:rsidRDefault="00C60557" w14:paraId="7C9C4B83" w14:textId="42C25180">
      <w:pPr>
        <w:pStyle w:val="JuH1"/>
      </w:pPr>
      <w:bookmarkStart w:name="_Toc97301968" w:id="190"/>
      <w:r w:rsidRPr="006F34CD">
        <w:t>The Court</w:t>
      </w:r>
      <w:r w:rsidRPr="006F34CD" w:rsidR="006F34CD">
        <w:t>’</w:t>
      </w:r>
      <w:r w:rsidRPr="006F34CD">
        <w:t>s assessment</w:t>
      </w:r>
      <w:bookmarkEnd w:id="190"/>
    </w:p>
    <w:p w:rsidRPr="006F34CD" w:rsidR="001E754B" w:rsidP="006F34CD" w:rsidRDefault="00563DE6" w14:paraId="1309CF1D" w14:textId="75DF4CA4">
      <w:pPr>
        <w:pStyle w:val="JuPara"/>
      </w:pPr>
      <w:r w:rsidRPr="006F34CD">
        <w:fldChar w:fldCharType="begin"/>
      </w:r>
      <w:r w:rsidRPr="006F34CD">
        <w:instrText xml:space="preserve"> SEQ level0 \*arabic </w:instrText>
      </w:r>
      <w:r w:rsidRPr="006F34CD">
        <w:fldChar w:fldCharType="separate"/>
      </w:r>
      <w:r w:rsidRPr="006F34CD" w:rsidR="006F34CD">
        <w:rPr>
          <w:noProof/>
        </w:rPr>
        <w:t>213</w:t>
      </w:r>
      <w:r w:rsidRPr="006F34CD">
        <w:fldChar w:fldCharType="end"/>
      </w:r>
      <w:r w:rsidRPr="006F34CD">
        <w:t>.</w:t>
      </w:r>
      <w:r w:rsidRPr="006F34CD" w:rsidR="001370AA">
        <w:t>  </w:t>
      </w:r>
      <w:r w:rsidRPr="006F34CD" w:rsidR="00F665BB">
        <w:t xml:space="preserve">The Court notes that under Russian law, distribution of </w:t>
      </w:r>
      <w:r w:rsidRPr="006F34CD" w:rsidR="004925BB">
        <w:t xml:space="preserve">foreign </w:t>
      </w:r>
      <w:r w:rsidRPr="006F34CD" w:rsidR="00F665BB">
        <w:t>printed periodicals in Russia require</w:t>
      </w:r>
      <w:r w:rsidRPr="006F34CD" w:rsidR="0063135F">
        <w:t>s</w:t>
      </w:r>
      <w:r w:rsidRPr="006F34CD" w:rsidR="00F665BB">
        <w:t xml:space="preserve"> a distribution permit. The decision to </w:t>
      </w:r>
      <w:r w:rsidRPr="006F34CD" w:rsidR="0063135F">
        <w:t>withdraw</w:t>
      </w:r>
      <w:r w:rsidRPr="006F34CD" w:rsidR="00F665BB">
        <w:t xml:space="preserve"> the permit </w:t>
      </w:r>
      <w:r w:rsidRPr="006F34CD" w:rsidR="0063135F">
        <w:t>ha</w:t>
      </w:r>
      <w:r w:rsidRPr="006F34CD" w:rsidR="001F771D">
        <w:t>d</w:t>
      </w:r>
      <w:r w:rsidRPr="006F34CD" w:rsidR="0063135F">
        <w:t xml:space="preserve"> </w:t>
      </w:r>
      <w:r w:rsidRPr="006F34CD" w:rsidR="00F665BB">
        <w:t>prevented</w:t>
      </w:r>
      <w:r w:rsidRPr="006F34CD" w:rsidR="00587DCF">
        <w:t xml:space="preserve"> </w:t>
      </w:r>
      <w:r w:rsidRPr="006F34CD" w:rsidR="00482046">
        <w:t xml:space="preserve">both </w:t>
      </w:r>
      <w:r w:rsidRPr="006F34CD" w:rsidR="00F665BB">
        <w:t>the German publisher of the Jehovah</w:t>
      </w:r>
      <w:r w:rsidRPr="006F34CD" w:rsidR="006F34CD">
        <w:t>’</w:t>
      </w:r>
      <w:r w:rsidRPr="006F34CD" w:rsidR="00F665BB">
        <w:t>s Witnesses</w:t>
      </w:r>
      <w:r w:rsidRPr="006F34CD" w:rsidR="006F34CD">
        <w:t>’</w:t>
      </w:r>
      <w:r w:rsidRPr="006F34CD" w:rsidR="00F665BB">
        <w:t xml:space="preserve"> magazines and the Administrative Centre from distributing them in Russian </w:t>
      </w:r>
      <w:r w:rsidRPr="006F34CD" w:rsidR="004925BB">
        <w:t>territory</w:t>
      </w:r>
      <w:r w:rsidRPr="006F34CD" w:rsidR="001F771D">
        <w:t xml:space="preserve"> and exposed individual applicants to administrative sanctions for doing so</w:t>
      </w:r>
      <w:r w:rsidRPr="006F34CD" w:rsidR="00F665BB">
        <w:t>.</w:t>
      </w:r>
      <w:r w:rsidRPr="006F34CD" w:rsidR="0063135F">
        <w:t xml:space="preserve"> Accordingly, it amounted to an interference with their freedom to impart information</w:t>
      </w:r>
      <w:r w:rsidRPr="006F34CD" w:rsidR="00F2683A">
        <w:t xml:space="preserve"> </w:t>
      </w:r>
      <w:r w:rsidRPr="006F34CD" w:rsidR="007415A2">
        <w:t xml:space="preserve">under </w:t>
      </w:r>
      <w:r w:rsidRPr="006F34CD" w:rsidR="003179D7">
        <w:t>Article 1</w:t>
      </w:r>
      <w:r w:rsidRPr="006F34CD" w:rsidR="007415A2">
        <w:t xml:space="preserve">0 of the Convention </w:t>
      </w:r>
      <w:r w:rsidRPr="006F34CD" w:rsidR="00F2683A">
        <w:t>which</w:t>
      </w:r>
      <w:r w:rsidRPr="006F34CD" w:rsidR="0063135F">
        <w:t xml:space="preserve"> must also be </w:t>
      </w:r>
      <w:r w:rsidRPr="006F34CD" w:rsidR="00C268D4">
        <w:t>examined</w:t>
      </w:r>
      <w:r w:rsidRPr="006F34CD" w:rsidR="0063135F">
        <w:t xml:space="preserve"> in the light of the requirements of </w:t>
      </w:r>
      <w:r w:rsidRPr="006F34CD" w:rsidR="001370AA">
        <w:t>Article 9</w:t>
      </w:r>
      <w:r w:rsidRPr="006F34CD" w:rsidR="0063135F">
        <w:t xml:space="preserve"> </w:t>
      </w:r>
      <w:r w:rsidRPr="006F34CD" w:rsidR="006B5C2F">
        <w:t xml:space="preserve">(see </w:t>
      </w:r>
      <w:r w:rsidRPr="006F34CD" w:rsidR="00D619E8">
        <w:rPr>
          <w:i/>
        </w:rPr>
        <w:t>Religious Community of Jehovah</w:t>
      </w:r>
      <w:r w:rsidRPr="006F34CD" w:rsidR="006F34CD">
        <w:rPr>
          <w:i/>
        </w:rPr>
        <w:t>’</w:t>
      </w:r>
      <w:r w:rsidRPr="006F34CD" w:rsidR="00D619E8">
        <w:rPr>
          <w:i/>
        </w:rPr>
        <w:t>s Witnesses</w:t>
      </w:r>
      <w:r w:rsidRPr="006F34CD" w:rsidR="00D619E8">
        <w:t>, cited above, §</w:t>
      </w:r>
      <w:r w:rsidRPr="006F34CD" w:rsidR="00BC0864">
        <w:t>§ 2</w:t>
      </w:r>
      <w:r w:rsidRPr="006F34CD" w:rsidR="00D619E8">
        <w:t>4-25</w:t>
      </w:r>
      <w:r w:rsidRPr="006F34CD" w:rsidR="006B5C2F">
        <w:t>)</w:t>
      </w:r>
      <w:r w:rsidRPr="006F34CD" w:rsidR="0063135F">
        <w:t>.</w:t>
      </w:r>
    </w:p>
    <w:p w:rsidRPr="006F34CD" w:rsidR="00514DC6" w:rsidP="006F34CD" w:rsidRDefault="00CB6108" w14:paraId="7A5B3C03" w14:textId="335B979D">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214</w:t>
      </w:r>
      <w:r>
        <w:rPr>
          <w:noProof/>
        </w:rPr>
        <w:fldChar w:fldCharType="end"/>
      </w:r>
      <w:r w:rsidRPr="006F34CD" w:rsidR="0063135F">
        <w:t>.</w:t>
      </w:r>
      <w:r w:rsidRPr="006F34CD" w:rsidR="001370AA">
        <w:t>  </w:t>
      </w:r>
      <w:r w:rsidRPr="006F34CD" w:rsidR="003E775A">
        <w:t xml:space="preserve">On the legal basis for the interference, </w:t>
      </w:r>
      <w:r w:rsidRPr="006F34CD" w:rsidR="00514DC6">
        <w:t xml:space="preserve">the Court reiterates that the expression “prescribed by law” not only refers to a statutory basis in domestic law, but also requires that the law be formulated with sufficient precision to enable the individual to foresee the consequences which a given action may entail. The law must afford a measure of legal protection against arbitrary interferences by public authorities with the rights safeguarded by the Convention, and indicate with sufficient clarity the scope of any discretion conferred on the competent authorities and the manner of its exercise (see </w:t>
      </w:r>
      <w:r w:rsidRPr="006F34CD" w:rsidR="00514DC6">
        <w:rPr>
          <w:i/>
        </w:rPr>
        <w:t>Hasan and Chaush</w:t>
      </w:r>
      <w:r w:rsidRPr="006F34CD" w:rsidR="00514DC6">
        <w:t xml:space="preserve">, cited above, </w:t>
      </w:r>
      <w:r w:rsidRPr="006F34CD" w:rsidR="00F50F6F">
        <w:t>§ 8</w:t>
      </w:r>
      <w:r w:rsidRPr="006F34CD" w:rsidR="00514DC6">
        <w:t>4).</w:t>
      </w:r>
      <w:r w:rsidRPr="006F34CD" w:rsidR="00EA0C0F">
        <w:t xml:space="preserve"> The scope of a restriction </w:t>
      </w:r>
      <w:r w:rsidRPr="006F34CD" w:rsidR="00836F75">
        <w:t>must</w:t>
      </w:r>
      <w:r w:rsidRPr="006F34CD" w:rsidR="00EA0C0F">
        <w:t xml:space="preserve"> not be extended to the detriment of the person concerned, for instance by analogy (see </w:t>
      </w:r>
      <w:r w:rsidRPr="006F34CD" w:rsidR="00EA0C0F">
        <w:rPr>
          <w:i/>
        </w:rPr>
        <w:t>Karademirci and Others</w:t>
      </w:r>
      <w:r w:rsidRPr="006F34CD" w:rsidR="001535E0">
        <w:rPr>
          <w:i/>
        </w:rPr>
        <w:t xml:space="preserve"> v. T</w:t>
      </w:r>
      <w:r w:rsidRPr="006F34CD" w:rsidR="00EA0C0F">
        <w:rPr>
          <w:i/>
        </w:rPr>
        <w:t>urkey</w:t>
      </w:r>
      <w:r w:rsidRPr="006F34CD" w:rsidR="00EA0C0F">
        <w:t>, nos.</w:t>
      </w:r>
      <w:r w:rsidRPr="006F34CD" w:rsidR="00053A20">
        <w:t> </w:t>
      </w:r>
      <w:r w:rsidRPr="006F34CD" w:rsidR="00EA0C0F">
        <w:t>37096/97 and 37101/97, § 40, ECHR 2005</w:t>
      </w:r>
      <w:r w:rsidRPr="006F34CD" w:rsidR="00EA0C0F">
        <w:noBreakHyphen/>
        <w:t>I).</w:t>
      </w:r>
    </w:p>
    <w:p w:rsidRPr="006F34CD" w:rsidR="005B1B2F" w:rsidP="006F34CD" w:rsidRDefault="00CB6108" w14:paraId="191A2CF0" w14:textId="5E3ADF6F">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215</w:t>
      </w:r>
      <w:r>
        <w:rPr>
          <w:noProof/>
        </w:rPr>
        <w:fldChar w:fldCharType="end"/>
      </w:r>
      <w:r w:rsidRPr="006F34CD" w:rsidR="009A468E">
        <w:t>.  </w:t>
      </w:r>
      <w:r w:rsidRPr="006F34CD" w:rsidR="009A54C2">
        <w:t>In the instant case,</w:t>
      </w:r>
      <w:r w:rsidRPr="006F34CD" w:rsidR="009A468E">
        <w:t xml:space="preserve"> </w:t>
      </w:r>
      <w:r w:rsidRPr="006F34CD" w:rsidR="004C071B">
        <w:t>t</w:t>
      </w:r>
      <w:r w:rsidRPr="006F34CD" w:rsidR="009A468E">
        <w:t xml:space="preserve">he domestic courts at all levels of jurisdiction </w:t>
      </w:r>
      <w:r w:rsidRPr="006F34CD" w:rsidR="00D87983">
        <w:t>recognised</w:t>
      </w:r>
      <w:r w:rsidRPr="006F34CD" w:rsidR="009A468E">
        <w:t xml:space="preserve"> that Russian law did not </w:t>
      </w:r>
      <w:r w:rsidRPr="006F34CD" w:rsidR="00D87983">
        <w:t>specify the</w:t>
      </w:r>
      <w:r w:rsidRPr="006F34CD" w:rsidR="009A468E">
        <w:t xml:space="preserve"> conditions </w:t>
      </w:r>
      <w:r w:rsidRPr="006F34CD" w:rsidR="00D87983">
        <w:t>under</w:t>
      </w:r>
      <w:r w:rsidRPr="006F34CD" w:rsidR="009A468E">
        <w:t xml:space="preserve"> which a </w:t>
      </w:r>
      <w:r w:rsidRPr="006F34CD" w:rsidR="004C071B">
        <w:t xml:space="preserve">permit to distribute foreign printed periodicals </w:t>
      </w:r>
      <w:r w:rsidRPr="006F34CD" w:rsidR="009A468E">
        <w:t xml:space="preserve">could be </w:t>
      </w:r>
      <w:r w:rsidRPr="006F34CD" w:rsidR="00D87983">
        <w:t>withdrawn</w:t>
      </w:r>
      <w:r w:rsidRPr="006F34CD" w:rsidR="009A468E">
        <w:t xml:space="preserve"> (see paragraphs </w:t>
      </w:r>
      <w:r w:rsidRPr="006F34CD" w:rsidR="009A468E">
        <w:fldChar w:fldCharType="begin"/>
      </w:r>
      <w:r w:rsidRPr="006F34CD" w:rsidR="006E5193">
        <w:instrText xml:space="preserve">REF paragraph00068 \h \* CharFormat </w:instrText>
      </w:r>
      <w:r w:rsidRPr="006F34CD" w:rsidR="009A468E">
        <w:fldChar w:fldCharType="separate"/>
      </w:r>
      <w:r w:rsidRPr="006F34CD" w:rsidR="006F34CD">
        <w:t>68</w:t>
      </w:r>
      <w:r w:rsidRPr="006F34CD" w:rsidR="009A468E">
        <w:fldChar w:fldCharType="end"/>
      </w:r>
      <w:r w:rsidRPr="006F34CD" w:rsidR="009A468E">
        <w:t xml:space="preserve">, </w:t>
      </w:r>
      <w:r w:rsidRPr="006F34CD" w:rsidR="009A468E">
        <w:fldChar w:fldCharType="begin"/>
      </w:r>
      <w:r w:rsidRPr="006F34CD" w:rsidR="006E5193">
        <w:instrText xml:space="preserve">REF paragraph00069 \h \* CharFormat </w:instrText>
      </w:r>
      <w:r w:rsidRPr="006F34CD" w:rsidR="009A468E">
        <w:fldChar w:fldCharType="separate"/>
      </w:r>
      <w:r w:rsidRPr="006F34CD" w:rsidR="006F34CD">
        <w:t>69</w:t>
      </w:r>
      <w:r w:rsidRPr="006F34CD" w:rsidR="009A468E">
        <w:fldChar w:fldCharType="end"/>
      </w:r>
      <w:r w:rsidRPr="006F34CD" w:rsidR="009A468E">
        <w:t xml:space="preserve"> and </w:t>
      </w:r>
      <w:r w:rsidRPr="006F34CD" w:rsidR="009A468E">
        <w:fldChar w:fldCharType="begin"/>
      </w:r>
      <w:r w:rsidRPr="006F34CD" w:rsidR="006E5193">
        <w:instrText xml:space="preserve">REF paragraph00070 \h \* CharFormat </w:instrText>
      </w:r>
      <w:r w:rsidRPr="006F34CD" w:rsidR="009A468E">
        <w:fldChar w:fldCharType="separate"/>
      </w:r>
      <w:r w:rsidRPr="006F34CD" w:rsidR="006F34CD">
        <w:t>70</w:t>
      </w:r>
      <w:r w:rsidRPr="006F34CD" w:rsidR="009A468E">
        <w:fldChar w:fldCharType="end"/>
      </w:r>
      <w:r w:rsidRPr="006F34CD" w:rsidR="009A468E">
        <w:t xml:space="preserve"> above). The reference to </w:t>
      </w:r>
      <w:r w:rsidRPr="006F34CD" w:rsidR="00F50F6F">
        <w:t>section 3</w:t>
      </w:r>
      <w:r w:rsidRPr="006F34CD" w:rsidR="009A468E">
        <w:t>2 of the Mass Media Act</w:t>
      </w:r>
      <w:r w:rsidRPr="006F34CD" w:rsidR="00D87983">
        <w:t xml:space="preserve"> </w:t>
      </w:r>
      <w:r w:rsidRPr="006F34CD" w:rsidR="001E0E28">
        <w:t xml:space="preserve">was not part of the original decision to revoke the permit and </w:t>
      </w:r>
      <w:r w:rsidRPr="006F34CD" w:rsidR="009A468E">
        <w:t xml:space="preserve">appeared </w:t>
      </w:r>
      <w:r w:rsidRPr="006F34CD" w:rsidR="00C60557">
        <w:t xml:space="preserve">for a first time </w:t>
      </w:r>
      <w:r w:rsidRPr="006F34CD" w:rsidR="009A468E">
        <w:t xml:space="preserve">in a judicial decision </w:t>
      </w:r>
      <w:r w:rsidRPr="006F34CD" w:rsidR="00D87983">
        <w:t>taken</w:t>
      </w:r>
      <w:r w:rsidRPr="006F34CD" w:rsidR="009A468E">
        <w:t xml:space="preserve"> six months after that provision had been repealed (see paragraphs </w:t>
      </w:r>
      <w:r w:rsidRPr="006F34CD" w:rsidR="009A468E">
        <w:fldChar w:fldCharType="begin"/>
      </w:r>
      <w:r w:rsidRPr="006F34CD" w:rsidR="006E5193">
        <w:instrText xml:space="preserve">REF paragraph00071 \h \* CharFormat </w:instrText>
      </w:r>
      <w:r w:rsidRPr="006F34CD" w:rsidR="009A468E">
        <w:fldChar w:fldCharType="separate"/>
      </w:r>
      <w:r w:rsidRPr="006F34CD" w:rsidR="006F34CD">
        <w:t>71</w:t>
      </w:r>
      <w:r w:rsidRPr="006F34CD" w:rsidR="009A468E">
        <w:fldChar w:fldCharType="end"/>
      </w:r>
      <w:r w:rsidRPr="006F34CD" w:rsidR="009A468E">
        <w:t xml:space="preserve"> and </w:t>
      </w:r>
      <w:r w:rsidRPr="006F34CD" w:rsidR="009A468E">
        <w:fldChar w:fldCharType="begin"/>
      </w:r>
      <w:r w:rsidRPr="006F34CD" w:rsidR="006E5193">
        <w:instrText xml:space="preserve">REF paragraph00121 \h \* CharFormat </w:instrText>
      </w:r>
      <w:r w:rsidRPr="006F34CD" w:rsidR="009A468E">
        <w:fldChar w:fldCharType="separate"/>
      </w:r>
      <w:r w:rsidRPr="006F34CD" w:rsidR="006F34CD">
        <w:t>121</w:t>
      </w:r>
      <w:r w:rsidRPr="006F34CD" w:rsidR="009A468E">
        <w:fldChar w:fldCharType="end"/>
      </w:r>
      <w:r w:rsidRPr="006F34CD" w:rsidR="009A468E">
        <w:t xml:space="preserve"> above). </w:t>
      </w:r>
      <w:r w:rsidRPr="006F34CD" w:rsidR="009A54C2">
        <w:t xml:space="preserve">In any event, that provision </w:t>
      </w:r>
      <w:r w:rsidRPr="006F34CD" w:rsidR="00D87983">
        <w:t>set out</w:t>
      </w:r>
      <w:r w:rsidRPr="006F34CD" w:rsidR="009A54C2">
        <w:t xml:space="preserve"> the conditions for revoking broadcasting licence</w:t>
      </w:r>
      <w:r w:rsidRPr="006F34CD" w:rsidR="00D87983">
        <w:t xml:space="preserve">s </w:t>
      </w:r>
      <w:r w:rsidRPr="006F34CD" w:rsidR="004A6F76">
        <w:t xml:space="preserve">which were </w:t>
      </w:r>
      <w:r w:rsidRPr="006F34CD" w:rsidR="00D87983">
        <w:t>granted and regulated by their own set of norms.</w:t>
      </w:r>
      <w:r w:rsidRPr="006F34CD" w:rsidR="009A54C2">
        <w:t xml:space="preserve"> The court did not explain why that </w:t>
      </w:r>
      <w:r w:rsidRPr="006F34CD" w:rsidR="00C60557">
        <w:t xml:space="preserve">particular </w:t>
      </w:r>
      <w:r w:rsidRPr="006F34CD" w:rsidR="009A54C2">
        <w:t xml:space="preserve">provision </w:t>
      </w:r>
      <w:r w:rsidRPr="006F34CD" w:rsidR="00C60557">
        <w:t>and not another</w:t>
      </w:r>
      <w:r w:rsidRPr="006F34CD" w:rsidR="009A54C2">
        <w:t xml:space="preserve"> </w:t>
      </w:r>
      <w:r w:rsidRPr="006F34CD" w:rsidR="00C60557">
        <w:t>should</w:t>
      </w:r>
      <w:r w:rsidRPr="006F34CD" w:rsidR="009A54C2">
        <w:t xml:space="preserve"> be applied “by analogy”, </w:t>
      </w:r>
      <w:r w:rsidRPr="006F34CD" w:rsidR="00C60557">
        <w:t>did not refer</w:t>
      </w:r>
      <w:r w:rsidRPr="006F34CD" w:rsidR="009A54C2">
        <w:t xml:space="preserve"> to any </w:t>
      </w:r>
      <w:r w:rsidRPr="006F34CD" w:rsidR="00C60557">
        <w:t>jurisprudence</w:t>
      </w:r>
      <w:r w:rsidRPr="006F34CD" w:rsidR="009A54C2">
        <w:t xml:space="preserve"> in which such </w:t>
      </w:r>
      <w:r w:rsidRPr="006F34CD" w:rsidR="00C60557">
        <w:t xml:space="preserve">an </w:t>
      </w:r>
      <w:r w:rsidRPr="006F34CD" w:rsidR="009A54C2">
        <w:t xml:space="preserve">application “by analogy” </w:t>
      </w:r>
      <w:r w:rsidRPr="006F34CD" w:rsidR="0065571A">
        <w:t>had been previously</w:t>
      </w:r>
      <w:r w:rsidRPr="006F34CD" w:rsidR="009A54C2">
        <w:t xml:space="preserve"> made </w:t>
      </w:r>
      <w:r w:rsidRPr="006F34CD" w:rsidR="00C60557">
        <w:t>and did not</w:t>
      </w:r>
      <w:r w:rsidRPr="006F34CD" w:rsidR="009A54C2">
        <w:t xml:space="preserve"> indicate which of</w:t>
      </w:r>
      <w:r w:rsidRPr="006F34CD" w:rsidR="00C60557">
        <w:t xml:space="preserve"> the</w:t>
      </w:r>
      <w:r w:rsidRPr="006F34CD" w:rsidR="009A54C2">
        <w:t xml:space="preserve"> three conditions </w:t>
      </w:r>
      <w:r w:rsidRPr="006F34CD" w:rsidR="0065571A">
        <w:t xml:space="preserve">set out in that provision </w:t>
      </w:r>
      <w:r w:rsidRPr="006F34CD" w:rsidR="009A54C2">
        <w:t xml:space="preserve">had not been </w:t>
      </w:r>
      <w:r w:rsidRPr="006F34CD" w:rsidR="00C60557">
        <w:t>met</w:t>
      </w:r>
      <w:r w:rsidRPr="006F34CD" w:rsidR="009A54C2">
        <w:t>. In these circumstances, the Court finds that the interference did not have a clear and foreseeable legal basis.</w:t>
      </w:r>
    </w:p>
    <w:bookmarkStart w:name="paragraph00216" w:id="191"/>
    <w:p w:rsidRPr="006F34CD" w:rsidR="001E754B" w:rsidP="006F34CD" w:rsidRDefault="00C971F2" w14:paraId="1C3AB1C1" w14:textId="22D90E08">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216</w:t>
      </w:r>
      <w:r w:rsidRPr="006F34CD">
        <w:rPr>
          <w:noProof/>
        </w:rPr>
        <w:fldChar w:fldCharType="end"/>
      </w:r>
      <w:bookmarkEnd w:id="191"/>
      <w:r w:rsidRPr="006F34CD" w:rsidR="005B1B2F">
        <w:t>.</w:t>
      </w:r>
      <w:r w:rsidRPr="006F34CD" w:rsidR="001370AA">
        <w:t>  </w:t>
      </w:r>
      <w:r w:rsidRPr="006F34CD" w:rsidR="005B1B2F">
        <w:t xml:space="preserve">The Court </w:t>
      </w:r>
      <w:r w:rsidRPr="006F34CD" w:rsidR="004C071B">
        <w:t xml:space="preserve">also considers that, in addition to lacking a clear and foreseeable legal basis, the interference was not “necessary in a democratic society”. The decision to withdraw the permit had not been preceded with any advance notice or warning to the applicants, depriving them of the opportunity to put right the alleged violation (see </w:t>
      </w:r>
      <w:r w:rsidRPr="006F34CD" w:rsidR="004C071B">
        <w:rPr>
          <w:i/>
        </w:rPr>
        <w:t>Biblical Centre of the Chuvash Republic</w:t>
      </w:r>
      <w:r w:rsidRPr="006F34CD" w:rsidR="004C071B">
        <w:t xml:space="preserve">, cited above, </w:t>
      </w:r>
      <w:r w:rsidRPr="006F34CD" w:rsidR="00F50F6F">
        <w:t>§ 5</w:t>
      </w:r>
      <w:r w:rsidRPr="006F34CD" w:rsidR="004C071B">
        <w:t xml:space="preserve">7). The Court </w:t>
      </w:r>
      <w:r w:rsidRPr="006F34CD" w:rsidR="00401053">
        <w:t xml:space="preserve">also concurs in the assessment </w:t>
      </w:r>
      <w:r w:rsidRPr="006F34CD" w:rsidR="004A6F76">
        <w:t>made by</w:t>
      </w:r>
      <w:r w:rsidRPr="006F34CD" w:rsidR="00401053">
        <w:t xml:space="preserve"> the Moscow City Commercial Court that the measure was </w:t>
      </w:r>
      <w:r w:rsidRPr="006F34CD" w:rsidR="004C071B">
        <w:t>excessively broad in its effects</w:t>
      </w:r>
      <w:r w:rsidRPr="006F34CD" w:rsidR="00401053">
        <w:t xml:space="preserve"> in that it affected the distribution of </w:t>
      </w:r>
      <w:r w:rsidRPr="006F34CD" w:rsidR="007132EA">
        <w:t>any and all issues of the</w:t>
      </w:r>
      <w:r w:rsidRPr="006F34CD" w:rsidR="00401053">
        <w:t xml:space="preserve"> magazines, of which only certain issues were declared extremist (see paragraph </w:t>
      </w:r>
      <w:r w:rsidRPr="006F34CD" w:rsidR="00401053">
        <w:fldChar w:fldCharType="begin"/>
      </w:r>
      <w:r w:rsidRPr="006F34CD" w:rsidR="006E5193">
        <w:instrText xml:space="preserve">REF paragraph00068 \h \* CharFormat </w:instrText>
      </w:r>
      <w:r w:rsidRPr="006F34CD" w:rsidR="00401053">
        <w:fldChar w:fldCharType="separate"/>
      </w:r>
      <w:r w:rsidRPr="006F34CD" w:rsidR="006F34CD">
        <w:t>68</w:t>
      </w:r>
      <w:r w:rsidRPr="006F34CD" w:rsidR="00401053">
        <w:fldChar w:fldCharType="end"/>
      </w:r>
      <w:r w:rsidRPr="006F34CD" w:rsidR="00401053">
        <w:t xml:space="preserve"> above). </w:t>
      </w:r>
      <w:r w:rsidRPr="006F34CD" w:rsidR="004A6F76">
        <w:t>After t</w:t>
      </w:r>
      <w:r w:rsidRPr="006F34CD" w:rsidR="00EE36A2">
        <w:t>h</w:t>
      </w:r>
      <w:r w:rsidRPr="006F34CD" w:rsidR="004A6F76">
        <w:t>e Moscow City Commercial Court</w:t>
      </w:r>
      <w:r w:rsidRPr="006F34CD" w:rsidR="006F34CD">
        <w:t>’</w:t>
      </w:r>
      <w:r w:rsidRPr="006F34CD" w:rsidR="004A6F76">
        <w:t>s</w:t>
      </w:r>
      <w:r w:rsidRPr="006F34CD" w:rsidR="00EE36A2">
        <w:t xml:space="preserve"> decision </w:t>
      </w:r>
      <w:r w:rsidRPr="006F34CD" w:rsidR="004A6F76">
        <w:t xml:space="preserve">had been </w:t>
      </w:r>
      <w:r w:rsidRPr="006F34CD" w:rsidR="00EE36A2">
        <w:t>overturned on appeal</w:t>
      </w:r>
      <w:r w:rsidRPr="006F34CD" w:rsidR="004A6F76">
        <w:t xml:space="preserve">, </w:t>
      </w:r>
      <w:r w:rsidRPr="006F34CD" w:rsidR="00EE36A2">
        <w:t xml:space="preserve">no assessment of the proportionality </w:t>
      </w:r>
      <w:r w:rsidRPr="006F34CD" w:rsidR="004C071B">
        <w:t xml:space="preserve">of the measure was </w:t>
      </w:r>
      <w:r w:rsidRPr="006F34CD" w:rsidR="004A6F76">
        <w:t xml:space="preserve">conducted </w:t>
      </w:r>
      <w:r w:rsidRPr="006F34CD" w:rsidR="00EE36A2">
        <w:t>in the subsequent proceedings.</w:t>
      </w:r>
    </w:p>
    <w:p w:rsidRPr="006F34CD" w:rsidR="00587DCF" w:rsidP="006F34CD" w:rsidRDefault="00CB6108" w14:paraId="6E3A3D8B" w14:textId="10470829">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217</w:t>
      </w:r>
      <w:r>
        <w:rPr>
          <w:noProof/>
        </w:rPr>
        <w:fldChar w:fldCharType="end"/>
      </w:r>
      <w:r w:rsidRPr="006F34CD" w:rsidR="004C071B">
        <w:t>.  </w:t>
      </w:r>
      <w:r w:rsidRPr="006F34CD" w:rsidR="00E44BEA">
        <w:t>As regards the individual applicants prosecuted for “distributing” unregistered media, the Court notes that t</w:t>
      </w:r>
      <w:r w:rsidRPr="006F34CD" w:rsidR="00323BD7">
        <w:t xml:space="preserve">he proceedings against </w:t>
      </w:r>
      <w:r w:rsidRPr="006F34CD" w:rsidR="00E44BEA">
        <w:t xml:space="preserve">them </w:t>
      </w:r>
      <w:r w:rsidRPr="006F34CD" w:rsidR="00323BD7">
        <w:t xml:space="preserve">were brought at a time when </w:t>
      </w:r>
      <w:r w:rsidRPr="006F34CD" w:rsidR="00E44BEA">
        <w:t>the judicial</w:t>
      </w:r>
      <w:r w:rsidRPr="006F34CD" w:rsidR="00323BD7">
        <w:t xml:space="preserve"> challenge to the withdrawal decision was still being considered. </w:t>
      </w:r>
      <w:r w:rsidRPr="006F34CD" w:rsidR="00E44BEA">
        <w:t xml:space="preserve">It does not appear that the applicants were aware that they were breaking the law by continuing to use the magazines in their religious ministry or that they had in fact engaged in the “distribution” </w:t>
      </w:r>
      <w:r w:rsidRPr="006F34CD" w:rsidR="00956504">
        <w:t xml:space="preserve">in so far as </w:t>
      </w:r>
      <w:r w:rsidRPr="006F34CD" w:rsidR="00E44BEA">
        <w:t>the publications had been obtained by the authorities on their own initiative including th</w:t>
      </w:r>
      <w:r w:rsidRPr="006F34CD" w:rsidR="000E1E22">
        <w:t>r</w:t>
      </w:r>
      <w:r w:rsidRPr="006F34CD" w:rsidR="00E44BEA">
        <w:t xml:space="preserve">ough the use of special police measures (see paragraph </w:t>
      </w:r>
      <w:r w:rsidRPr="006F34CD" w:rsidR="00E44BEA">
        <w:fldChar w:fldCharType="begin"/>
      </w:r>
      <w:r w:rsidRPr="006F34CD" w:rsidR="006E5193">
        <w:instrText xml:space="preserve">REF paragraph00072 \h \* CharFormat </w:instrText>
      </w:r>
      <w:r w:rsidRPr="006F34CD" w:rsidR="00E44BEA">
        <w:fldChar w:fldCharType="separate"/>
      </w:r>
      <w:r w:rsidRPr="006F34CD" w:rsidR="006F34CD">
        <w:t>72</w:t>
      </w:r>
      <w:r w:rsidRPr="006F34CD" w:rsidR="00E44BEA">
        <w:fldChar w:fldCharType="end"/>
      </w:r>
      <w:r w:rsidRPr="006F34CD" w:rsidR="00E44BEA">
        <w:t xml:space="preserve"> above). </w:t>
      </w:r>
      <w:r w:rsidRPr="006F34CD" w:rsidR="00323BD7">
        <w:t xml:space="preserve">By seeking to sanction the applicants without waiting for the outcome of the proceedings, the domestic authorities revealed their determination to </w:t>
      </w:r>
      <w:r w:rsidRPr="006F34CD" w:rsidR="00956504">
        <w:t>impose</w:t>
      </w:r>
      <w:r w:rsidRPr="006F34CD" w:rsidR="00323BD7">
        <w:t xml:space="preserve"> undue </w:t>
      </w:r>
      <w:r w:rsidRPr="006F34CD" w:rsidR="00E44BEA">
        <w:t>burden</w:t>
      </w:r>
      <w:r w:rsidRPr="006F34CD" w:rsidR="00323BD7">
        <w:t xml:space="preserve"> on the exercise of the right to freedom of religion by </w:t>
      </w:r>
      <w:r w:rsidRPr="006F34CD" w:rsidR="00E44BEA">
        <w:t xml:space="preserve">individual </w:t>
      </w:r>
      <w:r w:rsidRPr="006F34CD" w:rsidR="00323BD7">
        <w:t>Jehovah</w:t>
      </w:r>
      <w:r w:rsidRPr="006F34CD" w:rsidR="006F34CD">
        <w:t>’</w:t>
      </w:r>
      <w:r w:rsidRPr="006F34CD" w:rsidR="00323BD7">
        <w:t xml:space="preserve">s Witnesses (compare </w:t>
      </w:r>
      <w:r w:rsidRPr="006F34CD" w:rsidR="00D619E8">
        <w:rPr>
          <w:i/>
        </w:rPr>
        <w:t>Biblical Centre of the Chuvash Republic</w:t>
      </w:r>
      <w:r w:rsidRPr="006F34CD" w:rsidR="00D619E8">
        <w:t xml:space="preserve">, cited above, </w:t>
      </w:r>
      <w:r w:rsidRPr="006F34CD" w:rsidR="00BC0864">
        <w:t>§ 5</w:t>
      </w:r>
      <w:r w:rsidRPr="006F34CD" w:rsidR="00D619E8">
        <w:t>7</w:t>
      </w:r>
      <w:r w:rsidRPr="006F34CD" w:rsidR="00E44BEA">
        <w:t xml:space="preserve">). Accordingly, the interference with their rights was </w:t>
      </w:r>
      <w:r w:rsidRPr="006F34CD" w:rsidR="004C071B">
        <w:t>not “necessary in a democratic society”</w:t>
      </w:r>
      <w:r w:rsidRPr="006F34CD" w:rsidR="00E44BEA">
        <w:t>.</w:t>
      </w:r>
    </w:p>
    <w:bookmarkStart w:name="paragraph00218" w:id="192"/>
    <w:p w:rsidRPr="006F34CD" w:rsidR="005B1B2F" w:rsidP="006F34CD" w:rsidRDefault="00597D02" w14:paraId="3878222B" w14:textId="0375476F">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218</w:t>
      </w:r>
      <w:r w:rsidRPr="006F34CD">
        <w:rPr>
          <w:noProof/>
        </w:rPr>
        <w:fldChar w:fldCharType="end"/>
      </w:r>
      <w:bookmarkEnd w:id="192"/>
      <w:r w:rsidRPr="006F34CD" w:rsidR="001F771D">
        <w:t>.  T</w:t>
      </w:r>
      <w:r w:rsidRPr="006F34CD" w:rsidR="004C071B">
        <w:t xml:space="preserve">here has been </w:t>
      </w:r>
      <w:bookmarkStart w:name="conclusionIV" w:id="193"/>
      <w:r w:rsidRPr="006F34CD" w:rsidR="004C071B">
        <w:t>a violation of Article 10 of the Convention, read in the light of Article 9, on account of the withdrawal of the distribution permit</w:t>
      </w:r>
      <w:r w:rsidRPr="006F34CD" w:rsidR="001F771D">
        <w:t xml:space="preserve"> and </w:t>
      </w:r>
      <w:r w:rsidRPr="006F34CD" w:rsidR="004475D6">
        <w:t xml:space="preserve">the </w:t>
      </w:r>
      <w:r w:rsidRPr="006F34CD" w:rsidR="001F771D">
        <w:t>prosecution of the applicants for distributing unregistered media</w:t>
      </w:r>
      <w:bookmarkEnd w:id="193"/>
      <w:r w:rsidRPr="006F34CD" w:rsidR="004C071B">
        <w:t>.</w:t>
      </w:r>
    </w:p>
    <w:p w:rsidRPr="006F34CD" w:rsidR="00563DE6" w:rsidP="006F34CD" w:rsidRDefault="006838B5" w14:paraId="73C3AAED" w14:textId="4D89E628">
      <w:pPr>
        <w:pStyle w:val="JuHIRoman"/>
      </w:pPr>
      <w:bookmarkStart w:name="_Toc97301969" w:id="194"/>
      <w:r w:rsidRPr="006F34CD">
        <w:rPr>
          <w:caps w:val="0"/>
        </w:rPr>
        <w:t>ALLEGED VIOLATION OF ARTICLE 10 OF THE CONVENTION, READ IN THE LIGHT OF ARTICLE 9, ON ACCOUNT OF DECLARING THE JEHOVAH</w:t>
      </w:r>
      <w:r w:rsidRPr="006F34CD" w:rsidR="006F34CD">
        <w:rPr>
          <w:caps w:val="0"/>
        </w:rPr>
        <w:t>’</w:t>
      </w:r>
      <w:r w:rsidRPr="006F34CD">
        <w:rPr>
          <w:caps w:val="0"/>
        </w:rPr>
        <w:t>S WITNESSES</w:t>
      </w:r>
      <w:r w:rsidRPr="006F34CD" w:rsidR="006F34CD">
        <w:rPr>
          <w:caps w:val="0"/>
        </w:rPr>
        <w:t>’</w:t>
      </w:r>
      <w:r w:rsidRPr="006F34CD">
        <w:rPr>
          <w:caps w:val="0"/>
        </w:rPr>
        <w:t xml:space="preserve"> WEBSITE “EXTREMIST”</w:t>
      </w:r>
      <w:bookmarkEnd w:id="194"/>
    </w:p>
    <w:p w:rsidRPr="006F34CD" w:rsidR="001E754B" w:rsidP="006F34CD" w:rsidRDefault="00563DE6" w14:paraId="34814819" w14:textId="6B9A8485">
      <w:pPr>
        <w:pStyle w:val="JuPara"/>
      </w:pPr>
      <w:r w:rsidRPr="006F34CD">
        <w:fldChar w:fldCharType="begin"/>
      </w:r>
      <w:r w:rsidRPr="006F34CD">
        <w:instrText xml:space="preserve"> SEQ level0 \*arabic </w:instrText>
      </w:r>
      <w:r w:rsidRPr="006F34CD">
        <w:fldChar w:fldCharType="separate"/>
      </w:r>
      <w:r w:rsidRPr="006F34CD" w:rsidR="006F34CD">
        <w:rPr>
          <w:noProof/>
        </w:rPr>
        <w:t>219</w:t>
      </w:r>
      <w:r w:rsidRPr="006F34CD">
        <w:fldChar w:fldCharType="end"/>
      </w:r>
      <w:r w:rsidRPr="006F34CD">
        <w:t>.</w:t>
      </w:r>
      <w:r w:rsidRPr="006F34CD" w:rsidR="001370AA">
        <w:t>  </w:t>
      </w:r>
      <w:r w:rsidRPr="006F34CD">
        <w:t>The applicants</w:t>
      </w:r>
      <w:r w:rsidRPr="006F34CD" w:rsidR="00BF2118">
        <w:t xml:space="preserve"> </w:t>
      </w:r>
      <w:r w:rsidRPr="006F34CD">
        <w:t xml:space="preserve">complained that the decision to </w:t>
      </w:r>
      <w:r w:rsidRPr="006F34CD" w:rsidR="00412DCF">
        <w:t>declare</w:t>
      </w:r>
      <w:r w:rsidRPr="006F34CD">
        <w:t xml:space="preserve"> the </w:t>
      </w:r>
      <w:r w:rsidRPr="006F34CD" w:rsidR="00401FBD">
        <w:t>Jehovah</w:t>
      </w:r>
      <w:r w:rsidRPr="006F34CD" w:rsidR="006F34CD">
        <w:t>’</w:t>
      </w:r>
      <w:r w:rsidRPr="006F34CD" w:rsidR="00401FBD">
        <w:t>s Witnesses</w:t>
      </w:r>
      <w:r w:rsidRPr="006F34CD" w:rsidR="006F34CD">
        <w:t>’</w:t>
      </w:r>
      <w:r w:rsidRPr="006F34CD" w:rsidR="00401FBD">
        <w:t xml:space="preserve"> </w:t>
      </w:r>
      <w:r w:rsidRPr="006F34CD">
        <w:t>international website</w:t>
      </w:r>
      <w:r w:rsidRPr="006F34CD" w:rsidR="00412DCF">
        <w:t xml:space="preserve"> “extremist”</w:t>
      </w:r>
      <w:r w:rsidRPr="006F34CD">
        <w:t xml:space="preserve"> </w:t>
      </w:r>
      <w:r w:rsidRPr="006F34CD" w:rsidR="00966A7B">
        <w:t xml:space="preserve">(see </w:t>
      </w:r>
      <w:r w:rsidRPr="006F34CD" w:rsidR="004F322A">
        <w:t xml:space="preserve">section </w:t>
      </w:r>
      <w:r w:rsidRPr="006F34CD" w:rsidR="00EC1D77">
        <w:fldChar w:fldCharType="begin"/>
      </w:r>
      <w:r w:rsidRPr="006F34CD" w:rsidR="00EC1D77">
        <w:instrText xml:space="preserve"> REF _Ref100326970 \n \h </w:instrText>
      </w:r>
      <w:r w:rsidRPr="006F34CD" w:rsidR="00EC1D77">
        <w:fldChar w:fldCharType="separate"/>
      </w:r>
      <w:r w:rsidRPr="006F34CD" w:rsidR="006F34CD">
        <w:t>G</w:t>
      </w:r>
      <w:r w:rsidRPr="006F34CD" w:rsidR="00EC1D77">
        <w:fldChar w:fldCharType="end"/>
      </w:r>
      <w:r w:rsidRPr="006F34CD" w:rsidR="00EC1D77">
        <w:t xml:space="preserve"> </w:t>
      </w:r>
      <w:r w:rsidRPr="006F34CD" w:rsidR="004F322A">
        <w:t>of the Facts</w:t>
      </w:r>
      <w:r w:rsidRPr="006F34CD" w:rsidR="00966A7B">
        <w:t xml:space="preserve">) </w:t>
      </w:r>
      <w:r w:rsidRPr="006F34CD">
        <w:t xml:space="preserve">had </w:t>
      </w:r>
      <w:r w:rsidRPr="006F34CD" w:rsidR="00F53B1A">
        <w:t>no</w:t>
      </w:r>
      <w:r w:rsidRPr="006F34CD" w:rsidR="00F27848">
        <w:t xml:space="preserve"> basis in Russian law and </w:t>
      </w:r>
      <w:r w:rsidRPr="006F34CD" w:rsidR="00F53B1A">
        <w:t>was not</w:t>
      </w:r>
      <w:r w:rsidRPr="006F34CD" w:rsidR="00F27848">
        <w:t xml:space="preserve"> necessary in a democratic society.</w:t>
      </w:r>
      <w:r w:rsidRPr="006F34CD" w:rsidR="001370AA">
        <w:t xml:space="preserve"> </w:t>
      </w:r>
      <w:r w:rsidRPr="006F34CD">
        <w:t xml:space="preserve">They relied </w:t>
      </w:r>
      <w:r w:rsidRPr="006F34CD" w:rsidR="004F322A">
        <w:t xml:space="preserve">in particular </w:t>
      </w:r>
      <w:r w:rsidRPr="006F34CD">
        <w:t xml:space="preserve">on </w:t>
      </w:r>
      <w:r w:rsidRPr="006F34CD" w:rsidR="001370AA">
        <w:t>Articles 9</w:t>
      </w:r>
      <w:r w:rsidRPr="006F34CD">
        <w:t xml:space="preserve"> and 10 of the Convention</w:t>
      </w:r>
      <w:r w:rsidRPr="006F34CD" w:rsidR="00503E22">
        <w:t xml:space="preserve"> which </w:t>
      </w:r>
      <w:r w:rsidRPr="006F34CD" w:rsidR="00EE46C4">
        <w:t>have been</w:t>
      </w:r>
      <w:r w:rsidRPr="006F34CD">
        <w:t xml:space="preserve"> cited above.</w:t>
      </w:r>
    </w:p>
    <w:p w:rsidRPr="006F34CD" w:rsidR="00E206CB" w:rsidP="006F34CD" w:rsidRDefault="00E206CB" w14:paraId="5EB7C69D" w14:textId="77777777">
      <w:pPr>
        <w:pStyle w:val="JuHA"/>
        <w:numPr>
          <w:ilvl w:val="2"/>
          <w:numId w:val="6"/>
        </w:numPr>
      </w:pPr>
      <w:bookmarkStart w:name="_Toc97301970" w:id="195"/>
      <w:r w:rsidRPr="006F34CD">
        <w:t>Admissibility</w:t>
      </w:r>
      <w:bookmarkEnd w:id="195"/>
    </w:p>
    <w:p w:rsidRPr="006F34CD" w:rsidR="00E206CB" w:rsidP="006F34CD" w:rsidRDefault="00E206CB" w14:paraId="4B4B6594" w14:textId="64AACFE6">
      <w:pPr>
        <w:pStyle w:val="JuPara"/>
      </w:pPr>
      <w:r w:rsidRPr="006F34CD">
        <w:fldChar w:fldCharType="begin"/>
      </w:r>
      <w:r w:rsidRPr="006F34CD">
        <w:instrText xml:space="preserve"> SEQ level0 \*arabic </w:instrText>
      </w:r>
      <w:r w:rsidRPr="006F34CD">
        <w:fldChar w:fldCharType="separate"/>
      </w:r>
      <w:r w:rsidRPr="006F34CD" w:rsidR="006F34CD">
        <w:rPr>
          <w:noProof/>
        </w:rPr>
        <w:t>220</w:t>
      </w:r>
      <w:r w:rsidRPr="006F34CD">
        <w:fldChar w:fldCharType="end"/>
      </w:r>
      <w:r w:rsidRPr="006F34CD">
        <w:t>.</w:t>
      </w:r>
      <w:r w:rsidRPr="006F34CD" w:rsidR="001370AA">
        <w:t>  </w:t>
      </w:r>
      <w:r w:rsidRPr="006F34CD">
        <w:t xml:space="preserve">The Court considers that this complaint is </w:t>
      </w:r>
      <w:r w:rsidRPr="006F34CD" w:rsidR="00F27848">
        <w:t>not manifestly ill</w:t>
      </w:r>
      <w:r w:rsidRPr="006F34CD" w:rsidR="00AC1B15">
        <w:noBreakHyphen/>
      </w:r>
      <w:r w:rsidRPr="006F34CD" w:rsidR="00F27848">
        <w:t xml:space="preserve">founded within the meaning of </w:t>
      </w:r>
      <w:r w:rsidRPr="006F34CD" w:rsidR="001370AA">
        <w:t>Article 3</w:t>
      </w:r>
      <w:r w:rsidRPr="006F34CD" w:rsidR="00F27848">
        <w:t>5</w:t>
      </w:r>
      <w:r w:rsidRPr="006F34CD" w:rsidR="001370AA">
        <w:t xml:space="preserve"> § 3 </w:t>
      </w:r>
      <w:r w:rsidRPr="006F34CD" w:rsidR="00F27848">
        <w:t>(a) of the Convention.</w:t>
      </w:r>
      <w:r w:rsidRPr="006F34CD" w:rsidR="001370AA">
        <w:t xml:space="preserve"> </w:t>
      </w:r>
      <w:r w:rsidRPr="006F34CD">
        <w:t xml:space="preserve">It further </w:t>
      </w:r>
      <w:r w:rsidRPr="006F34CD" w:rsidR="00F27848">
        <w:t>notes that it is not inadmissible on any other grounds.</w:t>
      </w:r>
      <w:r w:rsidRPr="006F34CD" w:rsidR="001370AA">
        <w:t xml:space="preserve"> </w:t>
      </w:r>
      <w:r w:rsidRPr="006F34CD">
        <w:t>It must therefore be declared admissible.</w:t>
      </w:r>
    </w:p>
    <w:p w:rsidRPr="006F34CD" w:rsidR="00563DE6" w:rsidP="006F34CD" w:rsidRDefault="003619AA" w14:paraId="2684B1DD" w14:textId="77777777">
      <w:pPr>
        <w:pStyle w:val="JuHA"/>
        <w:numPr>
          <w:ilvl w:val="2"/>
          <w:numId w:val="6"/>
        </w:numPr>
      </w:pPr>
      <w:bookmarkStart w:name="_Toc97301971" w:id="196"/>
      <w:r w:rsidRPr="006F34CD">
        <w:t>Merits</w:t>
      </w:r>
      <w:bookmarkEnd w:id="196"/>
    </w:p>
    <w:p w:rsidRPr="006F34CD" w:rsidR="00114C80" w:rsidP="006F34CD" w:rsidRDefault="00114C80" w14:paraId="4BA82F9F" w14:textId="77777777">
      <w:pPr>
        <w:pStyle w:val="JuH1"/>
      </w:pPr>
      <w:bookmarkStart w:name="_Toc97301972" w:id="197"/>
      <w:r w:rsidRPr="006F34CD">
        <w:t>Submissions by the parties</w:t>
      </w:r>
      <w:bookmarkEnd w:id="197"/>
    </w:p>
    <w:p w:rsidRPr="006F34CD" w:rsidR="001E754B" w:rsidP="006F34CD" w:rsidRDefault="003619AA" w14:paraId="0E37B36B" w14:textId="0B0DCBA4">
      <w:pPr>
        <w:pStyle w:val="JuPara"/>
      </w:pPr>
      <w:r w:rsidRPr="006F34CD">
        <w:fldChar w:fldCharType="begin"/>
      </w:r>
      <w:r w:rsidRPr="006F34CD">
        <w:instrText xml:space="preserve"> SEQ level0 \*arabic </w:instrText>
      </w:r>
      <w:r w:rsidRPr="006F34CD">
        <w:fldChar w:fldCharType="separate"/>
      </w:r>
      <w:r w:rsidRPr="006F34CD" w:rsidR="006F34CD">
        <w:rPr>
          <w:noProof/>
        </w:rPr>
        <w:t>221</w:t>
      </w:r>
      <w:r w:rsidRPr="006F34CD">
        <w:fldChar w:fldCharType="end"/>
      </w:r>
      <w:r w:rsidRPr="006F34CD">
        <w:t>.</w:t>
      </w:r>
      <w:r w:rsidRPr="006F34CD" w:rsidR="001370AA">
        <w:t>  </w:t>
      </w:r>
      <w:r w:rsidRPr="006F34CD">
        <w:t xml:space="preserve">The applicants </w:t>
      </w:r>
      <w:r w:rsidRPr="006F34CD" w:rsidR="00503E22">
        <w:t xml:space="preserve">submitted that </w:t>
      </w:r>
      <w:r w:rsidRPr="006F34CD" w:rsidR="00055281">
        <w:t xml:space="preserve">the material on jw.org was crucially important </w:t>
      </w:r>
      <w:r w:rsidRPr="006F34CD" w:rsidR="00A82C18">
        <w:t>to</w:t>
      </w:r>
      <w:r w:rsidRPr="006F34CD" w:rsidR="00055281">
        <w:t xml:space="preserve"> </w:t>
      </w:r>
      <w:r w:rsidRPr="006F34CD" w:rsidR="00A82C18">
        <w:t>Jehovah</w:t>
      </w:r>
      <w:r w:rsidRPr="006F34CD" w:rsidR="006F34CD">
        <w:t>’</w:t>
      </w:r>
      <w:r w:rsidRPr="006F34CD" w:rsidR="00A82C18">
        <w:t>s Witnesses</w:t>
      </w:r>
      <w:r w:rsidRPr="006F34CD" w:rsidR="006F34CD">
        <w:t>’</w:t>
      </w:r>
      <w:r w:rsidRPr="006F34CD" w:rsidR="00055281">
        <w:t xml:space="preserve"> public ministry of and Bible study, </w:t>
      </w:r>
      <w:r w:rsidRPr="006F34CD" w:rsidR="00A82C18">
        <w:t>as</w:t>
      </w:r>
      <w:r w:rsidRPr="006F34CD" w:rsidR="00055281">
        <w:t xml:space="preserve"> religious publications and videos </w:t>
      </w:r>
      <w:r w:rsidRPr="006F34CD" w:rsidR="00A82C18">
        <w:t>were</w:t>
      </w:r>
      <w:r w:rsidRPr="006F34CD" w:rsidR="00055281">
        <w:t xml:space="preserve"> available in more than 900 spoken languages and also in many of the world</w:t>
      </w:r>
      <w:r w:rsidRPr="006F34CD" w:rsidR="006F34CD">
        <w:t>’</w:t>
      </w:r>
      <w:r w:rsidRPr="006F34CD" w:rsidR="00055281">
        <w:t xml:space="preserve">s sign languages. </w:t>
      </w:r>
      <w:r w:rsidRPr="006F34CD" w:rsidR="00A82C18">
        <w:t>The website</w:t>
      </w:r>
      <w:r w:rsidRPr="006F34CD" w:rsidR="00055281">
        <w:t xml:space="preserve"> was also accessible </w:t>
      </w:r>
      <w:r w:rsidRPr="006F34CD" w:rsidR="00A82C18">
        <w:t>to</w:t>
      </w:r>
      <w:r w:rsidRPr="006F34CD" w:rsidR="00055281">
        <w:t xml:space="preserve"> the visually impaired </w:t>
      </w:r>
      <w:r w:rsidRPr="006F34CD" w:rsidR="00A82C18">
        <w:t xml:space="preserve">believers </w:t>
      </w:r>
      <w:r w:rsidRPr="006F34CD" w:rsidR="00055281">
        <w:t xml:space="preserve">by being compatible with software that audibly reports cursor movements. </w:t>
      </w:r>
      <w:r w:rsidRPr="006F34CD" w:rsidR="00A82C18">
        <w:t>Blocking access to jw.org had deprived the individual applicants of a significant means of exercising their right to freedom to receive information and ideas and deprived applicant Watchtower New York of its right to impart information to individual Jehovah</w:t>
      </w:r>
      <w:r w:rsidRPr="006F34CD" w:rsidR="006F34CD">
        <w:t>’</w:t>
      </w:r>
      <w:r w:rsidRPr="006F34CD" w:rsidR="00A82C18">
        <w:t xml:space="preserve">s Witnesses and other interested persons in Russia. </w:t>
      </w:r>
      <w:r w:rsidRPr="006F34CD" w:rsidR="000C7D20">
        <w:t>T</w:t>
      </w:r>
      <w:r w:rsidRPr="006F34CD" w:rsidR="007D27F1">
        <w:t xml:space="preserve">he banning of the website as extremist </w:t>
      </w:r>
      <w:r w:rsidRPr="006F34CD" w:rsidR="000C7D20">
        <w:t xml:space="preserve">had also </w:t>
      </w:r>
      <w:r w:rsidRPr="006F34CD" w:rsidR="007D27F1">
        <w:t>exposed all Jehovah</w:t>
      </w:r>
      <w:r w:rsidRPr="006F34CD" w:rsidR="006F34CD">
        <w:t>’</w:t>
      </w:r>
      <w:r w:rsidRPr="006F34CD" w:rsidR="007D27F1">
        <w:t>s Witnesses in Russia to criminal sanctions for attempting to access it or encouraging others to do so. That interference had to be seen in the light of the Russian authorities</w:t>
      </w:r>
      <w:r w:rsidRPr="006F34CD" w:rsidR="006F34CD">
        <w:t>’</w:t>
      </w:r>
      <w:r w:rsidRPr="006F34CD" w:rsidR="007D27F1">
        <w:t xml:space="preserve"> simultaneous decision to prohibit all imports of Jehovah</w:t>
      </w:r>
      <w:r w:rsidRPr="006F34CD" w:rsidR="006F34CD">
        <w:t>’</w:t>
      </w:r>
      <w:r w:rsidRPr="006F34CD" w:rsidR="007D27F1">
        <w:t>s Witnesses</w:t>
      </w:r>
      <w:r w:rsidRPr="006F34CD" w:rsidR="006F34CD">
        <w:t>’</w:t>
      </w:r>
      <w:r w:rsidRPr="006F34CD" w:rsidR="007D27F1">
        <w:t xml:space="preserve"> literature and to seize </w:t>
      </w:r>
      <w:r w:rsidRPr="006F34CD" w:rsidR="000C7D20">
        <w:t xml:space="preserve">thousands of copies of the Bible and other literature. The interference was not “prescribed by law” because the applicants could not foresee that the entire website would be declared extremist due to the presence of three “extremist” publications, representing a miniscule fraction (0.07%) of the 3,900 religious items available on the site. Watchtower New York had not received a prior warning or notice of the impending ban. </w:t>
      </w:r>
      <w:r w:rsidRPr="006F34CD" w:rsidR="00CB2751">
        <w:t>The interference also did not pursue a legitimate aim because as soon as Watchtower New York had found out of the first-instance court</w:t>
      </w:r>
      <w:r w:rsidRPr="006F34CD" w:rsidR="006F34CD">
        <w:t>’</w:t>
      </w:r>
      <w:r w:rsidRPr="006F34CD" w:rsidR="00CB2751">
        <w:t xml:space="preserve">s decision it had blocked access to the three “extremist” publication from within Russia. That happened more than fourteen months before the Supreme Court had ruled to ban the entire website. </w:t>
      </w:r>
      <w:r w:rsidRPr="006F34CD" w:rsidR="00EC1536">
        <w:t xml:space="preserve">Lastly, the interference had not been necessary in a democratic society. The website did not contain “extremist material” and none of the publications had contained calls to violence, hatred or intolerance. </w:t>
      </w:r>
      <w:r w:rsidRPr="006F34CD" w:rsidR="0082343D">
        <w:t>In any event, declaring the entire website “extremist” was disproportionate</w:t>
      </w:r>
      <w:r w:rsidRPr="006F34CD" w:rsidR="00FE72DB">
        <w:t>. I</w:t>
      </w:r>
      <w:r w:rsidRPr="006F34CD" w:rsidR="0082343D">
        <w:t>f the authorities had a legitimate concern, they could have blocked access to the offending web pages only</w:t>
      </w:r>
      <w:r w:rsidRPr="006F34CD" w:rsidR="00FE72DB">
        <w:t>. This was done in many other cases: the Federal List of Extremist Materials included hundreds of “extremist” web pages from YouTube or social network websites which however had not been declared “extremist” in their entirety.</w:t>
      </w:r>
    </w:p>
    <w:p w:rsidRPr="006F34CD" w:rsidR="00563DE6" w:rsidP="006F34CD" w:rsidRDefault="00563DE6" w14:paraId="09EABC62" w14:textId="7F502F27">
      <w:pPr>
        <w:pStyle w:val="JuPara"/>
      </w:pPr>
      <w:r w:rsidRPr="006F34CD">
        <w:fldChar w:fldCharType="begin"/>
      </w:r>
      <w:r w:rsidRPr="006F34CD">
        <w:instrText xml:space="preserve"> SEQ level0 \*arabic </w:instrText>
      </w:r>
      <w:r w:rsidRPr="006F34CD">
        <w:fldChar w:fldCharType="separate"/>
      </w:r>
      <w:r w:rsidRPr="006F34CD" w:rsidR="006F34CD">
        <w:rPr>
          <w:noProof/>
        </w:rPr>
        <w:t>222</w:t>
      </w:r>
      <w:r w:rsidRPr="006F34CD">
        <w:fldChar w:fldCharType="end"/>
      </w:r>
      <w:r w:rsidRPr="006F34CD">
        <w:t>.</w:t>
      </w:r>
      <w:r w:rsidRPr="006F34CD" w:rsidR="001370AA">
        <w:t>  </w:t>
      </w:r>
      <w:r w:rsidRPr="006F34CD">
        <w:t xml:space="preserve">The Government reiterated that a number of publications which had been available on the website had been found to be extremist by the Rostov court. The fact that those publications were available for downloading from the website had been sufficient to restrict access to that website. Access to the blocked website could be restored if the offending information had been removed. However, </w:t>
      </w:r>
      <w:r w:rsidRPr="006F34CD" w:rsidR="00424374">
        <w:t>Watchtower New York</w:t>
      </w:r>
      <w:r w:rsidRPr="006F34CD">
        <w:t xml:space="preserve"> had </w:t>
      </w:r>
      <w:r w:rsidRPr="006F34CD" w:rsidR="00F27848">
        <w:t xml:space="preserve">not produced evidence that it had deleted such information and </w:t>
      </w:r>
      <w:r w:rsidRPr="006F34CD" w:rsidR="006E1C38">
        <w:t xml:space="preserve">had </w:t>
      </w:r>
      <w:r w:rsidRPr="006F34CD" w:rsidR="00F27848">
        <w:t>informed the telecom</w:t>
      </w:r>
      <w:r w:rsidRPr="006F34CD" w:rsidR="006E1C38">
        <w:t>s</w:t>
      </w:r>
      <w:r w:rsidRPr="006F34CD" w:rsidR="00F27848">
        <w:t xml:space="preserve"> regulator accordingly.</w:t>
      </w:r>
      <w:r w:rsidRPr="006F34CD" w:rsidR="001370AA">
        <w:t xml:space="preserve"> </w:t>
      </w:r>
      <w:r w:rsidRPr="006F34CD" w:rsidR="00424374">
        <w:t>Watchtower New York</w:t>
      </w:r>
      <w:r w:rsidRPr="006F34CD">
        <w:t xml:space="preserve"> had been informed by registered mail about the date and time of the cassation hearing before the Supreme Court.</w:t>
      </w:r>
    </w:p>
    <w:p w:rsidRPr="006F34CD" w:rsidR="00114C80" w:rsidP="006F34CD" w:rsidRDefault="00114C80" w14:paraId="0D49AB09" w14:textId="523E941A">
      <w:pPr>
        <w:pStyle w:val="JuH1"/>
      </w:pPr>
      <w:bookmarkStart w:name="_Toc97301973" w:id="198"/>
      <w:r w:rsidRPr="006F34CD">
        <w:t>The Court</w:t>
      </w:r>
      <w:r w:rsidRPr="006F34CD" w:rsidR="006F34CD">
        <w:t>’</w:t>
      </w:r>
      <w:r w:rsidRPr="006F34CD">
        <w:t>s assessment</w:t>
      </w:r>
      <w:bookmarkEnd w:id="198"/>
    </w:p>
    <w:p w:rsidRPr="006F34CD" w:rsidR="00114C80" w:rsidP="006F34CD" w:rsidRDefault="00114C80" w14:paraId="5E332AEB" w14:textId="77777777">
      <w:pPr>
        <w:pStyle w:val="JuHa0"/>
      </w:pPr>
      <w:bookmarkStart w:name="_Toc97301974" w:id="199"/>
      <w:r w:rsidRPr="006F34CD">
        <w:t>General principles</w:t>
      </w:r>
      <w:bookmarkEnd w:id="199"/>
    </w:p>
    <w:p w:rsidRPr="006F34CD" w:rsidR="00563DE6" w:rsidP="006F34CD" w:rsidRDefault="00563DE6" w14:paraId="6C02717B" w14:textId="5A525FD5">
      <w:pPr>
        <w:pStyle w:val="JuPara"/>
      </w:pPr>
      <w:r w:rsidRPr="006F34CD">
        <w:fldChar w:fldCharType="begin"/>
      </w:r>
      <w:r w:rsidRPr="006F34CD">
        <w:instrText xml:space="preserve"> SEQ level0 \*arabic </w:instrText>
      </w:r>
      <w:r w:rsidRPr="006F34CD">
        <w:fldChar w:fldCharType="separate"/>
      </w:r>
      <w:r w:rsidRPr="006F34CD" w:rsidR="006F34CD">
        <w:rPr>
          <w:noProof/>
        </w:rPr>
        <w:t>223</w:t>
      </w:r>
      <w:r w:rsidRPr="006F34CD">
        <w:fldChar w:fldCharType="end"/>
      </w:r>
      <w:r w:rsidRPr="006F34CD">
        <w:t>.</w:t>
      </w:r>
      <w:r w:rsidRPr="006F34CD" w:rsidR="001370AA">
        <w:t>  </w:t>
      </w:r>
      <w:r w:rsidRPr="006F34CD" w:rsidR="002B2EE4">
        <w:t>The Court reiterates that owing to its accessibility and capacity to store and communicate vast amounts of information, the Internet has now become one of the principal means by which individuals exercise their right to freedom of expression and information.</w:t>
      </w:r>
      <w:r w:rsidRPr="006F34CD" w:rsidR="001370AA">
        <w:t xml:space="preserve"> </w:t>
      </w:r>
      <w:r w:rsidRPr="006F34CD" w:rsidR="002B2EE4">
        <w:t>The Internet provides essential tools for participation in activities and discussions concerning political issues and issues of general interest, it enhances the public</w:t>
      </w:r>
      <w:r w:rsidRPr="006F34CD" w:rsidR="006F34CD">
        <w:t>’</w:t>
      </w:r>
      <w:r w:rsidRPr="006F34CD" w:rsidR="002B2EE4">
        <w:t>s access to news and facilitates the dissemination of information in general.</w:t>
      </w:r>
      <w:r w:rsidRPr="006F34CD" w:rsidR="001370AA">
        <w:t xml:space="preserve"> Article 1</w:t>
      </w:r>
      <w:r w:rsidRPr="006F34CD" w:rsidR="002B2EE4">
        <w:t>0 of the Convention guarantees “everyone” the freedom to receive and impart information and ideas.</w:t>
      </w:r>
      <w:r w:rsidRPr="006F34CD" w:rsidR="001370AA">
        <w:t xml:space="preserve"> </w:t>
      </w:r>
      <w:r w:rsidRPr="006F34CD" w:rsidR="002B2EE4">
        <w:t>It applies not only to the content of information but also to the means of its dissemination, for any restriction imposed on the latter necessarily interferes with that freedom</w:t>
      </w:r>
      <w:r w:rsidRPr="006F34CD" w:rsidR="00DD1B00">
        <w:t xml:space="preserve">. The measures blocking access to websites are bound to have an influence on the accessibility of the Internet and, accordingly, engage the responsibility of the respondent State under </w:t>
      </w:r>
      <w:r w:rsidRPr="006F34CD" w:rsidR="001370AA">
        <w:t>Article 1</w:t>
      </w:r>
      <w:r w:rsidRPr="006F34CD" w:rsidR="00DD1B00">
        <w:t xml:space="preserve">0 </w:t>
      </w:r>
      <w:r w:rsidRPr="006F34CD" w:rsidR="002B2EE4">
        <w:t xml:space="preserve">(see </w:t>
      </w:r>
      <w:r w:rsidRPr="006F34CD" w:rsidR="002B2EE4">
        <w:rPr>
          <w:i/>
          <w:iCs/>
        </w:rPr>
        <w:t>Ahmet Yıldırım</w:t>
      </w:r>
      <w:r w:rsidRPr="006F34CD" w:rsidR="001370AA">
        <w:rPr>
          <w:i/>
          <w:iCs/>
        </w:rPr>
        <w:t xml:space="preserve"> v. T</w:t>
      </w:r>
      <w:r w:rsidRPr="006F34CD" w:rsidR="002B2EE4">
        <w:rPr>
          <w:i/>
          <w:iCs/>
        </w:rPr>
        <w:t>urkey</w:t>
      </w:r>
      <w:r w:rsidRPr="006F34CD" w:rsidR="002B2EE4">
        <w:t xml:space="preserve">, </w:t>
      </w:r>
      <w:r w:rsidRPr="006F34CD" w:rsidR="001370AA">
        <w:t>no. 3</w:t>
      </w:r>
      <w:r w:rsidRPr="006F34CD" w:rsidR="002B2EE4">
        <w:t>111/10, §</w:t>
      </w:r>
      <w:r w:rsidRPr="006F34CD" w:rsidR="001370AA">
        <w:t>§ 4</w:t>
      </w:r>
      <w:r w:rsidRPr="006F34CD" w:rsidR="002B2EE4">
        <w:t>8-54, ECHR 2012).</w:t>
      </w:r>
    </w:p>
    <w:p w:rsidRPr="006F34CD" w:rsidR="00114C80" w:rsidP="006F34CD" w:rsidRDefault="00114C80" w14:paraId="34C85C0B" w14:textId="77777777">
      <w:pPr>
        <w:pStyle w:val="JuHa0"/>
      </w:pPr>
      <w:bookmarkStart w:name="_Toc97301975" w:id="200"/>
      <w:r w:rsidRPr="006F34CD">
        <w:t>Existence of interference</w:t>
      </w:r>
      <w:bookmarkEnd w:id="200"/>
    </w:p>
    <w:p w:rsidRPr="006F34CD" w:rsidR="00966A7B" w:rsidP="006F34CD" w:rsidRDefault="00CB6108" w14:paraId="057FDC41" w14:textId="4E3B8133">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Pr="006F34CD" w:rsidR="006F34CD">
        <w:rPr>
          <w:noProof/>
        </w:rPr>
        <w:t>224</w:t>
      </w:r>
      <w:r>
        <w:rPr>
          <w:noProof/>
        </w:rPr>
        <w:fldChar w:fldCharType="end"/>
      </w:r>
      <w:r w:rsidRPr="006F34CD" w:rsidR="00DD1B00">
        <w:t>.</w:t>
      </w:r>
      <w:r w:rsidRPr="006F34CD" w:rsidR="001370AA">
        <w:t>  </w:t>
      </w:r>
      <w:r w:rsidRPr="006F34CD" w:rsidR="000C53A1">
        <w:t xml:space="preserve">For the Court, it is clear that the declaration of </w:t>
      </w:r>
      <w:r w:rsidRPr="006F34CD" w:rsidR="00A46BAE">
        <w:t>an</w:t>
      </w:r>
      <w:r w:rsidRPr="006F34CD" w:rsidR="000C53A1">
        <w:t xml:space="preserve"> extremist nature of the Jehovah</w:t>
      </w:r>
      <w:r w:rsidRPr="006F34CD" w:rsidR="006F34CD">
        <w:t>’</w:t>
      </w:r>
      <w:r w:rsidRPr="006F34CD" w:rsidR="000C53A1">
        <w:t>s Witnesses</w:t>
      </w:r>
      <w:r w:rsidRPr="006F34CD" w:rsidR="006F34CD">
        <w:t>’</w:t>
      </w:r>
      <w:r w:rsidRPr="006F34CD" w:rsidR="000C53A1">
        <w:t xml:space="preserve"> international website which was owned and </w:t>
      </w:r>
      <w:r w:rsidRPr="006F34CD" w:rsidR="009556C5">
        <w:t>operated</w:t>
      </w:r>
      <w:r w:rsidRPr="006F34CD" w:rsidR="000C53A1">
        <w:t xml:space="preserve"> by applicant Watchtower New York (</w:t>
      </w:r>
      <w:r w:rsidRPr="006F34CD" w:rsidR="00966A7B">
        <w:t xml:space="preserve">see paragraph </w:t>
      </w:r>
      <w:r w:rsidRPr="006F34CD" w:rsidR="00966A7B">
        <w:fldChar w:fldCharType="begin"/>
      </w:r>
      <w:r w:rsidRPr="006F34CD" w:rsidR="009770B2">
        <w:instrText xml:space="preserve">REF paragraph00079 \h \* CharFormat </w:instrText>
      </w:r>
      <w:r w:rsidRPr="006F34CD" w:rsidR="00966A7B">
        <w:fldChar w:fldCharType="separate"/>
      </w:r>
      <w:r w:rsidRPr="006F34CD" w:rsidR="006F34CD">
        <w:t>79</w:t>
      </w:r>
      <w:r w:rsidRPr="006F34CD" w:rsidR="00966A7B">
        <w:fldChar w:fldCharType="end"/>
      </w:r>
      <w:r w:rsidRPr="006F34CD" w:rsidR="00966A7B">
        <w:t xml:space="preserve"> above)</w:t>
      </w:r>
      <w:r w:rsidRPr="006F34CD" w:rsidR="000C53A1">
        <w:t xml:space="preserve"> interfered with its right to impart information to individual Jehovah</w:t>
      </w:r>
      <w:r w:rsidRPr="006F34CD" w:rsidR="006F34CD">
        <w:t>’</w:t>
      </w:r>
      <w:r w:rsidRPr="006F34CD" w:rsidR="000C53A1">
        <w:t>s Witnesses and other interested persons in Russia. The measure which prevented visitors to Jehovah</w:t>
      </w:r>
      <w:r w:rsidRPr="006F34CD" w:rsidR="006F34CD">
        <w:t>’</w:t>
      </w:r>
      <w:r w:rsidRPr="006F34CD" w:rsidR="000C53A1">
        <w:t>s Witnesses</w:t>
      </w:r>
      <w:r w:rsidRPr="006F34CD" w:rsidR="006F34CD">
        <w:t>’</w:t>
      </w:r>
      <w:r w:rsidRPr="006F34CD" w:rsidR="000C53A1">
        <w:t xml:space="preserve"> website from accessing its content</w:t>
      </w:r>
      <w:r w:rsidRPr="006F34CD" w:rsidR="00A46BAE">
        <w:t xml:space="preserve"> from within Russia</w:t>
      </w:r>
      <w:r w:rsidRPr="006F34CD" w:rsidR="000C53A1">
        <w:t xml:space="preserve"> amounted to “interference by a public authority” with the right to receive and impart information since </w:t>
      </w:r>
      <w:r w:rsidRPr="006F34CD" w:rsidR="001370AA">
        <w:t>Article 1</w:t>
      </w:r>
      <w:r w:rsidRPr="006F34CD" w:rsidR="000C53A1">
        <w:t xml:space="preserve">0 guarantees not only the right to impart information but also the right of the public to receive it (see </w:t>
      </w:r>
      <w:r w:rsidRPr="006F34CD" w:rsidR="000C53A1">
        <w:rPr>
          <w:i/>
        </w:rPr>
        <w:t>Cengiz and Others</w:t>
      </w:r>
      <w:r w:rsidRPr="006F34CD" w:rsidR="001370AA">
        <w:rPr>
          <w:i/>
        </w:rPr>
        <w:t xml:space="preserve"> v. T</w:t>
      </w:r>
      <w:r w:rsidRPr="006F34CD" w:rsidR="000C53A1">
        <w:rPr>
          <w:i/>
        </w:rPr>
        <w:t>urkey</w:t>
      </w:r>
      <w:r w:rsidRPr="006F34CD" w:rsidR="000C53A1">
        <w:t xml:space="preserve">, </w:t>
      </w:r>
      <w:r w:rsidRPr="006F34CD" w:rsidR="001370AA">
        <w:t>nos. 4</w:t>
      </w:r>
      <w:r w:rsidRPr="006F34CD" w:rsidR="000C53A1">
        <w:t xml:space="preserve">8226/10 and 14027/11, </w:t>
      </w:r>
      <w:r w:rsidRPr="006F34CD" w:rsidR="001370AA">
        <w:t>§ 5</w:t>
      </w:r>
      <w:r w:rsidRPr="006F34CD" w:rsidR="000C53A1">
        <w:t xml:space="preserve">6, ECHR 2015 (extracts), and </w:t>
      </w:r>
      <w:r w:rsidRPr="006F34CD" w:rsidR="000C53A1">
        <w:rPr>
          <w:i/>
        </w:rPr>
        <w:t>OOO Flavus and Others</w:t>
      </w:r>
      <w:r w:rsidRPr="006F34CD" w:rsidR="001370AA">
        <w:rPr>
          <w:i/>
        </w:rPr>
        <w:t xml:space="preserve"> v. R</w:t>
      </w:r>
      <w:r w:rsidRPr="006F34CD" w:rsidR="000C53A1">
        <w:rPr>
          <w:i/>
        </w:rPr>
        <w:t>ussia</w:t>
      </w:r>
      <w:r w:rsidRPr="006F34CD" w:rsidR="000C53A1">
        <w:t xml:space="preserve">, </w:t>
      </w:r>
      <w:r w:rsidRPr="006F34CD" w:rsidR="001370AA">
        <w:t>nos. 1</w:t>
      </w:r>
      <w:r w:rsidRPr="006F34CD" w:rsidR="000C53A1">
        <w:t xml:space="preserve">2468/15 and 2 others, </w:t>
      </w:r>
      <w:r w:rsidRPr="006F34CD" w:rsidR="001370AA">
        <w:t>§ 2</w:t>
      </w:r>
      <w:r w:rsidRPr="006F34CD" w:rsidR="000C53A1">
        <w:t xml:space="preserve">9, </w:t>
      </w:r>
      <w:r w:rsidRPr="006F34CD" w:rsidR="001370AA">
        <w:t>23 June 2020</w:t>
      </w:r>
      <w:r w:rsidRPr="006F34CD" w:rsidR="000C53A1">
        <w:t>).</w:t>
      </w:r>
      <w:r w:rsidRPr="006F34CD" w:rsidR="00E6434E">
        <w:t xml:space="preserve"> Since the affected material was of a religious nature, the interference must also be </w:t>
      </w:r>
      <w:r w:rsidRPr="006F34CD" w:rsidR="00C268D4">
        <w:t>examined</w:t>
      </w:r>
      <w:r w:rsidRPr="006F34CD" w:rsidR="00E6434E">
        <w:t xml:space="preserve"> in the light of the requirements of </w:t>
      </w:r>
      <w:r w:rsidRPr="006F34CD" w:rsidR="001370AA">
        <w:t>Article 9</w:t>
      </w:r>
      <w:r w:rsidRPr="006F34CD" w:rsidR="00E6434E">
        <w:t xml:space="preserve"> of the Convention.</w:t>
      </w:r>
    </w:p>
    <w:p w:rsidRPr="006F34CD" w:rsidR="00A46BAE" w:rsidP="006F34CD" w:rsidRDefault="006F34CD" w14:paraId="15315D51" w14:textId="7067185B">
      <w:pPr>
        <w:pStyle w:val="JuPara"/>
      </w:pPr>
      <w:fldSimple w:instr=" SEQ level0 \*arabic \* MERGEFORMAT ">
        <w:bookmarkStart w:name="paragraph00221" w:id="201"/>
        <w:r w:rsidRPr="006F34CD">
          <w:rPr>
            <w:noProof/>
          </w:rPr>
          <w:t>225</w:t>
        </w:r>
        <w:bookmarkEnd w:id="201"/>
      </w:fldSimple>
      <w:r w:rsidRPr="006F34CD" w:rsidR="00A46BAE">
        <w:t>.</w:t>
      </w:r>
      <w:r w:rsidRPr="006F34CD" w:rsidR="001370AA">
        <w:t>  </w:t>
      </w:r>
      <w:r w:rsidRPr="006F34CD" w:rsidR="00A46BAE">
        <w:t xml:space="preserve">As regards the individual applicants, the Court reiterates that the answer to the question whether an applicant can claim to be </w:t>
      </w:r>
      <w:r w:rsidRPr="006F34CD" w:rsidR="003732B8">
        <w:t>a</w:t>
      </w:r>
      <w:r w:rsidRPr="006F34CD" w:rsidR="00A46BAE">
        <w:t xml:space="preserve"> victim of a measure blocking access to a website will depend on an assessment of </w:t>
      </w:r>
      <w:r w:rsidRPr="006F34CD" w:rsidR="003732B8">
        <w:t>all</w:t>
      </w:r>
      <w:r w:rsidRPr="006F34CD" w:rsidR="00A46BAE">
        <w:t xml:space="preserve"> circumstances of each case, in particular the way in which the person concerned uses the website and the potential impact of the measure on him</w:t>
      </w:r>
      <w:r w:rsidRPr="006F34CD" w:rsidR="00BB284C">
        <w:t xml:space="preserve"> or her</w:t>
      </w:r>
      <w:r w:rsidRPr="006F34CD" w:rsidR="00A46BAE">
        <w:t xml:space="preserve">. For </w:t>
      </w:r>
      <w:r w:rsidRPr="006F34CD" w:rsidR="00FE4F65">
        <w:t>the</w:t>
      </w:r>
      <w:r w:rsidRPr="006F34CD" w:rsidR="00A46BAE">
        <w:t xml:space="preserve"> </w:t>
      </w:r>
      <w:r w:rsidRPr="006F34CD" w:rsidR="00FE4F65">
        <w:t>applicants</w:t>
      </w:r>
      <w:r w:rsidRPr="006F34CD" w:rsidR="00A46BAE">
        <w:t xml:space="preserve"> having various types of perceptive limitations, such as a visual or hearing impairment, the Jehovah</w:t>
      </w:r>
      <w:r w:rsidRPr="006F34CD">
        <w:t>’</w:t>
      </w:r>
      <w:r w:rsidRPr="006F34CD" w:rsidR="00A46BAE">
        <w:t>s Witnesses</w:t>
      </w:r>
      <w:r w:rsidRPr="006F34CD">
        <w:t>’</w:t>
      </w:r>
      <w:r w:rsidRPr="006F34CD" w:rsidR="00A46BAE">
        <w:t xml:space="preserve"> website was the only accessible source of downloadable religious materials addressing their specific needs: audio books and descriptions, sign language commentaries, etc. </w:t>
      </w:r>
      <w:r w:rsidRPr="006F34CD" w:rsidR="004C24FD">
        <w:t>It follows that t</w:t>
      </w:r>
      <w:r w:rsidRPr="006F34CD" w:rsidR="003732B8">
        <w:t xml:space="preserve">he blocking of </w:t>
      </w:r>
      <w:r w:rsidRPr="006F34CD" w:rsidR="00617304">
        <w:t>those</w:t>
      </w:r>
      <w:r w:rsidRPr="006F34CD" w:rsidR="003732B8">
        <w:t xml:space="preserve"> applicants</w:t>
      </w:r>
      <w:r w:rsidRPr="006F34CD">
        <w:t>’</w:t>
      </w:r>
      <w:r w:rsidRPr="006F34CD" w:rsidR="003732B8">
        <w:t xml:space="preserve"> access to the specifically adapted religious materials </w:t>
      </w:r>
      <w:r w:rsidRPr="006F34CD" w:rsidR="00114C80">
        <w:t xml:space="preserve">available on jw.org </w:t>
      </w:r>
      <w:r w:rsidRPr="006F34CD" w:rsidR="003732B8">
        <w:t xml:space="preserve">amounted to interference with their right to receive information under </w:t>
      </w:r>
      <w:r w:rsidRPr="006F34CD" w:rsidR="001370AA">
        <w:t>Article 1</w:t>
      </w:r>
      <w:r w:rsidRPr="006F34CD" w:rsidR="003732B8">
        <w:t>0 of the Convention</w:t>
      </w:r>
      <w:r w:rsidRPr="006F34CD" w:rsidR="00E6434E">
        <w:t xml:space="preserve">, </w:t>
      </w:r>
      <w:r w:rsidRPr="006F34CD" w:rsidR="000E1E22">
        <w:t xml:space="preserve">read </w:t>
      </w:r>
      <w:r w:rsidRPr="006F34CD" w:rsidR="00E6434E">
        <w:t xml:space="preserve">in the light of </w:t>
      </w:r>
      <w:r w:rsidRPr="006F34CD" w:rsidR="001370AA">
        <w:t>Article 9</w:t>
      </w:r>
      <w:r w:rsidRPr="006F34CD" w:rsidR="003732B8">
        <w:t>.</w:t>
      </w:r>
    </w:p>
    <w:p w:rsidRPr="006F34CD" w:rsidR="009556C5" w:rsidP="006F34CD" w:rsidRDefault="00CB6108" w14:paraId="21D5ACA4" w14:textId="0284801B">
      <w:pPr>
        <w:pStyle w:val="JuPara"/>
        <w:rPr>
          <w:lang w:val="en-US"/>
        </w:rPr>
      </w:pPr>
      <w:r>
        <w:rPr>
          <w:noProof/>
        </w:rPr>
        <w:fldChar w:fldCharType="begin"/>
      </w:r>
      <w:r>
        <w:rPr>
          <w:noProof/>
        </w:rPr>
        <w:instrText xml:space="preserve"> SEQ level0 \*arabic \* MERGEFORMAT </w:instrText>
      </w:r>
      <w:r>
        <w:rPr>
          <w:noProof/>
        </w:rPr>
        <w:fldChar w:fldCharType="separate"/>
      </w:r>
      <w:r w:rsidRPr="006F34CD" w:rsidR="006F34CD">
        <w:rPr>
          <w:noProof/>
        </w:rPr>
        <w:t>226</w:t>
      </w:r>
      <w:r>
        <w:rPr>
          <w:noProof/>
        </w:rPr>
        <w:fldChar w:fldCharType="end"/>
      </w:r>
      <w:r w:rsidRPr="006F34CD" w:rsidR="00114C80">
        <w:t>.</w:t>
      </w:r>
      <w:r w:rsidRPr="006F34CD" w:rsidR="001370AA">
        <w:t>  </w:t>
      </w:r>
      <w:r w:rsidRPr="006F34CD" w:rsidR="009556C5">
        <w:t>Lastly, i</w:t>
      </w:r>
      <w:r w:rsidRPr="006F34CD" w:rsidR="006D2710">
        <w:t>n so far as the blocking of access to the Jehovah</w:t>
      </w:r>
      <w:r w:rsidRPr="006F34CD" w:rsidR="006F34CD">
        <w:t>’</w:t>
      </w:r>
      <w:r w:rsidRPr="006F34CD" w:rsidR="006D2710">
        <w:t>s Witnesses</w:t>
      </w:r>
      <w:r w:rsidRPr="006F34CD" w:rsidR="006F34CD">
        <w:t>’</w:t>
      </w:r>
      <w:r w:rsidRPr="006F34CD" w:rsidR="006D2710">
        <w:t xml:space="preserve"> website affected </w:t>
      </w:r>
      <w:r w:rsidRPr="006F34CD" w:rsidR="00AD7AE9">
        <w:t>the</w:t>
      </w:r>
      <w:r w:rsidRPr="006F34CD" w:rsidR="009556C5">
        <w:t xml:space="preserve"> religious literature </w:t>
      </w:r>
      <w:r w:rsidRPr="006F34CD" w:rsidR="00AD7AE9">
        <w:t>accessible</w:t>
      </w:r>
      <w:r w:rsidRPr="006F34CD" w:rsidR="009556C5">
        <w:t xml:space="preserve"> </w:t>
      </w:r>
      <w:r w:rsidRPr="006F34CD" w:rsidR="00AD7AE9">
        <w:t>from within Russia</w:t>
      </w:r>
      <w:r w:rsidRPr="006F34CD" w:rsidR="009556C5">
        <w:t xml:space="preserve"> </w:t>
      </w:r>
      <w:r w:rsidRPr="006F34CD" w:rsidR="00AD7AE9">
        <w:t>which was a</w:t>
      </w:r>
      <w:r w:rsidRPr="006F34CD" w:rsidR="009556C5">
        <w:t xml:space="preserve"> crucial </w:t>
      </w:r>
      <w:r w:rsidRPr="006F34CD" w:rsidR="00AD7AE9">
        <w:t xml:space="preserve">element of </w:t>
      </w:r>
      <w:r w:rsidRPr="006F34CD" w:rsidR="000459AB">
        <w:t>religious ministry</w:t>
      </w:r>
      <w:r w:rsidRPr="006F34CD" w:rsidR="006D2710">
        <w:t xml:space="preserve">, </w:t>
      </w:r>
      <w:r w:rsidRPr="006F34CD" w:rsidR="009556C5">
        <w:t xml:space="preserve">it also constituted interference with the </w:t>
      </w:r>
      <w:r w:rsidRPr="006F34CD" w:rsidR="000E1E22">
        <w:t>Administrative Centre</w:t>
      </w:r>
      <w:r w:rsidRPr="006F34CD" w:rsidR="006F34CD">
        <w:t>’</w:t>
      </w:r>
      <w:r w:rsidRPr="006F34CD" w:rsidR="000E1E22">
        <w:t xml:space="preserve">s </w:t>
      </w:r>
      <w:r w:rsidRPr="006F34CD" w:rsidR="009556C5">
        <w:t xml:space="preserve">right to receive and impart information </w:t>
      </w:r>
      <w:r w:rsidRPr="006F34CD" w:rsidR="000E1E22">
        <w:t xml:space="preserve">under </w:t>
      </w:r>
      <w:r w:rsidRPr="006F34CD" w:rsidR="003179D7">
        <w:t>Article 1</w:t>
      </w:r>
      <w:r w:rsidRPr="006F34CD" w:rsidR="000E1E22">
        <w:t xml:space="preserve">0 of the Convention, read in the light of Article 9, </w:t>
      </w:r>
      <w:r w:rsidRPr="006F34CD" w:rsidR="009F1755">
        <w:t xml:space="preserve">which </w:t>
      </w:r>
      <w:r w:rsidRPr="006F34CD" w:rsidR="009556C5">
        <w:t xml:space="preserve">the Administrative Centre </w:t>
      </w:r>
      <w:r w:rsidRPr="006F34CD" w:rsidR="009F1755">
        <w:t>enjoy</w:t>
      </w:r>
      <w:r w:rsidRPr="006F34CD" w:rsidR="000E1E22">
        <w:t>ed</w:t>
      </w:r>
      <w:r w:rsidRPr="006F34CD" w:rsidR="009F1755">
        <w:t xml:space="preserve"> </w:t>
      </w:r>
      <w:r w:rsidRPr="006F34CD" w:rsidR="009556C5">
        <w:t>as a collective body established to uphold and defend the rights and interests of Jehovah</w:t>
      </w:r>
      <w:r w:rsidRPr="006F34CD" w:rsidR="006F34CD">
        <w:t>’</w:t>
      </w:r>
      <w:r w:rsidRPr="006F34CD" w:rsidR="009556C5">
        <w:t>s Witnesses (</w:t>
      </w:r>
      <w:r w:rsidRPr="006F34CD" w:rsidR="00801846">
        <w:t xml:space="preserve">see </w:t>
      </w:r>
      <w:r w:rsidRPr="006F34CD" w:rsidR="00D619E8">
        <w:rPr>
          <w:i/>
        </w:rPr>
        <w:t>Association for Solidarity with Jehovah</w:t>
      </w:r>
      <w:r w:rsidRPr="006F34CD" w:rsidR="006F34CD">
        <w:rPr>
          <w:i/>
        </w:rPr>
        <w:t>’</w:t>
      </w:r>
      <w:r w:rsidRPr="006F34CD" w:rsidR="00D619E8">
        <w:rPr>
          <w:i/>
        </w:rPr>
        <w:t>s Witnesses and</w:t>
      </w:r>
      <w:r w:rsidRPr="006F34CD" w:rsidR="001621EE">
        <w:rPr>
          <w:i/>
        </w:rPr>
        <w:t> </w:t>
      </w:r>
      <w:r w:rsidRPr="006F34CD" w:rsidR="00D619E8">
        <w:rPr>
          <w:i/>
        </w:rPr>
        <w:t>Others</w:t>
      </w:r>
      <w:r w:rsidRPr="006F34CD" w:rsidR="00D619E8">
        <w:t xml:space="preserve">, cited above, </w:t>
      </w:r>
      <w:r w:rsidRPr="006F34CD" w:rsidR="00BC0864">
        <w:t>§ 8</w:t>
      </w:r>
      <w:r w:rsidRPr="006F34CD" w:rsidR="00D619E8">
        <w:t>7</w:t>
      </w:r>
      <w:r w:rsidRPr="006F34CD" w:rsidR="009556C5">
        <w:rPr>
          <w:lang w:val="en-US"/>
        </w:rPr>
        <w:t>).</w:t>
      </w:r>
    </w:p>
    <w:p w:rsidRPr="006F34CD" w:rsidR="00A46BAE" w:rsidP="006F34CD" w:rsidRDefault="00114C80" w14:paraId="1D4CDC9B" w14:textId="77777777">
      <w:pPr>
        <w:pStyle w:val="JuHa0"/>
      </w:pPr>
      <w:bookmarkStart w:name="_Toc97301976" w:id="202"/>
      <w:r w:rsidRPr="006F34CD">
        <w:t>Justification for the interference</w:t>
      </w:r>
      <w:bookmarkEnd w:id="202"/>
    </w:p>
    <w:p w:rsidRPr="006F34CD" w:rsidR="00F454A6" w:rsidP="006F34CD" w:rsidRDefault="00CB6108" w14:paraId="28B7F5A9" w14:textId="1350E168">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227</w:t>
      </w:r>
      <w:r>
        <w:rPr>
          <w:noProof/>
        </w:rPr>
        <w:fldChar w:fldCharType="end"/>
      </w:r>
      <w:r w:rsidRPr="006F34CD" w:rsidR="00052D1E">
        <w:t>.</w:t>
      </w:r>
      <w:r w:rsidRPr="006F34CD" w:rsidR="001370AA">
        <w:t>  </w:t>
      </w:r>
      <w:r w:rsidRPr="006F34CD" w:rsidR="00052D1E">
        <w:t>The Court reiterates that interference must be “prescribed by law”, pursue one or more of the legitimate aims and be “necessary in a democratic society” to achieve those aims. In the present case the questions of compliance with the law and of the existence of a legitimate aim cannot be dissociated from the question of whether the interference was “necessary in a democratic society”. The Court will therefore examine them together, having regard to its finding</w:t>
      </w:r>
      <w:r w:rsidRPr="006F34CD" w:rsidR="00B1227A">
        <w:t>s</w:t>
      </w:r>
      <w:r w:rsidRPr="006F34CD" w:rsidR="00052D1E">
        <w:t xml:space="preserve"> in </w:t>
      </w:r>
      <w:r w:rsidRPr="006F34CD" w:rsidR="00855EAC">
        <w:t>similar</w:t>
      </w:r>
      <w:r w:rsidRPr="006F34CD" w:rsidR="00052D1E">
        <w:t xml:space="preserve"> cases concerning the blocking of access to websites in Russia (see, among others, </w:t>
      </w:r>
      <w:r w:rsidRPr="006F34CD" w:rsidR="00B1227A">
        <w:rPr>
          <w:i/>
        </w:rPr>
        <w:t>OOO Flavus and Others</w:t>
      </w:r>
      <w:r w:rsidRPr="006F34CD" w:rsidR="00B1227A">
        <w:t>, cited above</w:t>
      </w:r>
      <w:r w:rsidRPr="006F34CD" w:rsidR="00052D1E">
        <w:t xml:space="preserve">, and </w:t>
      </w:r>
      <w:r w:rsidRPr="006F34CD" w:rsidR="00052D1E">
        <w:rPr>
          <w:i/>
        </w:rPr>
        <w:t>Bulgakov</w:t>
      </w:r>
      <w:r w:rsidRPr="006F34CD" w:rsidR="001370AA">
        <w:rPr>
          <w:i/>
        </w:rPr>
        <w:t xml:space="preserve"> v. R</w:t>
      </w:r>
      <w:r w:rsidRPr="006F34CD" w:rsidR="00052D1E">
        <w:rPr>
          <w:i/>
        </w:rPr>
        <w:t>ussia</w:t>
      </w:r>
      <w:r w:rsidRPr="006F34CD" w:rsidR="00052D1E">
        <w:t xml:space="preserve">, </w:t>
      </w:r>
      <w:r w:rsidRPr="006F34CD" w:rsidR="001370AA">
        <w:t>no. 2</w:t>
      </w:r>
      <w:r w:rsidRPr="006F34CD" w:rsidR="00052D1E">
        <w:t>0159/15,</w:t>
      </w:r>
      <w:r w:rsidRPr="006F34CD" w:rsidR="00052D1E">
        <w:rPr>
          <w:i/>
        </w:rPr>
        <w:t xml:space="preserve"> </w:t>
      </w:r>
      <w:r w:rsidRPr="006F34CD" w:rsidR="001370AA">
        <w:t>23 June 2020</w:t>
      </w:r>
      <w:r w:rsidRPr="006F34CD" w:rsidR="00052D1E">
        <w:t>).</w:t>
      </w:r>
    </w:p>
    <w:p w:rsidRPr="006F34CD" w:rsidR="00FC4912" w:rsidP="006F34CD" w:rsidRDefault="00CB6108" w14:paraId="34581595" w14:textId="09FF8CF5">
      <w:pPr>
        <w:pStyle w:val="JuPara"/>
      </w:pPr>
      <w:r>
        <w:rPr>
          <w:noProof/>
        </w:rPr>
        <w:fldChar w:fldCharType="begin"/>
      </w:r>
      <w:r>
        <w:rPr>
          <w:noProof/>
        </w:rPr>
        <w:instrText xml:space="preserve"> SEQ level0 \*ara</w:instrText>
      </w:r>
      <w:r>
        <w:rPr>
          <w:noProof/>
        </w:rPr>
        <w:instrText xml:space="preserve">bic \* MERGEFORMAT </w:instrText>
      </w:r>
      <w:r>
        <w:rPr>
          <w:noProof/>
        </w:rPr>
        <w:fldChar w:fldCharType="separate"/>
      </w:r>
      <w:r w:rsidRPr="006F34CD" w:rsidR="006F34CD">
        <w:rPr>
          <w:noProof/>
        </w:rPr>
        <w:t>228</w:t>
      </w:r>
      <w:r>
        <w:rPr>
          <w:noProof/>
        </w:rPr>
        <w:fldChar w:fldCharType="end"/>
      </w:r>
      <w:r w:rsidRPr="006F34CD" w:rsidR="00E73668">
        <w:t>.</w:t>
      </w:r>
      <w:r w:rsidRPr="006F34CD" w:rsidR="001370AA">
        <w:t>  </w:t>
      </w:r>
      <w:r w:rsidRPr="006F34CD" w:rsidR="00FC4912">
        <w:t>As the Court has previously found, Russian law contain</w:t>
      </w:r>
      <w:r w:rsidRPr="006F34CD" w:rsidR="00E73668">
        <w:t>s</w:t>
      </w:r>
      <w:r w:rsidRPr="006F34CD" w:rsidR="00FC4912">
        <w:t xml:space="preserve"> </w:t>
      </w:r>
      <w:r w:rsidRPr="006F34CD" w:rsidR="00E73668">
        <w:t>no</w:t>
      </w:r>
      <w:r w:rsidRPr="006F34CD" w:rsidR="001370AA">
        <w:t xml:space="preserve"> </w:t>
      </w:r>
      <w:r w:rsidRPr="006F34CD" w:rsidR="00FC4912">
        <w:t xml:space="preserve">procedural safeguards capable of protecting </w:t>
      </w:r>
      <w:r w:rsidRPr="006F34CD" w:rsidR="00E73668">
        <w:t xml:space="preserve">website </w:t>
      </w:r>
      <w:r w:rsidRPr="006F34CD" w:rsidR="00FC4912">
        <w:t xml:space="preserve">owners from arbitrary interference. It does not provide for any form of </w:t>
      </w:r>
      <w:r w:rsidRPr="006F34CD" w:rsidR="00E73668">
        <w:t>their participation</w:t>
      </w:r>
      <w:r w:rsidRPr="006F34CD" w:rsidR="00FC4912">
        <w:t xml:space="preserve"> in the blocking proceedings and does not give them </w:t>
      </w:r>
      <w:r w:rsidRPr="006F34CD" w:rsidR="00E73668">
        <w:t>an</w:t>
      </w:r>
      <w:r w:rsidRPr="006F34CD" w:rsidR="00FC4912">
        <w:t xml:space="preserve"> opportunity to remove the offending content before the blocking decision </w:t>
      </w:r>
      <w:r w:rsidRPr="006F34CD" w:rsidR="00E73668">
        <w:t>takes effect</w:t>
      </w:r>
      <w:r w:rsidRPr="006F34CD" w:rsidR="00FC4912">
        <w:t xml:space="preserve">. Nor does </w:t>
      </w:r>
      <w:r w:rsidRPr="006F34CD" w:rsidR="000459AB">
        <w:t xml:space="preserve">it </w:t>
      </w:r>
      <w:r w:rsidRPr="006F34CD" w:rsidR="00FC4912">
        <w:t xml:space="preserve">require the authorities to </w:t>
      </w:r>
      <w:r w:rsidRPr="006F34CD" w:rsidR="00E73668">
        <w:t>assess the</w:t>
      </w:r>
      <w:r w:rsidRPr="006F34CD" w:rsidR="00FC4912">
        <w:t xml:space="preserve"> impact of the blocking measure, to </w:t>
      </w:r>
      <w:r w:rsidRPr="006F34CD" w:rsidR="00E73668">
        <w:t>justify</w:t>
      </w:r>
      <w:r w:rsidRPr="006F34CD" w:rsidR="00FC4912">
        <w:t xml:space="preserve"> the necessity and proportionality of the interference with the freedom of expression online</w:t>
      </w:r>
      <w:r w:rsidRPr="006F34CD" w:rsidR="00E73668">
        <w:t>,</w:t>
      </w:r>
      <w:r w:rsidRPr="006F34CD" w:rsidR="00FC4912">
        <w:t xml:space="preserve"> and to ascertain that the blocking measure strictly targets the </w:t>
      </w:r>
      <w:r w:rsidRPr="006F34CD" w:rsidR="00E73668">
        <w:t>unlawful</w:t>
      </w:r>
      <w:r w:rsidRPr="006F34CD" w:rsidR="00FC4912">
        <w:t xml:space="preserve"> content and has no arbitrary or excessive effects, including those </w:t>
      </w:r>
      <w:r w:rsidRPr="006F34CD" w:rsidR="00E73668">
        <w:t>arising</w:t>
      </w:r>
      <w:r w:rsidRPr="006F34CD" w:rsidR="00FC4912">
        <w:t xml:space="preserve"> from blocking access to the entire website (</w:t>
      </w:r>
      <w:r w:rsidRPr="006F34CD" w:rsidR="00AC63F5">
        <w:t xml:space="preserve">see </w:t>
      </w:r>
      <w:r w:rsidRPr="006F34CD" w:rsidR="00AC63F5">
        <w:rPr>
          <w:i/>
          <w:iCs/>
        </w:rPr>
        <w:t>OOO</w:t>
      </w:r>
      <w:r w:rsidRPr="006F34CD" w:rsidR="00AC1B15">
        <w:rPr>
          <w:i/>
          <w:iCs/>
        </w:rPr>
        <w:t> </w:t>
      </w:r>
      <w:r w:rsidRPr="006F34CD" w:rsidR="00AC63F5">
        <w:rPr>
          <w:i/>
          <w:iCs/>
        </w:rPr>
        <w:t>Flavus and Others</w:t>
      </w:r>
      <w:r w:rsidRPr="006F34CD" w:rsidR="00AC63F5">
        <w:t>, cited above,</w:t>
      </w:r>
      <w:r w:rsidRPr="006F34CD" w:rsidR="00FC4912">
        <w:t xml:space="preserve"> §</w:t>
      </w:r>
      <w:r w:rsidRPr="006F34CD" w:rsidR="001370AA">
        <w:t>§ 4</w:t>
      </w:r>
      <w:r w:rsidRPr="006F34CD" w:rsidR="00FC4912">
        <w:t>0-41).</w:t>
      </w:r>
    </w:p>
    <w:p w:rsidRPr="006F34CD" w:rsidR="00EB7BF0" w:rsidP="006F34CD" w:rsidRDefault="00CB6108" w14:paraId="3240D005" w14:textId="058DFC22">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229</w:t>
      </w:r>
      <w:r>
        <w:rPr>
          <w:noProof/>
        </w:rPr>
        <w:fldChar w:fldCharType="end"/>
      </w:r>
      <w:r w:rsidRPr="006F34CD" w:rsidR="003451FC">
        <w:t>.</w:t>
      </w:r>
      <w:r w:rsidRPr="006F34CD" w:rsidR="001370AA">
        <w:t>  </w:t>
      </w:r>
      <w:r w:rsidRPr="006F34CD" w:rsidR="00FC4912">
        <w:t xml:space="preserve">In the instant case, </w:t>
      </w:r>
      <w:r w:rsidRPr="006F34CD" w:rsidR="00D846FF">
        <w:t xml:space="preserve">Watchtower New York as </w:t>
      </w:r>
      <w:r w:rsidRPr="006F34CD" w:rsidR="00FC4912">
        <w:t xml:space="preserve">the owner of the </w:t>
      </w:r>
      <w:r w:rsidRPr="006F34CD" w:rsidR="00E95610">
        <w:t>Jehovah</w:t>
      </w:r>
      <w:r w:rsidRPr="006F34CD" w:rsidR="006F34CD">
        <w:t>’</w:t>
      </w:r>
      <w:r w:rsidRPr="006F34CD" w:rsidR="00E95610">
        <w:t>s Witnesses</w:t>
      </w:r>
      <w:r w:rsidRPr="006F34CD" w:rsidR="006F34CD">
        <w:t>’</w:t>
      </w:r>
      <w:r w:rsidRPr="006F34CD" w:rsidR="00E95610">
        <w:t xml:space="preserve"> international website </w:t>
      </w:r>
      <w:r w:rsidRPr="006F34CD" w:rsidR="00424374">
        <w:t>had</w:t>
      </w:r>
      <w:r w:rsidRPr="006F34CD" w:rsidR="00FC4912">
        <w:t xml:space="preserve"> not receive</w:t>
      </w:r>
      <w:r w:rsidRPr="006F34CD" w:rsidR="00424374">
        <w:t>d</w:t>
      </w:r>
      <w:r w:rsidRPr="006F34CD" w:rsidR="00FC4912">
        <w:t xml:space="preserve"> a warning or any other notice that </w:t>
      </w:r>
      <w:r w:rsidRPr="006F34CD" w:rsidR="00E95610">
        <w:t xml:space="preserve">the website </w:t>
      </w:r>
      <w:r w:rsidRPr="006F34CD" w:rsidR="00FC4912">
        <w:t>was allegedly in breach of the extremism legislation.</w:t>
      </w:r>
      <w:r w:rsidRPr="006F34CD" w:rsidR="00E95610">
        <w:t xml:space="preserve"> </w:t>
      </w:r>
      <w:r w:rsidRPr="006F34CD" w:rsidR="00D846FF">
        <w:t>The prosecutor</w:t>
      </w:r>
      <w:r w:rsidRPr="006F34CD" w:rsidR="006F34CD">
        <w:t>’</w:t>
      </w:r>
      <w:r w:rsidRPr="006F34CD" w:rsidR="00D846FF">
        <w:t>s application for a blocking order had been prepared without advance notification to the parties whose rights and interests were likely to be affected. Watchtower New York had not been informed of the prosecutor</w:t>
      </w:r>
      <w:r w:rsidRPr="006F34CD" w:rsidR="006F34CD">
        <w:t>’</w:t>
      </w:r>
      <w:r w:rsidRPr="006F34CD" w:rsidR="00D846FF">
        <w:t xml:space="preserve">s application or afforded the opportunity to remove the </w:t>
      </w:r>
      <w:r w:rsidRPr="006F34CD" w:rsidR="0078273C">
        <w:t xml:space="preserve">allegedly </w:t>
      </w:r>
      <w:r w:rsidRPr="006F34CD" w:rsidR="00D846FF">
        <w:t xml:space="preserve">illegal content before the application was lodged with the court. Nor </w:t>
      </w:r>
      <w:r w:rsidRPr="006F34CD" w:rsidR="00B37854">
        <w:t>had it</w:t>
      </w:r>
      <w:r w:rsidRPr="006F34CD" w:rsidR="00AB50FA">
        <w:t xml:space="preserve"> </w:t>
      </w:r>
      <w:r w:rsidRPr="006F34CD" w:rsidR="00B37854">
        <w:t>been</w:t>
      </w:r>
      <w:r w:rsidRPr="006F34CD" w:rsidR="00AB50FA">
        <w:t xml:space="preserve"> invited to participate in the blocking hearing on the </w:t>
      </w:r>
      <w:r w:rsidRPr="006F34CD" w:rsidR="00424374">
        <w:t>basis</w:t>
      </w:r>
      <w:r w:rsidRPr="006F34CD" w:rsidR="00AB50FA">
        <w:t xml:space="preserve"> that the blocking would not interfere with its rights (see paragraph</w:t>
      </w:r>
      <w:r w:rsidRPr="006F34CD" w:rsidR="001621EE">
        <w:t> </w:t>
      </w:r>
      <w:r w:rsidRPr="006F34CD" w:rsidR="00AB50FA">
        <w:fldChar w:fldCharType="begin"/>
      </w:r>
      <w:r w:rsidRPr="006F34CD" w:rsidR="006E5193">
        <w:instrText xml:space="preserve">REF paragraph00080 \h \* CharFormat </w:instrText>
      </w:r>
      <w:r w:rsidRPr="006F34CD" w:rsidR="00AB50FA">
        <w:fldChar w:fldCharType="separate"/>
      </w:r>
      <w:r w:rsidRPr="006F34CD" w:rsidR="006F34CD">
        <w:t>80</w:t>
      </w:r>
      <w:r w:rsidRPr="006F34CD" w:rsidR="00AB50FA">
        <w:fldChar w:fldCharType="end"/>
      </w:r>
      <w:r w:rsidRPr="006F34CD" w:rsidR="00AB50FA">
        <w:t xml:space="preserve"> above). Even after the court of appeals acknowledged that its participation in the proceedings was essential, it had not been properly summoned to </w:t>
      </w:r>
      <w:r w:rsidRPr="006F34CD" w:rsidR="00424374">
        <w:t>the</w:t>
      </w:r>
      <w:r w:rsidRPr="006F34CD" w:rsidR="00AB50FA">
        <w:t xml:space="preserve"> </w:t>
      </w:r>
      <w:r w:rsidRPr="006F34CD" w:rsidR="00424374">
        <w:t xml:space="preserve">Supreme Court </w:t>
      </w:r>
      <w:r w:rsidRPr="006F34CD" w:rsidR="00AB50FA">
        <w:t xml:space="preserve">hearing </w:t>
      </w:r>
      <w:r w:rsidRPr="006F34CD" w:rsidR="00424374">
        <w:t>at</w:t>
      </w:r>
      <w:r w:rsidRPr="006F34CD" w:rsidR="00AB50FA">
        <w:t xml:space="preserve"> which the blocking decision was reinstated (see paragraph </w:t>
      </w:r>
      <w:r w:rsidRPr="006F34CD" w:rsidR="00AB50FA">
        <w:fldChar w:fldCharType="begin"/>
      </w:r>
      <w:r w:rsidRPr="006F34CD" w:rsidR="006E5193">
        <w:instrText xml:space="preserve">REF paragraph00084 \h \* CharFormat </w:instrText>
      </w:r>
      <w:r w:rsidRPr="006F34CD" w:rsidR="00AB50FA">
        <w:fldChar w:fldCharType="separate"/>
      </w:r>
      <w:r w:rsidRPr="006F34CD" w:rsidR="006F34CD">
        <w:t>84</w:t>
      </w:r>
      <w:r w:rsidRPr="006F34CD" w:rsidR="00AB50FA">
        <w:fldChar w:fldCharType="end"/>
      </w:r>
      <w:r w:rsidRPr="006F34CD" w:rsidR="00AB50FA">
        <w:t xml:space="preserve"> above). </w:t>
      </w:r>
      <w:r w:rsidRPr="006F34CD" w:rsidR="00D846FF">
        <w:t xml:space="preserve">The Court finds that the blocking proceedings which were conducted in the </w:t>
      </w:r>
      <w:r w:rsidRPr="006F34CD" w:rsidR="001858EE">
        <w:t>website owner</w:t>
      </w:r>
      <w:r w:rsidRPr="006F34CD" w:rsidR="006F34CD">
        <w:t>’</w:t>
      </w:r>
      <w:r w:rsidRPr="006F34CD" w:rsidR="00D846FF">
        <w:t xml:space="preserve">s absence were not adversarial in nature and did not provide a forum in which the interested parties could have been heard (see </w:t>
      </w:r>
      <w:r w:rsidRPr="006F34CD" w:rsidR="00D846FF">
        <w:rPr>
          <w:i/>
          <w:iCs/>
        </w:rPr>
        <w:t>Bulgakov</w:t>
      </w:r>
      <w:r w:rsidRPr="006F34CD" w:rsidR="00D846FF">
        <w:t>, cited above, §</w:t>
      </w:r>
      <w:r w:rsidRPr="006F34CD" w:rsidR="001370AA">
        <w:t>§ 3</w:t>
      </w:r>
      <w:r w:rsidRPr="006F34CD" w:rsidR="00D846FF">
        <w:t>5-36).</w:t>
      </w:r>
    </w:p>
    <w:p w:rsidRPr="006F34CD" w:rsidR="001E754B" w:rsidP="006F34CD" w:rsidRDefault="00CB6108" w14:paraId="7B790FF4" w14:textId="43C0CF71">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230</w:t>
      </w:r>
      <w:r>
        <w:rPr>
          <w:noProof/>
        </w:rPr>
        <w:fldChar w:fldCharType="end"/>
      </w:r>
      <w:r w:rsidRPr="006F34CD" w:rsidR="00424374">
        <w:t>.</w:t>
      </w:r>
      <w:r w:rsidRPr="006F34CD" w:rsidR="001370AA">
        <w:t>  </w:t>
      </w:r>
      <w:r w:rsidRPr="006F34CD" w:rsidR="004D2F61">
        <w:t xml:space="preserve">Turning next to the scope of the </w:t>
      </w:r>
      <w:r w:rsidRPr="006F34CD" w:rsidR="00AC63F5">
        <w:t>decision</w:t>
      </w:r>
      <w:r w:rsidRPr="006F34CD" w:rsidR="004D2F61">
        <w:t xml:space="preserve"> declaring the entire website “extremist”, </w:t>
      </w:r>
      <w:r w:rsidRPr="006F34CD" w:rsidR="00AC63F5">
        <w:t xml:space="preserve">the Court reiterates that the wholesale blocking of access to a website is an extreme measure which deliberately disregards the distinction between lawful and unlawful information that a website may contain and renders inaccessible a large amount of content which has not been identified as unlawful. Blocking access to the entire website has the practical effect of extending the scope of the blocking order far beyond the unlawful content that was originally targeted (see </w:t>
      </w:r>
      <w:r w:rsidRPr="006F34CD" w:rsidR="00AC63F5">
        <w:rPr>
          <w:i/>
          <w:iCs/>
        </w:rPr>
        <w:t>OOO Flavus and Others</w:t>
      </w:r>
      <w:r w:rsidRPr="006F34CD" w:rsidR="00AC63F5">
        <w:t xml:space="preserve">, cited above, </w:t>
      </w:r>
      <w:r w:rsidRPr="006F34CD" w:rsidR="001370AA">
        <w:t>§ 3</w:t>
      </w:r>
      <w:r w:rsidRPr="006F34CD" w:rsidR="00AC63F5">
        <w:t>7).</w:t>
      </w:r>
    </w:p>
    <w:p w:rsidRPr="006F34CD" w:rsidR="001E754B" w:rsidP="006F34CD" w:rsidRDefault="00CB6108" w14:paraId="6E65F00F" w14:textId="13FF3E78">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231</w:t>
      </w:r>
      <w:r>
        <w:rPr>
          <w:noProof/>
        </w:rPr>
        <w:fldChar w:fldCharType="end"/>
      </w:r>
      <w:r w:rsidRPr="006F34CD" w:rsidR="00AC63F5">
        <w:t>.</w:t>
      </w:r>
      <w:r w:rsidRPr="006F34CD" w:rsidR="001370AA">
        <w:t>  </w:t>
      </w:r>
      <w:r w:rsidRPr="006F34CD" w:rsidR="00AC63F5">
        <w:t>The Court has found above that the decision to declare the Jehovah</w:t>
      </w:r>
      <w:r w:rsidRPr="006F34CD" w:rsidR="006F34CD">
        <w:t>’</w:t>
      </w:r>
      <w:r w:rsidRPr="006F34CD" w:rsidR="00AC63F5">
        <w:t>s Witnesses</w:t>
      </w:r>
      <w:r w:rsidRPr="006F34CD" w:rsidR="006F34CD">
        <w:t>’</w:t>
      </w:r>
      <w:r w:rsidRPr="006F34CD" w:rsidR="00AC63F5">
        <w:t xml:space="preserve"> religious publications </w:t>
      </w:r>
      <w:r w:rsidRPr="006F34CD" w:rsidR="00917198">
        <w:t>“</w:t>
      </w:r>
      <w:r w:rsidRPr="006F34CD" w:rsidR="00AC63F5">
        <w:t>extremist</w:t>
      </w:r>
      <w:r w:rsidRPr="006F34CD" w:rsidR="00917198">
        <w:t xml:space="preserve">” </w:t>
      </w:r>
      <w:r w:rsidRPr="006F34CD" w:rsidR="000F09F1">
        <w:t>disclosed a violation of the Convention</w:t>
      </w:r>
      <w:r w:rsidRPr="006F34CD" w:rsidR="00AC63F5">
        <w:t xml:space="preserve">. This finding </w:t>
      </w:r>
      <w:r w:rsidRPr="006F34CD" w:rsidR="00A6651C">
        <w:t>applies to</w:t>
      </w:r>
      <w:r w:rsidRPr="006F34CD" w:rsidR="00AC63F5">
        <w:t xml:space="preserve"> the publications</w:t>
      </w:r>
      <w:r w:rsidRPr="006F34CD" w:rsidR="00A6651C">
        <w:t>, brochures and magazines</w:t>
      </w:r>
      <w:r w:rsidRPr="006F34CD" w:rsidR="00AC63F5">
        <w:t xml:space="preserve"> which had been referenced in the </w:t>
      </w:r>
      <w:r w:rsidRPr="006F34CD" w:rsidR="00FD21C5">
        <w:t xml:space="preserve">request for a blocking order. </w:t>
      </w:r>
      <w:r w:rsidRPr="006F34CD" w:rsidR="00A6651C">
        <w:t xml:space="preserve">However, even if there </w:t>
      </w:r>
      <w:r w:rsidRPr="006F34CD" w:rsidR="008C0C29">
        <w:t>had been</w:t>
      </w:r>
      <w:r w:rsidRPr="006F34CD" w:rsidR="00A6651C">
        <w:t xml:space="preserve"> exceptional circumstances justifying the blocking of unlawful content, the measure blocking access to the entire website </w:t>
      </w:r>
      <w:r w:rsidRPr="006F34CD" w:rsidR="008C0C29">
        <w:t xml:space="preserve">would </w:t>
      </w:r>
      <w:r w:rsidRPr="006F34CD" w:rsidR="00717BD7">
        <w:t xml:space="preserve">have </w:t>
      </w:r>
      <w:r w:rsidRPr="006F34CD" w:rsidR="00B7609C">
        <w:t>need</w:t>
      </w:r>
      <w:r w:rsidRPr="006F34CD" w:rsidR="00717BD7">
        <w:t>ed</w:t>
      </w:r>
      <w:r w:rsidRPr="006F34CD" w:rsidR="00B7609C">
        <w:t xml:space="preserve"> </w:t>
      </w:r>
      <w:r w:rsidRPr="006F34CD" w:rsidR="00717BD7">
        <w:t>a justification of</w:t>
      </w:r>
      <w:r w:rsidRPr="006F34CD" w:rsidR="00A6651C">
        <w:t xml:space="preserve"> its own, separately and distinctly from the justification underlying the order targeting unlawful content, and by reference to the criteria established by the Court under </w:t>
      </w:r>
      <w:r w:rsidRPr="006F34CD" w:rsidR="001370AA">
        <w:t>Article 1</w:t>
      </w:r>
      <w:r w:rsidRPr="006F34CD" w:rsidR="00A6651C">
        <w:t xml:space="preserve">0 of the Convention. Blocking access to legitimate content can never be an automatic consequence of another, more restricted blocking measure because indiscriminate blocking measure </w:t>
      </w:r>
      <w:r w:rsidRPr="006F34CD" w:rsidR="00486FCE">
        <w:t xml:space="preserve">– </w:t>
      </w:r>
      <w:r w:rsidRPr="006F34CD" w:rsidR="00A6651C">
        <w:t xml:space="preserve">interfering as it does with lawful content as a collateral effect of a measure aimed solely at illegal content </w:t>
      </w:r>
      <w:r w:rsidRPr="006F34CD" w:rsidR="00486FCE">
        <w:t xml:space="preserve">– </w:t>
      </w:r>
      <w:r w:rsidRPr="006F34CD" w:rsidR="00A6651C">
        <w:t>amounts to arbitrary interference with the rights of website owners (</w:t>
      </w:r>
      <w:r w:rsidRPr="006F34CD" w:rsidR="009E493D">
        <w:t xml:space="preserve">see </w:t>
      </w:r>
      <w:r w:rsidRPr="006F34CD" w:rsidR="009E493D">
        <w:rPr>
          <w:i/>
          <w:iCs/>
        </w:rPr>
        <w:t>OOO Flavus and Others</w:t>
      </w:r>
      <w:r w:rsidRPr="006F34CD" w:rsidR="009E493D">
        <w:t>, cited above,</w:t>
      </w:r>
      <w:r w:rsidRPr="006F34CD" w:rsidR="00A6651C">
        <w:t xml:space="preserve"> </w:t>
      </w:r>
      <w:r w:rsidRPr="006F34CD" w:rsidR="001370AA">
        <w:t>§ 3</w:t>
      </w:r>
      <w:r w:rsidRPr="006F34CD" w:rsidR="00A6651C">
        <w:t>8).</w:t>
      </w:r>
    </w:p>
    <w:p w:rsidRPr="006F34CD" w:rsidR="00A46BAE" w:rsidP="006F34CD" w:rsidRDefault="00CB6108" w14:paraId="57B7695B" w14:textId="778537A6">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232</w:t>
      </w:r>
      <w:r>
        <w:rPr>
          <w:noProof/>
        </w:rPr>
        <w:fldChar w:fldCharType="end"/>
      </w:r>
      <w:r w:rsidRPr="006F34CD" w:rsidR="00A6651C">
        <w:t>.</w:t>
      </w:r>
      <w:r w:rsidRPr="006F34CD" w:rsidR="001370AA">
        <w:t>  </w:t>
      </w:r>
      <w:r w:rsidRPr="006F34CD" w:rsidR="00A6651C">
        <w:t>The Government did not indicate a statutory basis or put forward a justification for the wholesale blocking order affecting the international website of Jehovah</w:t>
      </w:r>
      <w:r w:rsidRPr="006F34CD" w:rsidR="006F34CD">
        <w:t>’</w:t>
      </w:r>
      <w:r w:rsidRPr="006F34CD" w:rsidR="00A6651C">
        <w:t>s Witnesses</w:t>
      </w:r>
      <w:r w:rsidRPr="006F34CD" w:rsidR="00C52875">
        <w:t xml:space="preserve"> in its entirety</w:t>
      </w:r>
      <w:r w:rsidRPr="006F34CD" w:rsidR="00A6651C">
        <w:t xml:space="preserve">. They did not explain what legitimate aim or “pressing social need” the domestic authorities pursued by blocking access to the entire website which contained </w:t>
      </w:r>
      <w:r w:rsidRPr="006F34CD" w:rsidR="00C52875">
        <w:t xml:space="preserve">a </w:t>
      </w:r>
      <w:r w:rsidRPr="006F34CD" w:rsidR="00A6651C">
        <w:t xml:space="preserve">large amount of </w:t>
      </w:r>
      <w:r w:rsidRPr="006F34CD" w:rsidR="00C52875">
        <w:t>undisputedly</w:t>
      </w:r>
      <w:r w:rsidRPr="006F34CD" w:rsidR="00A6651C">
        <w:t xml:space="preserve"> lawful content, including material </w:t>
      </w:r>
      <w:r w:rsidRPr="006F34CD" w:rsidR="00C52875">
        <w:t>meeting the particular</w:t>
      </w:r>
      <w:r w:rsidRPr="006F34CD" w:rsidR="00A6651C">
        <w:t xml:space="preserve"> perceptive needs of the individual applicants.</w:t>
      </w:r>
      <w:r w:rsidRPr="006F34CD" w:rsidR="006E2CB0">
        <w:t xml:space="preserve"> The failure to provide a justification for that broad blocking measure is particularly </w:t>
      </w:r>
      <w:r w:rsidRPr="006F34CD" w:rsidR="0051737C">
        <w:t xml:space="preserve">salient </w:t>
      </w:r>
      <w:r w:rsidRPr="006F34CD" w:rsidR="006E2CB0">
        <w:t xml:space="preserve">in the light of the fact that Watchtower New York had </w:t>
      </w:r>
      <w:r w:rsidRPr="006F34CD" w:rsidR="00597A0D">
        <w:t>taken down</w:t>
      </w:r>
      <w:r w:rsidRPr="006F34CD" w:rsidR="006E2CB0">
        <w:t xml:space="preserve"> the offending publications upon learning of the District Court</w:t>
      </w:r>
      <w:r w:rsidRPr="006F34CD" w:rsidR="006F34CD">
        <w:t>’</w:t>
      </w:r>
      <w:r w:rsidRPr="006F34CD" w:rsidR="006E2CB0">
        <w:t>s decision. This fact was acknowledged in the Regional Court</w:t>
      </w:r>
      <w:r w:rsidRPr="006F34CD" w:rsidR="006F34CD">
        <w:t>’</w:t>
      </w:r>
      <w:r w:rsidRPr="006F34CD" w:rsidR="006E2CB0">
        <w:t xml:space="preserve">s appeal judgment of </w:t>
      </w:r>
      <w:r w:rsidRPr="006F34CD" w:rsidR="001370AA">
        <w:t>22 January 2014</w:t>
      </w:r>
      <w:r w:rsidRPr="006F34CD" w:rsidR="00B7609C">
        <w:t xml:space="preserve"> which also considered that the blocking of the entire website was excessive</w:t>
      </w:r>
      <w:r w:rsidRPr="006F34CD" w:rsidR="006E2CB0">
        <w:t xml:space="preserve"> (see paragraph </w:t>
      </w:r>
      <w:r w:rsidRPr="006F34CD" w:rsidR="006E2CB0">
        <w:fldChar w:fldCharType="begin"/>
      </w:r>
      <w:r w:rsidRPr="006F34CD" w:rsidR="006E5193">
        <w:instrText xml:space="preserve">REF paragraph00082 \h \* CharFormat </w:instrText>
      </w:r>
      <w:r w:rsidRPr="006F34CD" w:rsidR="006E2CB0">
        <w:fldChar w:fldCharType="separate"/>
      </w:r>
      <w:r w:rsidRPr="006F34CD" w:rsidR="006F34CD">
        <w:t>82</w:t>
      </w:r>
      <w:r w:rsidRPr="006F34CD" w:rsidR="006E2CB0">
        <w:fldChar w:fldCharType="end"/>
      </w:r>
      <w:r w:rsidRPr="006F34CD" w:rsidR="006E2CB0">
        <w:t xml:space="preserve"> above). By the time the Supreme Court decided to reinstate the blocking order in December 2014, there </w:t>
      </w:r>
      <w:r w:rsidRPr="006F34CD" w:rsidR="003627D8">
        <w:t>had been</w:t>
      </w:r>
      <w:r w:rsidRPr="006F34CD" w:rsidR="006E2CB0">
        <w:t xml:space="preserve"> no arguably unlawful content on the website. Accordingly, the Court finds that the decision to block access to the entire website was unlawful and </w:t>
      </w:r>
      <w:r w:rsidRPr="006F34CD" w:rsidR="00D406FC">
        <w:t xml:space="preserve">disproportionate </w:t>
      </w:r>
      <w:r w:rsidRPr="006F34CD" w:rsidR="00E96CB8">
        <w:t xml:space="preserve">already </w:t>
      </w:r>
      <w:r w:rsidRPr="006F34CD" w:rsidR="00B7609C">
        <w:t xml:space="preserve">at a time </w:t>
      </w:r>
      <w:r w:rsidRPr="006F34CD" w:rsidR="006E2CB0">
        <w:t xml:space="preserve">when </w:t>
      </w:r>
      <w:r w:rsidRPr="006F34CD" w:rsidR="00E96CB8">
        <w:t>the website</w:t>
      </w:r>
      <w:r w:rsidRPr="006F34CD" w:rsidR="006E2CB0">
        <w:t xml:space="preserve"> contained </w:t>
      </w:r>
      <w:r w:rsidRPr="006F34CD" w:rsidR="00D406FC">
        <w:t>a few items</w:t>
      </w:r>
      <w:r w:rsidRPr="006F34CD" w:rsidR="006E2CB0">
        <w:t xml:space="preserve"> of </w:t>
      </w:r>
      <w:r w:rsidRPr="006F34CD" w:rsidR="00D406FC">
        <w:t xml:space="preserve">the allegedly </w:t>
      </w:r>
      <w:r w:rsidRPr="006F34CD" w:rsidR="006E2CB0">
        <w:t xml:space="preserve">extremist material. This finding applies </w:t>
      </w:r>
      <w:r w:rsidRPr="006F34CD" w:rsidR="006E2CB0">
        <w:rPr>
          <w:i/>
          <w:iCs/>
        </w:rPr>
        <w:t xml:space="preserve">a fortiori </w:t>
      </w:r>
      <w:r w:rsidRPr="006F34CD" w:rsidR="006E2CB0">
        <w:t xml:space="preserve">to the blocking of the </w:t>
      </w:r>
      <w:r w:rsidRPr="006F34CD" w:rsidR="00B7609C">
        <w:t xml:space="preserve">entire </w:t>
      </w:r>
      <w:r w:rsidRPr="006F34CD" w:rsidR="006E2CB0">
        <w:t xml:space="preserve">website after that material had been removed (see </w:t>
      </w:r>
      <w:r w:rsidRPr="006F34CD" w:rsidR="006E2CB0">
        <w:rPr>
          <w:i/>
          <w:iCs/>
        </w:rPr>
        <w:t>Bulgakov</w:t>
      </w:r>
      <w:r w:rsidRPr="006F34CD" w:rsidR="006E2CB0">
        <w:t xml:space="preserve">, cited above, </w:t>
      </w:r>
      <w:r w:rsidRPr="006F34CD" w:rsidR="001370AA">
        <w:t>§ 3</w:t>
      </w:r>
      <w:r w:rsidRPr="006F34CD" w:rsidR="006E2CB0">
        <w:t>8).</w:t>
      </w:r>
    </w:p>
    <w:bookmarkStart w:name="paragraph00233" w:id="203"/>
    <w:p w:rsidRPr="006F34CD" w:rsidR="00563DE6" w:rsidP="006F34CD" w:rsidRDefault="00597D02" w14:paraId="3251B647" w14:textId="46F46F13">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233</w:t>
      </w:r>
      <w:r w:rsidRPr="006F34CD">
        <w:rPr>
          <w:noProof/>
        </w:rPr>
        <w:fldChar w:fldCharType="end"/>
      </w:r>
      <w:bookmarkEnd w:id="203"/>
      <w:r w:rsidRPr="006F34CD" w:rsidR="00D406FC">
        <w:t>.</w:t>
      </w:r>
      <w:r w:rsidRPr="006F34CD" w:rsidR="001370AA">
        <w:t>  </w:t>
      </w:r>
      <w:r w:rsidRPr="006F34CD" w:rsidR="004C071B">
        <w:t xml:space="preserve">As the interference was not “prescribed by law” and was not “necessary in a democratic society”, there has been </w:t>
      </w:r>
      <w:bookmarkStart w:name="conclusionV" w:id="204"/>
      <w:r w:rsidRPr="006F34CD" w:rsidR="004C071B">
        <w:t>a violation of Article 10 of the Convention, read in the light of Article 9, on account of the declaration of the Jehovah</w:t>
      </w:r>
      <w:r w:rsidRPr="006F34CD" w:rsidR="006F34CD">
        <w:t>’</w:t>
      </w:r>
      <w:r w:rsidRPr="006F34CD" w:rsidR="004C071B">
        <w:t>s Witnesses</w:t>
      </w:r>
      <w:r w:rsidRPr="006F34CD" w:rsidR="006F34CD">
        <w:t>’</w:t>
      </w:r>
      <w:r w:rsidRPr="006F34CD" w:rsidR="004C071B">
        <w:t xml:space="preserve"> international website “extremist”</w:t>
      </w:r>
      <w:bookmarkEnd w:id="204"/>
      <w:r w:rsidRPr="006F34CD" w:rsidR="00B7609C">
        <w:t>.</w:t>
      </w:r>
    </w:p>
    <w:p w:rsidRPr="006F34CD" w:rsidR="000D64DD" w:rsidP="006F34CD" w:rsidRDefault="000D64DD" w14:paraId="03CAA30E" w14:textId="33FB7DEB">
      <w:pPr>
        <w:pStyle w:val="JuHIRoman"/>
      </w:pPr>
      <w:bookmarkStart w:name="_Toc97301977" w:id="205"/>
      <w:r w:rsidRPr="006F34CD">
        <w:rPr>
          <w:caps w:val="0"/>
        </w:rPr>
        <w:t>ALLEGED VIOLATION OF ARTICLE 9 OF THE CONVENTION</w:t>
      </w:r>
      <w:r w:rsidRPr="006F34CD" w:rsidR="000459AB">
        <w:rPr>
          <w:caps w:val="0"/>
        </w:rPr>
        <w:t>, READ IN THE LIGHT OF ARTICLE 11,</w:t>
      </w:r>
      <w:r w:rsidRPr="006F34CD">
        <w:rPr>
          <w:caps w:val="0"/>
        </w:rPr>
        <w:t xml:space="preserve"> ON ACCOUNT OF THE FORCED DISSOLUTION OF THE ADMINISTRATIVE CENTRE AND LOCAL RELIGIOUS ORGANISATIONS</w:t>
      </w:r>
      <w:bookmarkEnd w:id="205"/>
    </w:p>
    <w:p w:rsidRPr="006F34CD" w:rsidR="000D64DD" w:rsidP="006F34CD" w:rsidRDefault="000D64DD" w14:paraId="0FDDFAB9" w14:textId="7F6E6B12">
      <w:pPr>
        <w:pStyle w:val="JuPara"/>
      </w:pPr>
      <w:r w:rsidRPr="006F34CD">
        <w:fldChar w:fldCharType="begin"/>
      </w:r>
      <w:r w:rsidRPr="006F34CD">
        <w:instrText xml:space="preserve"> SEQ level0 \*arabic </w:instrText>
      </w:r>
      <w:r w:rsidRPr="006F34CD">
        <w:fldChar w:fldCharType="separate"/>
      </w:r>
      <w:r w:rsidRPr="006F34CD" w:rsidR="006F34CD">
        <w:rPr>
          <w:noProof/>
        </w:rPr>
        <w:t>234</w:t>
      </w:r>
      <w:r w:rsidRPr="006F34CD">
        <w:fldChar w:fldCharType="end"/>
      </w:r>
      <w:r w:rsidRPr="006F34CD">
        <w:t>.  </w:t>
      </w:r>
      <w:r w:rsidRPr="006F34CD" w:rsidR="00C23C2D">
        <w:t>The applicants complained that the forced dissolution of the Administrative Centre and the LROs of Jehovah</w:t>
      </w:r>
      <w:r w:rsidRPr="006F34CD" w:rsidR="006F34CD">
        <w:t>’</w:t>
      </w:r>
      <w:r w:rsidRPr="006F34CD" w:rsidR="00C23C2D">
        <w:t xml:space="preserve">s Witnesses (section </w:t>
      </w:r>
      <w:r w:rsidRPr="006F34CD" w:rsidR="00C23C2D">
        <w:fldChar w:fldCharType="begin"/>
      </w:r>
      <w:r w:rsidRPr="006F34CD" w:rsidR="00C23C2D">
        <w:instrText xml:space="preserve"> REF _Ref78292491 \n \h </w:instrText>
      </w:r>
      <w:r w:rsidRPr="006F34CD" w:rsidR="00C23C2D">
        <w:fldChar w:fldCharType="separate"/>
      </w:r>
      <w:r w:rsidRPr="006F34CD" w:rsidR="006F34CD">
        <w:t>H</w:t>
      </w:r>
      <w:r w:rsidRPr="006F34CD" w:rsidR="00C23C2D">
        <w:fldChar w:fldCharType="end"/>
      </w:r>
      <w:r w:rsidRPr="006F34CD" w:rsidR="00C23C2D">
        <w:t xml:space="preserve"> of the Facts) had violated their rights to freedom of religion and association. The Court will consider this complaint under </w:t>
      </w:r>
      <w:r w:rsidRPr="006F34CD" w:rsidR="00BC0864">
        <w:t>Article 9</w:t>
      </w:r>
      <w:r w:rsidRPr="006F34CD" w:rsidR="00C23C2D">
        <w:t xml:space="preserve"> of the Convention, interpreted in the light of </w:t>
      </w:r>
      <w:r w:rsidRPr="006F34CD" w:rsidR="00BC0864">
        <w:t>Article 1</w:t>
      </w:r>
      <w:r w:rsidRPr="006F34CD" w:rsidR="00C23C2D">
        <w:t>1.</w:t>
      </w:r>
    </w:p>
    <w:p w:rsidRPr="006F34CD" w:rsidR="000D64DD" w:rsidP="006F34CD" w:rsidRDefault="000D64DD" w14:paraId="51E84C3E" w14:textId="77777777">
      <w:pPr>
        <w:pStyle w:val="JuHA"/>
      </w:pPr>
      <w:bookmarkStart w:name="_Toc97301978" w:id="206"/>
      <w:r w:rsidRPr="006F34CD">
        <w:t>Admissibility</w:t>
      </w:r>
      <w:bookmarkEnd w:id="206"/>
    </w:p>
    <w:p w:rsidRPr="006F34CD" w:rsidR="000D64DD" w:rsidP="006F34CD" w:rsidRDefault="000D64DD" w14:paraId="57C1D9D6" w14:textId="27536C4D">
      <w:pPr>
        <w:pStyle w:val="JuPara"/>
      </w:pPr>
      <w:r w:rsidRPr="006F34CD">
        <w:fldChar w:fldCharType="begin"/>
      </w:r>
      <w:r w:rsidRPr="006F34CD">
        <w:instrText xml:space="preserve"> SEQ level0 \*arabic </w:instrText>
      </w:r>
      <w:r w:rsidRPr="006F34CD">
        <w:fldChar w:fldCharType="separate"/>
      </w:r>
      <w:r w:rsidRPr="006F34CD" w:rsidR="006F34CD">
        <w:rPr>
          <w:noProof/>
        </w:rPr>
        <w:t>235</w:t>
      </w:r>
      <w:r w:rsidRPr="006F34CD">
        <w:fldChar w:fldCharType="end"/>
      </w:r>
      <w:r w:rsidRPr="006F34CD">
        <w:t xml:space="preserve">.  The Government submitted that the complaint was inadmissible by virtue of </w:t>
      </w:r>
      <w:r w:rsidRPr="006F34CD" w:rsidR="00BC0864">
        <w:t>Article 1</w:t>
      </w:r>
      <w:r w:rsidRPr="006F34CD">
        <w:t>7 of the Convention. The Court dismisses the objection for the same reasons as above. It further considers that this complaint is not manifestly ill-founded within the meaning of Article 35 § 3 (a) of the Convention or inadmissible on any other grounds. It must therefore be declared admissible.</w:t>
      </w:r>
    </w:p>
    <w:p w:rsidRPr="006F34CD" w:rsidR="000D64DD" w:rsidP="006F34CD" w:rsidRDefault="000D64DD" w14:paraId="42CED57D" w14:textId="77777777">
      <w:pPr>
        <w:pStyle w:val="JuHA"/>
      </w:pPr>
      <w:bookmarkStart w:name="_Toc97301979" w:id="207"/>
      <w:r w:rsidRPr="006F34CD">
        <w:t>Merits</w:t>
      </w:r>
      <w:bookmarkEnd w:id="207"/>
    </w:p>
    <w:p w:rsidRPr="006F34CD" w:rsidR="000D64DD" w:rsidP="006F34CD" w:rsidRDefault="000D64DD" w14:paraId="13E0E1B9" w14:textId="77777777">
      <w:pPr>
        <w:pStyle w:val="JuH1"/>
      </w:pPr>
      <w:bookmarkStart w:name="_Toc97301980" w:id="208"/>
      <w:r w:rsidRPr="006F34CD">
        <w:t>Submissions by the parties</w:t>
      </w:r>
      <w:bookmarkEnd w:id="208"/>
    </w:p>
    <w:p w:rsidRPr="006F34CD" w:rsidR="000D64DD" w:rsidP="006F34CD" w:rsidRDefault="00CB6108" w14:paraId="35402A5C" w14:textId="05960507">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236</w:t>
      </w:r>
      <w:r>
        <w:rPr>
          <w:noProof/>
        </w:rPr>
        <w:fldChar w:fldCharType="end"/>
      </w:r>
      <w:r w:rsidRPr="006F34CD" w:rsidR="000D64DD">
        <w:t>.  The applicants submitted that that the liquidation decision had been the culmination of the State</w:t>
      </w:r>
      <w:r w:rsidRPr="006F34CD" w:rsidR="006F34CD">
        <w:t>’</w:t>
      </w:r>
      <w:r w:rsidRPr="006F34CD" w:rsidR="000D64DD">
        <w:t>s decades-long attack against Jehovah</w:t>
      </w:r>
      <w:r w:rsidRPr="006F34CD" w:rsidR="006F34CD">
        <w:t>’</w:t>
      </w:r>
      <w:r w:rsidRPr="006F34CD" w:rsidR="000D64DD">
        <w:t xml:space="preserve">s Witnesses to silence and outlaw a peaceful religious minority with had begun in January 2007 when a </w:t>
      </w:r>
      <w:r w:rsidRPr="006F34CD" w:rsidR="002F3DDF">
        <w:t>deputy Prosecutor General</w:t>
      </w:r>
      <w:r w:rsidRPr="006F34CD" w:rsidR="000D64DD">
        <w:t xml:space="preserve"> directed subordinate prosecutors to find “extremist material” in the religious literature of Jehovah</w:t>
      </w:r>
      <w:r w:rsidRPr="006F34CD" w:rsidR="006F34CD">
        <w:t>’</w:t>
      </w:r>
      <w:r w:rsidRPr="006F34CD" w:rsidR="000D64DD">
        <w:t>s Witnesses. During the liquidation proceedings, the Supreme Court denied the Administrative Centre and the 395 LROs the most basic procedural rights, refusing to ensure their effective participation in the proceedings. The liquidation decision had been grossly disproportionate, as 387 out of the 395 local organisations had never been charged, much less convicted, of any “extremist” activity in the twenty or more years of their legal existence and the decision to ban them as “extremist” was nothing but arbitrary. The Administrative Centre had likewise in all the years of its existence never been charged, much less convicted, of any “extremist” activity. Liquidating the Administrative Centre for the alleged activity of third parties had been also disproportionate. The true effect of the liquidation decision had been severe. It had criminalised the peaceful religious activity of the more than 175,000 Jehovah</w:t>
      </w:r>
      <w:r w:rsidRPr="006F34CD" w:rsidR="006F34CD">
        <w:t>’</w:t>
      </w:r>
      <w:r w:rsidRPr="006F34CD" w:rsidR="000D64DD">
        <w:t>s Witnesses in Russia by making it a criminal offence for them to meet together to read and study the Bible, to publicly share religious beliefs, and to teach their children their beliefs and practices. In April 2018 alone four religious ministers of Jehovah</w:t>
      </w:r>
      <w:r w:rsidRPr="006F34CD" w:rsidR="006F34CD">
        <w:t>’</w:t>
      </w:r>
      <w:r w:rsidRPr="006F34CD" w:rsidR="000D64DD">
        <w:t>s Witnesses had been arrested and put in pre-trial detention for conducting a meeting of worship. The Ministry of Education had issued a circular letter to specify that children of Jehovah</w:t>
      </w:r>
      <w:r w:rsidRPr="006F34CD" w:rsidR="006F34CD">
        <w:t>’</w:t>
      </w:r>
      <w:r w:rsidRPr="006F34CD" w:rsidR="000D64DD">
        <w:t>s Witnesses should be “re-socialised”. Hundreds of families who are Jehovah</w:t>
      </w:r>
      <w:r w:rsidRPr="006F34CD" w:rsidR="006F34CD">
        <w:t>’</w:t>
      </w:r>
      <w:r w:rsidRPr="006F34CD" w:rsidR="000D64DD">
        <w:t>s Witnesses had fled Russia. Such severe measures could not be justified as “necessary” in a free and democratic society.</w:t>
      </w:r>
    </w:p>
    <w:p w:rsidRPr="006F34CD" w:rsidR="000D64DD" w:rsidP="006F34CD" w:rsidRDefault="00CB6108" w14:paraId="79A5CF14" w14:textId="2865828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237</w:t>
      </w:r>
      <w:r>
        <w:rPr>
          <w:noProof/>
        </w:rPr>
        <w:fldChar w:fldCharType="end"/>
      </w:r>
      <w:r w:rsidRPr="006F34CD" w:rsidR="000D64DD">
        <w:t xml:space="preserve">.  The Government submitted that the court decisions to dissolve the Administrative Centre and </w:t>
      </w:r>
      <w:r w:rsidRPr="006F34CD" w:rsidR="007C6969">
        <w:t xml:space="preserve">the </w:t>
      </w:r>
      <w:r w:rsidRPr="006F34CD" w:rsidR="000D64DD">
        <w:t>LROs had been based on the provisions of the Constitution, the Religions Act and the Suppression of Extremism Act. They had also pursued the important public interests to protect the rights of others, public order and national security and to oppose extremist activities. Diligent action was required to avoid a situation where the cumulative adverse effect of extremist activities would reach the point of turning the risk of harm to individual rights or public order into actual harm to citizens</w:t>
      </w:r>
      <w:r w:rsidRPr="006F34CD" w:rsidR="006F34CD">
        <w:t>’</w:t>
      </w:r>
      <w:r w:rsidRPr="006F34CD" w:rsidR="000D64DD">
        <w:t xml:space="preserve"> health or life, public order or other public and State interests. The interference had also been necessary in a democratic society as over the previous seven-year period, a total of eighty-eight publications had been declared extremist, eighteen warning letters had been issued cautioning against the continuation of extremist activities, eight LROs had been dissolved for extremist activities and further extremist acts had been committed after the Ministry of Justice</w:t>
      </w:r>
      <w:r w:rsidRPr="006F34CD" w:rsidR="006F34CD">
        <w:t>’</w:t>
      </w:r>
      <w:r w:rsidRPr="006F34CD" w:rsidR="000D64DD">
        <w:t xml:space="preserve">s warning letter. In those circumstances, forced dissolution had been the only measure capable </w:t>
      </w:r>
      <w:r w:rsidRPr="006F34CD" w:rsidR="00152339">
        <w:t xml:space="preserve">of </w:t>
      </w:r>
      <w:r w:rsidRPr="006F34CD" w:rsidR="000D64DD">
        <w:t>preventing harm to the health and lives of citizens, public order and national security. The Government emphasised that the liquidation decision did not restrict or prohibit anyone from practising the religion of Jehovah</w:t>
      </w:r>
      <w:r w:rsidRPr="006F34CD" w:rsidR="006F34CD">
        <w:t>’</w:t>
      </w:r>
      <w:r w:rsidRPr="006F34CD" w:rsidR="000D64DD">
        <w:t>s Witnesses on an individual basis.</w:t>
      </w:r>
    </w:p>
    <w:p w:rsidRPr="006F34CD" w:rsidR="000D64DD" w:rsidP="006F34CD" w:rsidRDefault="000D64DD" w14:paraId="6906334A" w14:textId="2168E848">
      <w:pPr>
        <w:pStyle w:val="JuPara"/>
      </w:pPr>
      <w:r w:rsidRPr="006F34CD">
        <w:fldChar w:fldCharType="begin"/>
      </w:r>
      <w:r w:rsidRPr="006F34CD">
        <w:instrText xml:space="preserve"> SEQ level0 \*arabic </w:instrText>
      </w:r>
      <w:r w:rsidRPr="006F34CD">
        <w:fldChar w:fldCharType="separate"/>
      </w:r>
      <w:r w:rsidRPr="006F34CD" w:rsidR="006F34CD">
        <w:rPr>
          <w:noProof/>
        </w:rPr>
        <w:t>238</w:t>
      </w:r>
      <w:r w:rsidRPr="006F34CD">
        <w:fldChar w:fldCharType="end"/>
      </w:r>
      <w:r w:rsidRPr="006F34CD">
        <w:t>.  The third party, ADF International, submitted that the Russian authorities had enforced restrictions on religious minorities which had been often framed as protection against “extremism”. They referred, by way of example, to the 2016 “anti-terrorism” legislation which prohibited foreigners from engaging in “missionary activities” and required anyone engaged in “evangelisation” to carry permits that showed their connection to a registered religious group. The third party also provided a summary of the Court</w:t>
      </w:r>
      <w:r w:rsidRPr="006F34CD" w:rsidR="006F34CD">
        <w:t>’</w:t>
      </w:r>
      <w:r w:rsidRPr="006F34CD">
        <w:t>s case-law under Articles 9 and 14 of the Convention.</w:t>
      </w:r>
    </w:p>
    <w:p w:rsidRPr="006F34CD" w:rsidR="000D64DD" w:rsidP="006F34CD" w:rsidRDefault="000D64DD" w14:paraId="2DEA95FF" w14:textId="376B77CE">
      <w:pPr>
        <w:pStyle w:val="JuPara"/>
      </w:pPr>
      <w:r w:rsidRPr="006F34CD">
        <w:fldChar w:fldCharType="begin"/>
      </w:r>
      <w:r w:rsidRPr="006F34CD">
        <w:instrText xml:space="preserve"> SEQ level0 \*arabic </w:instrText>
      </w:r>
      <w:r w:rsidRPr="006F34CD">
        <w:fldChar w:fldCharType="separate"/>
      </w:r>
      <w:r w:rsidRPr="006F34CD" w:rsidR="006F34CD">
        <w:rPr>
          <w:noProof/>
        </w:rPr>
        <w:t>239</w:t>
      </w:r>
      <w:r w:rsidRPr="006F34CD">
        <w:fldChar w:fldCharType="end"/>
      </w:r>
      <w:r w:rsidRPr="006F34CD">
        <w:t xml:space="preserve">.  Responding to the </w:t>
      </w:r>
      <w:r w:rsidRPr="006F34CD" w:rsidR="00152339">
        <w:t>AFD International</w:t>
      </w:r>
      <w:r w:rsidRPr="006F34CD" w:rsidR="006F34CD">
        <w:t>’</w:t>
      </w:r>
      <w:r w:rsidRPr="006F34CD">
        <w:t>s submissions, the Government asserted that the allegations of undue pressure being brought to bear on religious minorities in Russia were unsubstantiated. In their view, holding a religious organisation liable for engaging in extremist activities did not violate the constitutional right to freedom of association.</w:t>
      </w:r>
    </w:p>
    <w:p w:rsidRPr="006F34CD" w:rsidR="000D64DD" w:rsidP="006F34CD" w:rsidRDefault="000D64DD" w14:paraId="1B8911A2" w14:textId="1C23938C">
      <w:pPr>
        <w:pStyle w:val="JuH1"/>
      </w:pPr>
      <w:bookmarkStart w:name="_Toc97301981" w:id="209"/>
      <w:r w:rsidRPr="006F34CD">
        <w:t>The Court</w:t>
      </w:r>
      <w:r w:rsidRPr="006F34CD" w:rsidR="006F34CD">
        <w:t>’</w:t>
      </w:r>
      <w:r w:rsidRPr="006F34CD">
        <w:t>s assessment</w:t>
      </w:r>
      <w:bookmarkEnd w:id="209"/>
    </w:p>
    <w:p w:rsidRPr="006F34CD" w:rsidR="00616919" w:rsidP="006F34CD" w:rsidRDefault="00616919" w14:paraId="74763DF4" w14:textId="77777777">
      <w:pPr>
        <w:pStyle w:val="JuHa0"/>
      </w:pPr>
      <w:bookmarkStart w:name="_Toc97301982" w:id="210"/>
      <w:r w:rsidRPr="006F34CD">
        <w:t>Existence of interference</w:t>
      </w:r>
      <w:bookmarkEnd w:id="210"/>
    </w:p>
    <w:p w:rsidRPr="006F34CD" w:rsidR="000D64DD" w:rsidP="006F34CD" w:rsidRDefault="00CB6108" w14:paraId="7733AC21" w14:textId="12FE607B">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240</w:t>
      </w:r>
      <w:r>
        <w:rPr>
          <w:noProof/>
        </w:rPr>
        <w:fldChar w:fldCharType="end"/>
      </w:r>
      <w:r w:rsidRPr="006F34CD" w:rsidR="00EF4352">
        <w:t>.  The Court holds that the forced dissolution of the Administrative Centre and the LROs of Jehovah</w:t>
      </w:r>
      <w:r w:rsidRPr="006F34CD" w:rsidR="006F34CD">
        <w:t>’</w:t>
      </w:r>
      <w:r w:rsidRPr="006F34CD" w:rsidR="00EF4352">
        <w:t>s Witnesses amounted to interference with these organisations</w:t>
      </w:r>
      <w:r w:rsidRPr="006F34CD" w:rsidR="006F34CD">
        <w:t>’</w:t>
      </w:r>
      <w:r w:rsidRPr="006F34CD" w:rsidR="00EF4352">
        <w:t xml:space="preserve"> and their members</w:t>
      </w:r>
      <w:r w:rsidRPr="006F34CD" w:rsidR="006F34CD">
        <w:t>’</w:t>
      </w:r>
      <w:r w:rsidRPr="006F34CD" w:rsidR="00EF4352">
        <w:t xml:space="preserve"> rights under Article 9 of the Convention, </w:t>
      </w:r>
      <w:r w:rsidRPr="006F34CD" w:rsidR="00312958">
        <w:t xml:space="preserve">read </w:t>
      </w:r>
      <w:r w:rsidRPr="006F34CD" w:rsidR="00EF4352">
        <w:t xml:space="preserve">in the light of Article 11. The dissolution decision had the effect of stripping the organisations of legal personality and preventing them from exercising a wide range of rights reserved under Russian law to registered religious organisations. It also deprived the individual applicants, as their members, of the right to manifest their religion in community with others and to carry out activities which were an integral element of their religious practice (see paragraph </w:t>
      </w:r>
      <w:r w:rsidRPr="006F34CD" w:rsidR="00EF4352">
        <w:fldChar w:fldCharType="begin"/>
      </w:r>
      <w:r w:rsidRPr="006F34CD" w:rsidR="006E5193">
        <w:instrText xml:space="preserve">REF paragraph00146 \h \* CharFormat </w:instrText>
      </w:r>
      <w:r w:rsidRPr="006F34CD" w:rsidR="00EF4352">
        <w:fldChar w:fldCharType="separate"/>
      </w:r>
      <w:r w:rsidRPr="006F34CD" w:rsidR="006F34CD">
        <w:t>146</w:t>
      </w:r>
      <w:r w:rsidRPr="006F34CD" w:rsidR="00EF4352">
        <w:fldChar w:fldCharType="end"/>
      </w:r>
      <w:r w:rsidRPr="006F34CD" w:rsidR="00EF4352">
        <w:t xml:space="preserve"> above).</w:t>
      </w:r>
    </w:p>
    <w:p w:rsidRPr="006F34CD" w:rsidR="00616919" w:rsidP="006F34CD" w:rsidRDefault="00616919" w14:paraId="145F5CCF" w14:textId="77777777">
      <w:pPr>
        <w:pStyle w:val="JuHa0"/>
      </w:pPr>
      <w:bookmarkStart w:name="_Toc97301983" w:id="211"/>
      <w:r w:rsidRPr="006F34CD">
        <w:t>Justification for the interference</w:t>
      </w:r>
      <w:bookmarkEnd w:id="211"/>
    </w:p>
    <w:p w:rsidRPr="006F34CD" w:rsidR="00EF4352" w:rsidP="006F34CD" w:rsidRDefault="00CB6108" w14:paraId="29783D8E" w14:textId="0F4F16FD">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241</w:t>
      </w:r>
      <w:r>
        <w:rPr>
          <w:noProof/>
        </w:rPr>
        <w:fldChar w:fldCharType="end"/>
      </w:r>
      <w:r w:rsidRPr="006F34CD" w:rsidR="00794D8B">
        <w:t xml:space="preserve">.  The Court refers to a summary of general principles </w:t>
      </w:r>
      <w:r w:rsidRPr="006F34CD" w:rsidR="00DB2C45">
        <w:t xml:space="preserve">concerning forced dissolution of associations </w:t>
      </w:r>
      <w:r w:rsidRPr="006F34CD" w:rsidR="00794D8B">
        <w:t xml:space="preserve">in paragraphs </w:t>
      </w:r>
      <w:r w:rsidRPr="006F34CD" w:rsidR="00794D8B">
        <w:fldChar w:fldCharType="begin"/>
      </w:r>
      <w:r w:rsidRPr="006F34CD" w:rsidR="006E5193">
        <w:instrText xml:space="preserve">REF paragraph00149 \h \* CharFormat </w:instrText>
      </w:r>
      <w:r w:rsidRPr="006F34CD" w:rsidR="00794D8B">
        <w:fldChar w:fldCharType="separate"/>
      </w:r>
      <w:r w:rsidRPr="006F34CD" w:rsidR="006F34CD">
        <w:t>149</w:t>
      </w:r>
      <w:r w:rsidRPr="006F34CD" w:rsidR="00794D8B">
        <w:fldChar w:fldCharType="end"/>
      </w:r>
      <w:r w:rsidRPr="006F34CD" w:rsidR="00794D8B">
        <w:t xml:space="preserve"> and </w:t>
      </w:r>
      <w:r w:rsidRPr="006F34CD" w:rsidR="00794D8B">
        <w:fldChar w:fldCharType="begin"/>
      </w:r>
      <w:r w:rsidRPr="006F34CD" w:rsidR="006E5193">
        <w:instrText xml:space="preserve">REF paragraph00150 \h \* CharFormat </w:instrText>
      </w:r>
      <w:r w:rsidRPr="006F34CD" w:rsidR="00794D8B">
        <w:fldChar w:fldCharType="separate"/>
      </w:r>
      <w:r w:rsidRPr="006F34CD" w:rsidR="006F34CD">
        <w:t>150</w:t>
      </w:r>
      <w:r w:rsidRPr="006F34CD" w:rsidR="00794D8B">
        <w:fldChar w:fldCharType="end"/>
      </w:r>
      <w:r w:rsidRPr="006F34CD" w:rsidR="00794D8B">
        <w:t xml:space="preserve"> above. It emphasises that the right of believers to freedom of religion encompasses the expectation that believers will be allowed to associate </w:t>
      </w:r>
      <w:r w:rsidRPr="006F34CD" w:rsidR="00E16DB2">
        <w:t xml:space="preserve">freely, </w:t>
      </w:r>
      <w:r w:rsidRPr="006F34CD" w:rsidR="00794D8B">
        <w:t xml:space="preserve">without arbitrary State intervention, and that </w:t>
      </w:r>
      <w:r w:rsidRPr="006F34CD" w:rsidR="000E60CB">
        <w:t>the dissolution of an existing religious organisation requires very serious reasons by way of justification in order to be recognised as “necessary in a democratic society” (see</w:t>
      </w:r>
      <w:r w:rsidRPr="006F34CD" w:rsidR="000E60CB">
        <w:rPr>
          <w:i/>
        </w:rPr>
        <w:t xml:space="preserve"> Biblical Centre of the Chuvash Republic</w:t>
      </w:r>
      <w:r w:rsidRPr="006F34CD" w:rsidR="000E60CB">
        <w:t xml:space="preserve">, cited above, </w:t>
      </w:r>
      <w:r w:rsidRPr="006F34CD" w:rsidR="006541A0">
        <w:t>§ 5</w:t>
      </w:r>
      <w:r w:rsidRPr="006F34CD" w:rsidR="000E60CB">
        <w:t>4).</w:t>
      </w:r>
      <w:r w:rsidRPr="006F34CD" w:rsidR="00FD3A95">
        <w:t xml:space="preserve"> It also reiterates that the principle of effectiveness – an overarching principle of the Convention underlying every Convention provision securing a human right – requires that</w:t>
      </w:r>
      <w:r w:rsidRPr="006F34CD" w:rsidR="00A32177">
        <w:t xml:space="preserve"> all human rights enshrined and guaranteed therein must be protected practically and effectively and not in a theoretical or illusory manner</w:t>
      </w:r>
      <w:r w:rsidRPr="006F34CD" w:rsidR="00FD3A95">
        <w:t>.</w:t>
      </w:r>
    </w:p>
    <w:bookmarkStart w:name="paragraph00242" w:id="212"/>
    <w:p w:rsidRPr="006F34CD" w:rsidR="00587DCF" w:rsidP="006F34CD" w:rsidRDefault="007146F9" w14:paraId="3049DABB" w14:textId="6C381D5C">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242</w:t>
      </w:r>
      <w:r w:rsidRPr="006F34CD">
        <w:rPr>
          <w:noProof/>
        </w:rPr>
        <w:fldChar w:fldCharType="end"/>
      </w:r>
      <w:bookmarkEnd w:id="212"/>
      <w:r w:rsidRPr="006F34CD" w:rsidR="0025367E">
        <w:t>.  </w:t>
      </w:r>
      <w:r w:rsidRPr="006F34CD" w:rsidR="00F80446">
        <w:t xml:space="preserve">The </w:t>
      </w:r>
      <w:r w:rsidRPr="006F34CD" w:rsidR="0025367E">
        <w:t xml:space="preserve">decision on the forced dissolution of the Administrative Centre and the LROs </w:t>
      </w:r>
      <w:r w:rsidRPr="006F34CD" w:rsidR="00F80446">
        <w:t>relied crucially</w:t>
      </w:r>
      <w:r w:rsidRPr="006F34CD" w:rsidR="0025367E">
        <w:t xml:space="preserve"> on earlier decisions </w:t>
      </w:r>
      <w:r w:rsidRPr="006F34CD" w:rsidR="00F80446">
        <w:t>to ban the LROs of Jehovah</w:t>
      </w:r>
      <w:r w:rsidRPr="006F34CD" w:rsidR="006F34CD">
        <w:t>’</w:t>
      </w:r>
      <w:r w:rsidRPr="006F34CD" w:rsidR="00F80446">
        <w:t>s Witnesses and to declare their publications “extremist”. Since the Court has found that these earlier decisions violated the applicants</w:t>
      </w:r>
      <w:r w:rsidRPr="006F34CD" w:rsidR="006F34CD">
        <w:t>’</w:t>
      </w:r>
      <w:r w:rsidRPr="006F34CD" w:rsidR="00F80446">
        <w:t xml:space="preserve"> Convention rights because they lacked a sufficiently foreseeable legal basis (see paragraphs </w:t>
      </w:r>
      <w:r w:rsidRPr="006F34CD" w:rsidR="00F80446">
        <w:fldChar w:fldCharType="begin"/>
      </w:r>
      <w:r w:rsidRPr="006F34CD" w:rsidR="009770B2">
        <w:instrText xml:space="preserve">REF paragraph00188 \h \* CharFormat </w:instrText>
      </w:r>
      <w:r w:rsidRPr="006F34CD" w:rsidR="00F80446">
        <w:fldChar w:fldCharType="separate"/>
      </w:r>
      <w:r w:rsidRPr="006F34CD" w:rsidR="006F34CD">
        <w:t>189</w:t>
      </w:r>
      <w:r w:rsidRPr="006F34CD" w:rsidR="00F80446">
        <w:fldChar w:fldCharType="end"/>
      </w:r>
      <w:r w:rsidRPr="006F34CD" w:rsidR="00F80446">
        <w:t xml:space="preserve"> and </w:t>
      </w:r>
      <w:r w:rsidRPr="006F34CD" w:rsidR="00F80446">
        <w:fldChar w:fldCharType="begin"/>
      </w:r>
      <w:r w:rsidRPr="006F34CD" w:rsidR="006E5193">
        <w:instrText xml:space="preserve">REF paragraph00207 \h \* CharFormat </w:instrText>
      </w:r>
      <w:r w:rsidRPr="006F34CD" w:rsidR="00F80446">
        <w:fldChar w:fldCharType="separate"/>
      </w:r>
      <w:r w:rsidRPr="006F34CD" w:rsidR="006F34CD">
        <w:t>207</w:t>
      </w:r>
      <w:r w:rsidRPr="006F34CD" w:rsidR="00F80446">
        <w:fldChar w:fldCharType="end"/>
      </w:r>
      <w:r w:rsidRPr="006F34CD" w:rsidR="00F80446">
        <w:t xml:space="preserve"> above),</w:t>
      </w:r>
      <w:r w:rsidRPr="006F34CD" w:rsidR="0025367E">
        <w:t xml:space="preserve"> </w:t>
      </w:r>
      <w:r w:rsidRPr="006F34CD" w:rsidR="00F80446">
        <w:t xml:space="preserve">this finding also vitiates the dissolution decision. </w:t>
      </w:r>
      <w:r w:rsidRPr="006F34CD" w:rsidR="0018104A">
        <w:t>Nevertheless, it considers the applicants</w:t>
      </w:r>
      <w:r w:rsidRPr="006F34CD" w:rsidR="006F34CD">
        <w:t>’</w:t>
      </w:r>
      <w:r w:rsidRPr="006F34CD" w:rsidR="0018104A">
        <w:t xml:space="preserve"> claim that the dissolution decision was “the culmination of the State</w:t>
      </w:r>
      <w:r w:rsidRPr="006F34CD" w:rsidR="006F34CD">
        <w:t>’</w:t>
      </w:r>
      <w:r w:rsidRPr="006F34CD" w:rsidR="0018104A">
        <w:t>s decades-long attack against Jehovah</w:t>
      </w:r>
      <w:r w:rsidRPr="006F34CD" w:rsidR="006F34CD">
        <w:t>’</w:t>
      </w:r>
      <w:r w:rsidRPr="006F34CD" w:rsidR="0018104A">
        <w:t>s Witnesses to silence and outlaw a peaceful religious minority” to be sufficiently serious to warrant an examination of its merits</w:t>
      </w:r>
      <w:r w:rsidRPr="006F34CD" w:rsidR="009976A3">
        <w:t xml:space="preserve"> from the standpoint of the requirement that the authorities must in good faith fulfil the duty of neutrality and impartiality towards all religious organisations (see the case-law cited in paragraph </w:t>
      </w:r>
      <w:r w:rsidRPr="006F34CD" w:rsidR="009976A3">
        <w:fldChar w:fldCharType="begin"/>
      </w:r>
      <w:r w:rsidRPr="006F34CD" w:rsidR="006E5193">
        <w:instrText xml:space="preserve">REF paragraph00187 \h \* CharFormat </w:instrText>
      </w:r>
      <w:r w:rsidRPr="006F34CD" w:rsidR="009976A3">
        <w:fldChar w:fldCharType="separate"/>
      </w:r>
      <w:r w:rsidRPr="006F34CD" w:rsidR="006F34CD">
        <w:t>187</w:t>
      </w:r>
      <w:r w:rsidRPr="006F34CD" w:rsidR="009976A3">
        <w:fldChar w:fldCharType="end"/>
      </w:r>
      <w:r w:rsidRPr="006F34CD" w:rsidR="009976A3">
        <w:t xml:space="preserve"> above)</w:t>
      </w:r>
      <w:r w:rsidRPr="006F34CD" w:rsidR="0018104A">
        <w:t>.</w:t>
      </w:r>
    </w:p>
    <w:p w:rsidRPr="006F34CD" w:rsidR="00EC02E0" w:rsidP="006F34CD" w:rsidRDefault="00CB6108" w14:paraId="59A16568" w14:textId="6FFAA21E">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243</w:t>
      </w:r>
      <w:r>
        <w:rPr>
          <w:noProof/>
        </w:rPr>
        <w:fldChar w:fldCharType="end"/>
      </w:r>
      <w:r w:rsidRPr="006F34CD" w:rsidR="009976A3">
        <w:t>.  </w:t>
      </w:r>
      <w:r w:rsidRPr="006F34CD" w:rsidR="00047C93">
        <w:t xml:space="preserve">The Court stresses that </w:t>
      </w:r>
      <w:r w:rsidRPr="006F34CD" w:rsidR="000D64DD">
        <w:t xml:space="preserve">legal formalities should not be used to hinder the freedom of association of groups disliked by the authorities or advocating ideas that the authorities would like to suppress. </w:t>
      </w:r>
      <w:r w:rsidRPr="006F34CD" w:rsidR="00047C93">
        <w:t>I</w:t>
      </w:r>
      <w:r w:rsidRPr="006F34CD" w:rsidR="000D64DD">
        <w:t>n cases where the circumstances are such as to raise doubts in that regard, the Court must verify whether an apparently neutral measure interfering with an organisation</w:t>
      </w:r>
      <w:r w:rsidRPr="006F34CD" w:rsidR="006F34CD">
        <w:t>’</w:t>
      </w:r>
      <w:r w:rsidRPr="006F34CD" w:rsidR="000D64DD">
        <w:t>s activities in effect seeks to penalise it on account of the views that it promotes (see</w:t>
      </w:r>
      <w:r w:rsidRPr="006F34CD" w:rsidR="00047C93">
        <w:t xml:space="preserve"> </w:t>
      </w:r>
      <w:r w:rsidRPr="006F34CD" w:rsidR="000D64DD">
        <w:rPr>
          <w:i/>
        </w:rPr>
        <w:t>The United Macedonian Organisation Ilinden – PIRIN and Others v. Bulgaria (no. 2)</w:t>
      </w:r>
      <w:r w:rsidRPr="006F34CD" w:rsidR="000D64DD">
        <w:t>, nos. 41561/07 and 20972/08, § 83, 18 October 2011).</w:t>
      </w:r>
      <w:r w:rsidRPr="006F34CD" w:rsidR="009976A3">
        <w:t xml:space="preserve"> </w:t>
      </w:r>
      <w:r w:rsidRPr="006F34CD" w:rsidR="00C564BC">
        <w:t>To consider the applicants</w:t>
      </w:r>
      <w:r w:rsidRPr="006F34CD" w:rsidR="006F34CD">
        <w:t>’</w:t>
      </w:r>
      <w:r w:rsidRPr="006F34CD" w:rsidR="00C564BC">
        <w:t xml:space="preserve"> </w:t>
      </w:r>
      <w:r w:rsidRPr="006F34CD" w:rsidR="009976A3">
        <w:t>allegation</w:t>
      </w:r>
      <w:r w:rsidRPr="006F34CD" w:rsidR="00C564BC">
        <w:t xml:space="preserve"> that </w:t>
      </w:r>
      <w:r w:rsidRPr="006F34CD" w:rsidR="009976A3">
        <w:t>the Russian authorities singled out Jehovah</w:t>
      </w:r>
      <w:r w:rsidRPr="006F34CD" w:rsidR="006F34CD">
        <w:t>’</w:t>
      </w:r>
      <w:r w:rsidRPr="006F34CD" w:rsidR="009976A3">
        <w:t xml:space="preserve">s Witnesses for a campaign of harassment and persecution, </w:t>
      </w:r>
      <w:r w:rsidRPr="006F34CD" w:rsidR="00C564BC">
        <w:t xml:space="preserve">the Court will need to </w:t>
      </w:r>
      <w:r w:rsidRPr="006F34CD" w:rsidR="005022F9">
        <w:t xml:space="preserve">review </w:t>
      </w:r>
      <w:r w:rsidRPr="006F34CD" w:rsidR="00105B08">
        <w:t xml:space="preserve">the sequence of events in their entirety, rather than as separate and distinct incidents, in </w:t>
      </w:r>
      <w:r w:rsidRPr="006F34CD" w:rsidR="00C564BC">
        <w:t xml:space="preserve">order to place </w:t>
      </w:r>
      <w:r w:rsidRPr="006F34CD" w:rsidR="002A38DC">
        <w:t>the interference</w:t>
      </w:r>
      <w:r w:rsidRPr="006F34CD" w:rsidR="00C564BC">
        <w:t xml:space="preserve"> in its proper context</w:t>
      </w:r>
      <w:r w:rsidRPr="006F34CD" w:rsidR="00105B08">
        <w:t xml:space="preserve"> (see </w:t>
      </w:r>
      <w:r w:rsidRPr="006F34CD" w:rsidR="00105B08">
        <w:rPr>
          <w:i/>
        </w:rPr>
        <w:t>Ivanova v. Bulgaria</w:t>
      </w:r>
      <w:r w:rsidRPr="006F34CD" w:rsidR="00105B08">
        <w:t>, no. 52435/99, § 83, 12 April 2007)</w:t>
      </w:r>
      <w:r w:rsidRPr="006F34CD" w:rsidR="00C564BC">
        <w:t>.</w:t>
      </w:r>
    </w:p>
    <w:p w:rsidRPr="006F34CD" w:rsidR="000D64DD" w:rsidP="006F34CD" w:rsidRDefault="00CB6108" w14:paraId="1FBC1E4D" w14:textId="0D71040B">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244</w:t>
      </w:r>
      <w:r>
        <w:rPr>
          <w:noProof/>
        </w:rPr>
        <w:fldChar w:fldCharType="end"/>
      </w:r>
      <w:r w:rsidRPr="006F34CD" w:rsidR="000D64DD">
        <w:t xml:space="preserve">.  Since their </w:t>
      </w:r>
      <w:r w:rsidRPr="006F34CD" w:rsidR="00E560E0">
        <w:t>emergence</w:t>
      </w:r>
      <w:r w:rsidRPr="006F34CD" w:rsidR="000D64DD">
        <w:t xml:space="preserve"> in the late nineteenth century Jehovah</w:t>
      </w:r>
      <w:r w:rsidRPr="006F34CD" w:rsidR="006F34CD">
        <w:t>’</w:t>
      </w:r>
      <w:r w:rsidRPr="006F34CD" w:rsidR="000D64DD">
        <w:t xml:space="preserve">s Witnesses have established a legal presence in many </w:t>
      </w:r>
      <w:r w:rsidRPr="006F34CD" w:rsidR="00A70E64">
        <w:t>parts</w:t>
      </w:r>
      <w:r w:rsidRPr="006F34CD" w:rsidR="00E560E0">
        <w:t xml:space="preserve"> in the world</w:t>
      </w:r>
      <w:r w:rsidRPr="006F34CD" w:rsidR="000D64DD">
        <w:t>, including all European States which are now members of the Council of Europe</w:t>
      </w:r>
      <w:r w:rsidRPr="006F34CD" w:rsidR="00C91FC7">
        <w:t>. In those States</w:t>
      </w:r>
      <w:r w:rsidRPr="006F34CD" w:rsidR="00D15348">
        <w:t>,</w:t>
      </w:r>
      <w:r w:rsidRPr="006F34CD" w:rsidR="00C91FC7">
        <w:t xml:space="preserve"> </w:t>
      </w:r>
      <w:r w:rsidRPr="006F34CD" w:rsidR="00FB53B5">
        <w:t xml:space="preserve">they have been allowed to practise their religion in community with others, although they may have experienced delays and difficulties in obtaining formal recognition (see, among others, </w:t>
      </w:r>
      <w:r w:rsidRPr="006F34CD" w:rsidR="00FB53B5">
        <w:rPr>
          <w:i/>
          <w:iCs/>
        </w:rPr>
        <w:t>Jehovah</w:t>
      </w:r>
      <w:r w:rsidRPr="006F34CD" w:rsidR="006F34CD">
        <w:rPr>
          <w:i/>
          <w:iCs/>
        </w:rPr>
        <w:t>’</w:t>
      </w:r>
      <w:r w:rsidRPr="006F34CD" w:rsidR="00FB53B5">
        <w:rPr>
          <w:i/>
          <w:iCs/>
        </w:rPr>
        <w:t>s Witnesses of Moscow and Others</w:t>
      </w:r>
      <w:r w:rsidRPr="006F34CD" w:rsidR="00FB53B5">
        <w:t>, cited above, § 155).</w:t>
      </w:r>
      <w:r w:rsidRPr="006F34CD" w:rsidR="006A1E2B">
        <w:rPr>
          <w:iCs/>
        </w:rPr>
        <w:t xml:space="preserve"> </w:t>
      </w:r>
      <w:r w:rsidRPr="006F34CD" w:rsidR="00B27DCE">
        <w:t>Since the early 1990s</w:t>
      </w:r>
      <w:r w:rsidRPr="006F34CD" w:rsidR="000D64DD">
        <w:t xml:space="preserve"> Jehovah</w:t>
      </w:r>
      <w:r w:rsidRPr="006F34CD" w:rsidR="006F34CD">
        <w:t>’</w:t>
      </w:r>
      <w:r w:rsidRPr="006F34CD" w:rsidR="000D64DD">
        <w:t xml:space="preserve">s Witnesses </w:t>
      </w:r>
      <w:r w:rsidRPr="006F34CD" w:rsidR="00B27DCE">
        <w:t>had</w:t>
      </w:r>
      <w:r w:rsidRPr="006F34CD" w:rsidR="00AA2B92">
        <w:t xml:space="preserve"> </w:t>
      </w:r>
      <w:r w:rsidRPr="006F34CD" w:rsidR="00B27DCE">
        <w:t xml:space="preserve">also been </w:t>
      </w:r>
      <w:r w:rsidRPr="006F34CD" w:rsidR="00E560E0">
        <w:t>allowed</w:t>
      </w:r>
      <w:r w:rsidRPr="006F34CD" w:rsidR="000D64DD">
        <w:t xml:space="preserve"> to practi</w:t>
      </w:r>
      <w:r w:rsidRPr="006F34CD" w:rsidR="00E560E0">
        <w:t>c</w:t>
      </w:r>
      <w:r w:rsidRPr="006F34CD" w:rsidR="000D64DD">
        <w:t xml:space="preserve">e their religion </w:t>
      </w:r>
      <w:r w:rsidRPr="006F34CD" w:rsidR="00E560E0">
        <w:t xml:space="preserve">lawfully </w:t>
      </w:r>
      <w:r w:rsidRPr="006F34CD" w:rsidR="00B27DCE">
        <w:t xml:space="preserve">in Russia </w:t>
      </w:r>
      <w:r w:rsidRPr="006F34CD" w:rsidR="000D64DD">
        <w:t xml:space="preserve">and </w:t>
      </w:r>
      <w:r w:rsidRPr="006F34CD" w:rsidR="00E560E0">
        <w:t>register</w:t>
      </w:r>
      <w:r w:rsidRPr="006F34CD" w:rsidR="00A94B8F">
        <w:t xml:space="preserve"> their</w:t>
      </w:r>
      <w:r w:rsidRPr="006F34CD" w:rsidR="000D64DD">
        <w:t xml:space="preserve"> religious organisations at </w:t>
      </w:r>
      <w:r w:rsidRPr="006F34CD" w:rsidR="00E560E0">
        <w:t xml:space="preserve">the </w:t>
      </w:r>
      <w:r w:rsidRPr="006F34CD" w:rsidR="000D64DD">
        <w:t>federal and regional level</w:t>
      </w:r>
      <w:r w:rsidRPr="006F34CD" w:rsidR="00E560E0">
        <w:t>s</w:t>
      </w:r>
      <w:r w:rsidRPr="006F34CD" w:rsidR="000D64DD">
        <w:t xml:space="preserve">. </w:t>
      </w:r>
      <w:r w:rsidRPr="006F34CD" w:rsidR="00AA2B92">
        <w:t>Almost four hundred local regional organisations of Jehovah</w:t>
      </w:r>
      <w:r w:rsidRPr="006F34CD" w:rsidR="006F34CD">
        <w:t>’</w:t>
      </w:r>
      <w:r w:rsidRPr="006F34CD" w:rsidR="00AA2B92">
        <w:t xml:space="preserve">s Witnesses </w:t>
      </w:r>
      <w:r w:rsidRPr="006F34CD" w:rsidR="00217F5B">
        <w:t>were</w:t>
      </w:r>
      <w:r w:rsidRPr="006F34CD" w:rsidR="00AA2B92">
        <w:t xml:space="preserve"> </w:t>
      </w:r>
      <w:r w:rsidRPr="006F34CD" w:rsidR="00A90B43">
        <w:t xml:space="preserve">established </w:t>
      </w:r>
      <w:r w:rsidRPr="006F34CD" w:rsidR="00E560E0">
        <w:t>throughout</w:t>
      </w:r>
      <w:r w:rsidRPr="006F34CD" w:rsidR="00A90B43">
        <w:t xml:space="preserve"> </w:t>
      </w:r>
      <w:r w:rsidRPr="006F34CD" w:rsidR="00AA2B92">
        <w:t>Russi</w:t>
      </w:r>
      <w:r w:rsidRPr="006F34CD" w:rsidR="00A90B43">
        <w:t>a</w:t>
      </w:r>
      <w:r w:rsidRPr="006F34CD" w:rsidR="00AA2B92">
        <w:t xml:space="preserve"> (ibid., </w:t>
      </w:r>
      <w:r w:rsidRPr="006F34CD" w:rsidR="00BC0864">
        <w:t>§ 1</w:t>
      </w:r>
      <w:r w:rsidRPr="006F34CD" w:rsidR="00AA2B92">
        <w:t>56).</w:t>
      </w:r>
    </w:p>
    <w:p w:rsidRPr="006F34CD" w:rsidR="00A90B43" w:rsidP="006F34CD" w:rsidRDefault="00CB6108" w14:paraId="0EE32972" w14:textId="538864F4">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245</w:t>
      </w:r>
      <w:r>
        <w:rPr>
          <w:noProof/>
        </w:rPr>
        <w:fldChar w:fldCharType="end"/>
      </w:r>
      <w:r w:rsidRPr="006F34CD" w:rsidR="00A90B43">
        <w:t>.  </w:t>
      </w:r>
      <w:r w:rsidRPr="006F34CD" w:rsidR="00E560E0">
        <w:t>After</w:t>
      </w:r>
      <w:r w:rsidRPr="006F34CD" w:rsidR="00A90B43">
        <w:t xml:space="preserve"> the </w:t>
      </w:r>
      <w:r w:rsidRPr="006F34CD" w:rsidR="00B6298D">
        <w:t>introduction</w:t>
      </w:r>
      <w:r w:rsidRPr="006F34CD" w:rsidR="00A90B43">
        <w:t xml:space="preserve"> of the new Religions Act which </w:t>
      </w:r>
      <w:r w:rsidRPr="006F34CD" w:rsidR="00B6298D">
        <w:t>required</w:t>
      </w:r>
      <w:r w:rsidRPr="006F34CD" w:rsidR="00A90B43">
        <w:t xml:space="preserve"> religious organisations</w:t>
      </w:r>
      <w:r w:rsidRPr="006F34CD" w:rsidR="005F2A19">
        <w:t xml:space="preserve"> to apply for new registration</w:t>
      </w:r>
      <w:r w:rsidRPr="006F34CD" w:rsidR="00A90B43">
        <w:t>, Jehovah</w:t>
      </w:r>
      <w:r w:rsidRPr="006F34CD" w:rsidR="006F34CD">
        <w:t>’</w:t>
      </w:r>
      <w:r w:rsidRPr="006F34CD" w:rsidR="00A90B43">
        <w:t xml:space="preserve">s Witnesses appear to have been singled out for a differential treatment, </w:t>
      </w:r>
      <w:r w:rsidRPr="006F34CD" w:rsidR="00B6298D">
        <w:t>along</w:t>
      </w:r>
      <w:r w:rsidRPr="006F34CD" w:rsidR="00A90B43">
        <w:t xml:space="preserve"> with other religious organisations </w:t>
      </w:r>
      <w:r w:rsidRPr="006F34CD" w:rsidR="00B6298D">
        <w:t>deemed to be</w:t>
      </w:r>
      <w:r w:rsidRPr="006F34CD" w:rsidR="00A90B43">
        <w:t xml:space="preserve"> “non-traditional religions”, including </w:t>
      </w:r>
      <w:r w:rsidRPr="006F34CD" w:rsidR="00B6298D">
        <w:t>t</w:t>
      </w:r>
      <w:r w:rsidRPr="006F34CD" w:rsidR="00A90B43">
        <w:t xml:space="preserve">he Salvation Army and the Church of Scientology. The Court found that they had </w:t>
      </w:r>
      <w:r w:rsidRPr="006F34CD" w:rsidR="00B6298D">
        <w:t xml:space="preserve">all </w:t>
      </w:r>
      <w:r w:rsidRPr="006F34CD" w:rsidR="00A90B43">
        <w:t xml:space="preserve">been denied </w:t>
      </w:r>
      <w:r w:rsidRPr="006F34CD" w:rsidR="005F2A19">
        <w:t xml:space="preserve">new </w:t>
      </w:r>
      <w:r w:rsidRPr="006F34CD" w:rsidR="00A90B43">
        <w:t xml:space="preserve">registration on spurious legal grounds and that, in doing so, the </w:t>
      </w:r>
      <w:r w:rsidRPr="006F34CD" w:rsidR="00E560E0">
        <w:t xml:space="preserve">Russian </w:t>
      </w:r>
      <w:r w:rsidRPr="006F34CD" w:rsidR="00A90B43">
        <w:t>authorities</w:t>
      </w:r>
      <w:r w:rsidRPr="006F34CD" w:rsidR="00F81B67">
        <w:t xml:space="preserve"> in the capital city of Moscow</w:t>
      </w:r>
      <w:r w:rsidRPr="006F34CD" w:rsidR="00A90B43">
        <w:t xml:space="preserve"> had not </w:t>
      </w:r>
      <w:r w:rsidRPr="006F34CD" w:rsidR="00075CE6">
        <w:t>“</w:t>
      </w:r>
      <w:r w:rsidRPr="006F34CD" w:rsidR="00A90B43">
        <w:t>acted in good faith</w:t>
      </w:r>
      <w:r w:rsidRPr="006F34CD" w:rsidR="00075CE6">
        <w:t>”</w:t>
      </w:r>
      <w:r w:rsidRPr="006F34CD" w:rsidR="00A90B43">
        <w:t xml:space="preserve"> and had </w:t>
      </w:r>
      <w:r w:rsidRPr="006F34CD" w:rsidR="00075CE6">
        <w:t>“</w:t>
      </w:r>
      <w:r w:rsidRPr="006F34CD" w:rsidR="00A90B43">
        <w:t>neglected their duty of neutrality and impartiality</w:t>
      </w:r>
      <w:r w:rsidRPr="006F34CD" w:rsidR="00075CE6">
        <w:t>”</w:t>
      </w:r>
      <w:r w:rsidRPr="006F34CD" w:rsidR="00A90B43">
        <w:t xml:space="preserve"> (see</w:t>
      </w:r>
      <w:r w:rsidRPr="006F34CD" w:rsidR="00A90B43">
        <w:rPr>
          <w:i/>
        </w:rPr>
        <w:t xml:space="preserve"> </w:t>
      </w:r>
      <w:r w:rsidRPr="006F34CD" w:rsidR="00735EF4">
        <w:rPr>
          <w:i/>
        </w:rPr>
        <w:t>Moscow Branch of the Salvation Army</w:t>
      </w:r>
      <w:r w:rsidRPr="006F34CD" w:rsidR="00BC0864">
        <w:rPr>
          <w:i/>
        </w:rPr>
        <w:t xml:space="preserve"> v. R</w:t>
      </w:r>
      <w:r w:rsidRPr="006F34CD" w:rsidR="00735EF4">
        <w:rPr>
          <w:i/>
        </w:rPr>
        <w:t>ussia</w:t>
      </w:r>
      <w:r w:rsidRPr="006F34CD" w:rsidR="00735EF4">
        <w:t xml:space="preserve">, </w:t>
      </w:r>
      <w:r w:rsidRPr="006F34CD" w:rsidR="00BC0864">
        <w:t>no. 7</w:t>
      </w:r>
      <w:r w:rsidRPr="006F34CD" w:rsidR="00735EF4">
        <w:t>2881/01, § 97, ECHR 2006</w:t>
      </w:r>
      <w:r w:rsidRPr="006F34CD" w:rsidR="00735EF4">
        <w:noBreakHyphen/>
        <w:t>XI;</w:t>
      </w:r>
      <w:r w:rsidRPr="006F34CD" w:rsidR="00735EF4">
        <w:rPr>
          <w:i/>
        </w:rPr>
        <w:t xml:space="preserve"> </w:t>
      </w:r>
      <w:r w:rsidRPr="006F34CD" w:rsidR="00A90B43">
        <w:rPr>
          <w:i/>
        </w:rPr>
        <w:t>Church of Scientology Moscow</w:t>
      </w:r>
      <w:r w:rsidRPr="006F34CD" w:rsidR="00BC0864">
        <w:rPr>
          <w:i/>
        </w:rPr>
        <w:t xml:space="preserve"> v. R</w:t>
      </w:r>
      <w:r w:rsidRPr="006F34CD" w:rsidR="00A90B43">
        <w:rPr>
          <w:i/>
        </w:rPr>
        <w:t>ussia</w:t>
      </w:r>
      <w:r w:rsidRPr="006F34CD" w:rsidR="00A90B43">
        <w:t xml:space="preserve">, </w:t>
      </w:r>
      <w:r w:rsidRPr="006F34CD" w:rsidR="00BC0864">
        <w:t>no. 1</w:t>
      </w:r>
      <w:r w:rsidRPr="006F34CD" w:rsidR="00A90B43">
        <w:t xml:space="preserve">8147/02, § 97, </w:t>
      </w:r>
      <w:r w:rsidRPr="006F34CD" w:rsidR="00BC0864">
        <w:t>5 April 2007</w:t>
      </w:r>
      <w:r w:rsidRPr="006F34CD" w:rsidR="00A90B43">
        <w:t>; and</w:t>
      </w:r>
      <w:r w:rsidRPr="006F34CD" w:rsidR="00735EF4">
        <w:rPr>
          <w:i/>
          <w:iCs/>
        </w:rPr>
        <w:t xml:space="preserve"> Jehovah</w:t>
      </w:r>
      <w:r w:rsidRPr="006F34CD" w:rsidR="006F34CD">
        <w:rPr>
          <w:i/>
          <w:iCs/>
        </w:rPr>
        <w:t>’</w:t>
      </w:r>
      <w:r w:rsidRPr="006F34CD" w:rsidR="00735EF4">
        <w:rPr>
          <w:i/>
          <w:iCs/>
        </w:rPr>
        <w:t>s Witnesses of Moscow and Others</w:t>
      </w:r>
      <w:r w:rsidRPr="006F34CD" w:rsidR="00735EF4">
        <w:t>, cited above, §</w:t>
      </w:r>
      <w:r w:rsidRPr="006F34CD" w:rsidR="00BC0864">
        <w:t>§ 1</w:t>
      </w:r>
      <w:r w:rsidRPr="006F34CD" w:rsidR="00735EF4">
        <w:t>57 and 181</w:t>
      </w:r>
      <w:r w:rsidRPr="006F34CD" w:rsidR="00A90B43">
        <w:t>).</w:t>
      </w:r>
    </w:p>
    <w:p w:rsidRPr="006F34CD" w:rsidR="00D77013" w:rsidP="006F34CD" w:rsidRDefault="00CB6108" w14:paraId="3BB9BA1B" w14:textId="0BE6FB07">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246</w:t>
      </w:r>
      <w:r>
        <w:rPr>
          <w:noProof/>
        </w:rPr>
        <w:fldChar w:fldCharType="end"/>
      </w:r>
      <w:r w:rsidRPr="006F34CD" w:rsidR="00D77013">
        <w:t>.  </w:t>
      </w:r>
      <w:r w:rsidRPr="006F34CD" w:rsidR="00B106E4">
        <w:t xml:space="preserve">In parallel, the authorities had instituted forced dissolution proceedings </w:t>
      </w:r>
      <w:r w:rsidRPr="006F34CD" w:rsidR="004A1749">
        <w:t xml:space="preserve">against the </w:t>
      </w:r>
      <w:r w:rsidRPr="006F34CD" w:rsidR="00F81B67">
        <w:t xml:space="preserve">Moscow </w:t>
      </w:r>
      <w:r w:rsidRPr="006F34CD" w:rsidR="00B106E4">
        <w:t>organisation</w:t>
      </w:r>
      <w:r w:rsidRPr="006F34CD" w:rsidR="004A1749">
        <w:t xml:space="preserve"> of Jehovah</w:t>
      </w:r>
      <w:r w:rsidRPr="006F34CD" w:rsidR="006F34CD">
        <w:t>’</w:t>
      </w:r>
      <w:r w:rsidRPr="006F34CD" w:rsidR="004A1749">
        <w:t>s Witnesses</w:t>
      </w:r>
      <w:r w:rsidRPr="006F34CD" w:rsidR="00F81B67">
        <w:t xml:space="preserve"> </w:t>
      </w:r>
      <w:r w:rsidRPr="006F34CD" w:rsidR="005B6EF6">
        <w:t>under</w:t>
      </w:r>
      <w:r w:rsidRPr="006F34CD" w:rsidR="00AB4885">
        <w:t xml:space="preserve"> the provisions of the </w:t>
      </w:r>
      <w:r w:rsidRPr="006F34CD" w:rsidR="00B106E4">
        <w:t xml:space="preserve">new </w:t>
      </w:r>
      <w:r w:rsidRPr="006F34CD" w:rsidR="00AB4885">
        <w:t>Religions Act. The</w:t>
      </w:r>
      <w:r w:rsidRPr="006F34CD" w:rsidR="00B106E4">
        <w:t xml:space="preserve"> proceedings</w:t>
      </w:r>
      <w:r w:rsidRPr="006F34CD" w:rsidR="004A1749">
        <w:t xml:space="preserve"> ended </w:t>
      </w:r>
      <w:r w:rsidRPr="006F34CD" w:rsidR="00AB4885">
        <w:t xml:space="preserve">in 2004 </w:t>
      </w:r>
      <w:r w:rsidRPr="006F34CD" w:rsidR="004A1749">
        <w:t xml:space="preserve">with </w:t>
      </w:r>
      <w:r w:rsidRPr="006F34CD" w:rsidR="00B106E4">
        <w:t>a decision on the forced dissolution of</w:t>
      </w:r>
      <w:r w:rsidRPr="006F34CD" w:rsidR="004A1749">
        <w:t xml:space="preserve"> the organisation and a permanent ban on its activities (see </w:t>
      </w:r>
      <w:r w:rsidRPr="006F34CD" w:rsidR="004A1749">
        <w:rPr>
          <w:i/>
          <w:iCs/>
        </w:rPr>
        <w:t>Jehovah</w:t>
      </w:r>
      <w:r w:rsidRPr="006F34CD" w:rsidR="006F34CD">
        <w:rPr>
          <w:i/>
          <w:iCs/>
        </w:rPr>
        <w:t>’</w:t>
      </w:r>
      <w:r w:rsidRPr="006F34CD" w:rsidR="004A1749">
        <w:rPr>
          <w:i/>
          <w:iCs/>
        </w:rPr>
        <w:t>s Witnesses of Moscow and</w:t>
      </w:r>
      <w:r w:rsidRPr="006F34CD" w:rsidR="001621EE">
        <w:rPr>
          <w:i/>
          <w:iCs/>
        </w:rPr>
        <w:t> </w:t>
      </w:r>
      <w:r w:rsidRPr="006F34CD" w:rsidR="004A1749">
        <w:rPr>
          <w:i/>
          <w:iCs/>
        </w:rPr>
        <w:t>Others</w:t>
      </w:r>
      <w:r w:rsidRPr="006F34CD" w:rsidR="004A1749">
        <w:t>, cited above, §</w:t>
      </w:r>
      <w:r w:rsidRPr="006F34CD" w:rsidR="00BC0864">
        <w:t>§ 5</w:t>
      </w:r>
      <w:r w:rsidRPr="006F34CD" w:rsidR="004A1749">
        <w:t xml:space="preserve">4-67). </w:t>
      </w:r>
      <w:r w:rsidRPr="006F34CD" w:rsidR="00AB4885">
        <w:t xml:space="preserve">Following a detailed analysis of the different justifications advanced by the authorities in support of that decision, the Court found that the domestic courts did not adduce “relevant and sufficient” reasons to show that the Moscow community forced families to break up, infringed the rights and freedoms of its members or third parties, incited its followers to commit suicide or refuse medical care, impinged on the rights of non-Witness parents or their children, or encouraged members to refuse to fulfil any duties established by law. It also held that </w:t>
      </w:r>
      <w:r w:rsidRPr="006F34CD" w:rsidR="004A1749">
        <w:t>the sanction of dissolution had been disproportionate to whatever legitimate aim that had been pursued</w:t>
      </w:r>
      <w:r w:rsidRPr="006F34CD" w:rsidR="00AB4885">
        <w:t xml:space="preserve"> and found a violation of </w:t>
      </w:r>
      <w:r w:rsidRPr="006F34CD" w:rsidR="00BC0864">
        <w:t>Article 9</w:t>
      </w:r>
      <w:r w:rsidRPr="006F34CD" w:rsidR="00AB4885">
        <w:t xml:space="preserve"> of the Convention, read in the light of </w:t>
      </w:r>
      <w:r w:rsidRPr="006F34CD" w:rsidR="00BC0864">
        <w:t>Article 1</w:t>
      </w:r>
      <w:r w:rsidRPr="006F34CD" w:rsidR="00AB4885">
        <w:t>1</w:t>
      </w:r>
      <w:r w:rsidRPr="006F34CD" w:rsidR="004A1749">
        <w:t xml:space="preserve"> (ibid., </w:t>
      </w:r>
      <w:r w:rsidRPr="006F34CD" w:rsidR="00BC0864">
        <w:t>§ 1</w:t>
      </w:r>
      <w:r w:rsidRPr="006F34CD" w:rsidR="004A1749">
        <w:t>60).</w:t>
      </w:r>
    </w:p>
    <w:p w:rsidRPr="006F34CD" w:rsidR="00587DCF" w:rsidP="006F34CD" w:rsidRDefault="00CB6108" w14:paraId="1B853EB9" w14:textId="02DF1BB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247</w:t>
      </w:r>
      <w:r>
        <w:rPr>
          <w:noProof/>
        </w:rPr>
        <w:fldChar w:fldCharType="end"/>
      </w:r>
      <w:r w:rsidRPr="006F34CD" w:rsidR="00F81B67">
        <w:t>.  </w:t>
      </w:r>
      <w:r w:rsidRPr="006F34CD" w:rsidR="00B106E4">
        <w:t>The subsequent</w:t>
      </w:r>
      <w:r w:rsidRPr="006F34CD" w:rsidR="00C564BC">
        <w:t xml:space="preserve"> </w:t>
      </w:r>
      <w:r w:rsidRPr="006F34CD" w:rsidR="00EC02E0">
        <w:t xml:space="preserve">developments are particularly significant for the present case. </w:t>
      </w:r>
      <w:r w:rsidRPr="006F34CD" w:rsidR="00887482">
        <w:t>I</w:t>
      </w:r>
      <w:r w:rsidRPr="006F34CD" w:rsidR="00C564BC">
        <w:t xml:space="preserve">n 2006 the extremism legislation was amended to </w:t>
      </w:r>
      <w:r w:rsidRPr="006F34CD" w:rsidR="00D53CBA">
        <w:t xml:space="preserve">expand the definition of “extremist activities” by </w:t>
      </w:r>
      <w:r w:rsidRPr="006F34CD" w:rsidR="00C564BC">
        <w:t>remov</w:t>
      </w:r>
      <w:r w:rsidRPr="006F34CD" w:rsidR="00D53CBA">
        <w:t>ing</w:t>
      </w:r>
      <w:r w:rsidRPr="006F34CD" w:rsidR="00C564BC">
        <w:t xml:space="preserve"> the requirement that the allegedly “extremist” </w:t>
      </w:r>
      <w:r w:rsidRPr="006F34CD" w:rsidR="00D53CBA">
        <w:t>activities</w:t>
      </w:r>
      <w:r w:rsidRPr="006F34CD" w:rsidR="00C564BC">
        <w:t xml:space="preserve"> </w:t>
      </w:r>
      <w:r w:rsidRPr="006F34CD" w:rsidR="00486F2C">
        <w:t>must</w:t>
      </w:r>
      <w:r w:rsidRPr="006F34CD" w:rsidR="00C564BC">
        <w:t xml:space="preserve"> </w:t>
      </w:r>
      <w:r w:rsidRPr="006F34CD" w:rsidR="00D53CBA">
        <w:t>contain</w:t>
      </w:r>
      <w:r w:rsidRPr="006F34CD" w:rsidR="00C564BC">
        <w:t xml:space="preserve"> elements of violence </w:t>
      </w:r>
      <w:r w:rsidRPr="006F34CD" w:rsidR="00486F2C">
        <w:t xml:space="preserve">in order </w:t>
      </w:r>
      <w:r w:rsidRPr="006F34CD" w:rsidR="00C564BC">
        <w:t xml:space="preserve">to be categorised as such (see paragraph </w:t>
      </w:r>
      <w:r w:rsidRPr="006F34CD" w:rsidR="00C564BC">
        <w:fldChar w:fldCharType="begin"/>
      </w:r>
      <w:r w:rsidRPr="006F34CD" w:rsidR="006E5193">
        <w:instrText xml:space="preserve">REF paragraph00158 \h \* CharFormat </w:instrText>
      </w:r>
      <w:r w:rsidRPr="006F34CD" w:rsidR="00C564BC">
        <w:fldChar w:fldCharType="separate"/>
      </w:r>
      <w:r w:rsidRPr="006F34CD" w:rsidR="006F34CD">
        <w:t>158</w:t>
      </w:r>
      <w:r w:rsidRPr="006F34CD" w:rsidR="00C564BC">
        <w:fldChar w:fldCharType="end"/>
      </w:r>
      <w:r w:rsidRPr="006F34CD" w:rsidR="00C564BC">
        <w:t xml:space="preserve"> above). </w:t>
      </w:r>
      <w:r w:rsidRPr="006F34CD" w:rsidR="00887482">
        <w:t>Thereafter,</w:t>
      </w:r>
      <w:r w:rsidRPr="006F34CD" w:rsidR="00D53CBA">
        <w:t xml:space="preserve"> </w:t>
      </w:r>
      <w:r w:rsidRPr="006F34CD" w:rsidR="00EC02E0">
        <w:t xml:space="preserve">a </w:t>
      </w:r>
      <w:r w:rsidRPr="006F34CD" w:rsidR="002F3DDF">
        <w:t>deputy Prosecutor General</w:t>
      </w:r>
      <w:r w:rsidRPr="006F34CD" w:rsidR="00EC02E0">
        <w:t xml:space="preserve"> </w:t>
      </w:r>
      <w:r w:rsidRPr="006F34CD" w:rsidR="00D53CBA">
        <w:t xml:space="preserve">sent </w:t>
      </w:r>
      <w:r w:rsidRPr="006F34CD" w:rsidR="00486F2C">
        <w:t xml:space="preserve">out </w:t>
      </w:r>
      <w:r w:rsidRPr="006F34CD" w:rsidR="00D53CBA">
        <w:t xml:space="preserve">a circular letter which </w:t>
      </w:r>
      <w:r w:rsidRPr="006F34CD" w:rsidR="00486F2C">
        <w:t>targeted</w:t>
      </w:r>
      <w:r w:rsidRPr="006F34CD" w:rsidR="00D53CBA">
        <w:t xml:space="preserve"> all “foreign religious associations” in general and </w:t>
      </w:r>
      <w:r w:rsidRPr="006F34CD" w:rsidR="00486F2C">
        <w:t xml:space="preserve">named </w:t>
      </w:r>
      <w:r w:rsidRPr="006F34CD" w:rsidR="00D53CBA">
        <w:t>Jehovah</w:t>
      </w:r>
      <w:r w:rsidRPr="006F34CD" w:rsidR="006F34CD">
        <w:t>’</w:t>
      </w:r>
      <w:r w:rsidRPr="006F34CD" w:rsidR="00D53CBA">
        <w:t>s Witnesses</w:t>
      </w:r>
      <w:r w:rsidRPr="006F34CD" w:rsidR="00486F2C">
        <w:t xml:space="preserve"> in particular</w:t>
      </w:r>
      <w:r w:rsidRPr="006F34CD" w:rsidR="00D53CBA">
        <w:t xml:space="preserve">. While acknowledging that they </w:t>
      </w:r>
      <w:r w:rsidRPr="006F34CD" w:rsidR="00486F2C">
        <w:t>had</w:t>
      </w:r>
      <w:r w:rsidRPr="006F34CD" w:rsidR="00D53CBA">
        <w:t xml:space="preserve"> commit</w:t>
      </w:r>
      <w:r w:rsidRPr="006F34CD" w:rsidR="00486F2C">
        <w:t>ted no</w:t>
      </w:r>
      <w:r w:rsidRPr="006F34CD" w:rsidR="00D53CBA">
        <w:t xml:space="preserve"> violations of Russian law, </w:t>
      </w:r>
      <w:r w:rsidRPr="006F34CD" w:rsidR="00486F2C">
        <w:t xml:space="preserve">the letter instructed regional prosecutors – as part of their oversight powers over other State agencies – to verify whether the </w:t>
      </w:r>
      <w:r w:rsidRPr="006F34CD" w:rsidR="00B106E4">
        <w:t>media</w:t>
      </w:r>
      <w:r w:rsidRPr="006F34CD" w:rsidR="00486F2C">
        <w:t xml:space="preserve"> regulator had properly fulfilled its duty to search for </w:t>
      </w:r>
      <w:r w:rsidRPr="006F34CD" w:rsidR="00E45EEE">
        <w:t xml:space="preserve">indicators of </w:t>
      </w:r>
      <w:r w:rsidRPr="006F34CD" w:rsidR="00486F2C">
        <w:t>extremis</w:t>
      </w:r>
      <w:r w:rsidRPr="006F34CD" w:rsidR="00E45EEE">
        <w:t xml:space="preserve">m </w:t>
      </w:r>
      <w:r w:rsidRPr="006F34CD" w:rsidR="00486F2C">
        <w:t xml:space="preserve">in </w:t>
      </w:r>
      <w:r w:rsidRPr="006F34CD" w:rsidR="00E45EEE">
        <w:t xml:space="preserve">the </w:t>
      </w:r>
      <w:r w:rsidRPr="006F34CD" w:rsidR="00EC02E0">
        <w:t>publications of “foreign religious organisations”</w:t>
      </w:r>
      <w:r w:rsidRPr="006F34CD" w:rsidR="00486F2C">
        <w:t>. Jehovah</w:t>
      </w:r>
      <w:r w:rsidRPr="006F34CD" w:rsidR="006F34CD">
        <w:t>’</w:t>
      </w:r>
      <w:r w:rsidRPr="006F34CD" w:rsidR="00486F2C">
        <w:t xml:space="preserve">s Witnesses </w:t>
      </w:r>
      <w:r w:rsidRPr="006F34CD" w:rsidR="00B106E4">
        <w:t>came</w:t>
      </w:r>
      <w:r w:rsidRPr="006F34CD" w:rsidR="00486F2C">
        <w:t xml:space="preserve"> under particular scrutiny due to the fact that they </w:t>
      </w:r>
      <w:r w:rsidRPr="006F34CD" w:rsidR="00887482">
        <w:t>owned</w:t>
      </w:r>
      <w:r w:rsidRPr="006F34CD" w:rsidR="00486F2C">
        <w:t xml:space="preserve"> printing facilities (see paragraph </w:t>
      </w:r>
      <w:r w:rsidRPr="006F34CD" w:rsidR="00486F2C">
        <w:fldChar w:fldCharType="begin"/>
      </w:r>
      <w:r w:rsidRPr="006F34CD" w:rsidR="006E5193">
        <w:instrText xml:space="preserve">REF paragraph00008 \h \* CharFormat </w:instrText>
      </w:r>
      <w:r w:rsidRPr="006F34CD" w:rsidR="00486F2C">
        <w:fldChar w:fldCharType="separate"/>
      </w:r>
      <w:r w:rsidRPr="006F34CD" w:rsidR="006F34CD">
        <w:t>8</w:t>
      </w:r>
      <w:r w:rsidRPr="006F34CD" w:rsidR="00486F2C">
        <w:fldChar w:fldCharType="end"/>
      </w:r>
      <w:r w:rsidRPr="006F34CD" w:rsidR="00486F2C">
        <w:t xml:space="preserve"> above).</w:t>
      </w:r>
    </w:p>
    <w:p w:rsidRPr="006F34CD" w:rsidR="00EC02E0" w:rsidP="006F34CD" w:rsidRDefault="00CB6108" w14:paraId="37F0D512" w14:textId="61BE6739">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248</w:t>
      </w:r>
      <w:r>
        <w:rPr>
          <w:noProof/>
        </w:rPr>
        <w:fldChar w:fldCharType="end"/>
      </w:r>
      <w:r w:rsidRPr="006F34CD" w:rsidR="00486F2C">
        <w:t>.  </w:t>
      </w:r>
      <w:r w:rsidRPr="006F34CD" w:rsidR="00583866">
        <w:t>A</w:t>
      </w:r>
      <w:r w:rsidRPr="006F34CD" w:rsidR="00347485">
        <w:t xml:space="preserve"> newly expanded definition of “extremist activities” and</w:t>
      </w:r>
      <w:r w:rsidRPr="006F34CD" w:rsidR="00583866">
        <w:t xml:space="preserve"> </w:t>
      </w:r>
      <w:r w:rsidRPr="006F34CD" w:rsidR="00347485">
        <w:t>the</w:t>
      </w:r>
      <w:r w:rsidRPr="006F34CD" w:rsidR="00583866">
        <w:t xml:space="preserve"> </w:t>
      </w:r>
      <w:r w:rsidRPr="006F34CD" w:rsidR="00725587">
        <w:t>instructions</w:t>
      </w:r>
      <w:r w:rsidRPr="006F34CD" w:rsidR="00583866">
        <w:t xml:space="preserve"> from the</w:t>
      </w:r>
      <w:r w:rsidRPr="006F34CD" w:rsidR="00347485">
        <w:t xml:space="preserve"> </w:t>
      </w:r>
      <w:r w:rsidRPr="006F34CD" w:rsidR="002F3DDF">
        <w:t>deputy Prosecutor General</w:t>
      </w:r>
      <w:r w:rsidRPr="006F34CD" w:rsidR="00347485">
        <w:t xml:space="preserve"> </w:t>
      </w:r>
      <w:r w:rsidRPr="006F34CD" w:rsidR="00583866">
        <w:t>spurred</w:t>
      </w:r>
      <w:r w:rsidRPr="006F34CD" w:rsidR="00347485">
        <w:t xml:space="preserve"> prosecutors in various regions</w:t>
      </w:r>
      <w:r w:rsidRPr="006F34CD" w:rsidR="00583866">
        <w:t xml:space="preserve"> of Russia</w:t>
      </w:r>
      <w:r w:rsidRPr="006F34CD" w:rsidR="00347485">
        <w:t xml:space="preserve"> to </w:t>
      </w:r>
      <w:r w:rsidRPr="006F34CD" w:rsidR="00725587">
        <w:t>seek</w:t>
      </w:r>
      <w:r w:rsidRPr="006F34CD" w:rsidR="00347485">
        <w:t xml:space="preserve"> court decisions declaring dozens of Jehovah</w:t>
      </w:r>
      <w:r w:rsidRPr="006F34CD" w:rsidR="006F34CD">
        <w:t>’</w:t>
      </w:r>
      <w:r w:rsidRPr="006F34CD" w:rsidR="00347485">
        <w:t>s Witnesses religious publications “extremist”</w:t>
      </w:r>
      <w:r w:rsidRPr="006F34CD" w:rsidR="00583866">
        <w:t xml:space="preserve">, in the absence of any elements of violence or hatred (see paragraphs </w:t>
      </w:r>
      <w:r w:rsidRPr="006F34CD" w:rsidR="00583866">
        <w:fldChar w:fldCharType="begin"/>
      </w:r>
      <w:r w:rsidRPr="006F34CD" w:rsidR="006E5193">
        <w:instrText xml:space="preserve">REF paragraph00010 \h \* CharFormat </w:instrText>
      </w:r>
      <w:r w:rsidRPr="006F34CD" w:rsidR="00583866">
        <w:fldChar w:fldCharType="separate"/>
      </w:r>
      <w:r w:rsidRPr="006F34CD" w:rsidR="006F34CD">
        <w:t>10</w:t>
      </w:r>
      <w:r w:rsidRPr="006F34CD" w:rsidR="00583866">
        <w:fldChar w:fldCharType="end"/>
      </w:r>
      <w:r w:rsidRPr="006F34CD" w:rsidR="00F220E8">
        <w:t xml:space="preserve"> and </w:t>
      </w:r>
      <w:r w:rsidRPr="006F34CD" w:rsidR="00F220E8">
        <w:fldChar w:fldCharType="begin"/>
      </w:r>
      <w:r w:rsidRPr="006F34CD" w:rsidR="006E5193">
        <w:instrText xml:space="preserve">REF paragraph00027 \h \* CharFormat </w:instrText>
      </w:r>
      <w:r w:rsidRPr="006F34CD" w:rsidR="00F220E8">
        <w:fldChar w:fldCharType="separate"/>
      </w:r>
      <w:r w:rsidRPr="006F34CD" w:rsidR="006F34CD">
        <w:t>27</w:t>
      </w:r>
      <w:r w:rsidRPr="006F34CD" w:rsidR="00F220E8">
        <w:fldChar w:fldCharType="end"/>
      </w:r>
      <w:r w:rsidRPr="006F34CD" w:rsidR="00F220E8">
        <w:t>-</w:t>
      </w:r>
      <w:r w:rsidRPr="006F34CD" w:rsidR="00F220E8">
        <w:fldChar w:fldCharType="begin"/>
      </w:r>
      <w:r w:rsidRPr="006F34CD" w:rsidR="006E5193">
        <w:instrText xml:space="preserve">REF paragraph00049 \h \* CharFormat </w:instrText>
      </w:r>
      <w:r w:rsidRPr="006F34CD" w:rsidR="00F220E8">
        <w:fldChar w:fldCharType="separate"/>
      </w:r>
      <w:r w:rsidRPr="006F34CD" w:rsidR="006F34CD">
        <w:t>49</w:t>
      </w:r>
      <w:r w:rsidRPr="006F34CD" w:rsidR="00F220E8">
        <w:fldChar w:fldCharType="end"/>
      </w:r>
      <w:r w:rsidRPr="006F34CD" w:rsidR="00583866">
        <w:t xml:space="preserve"> above). The categorisation of the publications</w:t>
      </w:r>
      <w:r w:rsidRPr="006F34CD" w:rsidR="00330BB7">
        <w:t xml:space="preserve"> as</w:t>
      </w:r>
      <w:r w:rsidRPr="006F34CD" w:rsidR="00583866">
        <w:t xml:space="preserve"> </w:t>
      </w:r>
      <w:r w:rsidRPr="006F34CD" w:rsidR="00330BB7">
        <w:t xml:space="preserve">“extremist” </w:t>
      </w:r>
      <w:r w:rsidRPr="006F34CD" w:rsidR="00583866">
        <w:t>exposed individual Jehovah</w:t>
      </w:r>
      <w:r w:rsidRPr="006F34CD" w:rsidR="006F34CD">
        <w:t>’</w:t>
      </w:r>
      <w:r w:rsidRPr="006F34CD" w:rsidR="00583866">
        <w:t>s Witnesses</w:t>
      </w:r>
      <w:r w:rsidRPr="006F34CD" w:rsidR="004C240E">
        <w:t xml:space="preserve"> and religious organisations</w:t>
      </w:r>
      <w:r w:rsidRPr="006F34CD" w:rsidR="00583866">
        <w:t xml:space="preserve"> using them </w:t>
      </w:r>
      <w:r w:rsidRPr="006F34CD" w:rsidR="00F220E8">
        <w:t>in</w:t>
      </w:r>
      <w:r w:rsidRPr="006F34CD" w:rsidR="00583866">
        <w:t xml:space="preserve"> religious ministry and worship to the prosecution on charges of “mass dissemination of extremist material” and</w:t>
      </w:r>
      <w:r w:rsidRPr="006F34CD" w:rsidR="00F220E8">
        <w:t xml:space="preserve"> </w:t>
      </w:r>
      <w:r w:rsidRPr="006F34CD" w:rsidR="00330BB7">
        <w:t xml:space="preserve">the </w:t>
      </w:r>
      <w:r w:rsidRPr="006F34CD" w:rsidR="00583866">
        <w:t xml:space="preserve">forced dissolution (see paragraphs </w:t>
      </w:r>
      <w:r w:rsidRPr="006F34CD" w:rsidR="00583866">
        <w:fldChar w:fldCharType="begin"/>
      </w:r>
      <w:r w:rsidRPr="006F34CD" w:rsidR="006E5193">
        <w:instrText xml:space="preserve">REF paragraph00062 \h \* CharFormat </w:instrText>
      </w:r>
      <w:r w:rsidRPr="006F34CD" w:rsidR="00583866">
        <w:fldChar w:fldCharType="separate"/>
      </w:r>
      <w:r w:rsidRPr="006F34CD" w:rsidR="006F34CD">
        <w:t>62</w:t>
      </w:r>
      <w:r w:rsidRPr="006F34CD" w:rsidR="00583866">
        <w:fldChar w:fldCharType="end"/>
      </w:r>
      <w:r w:rsidRPr="006F34CD" w:rsidR="00583866">
        <w:t xml:space="preserve"> and </w:t>
      </w:r>
      <w:r w:rsidRPr="006F34CD" w:rsidR="00583866">
        <w:fldChar w:fldCharType="begin"/>
      </w:r>
      <w:r w:rsidRPr="006F34CD" w:rsidR="006E5193">
        <w:instrText xml:space="preserve">REF paragraph00107 \h \* CharFormat </w:instrText>
      </w:r>
      <w:r w:rsidRPr="006F34CD" w:rsidR="00583866">
        <w:fldChar w:fldCharType="separate"/>
      </w:r>
      <w:r w:rsidRPr="006F34CD" w:rsidR="006F34CD">
        <w:t>107</w:t>
      </w:r>
      <w:r w:rsidRPr="006F34CD" w:rsidR="00583866">
        <w:fldChar w:fldCharType="end"/>
      </w:r>
      <w:r w:rsidRPr="006F34CD" w:rsidR="00583866">
        <w:t xml:space="preserve"> above). </w:t>
      </w:r>
      <w:r w:rsidRPr="006F34CD" w:rsidR="00330BB7">
        <w:t>As the Court has found above, the formal nature of the offence of “mass dissemination” left no room for assess</w:t>
      </w:r>
      <w:r w:rsidRPr="006F34CD" w:rsidR="004C240E">
        <w:t>ing</w:t>
      </w:r>
      <w:r w:rsidRPr="006F34CD" w:rsidR="00330BB7">
        <w:t xml:space="preserve"> the proportionality of the interference in the light of the Convention standards (see paragraph </w:t>
      </w:r>
      <w:r w:rsidRPr="006F34CD" w:rsidR="00330BB7">
        <w:fldChar w:fldCharType="begin"/>
      </w:r>
      <w:r w:rsidRPr="006F34CD" w:rsidR="006E5193">
        <w:instrText xml:space="preserve">REF paragraph00206 \h \* CharFormat </w:instrText>
      </w:r>
      <w:r w:rsidRPr="006F34CD" w:rsidR="00330BB7">
        <w:fldChar w:fldCharType="separate"/>
      </w:r>
      <w:r w:rsidRPr="006F34CD" w:rsidR="006F34CD">
        <w:t>206</w:t>
      </w:r>
      <w:r w:rsidRPr="006F34CD" w:rsidR="00330BB7">
        <w:fldChar w:fldCharType="end"/>
      </w:r>
      <w:r w:rsidRPr="006F34CD" w:rsidR="00330BB7">
        <w:t xml:space="preserve"> above). </w:t>
      </w:r>
      <w:r w:rsidRPr="006F34CD" w:rsidR="00B1641A">
        <w:t>The “extremist”</w:t>
      </w:r>
      <w:r w:rsidRPr="006F34CD" w:rsidR="004C240E">
        <w:t xml:space="preserve"> categorisation was also used to ban the </w:t>
      </w:r>
      <w:r w:rsidRPr="006F34CD" w:rsidR="002A38DC">
        <w:t>distribution</w:t>
      </w:r>
      <w:r w:rsidRPr="006F34CD" w:rsidR="004C240E">
        <w:t xml:space="preserve"> of all issues of two Jehovah</w:t>
      </w:r>
      <w:r w:rsidRPr="006F34CD" w:rsidR="006F34CD">
        <w:t>’</w:t>
      </w:r>
      <w:r w:rsidRPr="006F34CD" w:rsidR="004C240E">
        <w:t>s Witnesses</w:t>
      </w:r>
      <w:r w:rsidRPr="006F34CD" w:rsidR="006F34CD">
        <w:t>’</w:t>
      </w:r>
      <w:r w:rsidRPr="006F34CD" w:rsidR="004C240E">
        <w:t xml:space="preserve"> magazines and to block access to the entire website</w:t>
      </w:r>
      <w:r w:rsidRPr="006F34CD" w:rsidR="00897940">
        <w:t xml:space="preserve"> of Jehovah</w:t>
      </w:r>
      <w:r w:rsidRPr="006F34CD" w:rsidR="006F34CD">
        <w:t>’</w:t>
      </w:r>
      <w:r w:rsidRPr="006F34CD" w:rsidR="00897940">
        <w:t>s Witnesses</w:t>
      </w:r>
      <w:r w:rsidRPr="006F34CD" w:rsidR="004C240E">
        <w:t xml:space="preserve">. </w:t>
      </w:r>
      <w:r w:rsidRPr="006F34CD" w:rsidR="00B1641A">
        <w:t>T</w:t>
      </w:r>
      <w:r w:rsidRPr="006F34CD" w:rsidR="004C240E">
        <w:t xml:space="preserve">he Court </w:t>
      </w:r>
      <w:r w:rsidRPr="006F34CD" w:rsidR="002A38DC">
        <w:t xml:space="preserve">has </w:t>
      </w:r>
      <w:r w:rsidRPr="006F34CD" w:rsidR="004C240E">
        <w:t xml:space="preserve">held that those decisions were not lawful and were not justified in their excessive breadth (see paragraphs </w:t>
      </w:r>
      <w:r w:rsidRPr="006F34CD" w:rsidR="004C240E">
        <w:fldChar w:fldCharType="begin"/>
      </w:r>
      <w:r w:rsidRPr="006F34CD" w:rsidR="006E5193">
        <w:instrText xml:space="preserve">REF paragraph00216 \h \* CharFormat </w:instrText>
      </w:r>
      <w:r w:rsidRPr="006F34CD" w:rsidR="004C240E">
        <w:fldChar w:fldCharType="separate"/>
      </w:r>
      <w:r w:rsidRPr="006F34CD" w:rsidR="006F34CD">
        <w:t>216</w:t>
      </w:r>
      <w:r w:rsidRPr="006F34CD" w:rsidR="004C240E">
        <w:fldChar w:fldCharType="end"/>
      </w:r>
      <w:r w:rsidRPr="006F34CD" w:rsidR="004C240E">
        <w:t xml:space="preserve"> and </w:t>
      </w:r>
      <w:r w:rsidRPr="006F34CD" w:rsidR="002A38DC">
        <w:fldChar w:fldCharType="begin"/>
      </w:r>
      <w:r w:rsidRPr="006F34CD" w:rsidR="006E5193">
        <w:instrText xml:space="preserve">REF paragraph00233 \h \* CharFormat </w:instrText>
      </w:r>
      <w:r w:rsidRPr="006F34CD" w:rsidR="002A38DC">
        <w:fldChar w:fldCharType="separate"/>
      </w:r>
      <w:r w:rsidRPr="006F34CD" w:rsidR="006F34CD">
        <w:t>233</w:t>
      </w:r>
      <w:r w:rsidRPr="006F34CD" w:rsidR="002A38DC">
        <w:fldChar w:fldCharType="end"/>
      </w:r>
      <w:r w:rsidRPr="006F34CD" w:rsidR="002A38DC">
        <w:t xml:space="preserve"> above).</w:t>
      </w:r>
    </w:p>
    <w:p w:rsidRPr="006F34CD" w:rsidR="00587DCF" w:rsidP="006F34CD" w:rsidRDefault="00CB6108" w14:paraId="36DD02C1" w14:textId="6DCB97A4">
      <w:pPr>
        <w:pStyle w:val="JuPara"/>
      </w:pPr>
      <w:r>
        <w:rPr>
          <w:noProof/>
        </w:rPr>
        <w:fldChar w:fldCharType="begin"/>
      </w:r>
      <w:r>
        <w:rPr>
          <w:noProof/>
        </w:rPr>
        <w:instrText xml:space="preserve"> SEQ level0 \*arabic \* ME</w:instrText>
      </w:r>
      <w:r>
        <w:rPr>
          <w:noProof/>
        </w:rPr>
        <w:instrText xml:space="preserve">RGEFORMAT </w:instrText>
      </w:r>
      <w:r>
        <w:rPr>
          <w:noProof/>
        </w:rPr>
        <w:fldChar w:fldCharType="separate"/>
      </w:r>
      <w:r w:rsidRPr="006F34CD" w:rsidR="006F34CD">
        <w:rPr>
          <w:noProof/>
        </w:rPr>
        <w:t>249</w:t>
      </w:r>
      <w:r>
        <w:rPr>
          <w:noProof/>
        </w:rPr>
        <w:fldChar w:fldCharType="end"/>
      </w:r>
      <w:r w:rsidRPr="006F34CD" w:rsidR="002A38DC">
        <w:t>.  </w:t>
      </w:r>
      <w:r w:rsidRPr="006F34CD" w:rsidR="00725587">
        <w:t xml:space="preserve">The </w:t>
      </w:r>
      <w:r w:rsidRPr="006F34CD" w:rsidR="009C2349">
        <w:t>authorities</w:t>
      </w:r>
      <w:r w:rsidRPr="006F34CD" w:rsidR="006F34CD">
        <w:t>’</w:t>
      </w:r>
      <w:r w:rsidRPr="006F34CD" w:rsidR="009C2349">
        <w:t xml:space="preserve"> campaign against Jehovah</w:t>
      </w:r>
      <w:r w:rsidRPr="006F34CD" w:rsidR="006F34CD">
        <w:t>’</w:t>
      </w:r>
      <w:r w:rsidRPr="006F34CD" w:rsidR="009C2349">
        <w:t xml:space="preserve">s Witnesses did not stop at targeting the organisations and individuals found to be in possession of the banned “extremist” literature. </w:t>
      </w:r>
      <w:r w:rsidRPr="006F34CD" w:rsidR="002F3DDF">
        <w:t xml:space="preserve">In 2016 a deputy Prosecutor General </w:t>
      </w:r>
      <w:r w:rsidRPr="006F34CD" w:rsidR="009C2349">
        <w:t>issued an</w:t>
      </w:r>
      <w:r w:rsidRPr="006F34CD" w:rsidR="002F3DDF">
        <w:t xml:space="preserve"> anti-extremis</w:t>
      </w:r>
      <w:r w:rsidRPr="006F34CD" w:rsidR="00621B38">
        <w:t>m</w:t>
      </w:r>
      <w:r w:rsidRPr="006F34CD" w:rsidR="002F3DDF">
        <w:t xml:space="preserve"> warning </w:t>
      </w:r>
      <w:r w:rsidRPr="006F34CD" w:rsidR="009C2349">
        <w:t>to</w:t>
      </w:r>
      <w:r w:rsidRPr="006F34CD" w:rsidR="006A6B92">
        <w:t xml:space="preserve"> the </w:t>
      </w:r>
      <w:r w:rsidRPr="006F34CD" w:rsidR="00FD6284">
        <w:t>nation</w:t>
      </w:r>
      <w:r w:rsidRPr="006F34CD" w:rsidR="00087935">
        <w:t>al</w:t>
      </w:r>
      <w:r w:rsidRPr="006F34CD" w:rsidR="00FD6284">
        <w:t xml:space="preserve"> organisation of Jehovah</w:t>
      </w:r>
      <w:r w:rsidRPr="006F34CD" w:rsidR="006F34CD">
        <w:t>’</w:t>
      </w:r>
      <w:r w:rsidRPr="006F34CD" w:rsidR="00FD6284">
        <w:t xml:space="preserve">s Witnesses, the </w:t>
      </w:r>
      <w:r w:rsidRPr="006F34CD" w:rsidR="006A6B92">
        <w:t>Administrative Centre</w:t>
      </w:r>
      <w:r w:rsidRPr="006F34CD" w:rsidR="00621B38">
        <w:t xml:space="preserve"> (see paragraph </w:t>
      </w:r>
      <w:r w:rsidRPr="006F34CD" w:rsidR="00621B38">
        <w:fldChar w:fldCharType="begin"/>
      </w:r>
      <w:r w:rsidRPr="006F34CD" w:rsidR="006E5193">
        <w:instrText xml:space="preserve">REF paragraph00086 \h \* CharFormat </w:instrText>
      </w:r>
      <w:r w:rsidRPr="006F34CD" w:rsidR="00621B38">
        <w:fldChar w:fldCharType="separate"/>
      </w:r>
      <w:r w:rsidRPr="006F34CD" w:rsidR="006F34CD">
        <w:t>86</w:t>
      </w:r>
      <w:r w:rsidRPr="006F34CD" w:rsidR="00621B38">
        <w:fldChar w:fldCharType="end"/>
      </w:r>
      <w:r w:rsidRPr="006F34CD" w:rsidR="00621B38">
        <w:t xml:space="preserve"> above). </w:t>
      </w:r>
      <w:r w:rsidRPr="006F34CD" w:rsidR="007E5080">
        <w:t>Although the Administrative Centre had not been found guilty of a single violation of Russian law in the more than twenty years of its existence, the Suppression of Extremism Act allowed the authorities to hold it objectively liable for any transgressions committed by the LROs which</w:t>
      </w:r>
      <w:r w:rsidRPr="006F34CD" w:rsidR="00087935">
        <w:t xml:space="preserve"> were considered to be</w:t>
      </w:r>
      <w:r w:rsidRPr="006F34CD" w:rsidR="007E5080">
        <w:t xml:space="preserve"> part of its structure. </w:t>
      </w:r>
      <w:r w:rsidRPr="006F34CD" w:rsidR="00F33421">
        <w:t>Under the Suppression of Extremism Act, t</w:t>
      </w:r>
      <w:r w:rsidRPr="006F34CD" w:rsidR="00621B38">
        <w:t xml:space="preserve">he warning </w:t>
      </w:r>
      <w:r w:rsidRPr="006F34CD" w:rsidR="009C2349">
        <w:t>was</w:t>
      </w:r>
      <w:r w:rsidRPr="006F34CD" w:rsidR="002F3DDF">
        <w:t xml:space="preserve"> the first step </w:t>
      </w:r>
      <w:r w:rsidRPr="006F34CD" w:rsidR="00F33421">
        <w:t xml:space="preserve">in the procedure </w:t>
      </w:r>
      <w:r w:rsidRPr="006F34CD" w:rsidR="00621B38">
        <w:t>leading</w:t>
      </w:r>
      <w:r w:rsidRPr="006F34CD" w:rsidR="002F3DDF">
        <w:t xml:space="preserve"> </w:t>
      </w:r>
      <w:r w:rsidRPr="006F34CD" w:rsidR="00621B38">
        <w:t xml:space="preserve">to </w:t>
      </w:r>
      <w:r w:rsidRPr="006F34CD" w:rsidR="002F3DDF">
        <w:t xml:space="preserve">the dissolution of the </w:t>
      </w:r>
      <w:r w:rsidRPr="006F34CD" w:rsidR="00621B38">
        <w:t xml:space="preserve">warned </w:t>
      </w:r>
      <w:r w:rsidRPr="006F34CD" w:rsidR="002F3DDF">
        <w:t>organisation</w:t>
      </w:r>
      <w:r w:rsidRPr="006F34CD" w:rsidR="00F33421">
        <w:t xml:space="preserve"> if new “indicators of extremism” </w:t>
      </w:r>
      <w:r w:rsidRPr="006F34CD" w:rsidR="00087935">
        <w:t>had been</w:t>
      </w:r>
      <w:r w:rsidRPr="006F34CD" w:rsidR="00F33421">
        <w:t xml:space="preserve"> </w:t>
      </w:r>
      <w:r w:rsidRPr="006F34CD" w:rsidR="009C2349">
        <w:t xml:space="preserve">identified </w:t>
      </w:r>
      <w:r w:rsidRPr="006F34CD" w:rsidR="00F33421">
        <w:t>within twelve months of the date of warning</w:t>
      </w:r>
      <w:r w:rsidRPr="006F34CD" w:rsidR="00621B38">
        <w:t xml:space="preserve"> (see paragraph </w:t>
      </w:r>
      <w:r w:rsidRPr="006F34CD" w:rsidR="00621B38">
        <w:fldChar w:fldCharType="begin"/>
      </w:r>
      <w:r w:rsidRPr="006F34CD" w:rsidR="006E5193">
        <w:instrText xml:space="preserve">REF paragraph00115 \h \* CharFormat </w:instrText>
      </w:r>
      <w:r w:rsidRPr="006F34CD" w:rsidR="00621B38">
        <w:fldChar w:fldCharType="separate"/>
      </w:r>
      <w:r w:rsidRPr="006F34CD" w:rsidR="006F34CD">
        <w:t>115</w:t>
      </w:r>
      <w:r w:rsidRPr="006F34CD" w:rsidR="00621B38">
        <w:fldChar w:fldCharType="end"/>
      </w:r>
      <w:r w:rsidRPr="006F34CD" w:rsidR="00621B38">
        <w:t xml:space="preserve"> above).</w:t>
      </w:r>
    </w:p>
    <w:p w:rsidRPr="006F34CD" w:rsidR="00087935" w:rsidP="006F34CD" w:rsidRDefault="00CB6108" w14:paraId="5ECB22FC" w14:textId="174DA0E7">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250</w:t>
      </w:r>
      <w:r>
        <w:rPr>
          <w:noProof/>
        </w:rPr>
        <w:fldChar w:fldCharType="end"/>
      </w:r>
      <w:r w:rsidRPr="006F34CD" w:rsidR="007E5080">
        <w:t>.  </w:t>
      </w:r>
      <w:r w:rsidRPr="006F34CD" w:rsidR="00B45B39">
        <w:t>Less than two weeks after the twelve-month time-limit had expired,</w:t>
      </w:r>
      <w:r w:rsidRPr="006F34CD" w:rsidR="00587DCF">
        <w:t xml:space="preserve"> </w:t>
      </w:r>
      <w:r w:rsidRPr="006F34CD" w:rsidR="00B45B39">
        <w:t>the Ministry of Justice applied for the forced dissolution of the Administrative Centre</w:t>
      </w:r>
      <w:r w:rsidRPr="006F34CD" w:rsidR="00087935">
        <w:t>, claiming that more LROs had been found guilty of possessing or using “extremist” religious publications in the intervening period and that the Administrative Centre had allegedly failed to prevent such “extremist activities” on their part</w:t>
      </w:r>
      <w:r w:rsidRPr="006F34CD" w:rsidR="00D36C8B">
        <w:t xml:space="preserve"> </w:t>
      </w:r>
      <w:r w:rsidRPr="006F34CD" w:rsidR="00337860">
        <w:t xml:space="preserve">(see paragraph </w:t>
      </w:r>
      <w:r w:rsidRPr="006F34CD" w:rsidR="00337860">
        <w:fldChar w:fldCharType="begin"/>
      </w:r>
      <w:r w:rsidRPr="006F34CD" w:rsidR="006E5193">
        <w:instrText xml:space="preserve">REF paragraph00087 \h \* CharFormat </w:instrText>
      </w:r>
      <w:r w:rsidRPr="006F34CD" w:rsidR="00337860">
        <w:fldChar w:fldCharType="separate"/>
      </w:r>
      <w:r w:rsidRPr="006F34CD" w:rsidR="006F34CD">
        <w:t>87</w:t>
      </w:r>
      <w:r w:rsidRPr="006F34CD" w:rsidR="00337860">
        <w:fldChar w:fldCharType="end"/>
      </w:r>
      <w:r w:rsidRPr="006F34CD" w:rsidR="00337860">
        <w:t xml:space="preserve"> above). </w:t>
      </w:r>
      <w:r w:rsidRPr="006F34CD" w:rsidR="007216EB">
        <w:t>S</w:t>
      </w:r>
      <w:r w:rsidRPr="006F34CD" w:rsidR="00087935">
        <w:t>ignificant</w:t>
      </w:r>
      <w:r w:rsidRPr="006F34CD" w:rsidR="007216EB">
        <w:t>ly for the Court</w:t>
      </w:r>
      <w:r w:rsidRPr="006F34CD" w:rsidR="006F34CD">
        <w:t>’</w:t>
      </w:r>
      <w:r w:rsidRPr="006F34CD" w:rsidR="007216EB">
        <w:t>s analysis,</w:t>
      </w:r>
      <w:r w:rsidRPr="006F34CD" w:rsidR="00087935">
        <w:t xml:space="preserve"> the claim for the forced dissolution of the Administrative Centre cite</w:t>
      </w:r>
      <w:r w:rsidRPr="006F34CD" w:rsidR="007216EB">
        <w:t>d</w:t>
      </w:r>
      <w:r w:rsidRPr="006F34CD" w:rsidR="00087935">
        <w:t xml:space="preserve"> </w:t>
      </w:r>
      <w:r w:rsidRPr="006F34CD" w:rsidR="007216EB">
        <w:t>no</w:t>
      </w:r>
      <w:r w:rsidRPr="006F34CD" w:rsidR="00087935">
        <w:t xml:space="preserve"> evidence of “extremist activities” o</w:t>
      </w:r>
      <w:r w:rsidRPr="006F34CD" w:rsidR="00670EAC">
        <w:t xml:space="preserve">n its </w:t>
      </w:r>
      <w:r w:rsidRPr="006F34CD" w:rsidR="00985B67">
        <w:t xml:space="preserve">own </w:t>
      </w:r>
      <w:r w:rsidRPr="006F34CD" w:rsidR="00670EAC">
        <w:t>part and</w:t>
      </w:r>
      <w:r w:rsidRPr="006F34CD" w:rsidR="007216EB">
        <w:t xml:space="preserve"> no conviction of extremist offences or explained how it could have been possible to foresee that publications it had imported </w:t>
      </w:r>
      <w:r w:rsidRPr="006F34CD" w:rsidR="00985B67">
        <w:t xml:space="preserve">years ago </w:t>
      </w:r>
      <w:r w:rsidRPr="006F34CD" w:rsidR="007216EB">
        <w:t xml:space="preserve">would be subsequently declared “extremist”. </w:t>
      </w:r>
      <w:r w:rsidRPr="006F34CD" w:rsidR="00087935">
        <w:t>The suspension of the activities of the Administrative Centre</w:t>
      </w:r>
      <w:r w:rsidRPr="006F34CD" w:rsidR="007216EB">
        <w:t xml:space="preserve"> by the same-day decision</w:t>
      </w:r>
      <w:r w:rsidRPr="006F34CD" w:rsidR="00087935">
        <w:t>, on the authority of an executive agency, without wai</w:t>
      </w:r>
      <w:r w:rsidRPr="006F34CD" w:rsidR="00412987">
        <w:t xml:space="preserve">ting for the outcome of judicial </w:t>
      </w:r>
      <w:r w:rsidRPr="006F34CD" w:rsidR="007216EB">
        <w:t>review</w:t>
      </w:r>
      <w:r w:rsidRPr="006F34CD" w:rsidR="00412987">
        <w:t>, is indicative of the authorities</w:t>
      </w:r>
      <w:r w:rsidRPr="006F34CD" w:rsidR="006F34CD">
        <w:t>’</w:t>
      </w:r>
      <w:r w:rsidRPr="006F34CD" w:rsidR="00412987">
        <w:t xml:space="preserve"> determination in seeking to put an end to the existence </w:t>
      </w:r>
      <w:r w:rsidRPr="006F34CD" w:rsidR="007216EB">
        <w:t xml:space="preserve">of the organisation </w:t>
      </w:r>
      <w:r w:rsidRPr="006F34CD" w:rsidR="00412987">
        <w:t xml:space="preserve">(see </w:t>
      </w:r>
      <w:r w:rsidRPr="006F34CD" w:rsidR="00412987">
        <w:rPr>
          <w:i/>
        </w:rPr>
        <w:t>Biblical Centre of the Chuvash Republic</w:t>
      </w:r>
      <w:r w:rsidRPr="006F34CD" w:rsidR="00412987">
        <w:t xml:space="preserve">, cited above, </w:t>
      </w:r>
      <w:r w:rsidRPr="006F34CD" w:rsidR="006541A0">
        <w:t>§ 5</w:t>
      </w:r>
      <w:r w:rsidRPr="006F34CD" w:rsidR="00412987">
        <w:t>7).</w:t>
      </w:r>
    </w:p>
    <w:p w:rsidRPr="006F34CD" w:rsidR="00587DCF" w:rsidP="006F34CD" w:rsidRDefault="00CB6108" w14:paraId="66777E03" w14:textId="38ABA6DA">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251</w:t>
      </w:r>
      <w:r>
        <w:rPr>
          <w:noProof/>
        </w:rPr>
        <w:fldChar w:fldCharType="end"/>
      </w:r>
      <w:r w:rsidRPr="006F34CD" w:rsidR="00670EAC">
        <w:t>.  </w:t>
      </w:r>
      <w:r w:rsidRPr="006F34CD" w:rsidR="002E7E8B">
        <w:t xml:space="preserve">The </w:t>
      </w:r>
      <w:r w:rsidRPr="006F34CD" w:rsidR="006847B1">
        <w:t xml:space="preserve">scope of the </w:t>
      </w:r>
      <w:r w:rsidRPr="006F34CD" w:rsidR="002E7E8B">
        <w:t xml:space="preserve">claim for the forced dissolution of the Administrative Centre </w:t>
      </w:r>
      <w:r w:rsidRPr="006F34CD" w:rsidR="006847B1">
        <w:t xml:space="preserve">went beyond resolving the fate </w:t>
      </w:r>
      <w:r w:rsidRPr="006F34CD" w:rsidR="002E7E8B">
        <w:t>of the national organisation of Jehovah</w:t>
      </w:r>
      <w:r w:rsidRPr="006F34CD" w:rsidR="006F34CD">
        <w:t>’</w:t>
      </w:r>
      <w:r w:rsidRPr="006F34CD" w:rsidR="002E7E8B">
        <w:t>s Witnesses</w:t>
      </w:r>
      <w:r w:rsidRPr="006F34CD" w:rsidR="006847B1">
        <w:t>, as the existence of</w:t>
      </w:r>
      <w:r w:rsidRPr="006F34CD" w:rsidR="002E7E8B">
        <w:t xml:space="preserve"> </w:t>
      </w:r>
      <w:r w:rsidRPr="006F34CD" w:rsidR="006847B1">
        <w:t xml:space="preserve">any and </w:t>
      </w:r>
      <w:r w:rsidRPr="006F34CD" w:rsidR="004E25A8">
        <w:t>all</w:t>
      </w:r>
      <w:r w:rsidRPr="006F34CD" w:rsidR="002E7E8B">
        <w:t xml:space="preserve"> </w:t>
      </w:r>
      <w:r w:rsidRPr="006F34CD" w:rsidR="0060532D">
        <w:t xml:space="preserve">religious </w:t>
      </w:r>
      <w:r w:rsidRPr="006F34CD" w:rsidR="002E7E8B">
        <w:t>organisation</w:t>
      </w:r>
      <w:r w:rsidRPr="006F34CD" w:rsidR="0060532D">
        <w:t>s of Jehovah</w:t>
      </w:r>
      <w:r w:rsidRPr="006F34CD" w:rsidR="006F34CD">
        <w:t>’</w:t>
      </w:r>
      <w:r w:rsidRPr="006F34CD" w:rsidR="0060532D">
        <w:t>s Witnesses</w:t>
      </w:r>
      <w:r w:rsidRPr="006F34CD" w:rsidR="006847B1">
        <w:t xml:space="preserve"> registered in Russia was also at stake in those proceedings</w:t>
      </w:r>
      <w:r w:rsidRPr="006F34CD" w:rsidR="002E7E8B">
        <w:t>.</w:t>
      </w:r>
      <w:r w:rsidRPr="006F34CD" w:rsidR="004E25A8">
        <w:t xml:space="preserve"> </w:t>
      </w:r>
      <w:r w:rsidRPr="006F34CD" w:rsidR="006847B1">
        <w:t>This was so because t</w:t>
      </w:r>
      <w:r w:rsidRPr="006F34CD" w:rsidR="004E25A8">
        <w:t xml:space="preserve">he authorities claimed that </w:t>
      </w:r>
      <w:r w:rsidRPr="006F34CD" w:rsidR="006847B1">
        <w:t>LROs</w:t>
      </w:r>
      <w:r w:rsidRPr="006F34CD" w:rsidR="004E25A8">
        <w:t xml:space="preserve"> </w:t>
      </w:r>
      <w:r w:rsidRPr="006F34CD" w:rsidR="006847B1">
        <w:t>should</w:t>
      </w:r>
      <w:r w:rsidRPr="006F34CD" w:rsidR="004E25A8">
        <w:t xml:space="preserve"> be liquidated </w:t>
      </w:r>
      <w:r w:rsidRPr="006F34CD" w:rsidR="006847B1">
        <w:t>along</w:t>
      </w:r>
      <w:r w:rsidRPr="006F34CD" w:rsidR="004E25A8">
        <w:t xml:space="preserve"> with the Administrative Centre as part of its structure, notwithstanding their legal status as separate and independent legal entities. Leaving aside the question whether or not such course of action was </w:t>
      </w:r>
      <w:r w:rsidRPr="006F34CD" w:rsidR="00985B67">
        <w:t>compatible with</w:t>
      </w:r>
      <w:r w:rsidRPr="006F34CD" w:rsidR="004E25A8">
        <w:t xml:space="preserve"> Russian law, </w:t>
      </w:r>
      <w:r w:rsidRPr="006F34CD" w:rsidR="0060532D">
        <w:t xml:space="preserve">the Court notes that 387 out of the 395 LROs had not been charged, much less convicted, of any “extremist” activity in the twenty or more years of their legal existence and that no </w:t>
      </w:r>
      <w:r w:rsidRPr="006F34CD" w:rsidR="00EC0B8F">
        <w:t>extremist charges against them were levelled</w:t>
      </w:r>
      <w:r w:rsidRPr="006F34CD" w:rsidR="0060532D">
        <w:t xml:space="preserve"> in the proceedings against the Administrative Centre. </w:t>
      </w:r>
      <w:r w:rsidRPr="006F34CD" w:rsidR="0058765B">
        <w:t xml:space="preserve">The only justification for their forced dissolution was that they were </w:t>
      </w:r>
      <w:r w:rsidRPr="006F34CD" w:rsidR="00985B67">
        <w:t>“</w:t>
      </w:r>
      <w:r w:rsidRPr="006F34CD" w:rsidR="0058765B">
        <w:t>financed, coordinated and directed</w:t>
      </w:r>
      <w:r w:rsidRPr="006F34CD" w:rsidR="00985B67">
        <w:t>”</w:t>
      </w:r>
      <w:r w:rsidRPr="006F34CD" w:rsidR="0058765B">
        <w:t xml:space="preserve"> by the same organisation (the Administrative Centre) as the remaining eight LROs liquidated on extremist charges. The Court considers this connection too tenuous to meet the “very serious reasons” standard which needs to be satisfied in case of a forced dissolution of an association.</w:t>
      </w:r>
    </w:p>
    <w:p w:rsidRPr="006F34CD" w:rsidR="002963B5" w:rsidP="006F34CD" w:rsidRDefault="00CB6108" w14:paraId="43E89CB0" w14:textId="4D867F01">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252</w:t>
      </w:r>
      <w:r>
        <w:rPr>
          <w:noProof/>
        </w:rPr>
        <w:fldChar w:fldCharType="end"/>
      </w:r>
      <w:r w:rsidRPr="006F34CD" w:rsidR="002963B5">
        <w:t xml:space="preserve">.  However, of even greater concern to the Court is the fact that the </w:t>
      </w:r>
      <w:r w:rsidRPr="006F34CD" w:rsidR="00873633">
        <w:t xml:space="preserve">forced dissolution </w:t>
      </w:r>
      <w:r w:rsidRPr="006F34CD" w:rsidR="002963B5">
        <w:t xml:space="preserve">proceedings were fundamentally flawed in that the LROs, whose very legal existence was </w:t>
      </w:r>
      <w:r w:rsidRPr="006F34CD" w:rsidR="00873633">
        <w:t>in jeopardy</w:t>
      </w:r>
      <w:r w:rsidRPr="006F34CD" w:rsidR="002963B5">
        <w:t xml:space="preserve">, were not informed </w:t>
      </w:r>
      <w:r w:rsidRPr="006F34CD" w:rsidR="00125512">
        <w:t xml:space="preserve">of the proceedings </w:t>
      </w:r>
      <w:r w:rsidRPr="006F34CD" w:rsidR="002963B5">
        <w:t>and were not invited to participate. Their representatives learned of the proceedings from media reports and unsuccessfully attempted to join them</w:t>
      </w:r>
      <w:r w:rsidRPr="006F34CD" w:rsidR="0023124F">
        <w:t xml:space="preserve">. Their application to that effect, and another one from the Administrative Centre, were rejected and an appeal was not even considered </w:t>
      </w:r>
      <w:r w:rsidRPr="006F34CD" w:rsidR="002963B5">
        <w:t xml:space="preserve">(see paragraph </w:t>
      </w:r>
      <w:r w:rsidRPr="006F34CD" w:rsidR="002963B5">
        <w:fldChar w:fldCharType="begin"/>
      </w:r>
      <w:r w:rsidRPr="006F34CD" w:rsidR="006E5193">
        <w:instrText xml:space="preserve">REF paragraph00088 \h \* CharFormat </w:instrText>
      </w:r>
      <w:r w:rsidRPr="006F34CD" w:rsidR="002963B5">
        <w:fldChar w:fldCharType="separate"/>
      </w:r>
      <w:r w:rsidRPr="006F34CD" w:rsidR="006F34CD">
        <w:t>88</w:t>
      </w:r>
      <w:r w:rsidRPr="006F34CD" w:rsidR="002963B5">
        <w:fldChar w:fldCharType="end"/>
      </w:r>
      <w:r w:rsidRPr="006F34CD" w:rsidR="002963B5">
        <w:t xml:space="preserve"> above). </w:t>
      </w:r>
      <w:r w:rsidRPr="006F34CD" w:rsidR="002B4882">
        <w:t xml:space="preserve">The LROs were thus prevented from making submissions and putting forward arguments against their forced dissolution. </w:t>
      </w:r>
      <w:r w:rsidRPr="006F34CD" w:rsidR="002963B5">
        <w:t>They were also barred from lodging an appeal after the judgment had been passed</w:t>
      </w:r>
      <w:r w:rsidRPr="006F34CD" w:rsidR="002B4882">
        <w:t xml:space="preserve"> (see paragraph </w:t>
      </w:r>
      <w:r w:rsidRPr="006F34CD" w:rsidR="002B4882">
        <w:fldChar w:fldCharType="begin"/>
      </w:r>
      <w:r w:rsidRPr="006F34CD" w:rsidR="006E5193">
        <w:instrText xml:space="preserve">REF paragraph00091 \h \* CharFormat </w:instrText>
      </w:r>
      <w:r w:rsidRPr="006F34CD" w:rsidR="002B4882">
        <w:fldChar w:fldCharType="separate"/>
      </w:r>
      <w:r w:rsidRPr="006F34CD" w:rsidR="006F34CD">
        <w:t>91</w:t>
      </w:r>
      <w:r w:rsidRPr="006F34CD" w:rsidR="002B4882">
        <w:fldChar w:fldCharType="end"/>
      </w:r>
      <w:r w:rsidRPr="006F34CD" w:rsidR="002B4882">
        <w:t xml:space="preserve"> above)</w:t>
      </w:r>
      <w:r w:rsidRPr="006F34CD" w:rsidR="002963B5">
        <w:t xml:space="preserve">. </w:t>
      </w:r>
      <w:r w:rsidRPr="006F34CD" w:rsidR="002B4882">
        <w:t>The Court considers that the Supreme Court</w:t>
      </w:r>
      <w:r w:rsidRPr="006F34CD" w:rsidR="006F34CD">
        <w:t>’</w:t>
      </w:r>
      <w:r w:rsidRPr="006F34CD" w:rsidR="002B4882">
        <w:t>s finding that the judgment</w:t>
      </w:r>
      <w:r w:rsidRPr="006F34CD" w:rsidR="00985B67">
        <w:t xml:space="preserve"> </w:t>
      </w:r>
      <w:r w:rsidRPr="006F34CD" w:rsidR="00AC5AC5">
        <w:t xml:space="preserve">which </w:t>
      </w:r>
      <w:r w:rsidRPr="006F34CD" w:rsidR="00985B67">
        <w:t>order</w:t>
      </w:r>
      <w:r w:rsidRPr="006F34CD" w:rsidR="00AC5AC5">
        <w:t>ed</w:t>
      </w:r>
      <w:r w:rsidRPr="006F34CD" w:rsidR="00985B67">
        <w:t xml:space="preserve"> their liquidation and confiscation of their property</w:t>
      </w:r>
      <w:r w:rsidRPr="006F34CD" w:rsidR="002B4882">
        <w:t xml:space="preserve"> </w:t>
      </w:r>
      <w:r w:rsidRPr="006F34CD" w:rsidR="00AC5AC5">
        <w:t>“</w:t>
      </w:r>
      <w:r w:rsidRPr="006F34CD" w:rsidR="002B4882">
        <w:t xml:space="preserve">did not concern their rights and </w:t>
      </w:r>
      <w:r w:rsidRPr="006F34CD" w:rsidR="00E61631">
        <w:t>obligations</w:t>
      </w:r>
      <w:r w:rsidRPr="006F34CD" w:rsidR="00AC5AC5">
        <w:t>”</w:t>
      </w:r>
      <w:r w:rsidRPr="006F34CD" w:rsidR="002B4882">
        <w:t xml:space="preserve"> was </w:t>
      </w:r>
      <w:r w:rsidRPr="006F34CD" w:rsidR="00985B67">
        <w:t>arbitrary</w:t>
      </w:r>
      <w:r w:rsidRPr="006F34CD" w:rsidR="002B4882">
        <w:t>.</w:t>
      </w:r>
    </w:p>
    <w:p w:rsidRPr="006F34CD" w:rsidR="00087935" w:rsidP="006F34CD" w:rsidRDefault="00CB6108" w14:paraId="4DCFE793" w14:textId="1746199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253</w:t>
      </w:r>
      <w:r>
        <w:rPr>
          <w:noProof/>
        </w:rPr>
        <w:fldChar w:fldCharType="end"/>
      </w:r>
      <w:r w:rsidRPr="006F34CD" w:rsidR="002B4882">
        <w:t>.  </w:t>
      </w:r>
      <w:r w:rsidRPr="006F34CD" w:rsidR="00E61631">
        <w:t>The Court lastly reiterates that it fell to the Supreme Court, as the ultimate guardian of individual rights and freedoms, to consider the matter in the light of the Convention standards and to carry out a balancing exercise by examining whether the interference with the applicants</w:t>
      </w:r>
      <w:r w:rsidRPr="006F34CD" w:rsidR="006F34CD">
        <w:t>’</w:t>
      </w:r>
      <w:r w:rsidRPr="006F34CD" w:rsidR="00E61631">
        <w:t xml:space="preserve"> rights was proportionate to the legitimate aims pursued. </w:t>
      </w:r>
      <w:r w:rsidRPr="006F34CD" w:rsidR="0005213E">
        <w:t xml:space="preserve">Yet the Court cannot find that a genuine balancing exercise has been undertaken in the present case. </w:t>
      </w:r>
      <w:r w:rsidRPr="006F34CD" w:rsidR="008F2972">
        <w:rPr>
          <w:lang w:bidi="en-US"/>
        </w:rPr>
        <w:t xml:space="preserve">As </w:t>
      </w:r>
      <w:r w:rsidRPr="006F34CD" w:rsidR="00B95514">
        <w:rPr>
          <w:lang w:bidi="en-US"/>
        </w:rPr>
        <w:t xml:space="preserve">noted </w:t>
      </w:r>
      <w:r w:rsidRPr="006F34CD" w:rsidR="008F2972">
        <w:rPr>
          <w:lang w:bidi="en-US"/>
        </w:rPr>
        <w:t xml:space="preserve">above, the Supreme Court did not allow the organisations directly affected by its judgment to submit arguments in their defence. </w:t>
      </w:r>
      <w:r w:rsidRPr="006F34CD" w:rsidR="008F2972">
        <w:t>Nor</w:t>
      </w:r>
      <w:r w:rsidRPr="006F34CD" w:rsidR="00EC0517">
        <w:t xml:space="preserve"> did </w:t>
      </w:r>
      <w:r w:rsidRPr="006F34CD" w:rsidR="008F2972">
        <w:t>it</w:t>
      </w:r>
      <w:r w:rsidRPr="006F34CD" w:rsidR="00EC0517">
        <w:t xml:space="preserve"> </w:t>
      </w:r>
      <w:r w:rsidRPr="006F34CD" w:rsidR="00EC0517">
        <w:rPr>
          <w:lang w:bidi="en-US"/>
        </w:rPr>
        <w:t xml:space="preserve">acknowledge, much less consider at any length, the effect of </w:t>
      </w:r>
      <w:r w:rsidRPr="006F34CD" w:rsidR="00A2164D">
        <w:rPr>
          <w:lang w:bidi="en-US"/>
        </w:rPr>
        <w:t>its</w:t>
      </w:r>
      <w:r w:rsidRPr="006F34CD" w:rsidR="00EC0517">
        <w:rPr>
          <w:lang w:bidi="en-US"/>
        </w:rPr>
        <w:t xml:space="preserve"> dissolution, banning and confiscation </w:t>
      </w:r>
      <w:r w:rsidRPr="006F34CD" w:rsidR="00A2164D">
        <w:rPr>
          <w:lang w:bidi="en-US"/>
        </w:rPr>
        <w:t>decision</w:t>
      </w:r>
      <w:r w:rsidRPr="006F34CD" w:rsidR="00EC0517">
        <w:rPr>
          <w:lang w:bidi="en-US"/>
        </w:rPr>
        <w:t xml:space="preserve"> on the rights of 175,000 </w:t>
      </w:r>
      <w:r w:rsidRPr="006F34CD" w:rsidR="008F2972">
        <w:rPr>
          <w:lang w:bidi="en-US"/>
        </w:rPr>
        <w:t xml:space="preserve">individual </w:t>
      </w:r>
      <w:r w:rsidRPr="006F34CD" w:rsidR="00EC0517">
        <w:rPr>
          <w:lang w:bidi="en-US"/>
        </w:rPr>
        <w:t>Jehovah</w:t>
      </w:r>
      <w:r w:rsidRPr="006F34CD" w:rsidR="006F34CD">
        <w:rPr>
          <w:lang w:bidi="en-US"/>
        </w:rPr>
        <w:t>’</w:t>
      </w:r>
      <w:r w:rsidRPr="006F34CD" w:rsidR="00EC0517">
        <w:rPr>
          <w:lang w:bidi="en-US"/>
        </w:rPr>
        <w:t xml:space="preserve">s Witnesses in Russia </w:t>
      </w:r>
      <w:r w:rsidRPr="006F34CD" w:rsidR="000757CC">
        <w:rPr>
          <w:lang w:bidi="en-US"/>
        </w:rPr>
        <w:t>who were put before a stark and impossible choice: to reduce their religious activities to praying in isolation, without the company and support of fellow believers</w:t>
      </w:r>
      <w:r w:rsidRPr="006F34CD" w:rsidR="00A2164D">
        <w:rPr>
          <w:lang w:bidi="en-US"/>
        </w:rPr>
        <w:t xml:space="preserve"> and without a place for worship,</w:t>
      </w:r>
      <w:r w:rsidRPr="006F34CD" w:rsidR="000757CC">
        <w:rPr>
          <w:lang w:bidi="en-US"/>
        </w:rPr>
        <w:t xml:space="preserve"> or </w:t>
      </w:r>
      <w:r w:rsidRPr="006F34CD" w:rsidR="00A2164D">
        <w:rPr>
          <w:lang w:bidi="en-US"/>
        </w:rPr>
        <w:t xml:space="preserve">to </w:t>
      </w:r>
      <w:r w:rsidRPr="006F34CD" w:rsidR="000757CC">
        <w:rPr>
          <w:lang w:bidi="en-US"/>
        </w:rPr>
        <w:t>fac</w:t>
      </w:r>
      <w:r w:rsidRPr="006F34CD" w:rsidR="00A2164D">
        <w:rPr>
          <w:lang w:bidi="en-US"/>
        </w:rPr>
        <w:t>e</w:t>
      </w:r>
      <w:r w:rsidRPr="006F34CD" w:rsidR="000757CC">
        <w:rPr>
          <w:lang w:bidi="en-US"/>
        </w:rPr>
        <w:t xml:space="preserve"> criminal </w:t>
      </w:r>
      <w:r w:rsidRPr="006F34CD" w:rsidR="00A2164D">
        <w:rPr>
          <w:lang w:bidi="en-US"/>
        </w:rPr>
        <w:t xml:space="preserve">prosecution on </w:t>
      </w:r>
      <w:r w:rsidRPr="006F34CD" w:rsidR="000757CC">
        <w:rPr>
          <w:lang w:bidi="en-US"/>
        </w:rPr>
        <w:t xml:space="preserve">charges </w:t>
      </w:r>
      <w:r w:rsidRPr="006F34CD" w:rsidR="00A2164D">
        <w:rPr>
          <w:lang w:bidi="en-US"/>
        </w:rPr>
        <w:t xml:space="preserve">of </w:t>
      </w:r>
      <w:r w:rsidRPr="006F34CD" w:rsidR="000757CC">
        <w:rPr>
          <w:lang w:bidi="en-US"/>
        </w:rPr>
        <w:t>“continu</w:t>
      </w:r>
      <w:r w:rsidRPr="006F34CD" w:rsidR="00A2164D">
        <w:rPr>
          <w:lang w:bidi="en-US"/>
        </w:rPr>
        <w:t>ing</w:t>
      </w:r>
      <w:r w:rsidRPr="006F34CD" w:rsidR="000757CC">
        <w:rPr>
          <w:lang w:bidi="en-US"/>
        </w:rPr>
        <w:t xml:space="preserve"> </w:t>
      </w:r>
      <w:r w:rsidRPr="006F34CD" w:rsidR="00A2164D">
        <w:rPr>
          <w:lang w:bidi="en-US"/>
        </w:rPr>
        <w:t>the</w:t>
      </w:r>
      <w:r w:rsidRPr="006F34CD" w:rsidR="000757CC">
        <w:rPr>
          <w:lang w:bidi="en-US"/>
        </w:rPr>
        <w:t xml:space="preserve"> activities of an extremist organisation”.</w:t>
      </w:r>
      <w:r w:rsidRPr="006F34CD" w:rsidR="00A2164D">
        <w:rPr>
          <w:lang w:bidi="en-US"/>
        </w:rPr>
        <w:t xml:space="preserve"> It did not explain who the “others” were whose rights </w:t>
      </w:r>
      <w:r w:rsidRPr="006F34CD" w:rsidR="008F2972">
        <w:rPr>
          <w:lang w:bidi="en-US"/>
        </w:rPr>
        <w:t xml:space="preserve">were </w:t>
      </w:r>
      <w:r w:rsidRPr="006F34CD" w:rsidR="00A2164D">
        <w:rPr>
          <w:lang w:bidi="en-US"/>
        </w:rPr>
        <w:t xml:space="preserve">supposedly </w:t>
      </w:r>
      <w:r w:rsidRPr="006F34CD" w:rsidR="008F2972">
        <w:rPr>
          <w:lang w:bidi="en-US"/>
        </w:rPr>
        <w:t>in need of</w:t>
      </w:r>
      <w:r w:rsidRPr="006F34CD" w:rsidR="00A2164D">
        <w:rPr>
          <w:lang w:bidi="en-US"/>
        </w:rPr>
        <w:t xml:space="preserve"> protection</w:t>
      </w:r>
      <w:r w:rsidRPr="006F34CD" w:rsidR="008F2972">
        <w:rPr>
          <w:lang w:bidi="en-US"/>
        </w:rPr>
        <w:t>,</w:t>
      </w:r>
      <w:r w:rsidRPr="006F34CD" w:rsidR="00A2164D">
        <w:rPr>
          <w:lang w:bidi="en-US"/>
        </w:rPr>
        <w:t xml:space="preserve"> given that Jehovah</w:t>
      </w:r>
      <w:r w:rsidRPr="006F34CD" w:rsidR="006F34CD">
        <w:rPr>
          <w:lang w:bidi="en-US"/>
        </w:rPr>
        <w:t>’</w:t>
      </w:r>
      <w:r w:rsidRPr="006F34CD" w:rsidR="00A2164D">
        <w:rPr>
          <w:lang w:bidi="en-US"/>
        </w:rPr>
        <w:t>s Witnesses ha</w:t>
      </w:r>
      <w:r w:rsidRPr="006F34CD" w:rsidR="008F2972">
        <w:rPr>
          <w:lang w:bidi="en-US"/>
        </w:rPr>
        <w:t>d</w:t>
      </w:r>
      <w:r w:rsidRPr="006F34CD" w:rsidR="00A2164D">
        <w:rPr>
          <w:lang w:bidi="en-US"/>
        </w:rPr>
        <w:t xml:space="preserve"> not been found to </w:t>
      </w:r>
      <w:r w:rsidRPr="006F34CD" w:rsidR="008F2972">
        <w:rPr>
          <w:lang w:bidi="en-US"/>
        </w:rPr>
        <w:t xml:space="preserve">have used </w:t>
      </w:r>
      <w:r w:rsidRPr="006F34CD" w:rsidR="00A2164D">
        <w:rPr>
          <w:lang w:bidi="en-US"/>
        </w:rPr>
        <w:t xml:space="preserve">any coercion or improper methods of </w:t>
      </w:r>
      <w:r w:rsidRPr="006F34CD" w:rsidR="008F2972">
        <w:rPr>
          <w:lang w:bidi="en-US"/>
        </w:rPr>
        <w:t>conversion,</w:t>
      </w:r>
      <w:r w:rsidRPr="006F34CD" w:rsidR="00A2164D">
        <w:rPr>
          <w:lang w:bidi="en-US"/>
        </w:rPr>
        <w:t xml:space="preserve"> or what </w:t>
      </w:r>
      <w:r w:rsidRPr="006F34CD" w:rsidR="008F2972">
        <w:rPr>
          <w:lang w:bidi="en-US"/>
        </w:rPr>
        <w:t>kind of</w:t>
      </w:r>
      <w:r w:rsidRPr="006F34CD" w:rsidR="00A2164D">
        <w:rPr>
          <w:lang w:bidi="en-US"/>
        </w:rPr>
        <w:t xml:space="preserve"> “real threat” to pub</w:t>
      </w:r>
      <w:r w:rsidRPr="006F34CD" w:rsidR="007B2549">
        <w:rPr>
          <w:lang w:bidi="en-US"/>
        </w:rPr>
        <w:t>l</w:t>
      </w:r>
      <w:r w:rsidRPr="006F34CD" w:rsidR="00A2164D">
        <w:rPr>
          <w:lang w:bidi="en-US"/>
        </w:rPr>
        <w:t>ic order and security the avowedly peaceful and non-violent religious activities of Jehovah</w:t>
      </w:r>
      <w:r w:rsidRPr="006F34CD" w:rsidR="006F34CD">
        <w:rPr>
          <w:lang w:bidi="en-US"/>
        </w:rPr>
        <w:t>’</w:t>
      </w:r>
      <w:r w:rsidRPr="006F34CD" w:rsidR="00A2164D">
        <w:rPr>
          <w:lang w:bidi="en-US"/>
        </w:rPr>
        <w:t xml:space="preserve">s Witnesses posed. </w:t>
      </w:r>
      <w:r w:rsidRPr="006F34CD" w:rsidR="008F2972">
        <w:rPr>
          <w:lang w:bidi="en-US"/>
        </w:rPr>
        <w:t xml:space="preserve">The Court finds that the </w:t>
      </w:r>
      <w:r w:rsidRPr="006F34CD" w:rsidR="00087935">
        <w:t>Supreme Court</w:t>
      </w:r>
      <w:r w:rsidRPr="006F34CD" w:rsidR="006F34CD">
        <w:t>’</w:t>
      </w:r>
      <w:r w:rsidRPr="006F34CD" w:rsidR="008F2972">
        <w:t>s judgment</w:t>
      </w:r>
      <w:r w:rsidRPr="006F34CD" w:rsidR="00087935">
        <w:t xml:space="preserve"> relied on generalities instead of </w:t>
      </w:r>
      <w:r w:rsidRPr="006F34CD" w:rsidR="008F2972">
        <w:t>actually engaging in reasoning</w:t>
      </w:r>
      <w:r w:rsidRPr="006F34CD" w:rsidR="00087935">
        <w:t xml:space="preserve"> and </w:t>
      </w:r>
      <w:r w:rsidRPr="006F34CD" w:rsidR="008F2972">
        <w:t>trying</w:t>
      </w:r>
      <w:r w:rsidRPr="006F34CD" w:rsidR="00087935">
        <w:t xml:space="preserve"> to find a balance between competing rights.</w:t>
      </w:r>
      <w:r w:rsidRPr="006F34CD" w:rsidR="000B11F5">
        <w:t xml:space="preserve"> These shortcomings were not remedied on appeal.</w:t>
      </w:r>
    </w:p>
    <w:p w:rsidRPr="006F34CD" w:rsidR="000D64DD" w:rsidP="006F34CD" w:rsidRDefault="00CB6108" w14:paraId="3BF3D1DD" w14:textId="23F6A176">
      <w:pPr>
        <w:pStyle w:val="JuPara"/>
      </w:pPr>
      <w:r>
        <w:rPr>
          <w:noProof/>
        </w:rPr>
        <w:fldChar w:fldCharType="begin"/>
      </w:r>
      <w:r>
        <w:rPr>
          <w:noProof/>
        </w:rPr>
        <w:instrText xml:space="preserve"> SEQ level0 \*arabic \* MER</w:instrText>
      </w:r>
      <w:r>
        <w:rPr>
          <w:noProof/>
        </w:rPr>
        <w:instrText xml:space="preserve">GEFORMAT </w:instrText>
      </w:r>
      <w:r>
        <w:rPr>
          <w:noProof/>
        </w:rPr>
        <w:fldChar w:fldCharType="separate"/>
      </w:r>
      <w:r w:rsidRPr="006F34CD" w:rsidR="006F34CD">
        <w:rPr>
          <w:noProof/>
        </w:rPr>
        <w:t>254</w:t>
      </w:r>
      <w:r>
        <w:rPr>
          <w:noProof/>
        </w:rPr>
        <w:fldChar w:fldCharType="end"/>
      </w:r>
      <w:r w:rsidRPr="006F34CD" w:rsidR="008F2972">
        <w:t>.  </w:t>
      </w:r>
      <w:r w:rsidRPr="006F34CD" w:rsidR="00613090">
        <w:t xml:space="preserve">Considering the above </w:t>
      </w:r>
      <w:r w:rsidRPr="006F34CD" w:rsidR="00844D8A">
        <w:t>elements</w:t>
      </w:r>
      <w:r w:rsidRPr="006F34CD" w:rsidR="00613090">
        <w:t xml:space="preserve"> and the sequence of events, the Court finds that the </w:t>
      </w:r>
      <w:r w:rsidRPr="006F34CD" w:rsidR="009D21C4">
        <w:t>forced dissolution of all religious organisations of Jehovah</w:t>
      </w:r>
      <w:r w:rsidRPr="006F34CD" w:rsidR="006F34CD">
        <w:t>’</w:t>
      </w:r>
      <w:r w:rsidRPr="006F34CD" w:rsidR="009D21C4">
        <w:t xml:space="preserve">s Witnesses in Russia </w:t>
      </w:r>
      <w:r w:rsidRPr="006F34CD" w:rsidR="00613090">
        <w:t xml:space="preserve">was not </w:t>
      </w:r>
      <w:r w:rsidRPr="006F34CD" w:rsidR="00DF4D0A">
        <w:t>merely</w:t>
      </w:r>
      <w:r w:rsidRPr="006F34CD" w:rsidR="00613090">
        <w:t xml:space="preserve"> the result of </w:t>
      </w:r>
      <w:r w:rsidRPr="006F34CD" w:rsidR="00075F6A">
        <w:t>a</w:t>
      </w:r>
      <w:r w:rsidRPr="006F34CD" w:rsidR="00613090">
        <w:t xml:space="preserve"> </w:t>
      </w:r>
      <w:r w:rsidRPr="006F34CD" w:rsidR="00DF4D0A">
        <w:t>neutral</w:t>
      </w:r>
      <w:r w:rsidRPr="006F34CD" w:rsidR="009D21C4">
        <w:t xml:space="preserve"> application of legal provisions </w:t>
      </w:r>
      <w:r w:rsidRPr="006F34CD" w:rsidR="00613090">
        <w:t>but</w:t>
      </w:r>
      <w:r w:rsidRPr="006F34CD" w:rsidR="00DF4D0A">
        <w:t xml:space="preserve"> disclosed indications of a policy of intolerance by the Russian authorities towards the </w:t>
      </w:r>
      <w:r w:rsidRPr="006F34CD" w:rsidR="00E07C17">
        <w:t>religious practices</w:t>
      </w:r>
      <w:r w:rsidRPr="006F34CD" w:rsidR="00DF4D0A">
        <w:t xml:space="preserve"> of Jehovah</w:t>
      </w:r>
      <w:r w:rsidRPr="006F34CD" w:rsidR="006F34CD">
        <w:t>’</w:t>
      </w:r>
      <w:r w:rsidRPr="006F34CD" w:rsidR="00DF4D0A">
        <w:t>s Witnesses</w:t>
      </w:r>
      <w:r w:rsidRPr="006F34CD" w:rsidR="00E07C17">
        <w:t xml:space="preserve"> designed to cause Jehovah</w:t>
      </w:r>
      <w:r w:rsidRPr="006F34CD" w:rsidR="006F34CD">
        <w:t>’</w:t>
      </w:r>
      <w:r w:rsidRPr="006F34CD" w:rsidR="00E07C17">
        <w:t>s Witnesses to abandon their faith and to prevent others from joining it</w:t>
      </w:r>
      <w:r w:rsidRPr="006F34CD" w:rsidR="00DF4D0A">
        <w:t xml:space="preserve">. </w:t>
      </w:r>
      <w:r w:rsidRPr="006F34CD" w:rsidR="00E07C17">
        <w:t>The use of an excessively broad wording of the extremism legislation to disband the communities of Jehovah</w:t>
      </w:r>
      <w:r w:rsidRPr="006F34CD" w:rsidR="006F34CD">
        <w:t>’</w:t>
      </w:r>
      <w:r w:rsidRPr="006F34CD" w:rsidR="00E07C17">
        <w:t>s Witnesses across Russia, the breaking-up of their religious meetings, the confiscation of their religious publications, searches in their homes and places of worship, surveillance by the security services, and other forms of interference with their religious practices reinforce this conclusion. The Court reiterates that r</w:t>
      </w:r>
      <w:r w:rsidRPr="006F34CD" w:rsidR="000D64DD">
        <w:rPr>
          <w:lang w:bidi="en-US"/>
        </w:rPr>
        <w:t xml:space="preserve">espect for religious diversity undoubtedly represents one of the most important challenges to be faced today; for that reason, the authorities must perceive religious diversity not as a threat but as a source of enrichment </w:t>
      </w:r>
      <w:r w:rsidRPr="006F34CD" w:rsidR="000D64DD">
        <w:t xml:space="preserve">(see </w:t>
      </w:r>
      <w:r w:rsidRPr="006F34CD" w:rsidR="000D64DD">
        <w:rPr>
          <w:i/>
        </w:rPr>
        <w:t>İzzettin Doğan and Others</w:t>
      </w:r>
      <w:r w:rsidRPr="006F34CD" w:rsidR="000D64DD">
        <w:t>, cited above, § 109).</w:t>
      </w:r>
      <w:r w:rsidRPr="006F34CD" w:rsidR="00E07C17">
        <w:t xml:space="preserve"> By </w:t>
      </w:r>
      <w:r w:rsidRPr="006F34CD" w:rsidR="003848B2">
        <w:t xml:space="preserve">seeking to suppress the religious activities of </w:t>
      </w:r>
      <w:r w:rsidRPr="006F34CD" w:rsidR="00E07C17">
        <w:t>Jehovah</w:t>
      </w:r>
      <w:r w:rsidRPr="006F34CD" w:rsidR="006F34CD">
        <w:t>’</w:t>
      </w:r>
      <w:r w:rsidRPr="006F34CD" w:rsidR="00E07C17">
        <w:t xml:space="preserve">s Witnesses as they did, the </w:t>
      </w:r>
      <w:r w:rsidRPr="006F34CD" w:rsidR="003848B2">
        <w:t>Russian authorities failed to act in good faith and breached the State</w:t>
      </w:r>
      <w:r w:rsidRPr="006F34CD" w:rsidR="006F34CD">
        <w:t>’</w:t>
      </w:r>
      <w:r w:rsidRPr="006F34CD" w:rsidR="003848B2">
        <w:t>s duty of neutrality and impartiality vis</w:t>
      </w:r>
      <w:r w:rsidRPr="006F34CD" w:rsidR="00A837FB">
        <w:noBreakHyphen/>
      </w:r>
      <w:r w:rsidRPr="006F34CD" w:rsidR="003848B2">
        <w:t>à</w:t>
      </w:r>
      <w:r w:rsidRPr="006F34CD" w:rsidR="00A837FB">
        <w:noBreakHyphen/>
      </w:r>
      <w:r w:rsidRPr="006F34CD" w:rsidR="003848B2">
        <w:t xml:space="preserve">vis the </w:t>
      </w:r>
      <w:r w:rsidRPr="006F34CD" w:rsidR="00D36195">
        <w:t>religion</w:t>
      </w:r>
      <w:r w:rsidRPr="006F34CD" w:rsidR="003848B2">
        <w:t xml:space="preserve"> of Jehovah</w:t>
      </w:r>
      <w:r w:rsidRPr="006F34CD" w:rsidR="006F34CD">
        <w:t>’</w:t>
      </w:r>
      <w:r w:rsidRPr="006F34CD" w:rsidR="003848B2">
        <w:t>s Witnesses.</w:t>
      </w:r>
    </w:p>
    <w:bookmarkStart w:name="paragraph00255" w:id="213"/>
    <w:p w:rsidRPr="006F34CD" w:rsidR="000D64DD" w:rsidP="006F34CD" w:rsidRDefault="00B26C16" w14:paraId="13C6CE80" w14:textId="45F9EBE5">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255</w:t>
      </w:r>
      <w:r w:rsidRPr="006F34CD">
        <w:fldChar w:fldCharType="end"/>
      </w:r>
      <w:bookmarkEnd w:id="213"/>
      <w:r w:rsidRPr="006F34CD">
        <w:t>.  </w:t>
      </w:r>
      <w:r w:rsidRPr="006F34CD" w:rsidR="000D64DD">
        <w:t xml:space="preserve">There has therefore been </w:t>
      </w:r>
      <w:bookmarkStart w:name="conclusionVI" w:id="214"/>
      <w:r w:rsidRPr="006F34CD" w:rsidR="000D64DD">
        <w:t>a violation of Article </w:t>
      </w:r>
      <w:r w:rsidRPr="006F34CD">
        <w:t>9</w:t>
      </w:r>
      <w:r w:rsidRPr="006F34CD" w:rsidR="000D64DD">
        <w:t xml:space="preserve"> of the Convention, read in the light of Article </w:t>
      </w:r>
      <w:r w:rsidRPr="006F34CD">
        <w:t>11</w:t>
      </w:r>
      <w:r w:rsidRPr="006F34CD" w:rsidR="000D64DD">
        <w:t>, on account of the dissolution of the Administrative Centre of Jehovah</w:t>
      </w:r>
      <w:r w:rsidRPr="006F34CD" w:rsidR="006F34CD">
        <w:t>’</w:t>
      </w:r>
      <w:r w:rsidRPr="006F34CD" w:rsidR="000D64DD">
        <w:t>s Witnesses in Russia and the LROs of Jehovah</w:t>
      </w:r>
      <w:r w:rsidRPr="006F34CD" w:rsidR="006F34CD">
        <w:t>’</w:t>
      </w:r>
      <w:r w:rsidRPr="006F34CD" w:rsidR="000D64DD">
        <w:t>s Witnesses</w:t>
      </w:r>
      <w:bookmarkEnd w:id="214"/>
      <w:r w:rsidRPr="006F34CD" w:rsidR="000D64DD">
        <w:t>.</w:t>
      </w:r>
    </w:p>
    <w:p w:rsidRPr="006F34CD" w:rsidR="00563DE6" w:rsidP="006F34CD" w:rsidRDefault="00214758" w14:paraId="4CECB55A" w14:textId="71553E36">
      <w:pPr>
        <w:pStyle w:val="JuHIRoman"/>
      </w:pPr>
      <w:r w:rsidRPr="006F34CD">
        <w:t xml:space="preserve"> </w:t>
      </w:r>
      <w:bookmarkStart w:name="_Toc97301984" w:id="215"/>
      <w:r w:rsidRPr="006F34CD" w:rsidR="006838B5">
        <w:t xml:space="preserve">ALLEGED VIOLATION OF ARTICLES </w:t>
      </w:r>
      <w:r w:rsidRPr="006F34CD" w:rsidR="00457543">
        <w:t>5</w:t>
      </w:r>
      <w:r w:rsidRPr="006F34CD" w:rsidR="00F5615B">
        <w:t xml:space="preserve"> </w:t>
      </w:r>
      <w:r w:rsidRPr="006F34CD" w:rsidR="00C44EBD">
        <w:t>AND</w:t>
      </w:r>
      <w:r w:rsidRPr="006F34CD" w:rsidR="00457543">
        <w:t xml:space="preserve"> </w:t>
      </w:r>
      <w:r w:rsidRPr="006F34CD" w:rsidR="006838B5">
        <w:t>9 OF THE CONVENTION ON ACCOUNT OF CRIMINAL PROSECUTION OF JEHOVAH</w:t>
      </w:r>
      <w:r w:rsidRPr="006F34CD" w:rsidR="006F34CD">
        <w:t>’</w:t>
      </w:r>
      <w:r w:rsidRPr="006F34CD" w:rsidR="006838B5">
        <w:t>S WITNESSES</w:t>
      </w:r>
      <w:bookmarkEnd w:id="215"/>
    </w:p>
    <w:p w:rsidRPr="006F34CD" w:rsidR="00457543" w:rsidP="006F34CD" w:rsidRDefault="00563DE6" w14:paraId="2FF62805" w14:textId="2A7B9367">
      <w:pPr>
        <w:pStyle w:val="JuPara"/>
      </w:pPr>
      <w:r w:rsidRPr="006F34CD">
        <w:fldChar w:fldCharType="begin"/>
      </w:r>
      <w:r w:rsidRPr="006F34CD">
        <w:instrText xml:space="preserve"> SEQ level0 \*arabic </w:instrText>
      </w:r>
      <w:r w:rsidRPr="006F34CD">
        <w:fldChar w:fldCharType="separate"/>
      </w:r>
      <w:r w:rsidRPr="006F34CD" w:rsidR="006F34CD">
        <w:rPr>
          <w:noProof/>
        </w:rPr>
        <w:t>256</w:t>
      </w:r>
      <w:r w:rsidRPr="006F34CD">
        <w:fldChar w:fldCharType="end"/>
      </w:r>
      <w:r w:rsidRPr="006F34CD">
        <w:t>.</w:t>
      </w:r>
      <w:r w:rsidRPr="006F34CD" w:rsidR="001370AA">
        <w:t>  </w:t>
      </w:r>
      <w:r w:rsidRPr="006F34CD">
        <w:t xml:space="preserve">The applicants </w:t>
      </w:r>
      <w:r w:rsidRPr="006F34CD" w:rsidR="009942D3">
        <w:t xml:space="preserve">concerned </w:t>
      </w:r>
      <w:r w:rsidRPr="006F34CD">
        <w:t>complained that the</w:t>
      </w:r>
      <w:r w:rsidRPr="006F34CD" w:rsidR="004A2829">
        <w:t>ir</w:t>
      </w:r>
      <w:r w:rsidRPr="006F34CD">
        <w:t xml:space="preserve"> criminal conviction </w:t>
      </w:r>
      <w:r w:rsidRPr="006F34CD" w:rsidR="006347AD">
        <w:t xml:space="preserve">on charges of “continuing the activities of an extremist organisation” </w:t>
      </w:r>
      <w:r w:rsidRPr="006F34CD" w:rsidR="004A2829">
        <w:t xml:space="preserve">for organising services of worship and practicing their religion in community with others </w:t>
      </w:r>
      <w:r w:rsidRPr="006F34CD" w:rsidR="0098303E">
        <w:t xml:space="preserve">(see section </w:t>
      </w:r>
      <w:r w:rsidRPr="006F34CD" w:rsidR="00C057E0">
        <w:fldChar w:fldCharType="begin"/>
      </w:r>
      <w:r w:rsidRPr="006F34CD" w:rsidR="00C057E0">
        <w:instrText xml:space="preserve"> REF _Ref83657398 \n \h </w:instrText>
      </w:r>
      <w:r w:rsidRPr="006F34CD" w:rsidR="00C057E0">
        <w:fldChar w:fldCharType="separate"/>
      </w:r>
      <w:r w:rsidRPr="006F34CD" w:rsidR="006F34CD">
        <w:t>I</w:t>
      </w:r>
      <w:r w:rsidRPr="006F34CD" w:rsidR="00C057E0">
        <w:fldChar w:fldCharType="end"/>
      </w:r>
      <w:r w:rsidRPr="006F34CD" w:rsidR="00C057E0">
        <w:t xml:space="preserve"> </w:t>
      </w:r>
      <w:r w:rsidRPr="006F34CD" w:rsidR="0098303E">
        <w:t xml:space="preserve">of the Facts) </w:t>
      </w:r>
      <w:r w:rsidRPr="006F34CD" w:rsidR="004A2829">
        <w:t xml:space="preserve">had violated their rights to freedom of religion and association under </w:t>
      </w:r>
      <w:r w:rsidRPr="006F34CD" w:rsidR="00C8339E">
        <w:t>Articles 9</w:t>
      </w:r>
      <w:r w:rsidRPr="006F34CD" w:rsidR="004A2829">
        <w:t xml:space="preserve"> and 11 of the Convention. </w:t>
      </w:r>
      <w:r w:rsidRPr="006F34CD" w:rsidR="00BC0864">
        <w:t>Mr C</w:t>
      </w:r>
      <w:r w:rsidRPr="006F34CD" w:rsidR="00457543">
        <w:t xml:space="preserve">hristensen also complained that his pre-trial detention </w:t>
      </w:r>
      <w:r w:rsidRPr="006F34CD" w:rsidR="00F5615B">
        <w:t>had been</w:t>
      </w:r>
      <w:r w:rsidRPr="006F34CD" w:rsidR="00457543">
        <w:t xml:space="preserve"> incompatible with the requirements of </w:t>
      </w:r>
      <w:r w:rsidRPr="006F34CD" w:rsidR="00BC0864">
        <w:t>Article 5</w:t>
      </w:r>
      <w:r w:rsidRPr="006F34CD" w:rsidR="00457543">
        <w:t xml:space="preserve"> of the Convention</w:t>
      </w:r>
      <w:r w:rsidRPr="006F34CD" w:rsidR="008F66C8">
        <w:t>, of</w:t>
      </w:r>
      <w:r w:rsidRPr="006F34CD" w:rsidR="00457543">
        <w:t xml:space="preserve"> which </w:t>
      </w:r>
      <w:r w:rsidRPr="006F34CD" w:rsidR="008F66C8">
        <w:t xml:space="preserve">the relevant parts </w:t>
      </w:r>
      <w:r w:rsidRPr="006F34CD" w:rsidR="00A82668">
        <w:t>read</w:t>
      </w:r>
      <w:r w:rsidRPr="006F34CD" w:rsidR="00457543">
        <w:t xml:space="preserve"> as follows:</w:t>
      </w:r>
    </w:p>
    <w:p w:rsidRPr="006F34CD" w:rsidR="008F66C8" w:rsidP="006F34CD" w:rsidRDefault="00457543" w14:paraId="32AADE3B" w14:textId="555F87CC">
      <w:pPr>
        <w:pStyle w:val="JuQuot"/>
      </w:pPr>
      <w:r w:rsidRPr="006F34CD">
        <w:t>“</w:t>
      </w:r>
      <w:r w:rsidRPr="006F34CD" w:rsidR="008F66C8">
        <w:t>1.  Everyone has the right to liberty and security of person. No one shall be deprived of his liberty save in the following cases and in accordance with a procedure prescribed by law:</w:t>
      </w:r>
    </w:p>
    <w:p w:rsidRPr="006F34CD" w:rsidR="008F66C8" w:rsidP="006F34CD" w:rsidRDefault="00587DCF" w14:paraId="3A94C6DE" w14:textId="6B50EF33">
      <w:pPr>
        <w:pStyle w:val="JuQuot"/>
      </w:pPr>
      <w:r w:rsidRPr="006F34CD">
        <w:t>...</w:t>
      </w:r>
    </w:p>
    <w:p w:rsidRPr="006F34CD" w:rsidR="008F66C8" w:rsidP="006F34CD" w:rsidRDefault="008F66C8" w14:paraId="789E1819" w14:textId="567D8CFD">
      <w:pPr>
        <w:pStyle w:val="JuQuot"/>
      </w:pPr>
      <w:r w:rsidRPr="006F34CD">
        <w:t xml:space="preserve">(c)  the lawful arrest or detention of a person effected for the purpose of bringing him before the competent legal authority on reasonable suspicion of having committed an offence </w:t>
      </w:r>
      <w:r w:rsidRPr="006F34CD" w:rsidR="00587DCF">
        <w:t>...</w:t>
      </w:r>
    </w:p>
    <w:p w:rsidRPr="006F34CD" w:rsidR="008F66C8" w:rsidP="006F34CD" w:rsidRDefault="00587DCF" w14:paraId="282B9BD6" w14:textId="1507DD11">
      <w:pPr>
        <w:pStyle w:val="JuQuot"/>
      </w:pPr>
      <w:r w:rsidRPr="006F34CD">
        <w:t>...</w:t>
      </w:r>
    </w:p>
    <w:p w:rsidRPr="006F34CD" w:rsidR="00457543" w:rsidP="006F34CD" w:rsidRDefault="008F66C8" w14:paraId="116A17FE" w14:textId="59C2F9DB">
      <w:pPr>
        <w:pStyle w:val="JuQuot"/>
      </w:pPr>
      <w:r w:rsidRPr="006F34CD">
        <w:t>3.  </w:t>
      </w:r>
      <w:r w:rsidRPr="006F34CD" w:rsidR="00457543">
        <w:t>Everyone arrested or detained in accordance with the provisions of paragraph 1 (c) of this Article shall be ... entitled to trial within a reasonable time or to release pending trial. Release may be conditioned by guarantees to appear for trial.”</w:t>
      </w:r>
    </w:p>
    <w:p w:rsidRPr="006F34CD" w:rsidR="00E206CB" w:rsidP="006F34CD" w:rsidRDefault="00E206CB" w14:paraId="2E272C63" w14:textId="77777777">
      <w:pPr>
        <w:pStyle w:val="JuHA"/>
        <w:numPr>
          <w:ilvl w:val="2"/>
          <w:numId w:val="7"/>
        </w:numPr>
      </w:pPr>
      <w:bookmarkStart w:name="_Toc97301985" w:id="216"/>
      <w:r w:rsidRPr="006F34CD">
        <w:t>Admissibility</w:t>
      </w:r>
      <w:bookmarkEnd w:id="216"/>
    </w:p>
    <w:p w:rsidRPr="006F34CD" w:rsidR="00587DCF" w:rsidP="006F34CD" w:rsidRDefault="00CB6108" w14:paraId="190D84A4" w14:textId="27BB49FD">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257</w:t>
      </w:r>
      <w:r>
        <w:rPr>
          <w:noProof/>
        </w:rPr>
        <w:fldChar w:fldCharType="end"/>
      </w:r>
      <w:r w:rsidRPr="006F34CD" w:rsidR="000D64DD">
        <w:t>.  </w:t>
      </w:r>
      <w:r w:rsidRPr="006F34CD" w:rsidR="00503097">
        <w:t>As regards</w:t>
      </w:r>
      <w:r w:rsidRPr="006F34CD" w:rsidR="000D64DD">
        <w:t xml:space="preserve"> </w:t>
      </w:r>
      <w:r w:rsidRPr="006F34CD" w:rsidR="00BC0864">
        <w:t>Mr C</w:t>
      </w:r>
      <w:r w:rsidRPr="006F34CD" w:rsidR="000D64DD">
        <w:t>hristensen</w:t>
      </w:r>
      <w:r w:rsidRPr="006F34CD" w:rsidR="006F34CD">
        <w:t>’</w:t>
      </w:r>
      <w:r w:rsidRPr="006F34CD" w:rsidR="000D64DD">
        <w:t xml:space="preserve">s initial application concerning </w:t>
      </w:r>
      <w:r w:rsidRPr="006F34CD" w:rsidR="00442E97">
        <w:t xml:space="preserve">his </w:t>
      </w:r>
      <w:r w:rsidRPr="006F34CD" w:rsidR="000D64DD">
        <w:t>pre</w:t>
      </w:r>
      <w:r w:rsidRPr="006F34CD" w:rsidR="00BC5C07">
        <w:noBreakHyphen/>
      </w:r>
      <w:r w:rsidRPr="006F34CD" w:rsidR="000D64DD">
        <w:t xml:space="preserve">trial detention </w:t>
      </w:r>
      <w:r w:rsidRPr="006F34CD" w:rsidR="00503097">
        <w:t xml:space="preserve">imposed </w:t>
      </w:r>
      <w:r w:rsidRPr="006F34CD" w:rsidR="000D64DD">
        <w:t xml:space="preserve">for what he </w:t>
      </w:r>
      <w:r w:rsidRPr="006F34CD" w:rsidR="00442E97">
        <w:t>considered to be</w:t>
      </w:r>
      <w:r w:rsidRPr="006F34CD" w:rsidR="000D64DD">
        <w:t xml:space="preserve"> a legitimate exercise of </w:t>
      </w:r>
      <w:r w:rsidRPr="006F34CD" w:rsidR="00442E97">
        <w:t>his</w:t>
      </w:r>
      <w:r w:rsidRPr="006F34CD" w:rsidR="000D64DD">
        <w:t xml:space="preserve"> right to freedom of religion (</w:t>
      </w:r>
      <w:r w:rsidRPr="006F34CD" w:rsidR="00BC0864">
        <w:t>no. 3</w:t>
      </w:r>
      <w:r w:rsidRPr="006F34CD" w:rsidR="00C737D1">
        <w:t>9417/17</w:t>
      </w:r>
      <w:r w:rsidRPr="006F34CD" w:rsidR="000D64DD">
        <w:t xml:space="preserve">), the Government submitted that the complaint under </w:t>
      </w:r>
      <w:r w:rsidRPr="006F34CD" w:rsidR="00BC0864">
        <w:t>Article 9</w:t>
      </w:r>
      <w:r w:rsidRPr="006F34CD" w:rsidR="000D64DD">
        <w:t xml:space="preserve"> was premature</w:t>
      </w:r>
      <w:r w:rsidRPr="006F34CD" w:rsidR="00442E97">
        <w:t xml:space="preserve"> and inadmissible for non</w:t>
      </w:r>
      <w:r w:rsidRPr="006F34CD" w:rsidR="007D66FC">
        <w:noBreakHyphen/>
      </w:r>
      <w:r w:rsidRPr="006F34CD" w:rsidR="00442E97">
        <w:t>exhaustion of domestic remedies</w:t>
      </w:r>
      <w:r w:rsidRPr="006F34CD" w:rsidR="00503097">
        <w:t xml:space="preserve">, </w:t>
      </w:r>
      <w:r w:rsidRPr="006F34CD" w:rsidR="000D64DD">
        <w:t xml:space="preserve">as the </w:t>
      </w:r>
      <w:r w:rsidRPr="006F34CD" w:rsidR="00503097">
        <w:t>sentence</w:t>
      </w:r>
      <w:r w:rsidRPr="006F34CD" w:rsidR="000D64DD">
        <w:t xml:space="preserve"> had </w:t>
      </w:r>
      <w:r w:rsidRPr="006F34CD" w:rsidR="00442E97">
        <w:t xml:space="preserve">not </w:t>
      </w:r>
      <w:r w:rsidRPr="006F34CD" w:rsidR="000D64DD">
        <w:t xml:space="preserve">yet been </w:t>
      </w:r>
      <w:r w:rsidRPr="006F34CD" w:rsidR="00442E97">
        <w:t>passed</w:t>
      </w:r>
      <w:r w:rsidRPr="006F34CD" w:rsidR="000D64DD">
        <w:t>.</w:t>
      </w:r>
    </w:p>
    <w:p w:rsidRPr="006F34CD" w:rsidR="008615D6" w:rsidP="006F34CD" w:rsidRDefault="00CB6108" w14:paraId="0B8EB9BA" w14:textId="54CE9117">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258</w:t>
      </w:r>
      <w:r>
        <w:rPr>
          <w:noProof/>
        </w:rPr>
        <w:fldChar w:fldCharType="end"/>
      </w:r>
      <w:r w:rsidRPr="006F34CD" w:rsidR="00987BFA">
        <w:t>.  </w:t>
      </w:r>
      <w:r w:rsidRPr="006F34CD" w:rsidR="000D64DD">
        <w:t xml:space="preserve">The Court </w:t>
      </w:r>
      <w:r w:rsidRPr="006F34CD" w:rsidR="00B315A4">
        <w:t>reiterates that measures capable of having a chilling effect on the exercise of a Convention right may confer on the affected individuals the status of a “victim” of an alleged violation even in the absence of a final conviction and that the existence of a deprivation of liberty would be indicative of interference with that right (see</w:t>
      </w:r>
      <w:r w:rsidRPr="006F34CD" w:rsidR="00B315A4">
        <w:rPr>
          <w:i/>
        </w:rPr>
        <w:t xml:space="preserve"> Dilipak</w:t>
      </w:r>
      <w:r w:rsidRPr="006F34CD" w:rsidR="00BC0864">
        <w:rPr>
          <w:i/>
        </w:rPr>
        <w:t xml:space="preserve"> v. T</w:t>
      </w:r>
      <w:r w:rsidRPr="006F34CD" w:rsidR="00B315A4">
        <w:rPr>
          <w:i/>
        </w:rPr>
        <w:t>urkey</w:t>
      </w:r>
      <w:r w:rsidRPr="006F34CD" w:rsidR="00B315A4">
        <w:t xml:space="preserve">, </w:t>
      </w:r>
      <w:r w:rsidRPr="006F34CD" w:rsidR="00BC0864">
        <w:t>no. 2</w:t>
      </w:r>
      <w:r w:rsidRPr="006F34CD" w:rsidR="00B315A4">
        <w:t>9680/05, § 50, 15 September 2015</w:t>
      </w:r>
      <w:r w:rsidRPr="006F34CD" w:rsidR="00F93DF1">
        <w:t>, and</w:t>
      </w:r>
      <w:r w:rsidRPr="006F34CD" w:rsidR="00F93DF1">
        <w:rPr>
          <w:i/>
        </w:rPr>
        <w:t xml:space="preserve"> Döner and Others</w:t>
      </w:r>
      <w:r w:rsidRPr="006F34CD" w:rsidR="00BC0864">
        <w:rPr>
          <w:i/>
        </w:rPr>
        <w:t xml:space="preserve"> v. T</w:t>
      </w:r>
      <w:r w:rsidRPr="006F34CD" w:rsidR="00F93DF1">
        <w:rPr>
          <w:i/>
        </w:rPr>
        <w:t>urkey</w:t>
      </w:r>
      <w:r w:rsidRPr="006F34CD" w:rsidR="00F93DF1">
        <w:t xml:space="preserve">, </w:t>
      </w:r>
      <w:r w:rsidRPr="006F34CD" w:rsidR="00BC0864">
        <w:t>no. 2</w:t>
      </w:r>
      <w:r w:rsidRPr="006F34CD" w:rsidR="00F93DF1">
        <w:t xml:space="preserve">9994/02, § 88, </w:t>
      </w:r>
      <w:r w:rsidRPr="006F34CD" w:rsidR="00BC0864">
        <w:t>7 March 2017</w:t>
      </w:r>
      <w:r w:rsidRPr="006F34CD" w:rsidR="00B315A4">
        <w:t xml:space="preserve">). In so far as </w:t>
      </w:r>
      <w:r w:rsidRPr="006F34CD" w:rsidR="00BC0864">
        <w:t>Mr C</w:t>
      </w:r>
      <w:r w:rsidRPr="006F34CD" w:rsidR="00B315A4">
        <w:t>hristensen</w:t>
      </w:r>
      <w:r w:rsidRPr="006F34CD" w:rsidR="006F34CD">
        <w:t>’</w:t>
      </w:r>
      <w:r w:rsidRPr="006F34CD" w:rsidR="00B315A4">
        <w:t>s arrest and detention prevented him from continuing to hold service</w:t>
      </w:r>
      <w:r w:rsidRPr="006F34CD" w:rsidR="00987BFA">
        <w:t>s</w:t>
      </w:r>
      <w:r w:rsidRPr="006F34CD" w:rsidR="00B315A4">
        <w:t xml:space="preserve"> of worship in community with his fellow believers, it falls to the Court to verify whether that </w:t>
      </w:r>
      <w:r w:rsidRPr="006F34CD" w:rsidR="00156ACF">
        <w:t xml:space="preserve">measure was designed to repress the exercise of </w:t>
      </w:r>
      <w:r w:rsidRPr="006F34CD" w:rsidR="00987BFA">
        <w:t>his</w:t>
      </w:r>
      <w:r w:rsidRPr="006F34CD" w:rsidR="00B315A4">
        <w:t xml:space="preserve"> Convention</w:t>
      </w:r>
      <w:r w:rsidRPr="006F34CD" w:rsidR="00156ACF">
        <w:t xml:space="preserve"> right</w:t>
      </w:r>
      <w:r w:rsidRPr="006F34CD" w:rsidR="00F33AFE">
        <w:t>s</w:t>
      </w:r>
      <w:r w:rsidRPr="006F34CD" w:rsidR="00156ACF">
        <w:t xml:space="preserve"> and stifle the spreading of the religion</w:t>
      </w:r>
      <w:r w:rsidRPr="006F34CD" w:rsidR="00987BFA">
        <w:t xml:space="preserve"> of Jehovah</w:t>
      </w:r>
      <w:r w:rsidRPr="006F34CD" w:rsidR="006F34CD">
        <w:t>’</w:t>
      </w:r>
      <w:r w:rsidRPr="006F34CD" w:rsidR="00987BFA">
        <w:t>s Witnesses</w:t>
      </w:r>
      <w:r w:rsidRPr="006F34CD" w:rsidR="00156ACF">
        <w:t xml:space="preserve"> (see</w:t>
      </w:r>
      <w:r w:rsidRPr="006F34CD" w:rsidR="00F06BFF">
        <w:t xml:space="preserve"> </w:t>
      </w:r>
      <w:r w:rsidRPr="006F34CD" w:rsidR="00F06BFF">
        <w:rPr>
          <w:i/>
        </w:rPr>
        <w:t>Nolan and K.</w:t>
      </w:r>
      <w:r w:rsidRPr="006F34CD" w:rsidR="006E5193">
        <w:rPr>
          <w:i/>
        </w:rPr>
        <w:t xml:space="preserve"> v. R</w:t>
      </w:r>
      <w:r w:rsidRPr="006F34CD" w:rsidR="00F06BFF">
        <w:rPr>
          <w:i/>
        </w:rPr>
        <w:t>ussia</w:t>
      </w:r>
      <w:r w:rsidRPr="006F34CD" w:rsidR="00F06BFF">
        <w:t xml:space="preserve">, </w:t>
      </w:r>
      <w:r w:rsidRPr="006F34CD" w:rsidR="006E5193">
        <w:t>no. 2</w:t>
      </w:r>
      <w:r w:rsidRPr="006F34CD" w:rsidR="00F06BFF">
        <w:t xml:space="preserve">512/04, </w:t>
      </w:r>
      <w:r w:rsidRPr="006F34CD" w:rsidR="006E5193">
        <w:t>§ 6</w:t>
      </w:r>
      <w:r w:rsidRPr="006F34CD" w:rsidR="00F06BFF">
        <w:t xml:space="preserve">2, </w:t>
      </w:r>
      <w:r w:rsidRPr="006F34CD" w:rsidR="006E5193">
        <w:t>12 February 2009</w:t>
      </w:r>
      <w:r w:rsidRPr="006F34CD" w:rsidR="00156ACF">
        <w:t>, and</w:t>
      </w:r>
      <w:r w:rsidRPr="006F34CD" w:rsidR="00156ACF">
        <w:rPr>
          <w:i/>
        </w:rPr>
        <w:t xml:space="preserve"> Cox</w:t>
      </w:r>
      <w:r w:rsidRPr="006F34CD" w:rsidR="00BC0864">
        <w:rPr>
          <w:i/>
        </w:rPr>
        <w:t xml:space="preserve"> v. T</w:t>
      </w:r>
      <w:r w:rsidRPr="006F34CD" w:rsidR="00156ACF">
        <w:rPr>
          <w:i/>
        </w:rPr>
        <w:t>urkey</w:t>
      </w:r>
      <w:r w:rsidRPr="006F34CD" w:rsidR="00156ACF">
        <w:t xml:space="preserve">, </w:t>
      </w:r>
      <w:r w:rsidRPr="006F34CD" w:rsidR="00BC0864">
        <w:t>no. 2</w:t>
      </w:r>
      <w:r w:rsidRPr="006F34CD" w:rsidR="00156ACF">
        <w:t xml:space="preserve">933/03, § 28, </w:t>
      </w:r>
      <w:r w:rsidRPr="006F34CD" w:rsidR="00BC0864">
        <w:t>20 May 2010</w:t>
      </w:r>
      <w:r w:rsidRPr="006F34CD" w:rsidR="00156ACF">
        <w:t>).</w:t>
      </w:r>
      <w:r w:rsidRPr="006F34CD" w:rsidR="00B315A4">
        <w:t xml:space="preserve"> </w:t>
      </w:r>
      <w:r w:rsidRPr="006F34CD" w:rsidR="00A90584">
        <w:t xml:space="preserve">By lodging an appeal against the detention order, he afforded the Russian authorities the opportunity to redress, through their own legal system, the alleged violation of his right to freedom of religion and has therefore exhausted the domestic remedies. </w:t>
      </w:r>
      <w:r w:rsidRPr="006F34CD" w:rsidR="006B3978">
        <w:t>In any event</w:t>
      </w:r>
      <w:r w:rsidRPr="006F34CD" w:rsidR="008615D6">
        <w:t>, th</w:t>
      </w:r>
      <w:r w:rsidRPr="006F34CD" w:rsidR="0077712F">
        <w:t>e</w:t>
      </w:r>
      <w:r w:rsidRPr="006F34CD" w:rsidR="008615D6">
        <w:t xml:space="preserve"> </w:t>
      </w:r>
      <w:r w:rsidRPr="006F34CD" w:rsidR="00B315A4">
        <w:t>Government</w:t>
      </w:r>
      <w:r w:rsidRPr="006F34CD" w:rsidR="006F34CD">
        <w:t>’</w:t>
      </w:r>
      <w:r w:rsidRPr="006F34CD" w:rsidR="00B315A4">
        <w:t xml:space="preserve">s </w:t>
      </w:r>
      <w:r w:rsidRPr="006F34CD" w:rsidR="008615D6">
        <w:t xml:space="preserve">objection </w:t>
      </w:r>
      <w:r w:rsidRPr="006F34CD" w:rsidR="00617638">
        <w:t>has become</w:t>
      </w:r>
      <w:r w:rsidRPr="006F34CD" w:rsidR="008615D6">
        <w:t xml:space="preserve"> moot </w:t>
      </w:r>
      <w:r w:rsidRPr="006F34CD" w:rsidR="003C1667">
        <w:t>now that</w:t>
      </w:r>
      <w:r w:rsidRPr="006F34CD" w:rsidR="008615D6">
        <w:t xml:space="preserve"> </w:t>
      </w:r>
      <w:r w:rsidRPr="006F34CD" w:rsidR="00BC0864">
        <w:t>Mr C</w:t>
      </w:r>
      <w:r w:rsidRPr="006F34CD" w:rsidR="008615D6">
        <w:t>hristensen</w:t>
      </w:r>
      <w:r w:rsidRPr="006F34CD" w:rsidR="006F34CD">
        <w:t>’</w:t>
      </w:r>
      <w:r w:rsidRPr="006F34CD" w:rsidR="008615D6">
        <w:t xml:space="preserve">s conviction </w:t>
      </w:r>
      <w:r w:rsidRPr="006F34CD" w:rsidR="00617638">
        <w:t>was</w:t>
      </w:r>
      <w:r w:rsidRPr="006F34CD" w:rsidR="008615D6">
        <w:t xml:space="preserve"> pronounced and </w:t>
      </w:r>
      <w:r w:rsidRPr="006F34CD" w:rsidR="00C8711B">
        <w:t>bec</w:t>
      </w:r>
      <w:r w:rsidRPr="006F34CD" w:rsidR="00617638">
        <w:t>a</w:t>
      </w:r>
      <w:r w:rsidRPr="006F34CD" w:rsidR="00C8711B">
        <w:t>me final</w:t>
      </w:r>
      <w:r w:rsidRPr="006F34CD" w:rsidR="008615D6">
        <w:t>.</w:t>
      </w:r>
    </w:p>
    <w:p w:rsidRPr="006F34CD" w:rsidR="00E206CB" w:rsidP="006F34CD" w:rsidRDefault="00E206CB" w14:paraId="7D77DA40" w14:textId="468B5142">
      <w:pPr>
        <w:pStyle w:val="JuPara"/>
      </w:pPr>
      <w:r w:rsidRPr="006F34CD">
        <w:fldChar w:fldCharType="begin"/>
      </w:r>
      <w:r w:rsidRPr="006F34CD">
        <w:instrText xml:space="preserve"> SEQ level0 \*arabic </w:instrText>
      </w:r>
      <w:r w:rsidRPr="006F34CD">
        <w:fldChar w:fldCharType="separate"/>
      </w:r>
      <w:r w:rsidRPr="006F34CD" w:rsidR="006F34CD">
        <w:rPr>
          <w:noProof/>
        </w:rPr>
        <w:t>259</w:t>
      </w:r>
      <w:r w:rsidRPr="006F34CD">
        <w:fldChar w:fldCharType="end"/>
      </w:r>
      <w:r w:rsidRPr="006F34CD">
        <w:t>.</w:t>
      </w:r>
      <w:r w:rsidRPr="006F34CD" w:rsidR="001370AA">
        <w:t>  </w:t>
      </w:r>
      <w:r w:rsidRPr="006F34CD">
        <w:t xml:space="preserve">The Court considers that this complaint is </w:t>
      </w:r>
      <w:r w:rsidRPr="006F34CD" w:rsidR="00F27848">
        <w:t>not manifestly ill</w:t>
      </w:r>
      <w:r w:rsidRPr="006F34CD" w:rsidR="003E2707">
        <w:noBreakHyphen/>
      </w:r>
      <w:r w:rsidRPr="006F34CD" w:rsidR="00F27848">
        <w:t xml:space="preserve">founded within the meaning of </w:t>
      </w:r>
      <w:r w:rsidRPr="006F34CD" w:rsidR="001370AA">
        <w:t>Article 3</w:t>
      </w:r>
      <w:r w:rsidRPr="006F34CD" w:rsidR="00F27848">
        <w:t>5</w:t>
      </w:r>
      <w:r w:rsidRPr="006F34CD" w:rsidR="001370AA">
        <w:t xml:space="preserve"> § 3 </w:t>
      </w:r>
      <w:r w:rsidRPr="006F34CD" w:rsidR="00F27848">
        <w:t>(a) of the Convention.</w:t>
      </w:r>
      <w:r w:rsidRPr="006F34CD" w:rsidR="001370AA">
        <w:t xml:space="preserve"> </w:t>
      </w:r>
      <w:r w:rsidRPr="006F34CD">
        <w:t xml:space="preserve">It further </w:t>
      </w:r>
      <w:r w:rsidRPr="006F34CD" w:rsidR="00F27848">
        <w:t>notes that it is not inadmissible on any other grounds.</w:t>
      </w:r>
      <w:r w:rsidRPr="006F34CD" w:rsidR="001370AA">
        <w:t xml:space="preserve"> </w:t>
      </w:r>
      <w:r w:rsidRPr="006F34CD">
        <w:t>It must therefore be declared admissible.</w:t>
      </w:r>
    </w:p>
    <w:p w:rsidRPr="006F34CD" w:rsidR="00563DE6" w:rsidP="006F34CD" w:rsidRDefault="006F175D" w14:paraId="79FCC69A" w14:textId="77777777">
      <w:pPr>
        <w:pStyle w:val="JuHA"/>
        <w:numPr>
          <w:ilvl w:val="2"/>
          <w:numId w:val="7"/>
        </w:numPr>
      </w:pPr>
      <w:bookmarkStart w:name="_Toc97301986" w:id="217"/>
      <w:r w:rsidRPr="006F34CD">
        <w:t>Merits</w:t>
      </w:r>
      <w:bookmarkEnd w:id="217"/>
    </w:p>
    <w:p w:rsidRPr="006F34CD" w:rsidR="0003576F" w:rsidP="006F34CD" w:rsidRDefault="0003576F" w14:paraId="715BFDCD" w14:textId="77777777">
      <w:pPr>
        <w:pStyle w:val="JuH1"/>
      </w:pPr>
      <w:bookmarkStart w:name="_Toc97301987" w:id="218"/>
      <w:r w:rsidRPr="006F34CD">
        <w:t>Submissions by the parties</w:t>
      </w:r>
      <w:bookmarkEnd w:id="218"/>
    </w:p>
    <w:p w:rsidRPr="006F34CD" w:rsidR="003619AA" w:rsidP="006F34CD" w:rsidRDefault="003619AA" w14:paraId="7124850D" w14:textId="1ADB003A">
      <w:pPr>
        <w:pStyle w:val="JuPara"/>
      </w:pPr>
      <w:r w:rsidRPr="006F34CD">
        <w:fldChar w:fldCharType="begin"/>
      </w:r>
      <w:r w:rsidRPr="006F34CD">
        <w:instrText xml:space="preserve"> SEQ level0 \*arabic </w:instrText>
      </w:r>
      <w:r w:rsidRPr="006F34CD">
        <w:fldChar w:fldCharType="separate"/>
      </w:r>
      <w:r w:rsidRPr="006F34CD" w:rsidR="006F34CD">
        <w:rPr>
          <w:noProof/>
        </w:rPr>
        <w:t>260</w:t>
      </w:r>
      <w:r w:rsidRPr="006F34CD">
        <w:fldChar w:fldCharType="end"/>
      </w:r>
      <w:r w:rsidRPr="006F34CD">
        <w:t>.</w:t>
      </w:r>
      <w:r w:rsidRPr="006F34CD" w:rsidR="001370AA">
        <w:t>  </w:t>
      </w:r>
      <w:r w:rsidRPr="006F34CD">
        <w:t>The applicants emphasised that prosecuting and criminally convicting them for organising and attending religious services was a form of State coercion calculated to intimidate them and also their co-believers into abandoning their faith.</w:t>
      </w:r>
      <w:r w:rsidRPr="006F34CD" w:rsidR="001370AA">
        <w:t xml:space="preserve"> </w:t>
      </w:r>
      <w:r w:rsidRPr="006F34CD" w:rsidR="00671239">
        <w:t>T</w:t>
      </w:r>
      <w:r w:rsidRPr="006F34CD">
        <w:t xml:space="preserve">he </w:t>
      </w:r>
      <w:r w:rsidRPr="006F34CD" w:rsidR="00671239">
        <w:t xml:space="preserve">trial </w:t>
      </w:r>
      <w:r w:rsidRPr="006F34CD">
        <w:t>court</w:t>
      </w:r>
      <w:r w:rsidRPr="006F34CD" w:rsidR="00671239">
        <w:t>s</w:t>
      </w:r>
      <w:r w:rsidRPr="006F34CD">
        <w:t xml:space="preserve"> had considered dozens of hours of covert audio and video recordings of Jehovah</w:t>
      </w:r>
      <w:r w:rsidRPr="006F34CD" w:rsidR="006F34CD">
        <w:t>’</w:t>
      </w:r>
      <w:r w:rsidRPr="006F34CD">
        <w:t>s Witnesses</w:t>
      </w:r>
      <w:r w:rsidRPr="006F34CD" w:rsidR="006F34CD">
        <w:t>’</w:t>
      </w:r>
      <w:r w:rsidRPr="006F34CD">
        <w:t xml:space="preserve"> meetings but had not identified a single “extremist” expression allegedly uttered by any of them</w:t>
      </w:r>
      <w:r w:rsidRPr="006F34CD" w:rsidR="00C53F84">
        <w:t xml:space="preserve"> or any “extremist” activities such as those that incite violence or religious hatred</w:t>
      </w:r>
      <w:r w:rsidRPr="006F34CD">
        <w:t>.</w:t>
      </w:r>
      <w:r w:rsidRPr="006F34CD" w:rsidR="001370AA">
        <w:t xml:space="preserve"> </w:t>
      </w:r>
      <w:r w:rsidRPr="006F34CD">
        <w:t xml:space="preserve">In any event, not one of </w:t>
      </w:r>
      <w:r w:rsidRPr="006F34CD" w:rsidR="00C53F84">
        <w:t>the applicants</w:t>
      </w:r>
      <w:r w:rsidRPr="006F34CD" w:rsidR="006F34CD">
        <w:t>’</w:t>
      </w:r>
      <w:r w:rsidRPr="006F34CD">
        <w:t xml:space="preserve"> activities had been </w:t>
      </w:r>
      <w:r w:rsidRPr="006F34CD" w:rsidR="005D1292">
        <w:t>prohibited by law</w:t>
      </w:r>
      <w:r w:rsidRPr="006F34CD">
        <w:t>.</w:t>
      </w:r>
      <w:r w:rsidRPr="006F34CD" w:rsidR="001370AA">
        <w:t xml:space="preserve"> </w:t>
      </w:r>
      <w:r w:rsidRPr="006F34CD" w:rsidR="005D1292">
        <w:t xml:space="preserve">Possessing and using religious texts enjoyed the protection of </w:t>
      </w:r>
      <w:r w:rsidRPr="006F34CD" w:rsidR="00BC0864">
        <w:t>Article 9</w:t>
      </w:r>
      <w:r w:rsidRPr="006F34CD" w:rsidR="005D1292">
        <w:t xml:space="preserve">. </w:t>
      </w:r>
      <w:r w:rsidRPr="006F34CD">
        <w:t>It was not illegal to meet together for peaceful religious worship</w:t>
      </w:r>
      <w:r w:rsidRPr="006F34CD" w:rsidR="005D1292">
        <w:t>, and the right of “conducting services of worship not associated with the distribution of extremist literature” was recognised in the liquidation decision concerning the Oryol LRO</w:t>
      </w:r>
      <w:r w:rsidRPr="006F34CD">
        <w:t>.</w:t>
      </w:r>
      <w:r w:rsidRPr="006F34CD" w:rsidR="001370AA">
        <w:t xml:space="preserve"> </w:t>
      </w:r>
      <w:r w:rsidRPr="006F34CD">
        <w:t>Nor was it illegal to receive donations to meet the costs of renting a place for religious services. Minors had taken part in the religious services at the initiative of their parents who were also Jehovah</w:t>
      </w:r>
      <w:r w:rsidRPr="006F34CD" w:rsidR="006F34CD">
        <w:t>’</w:t>
      </w:r>
      <w:r w:rsidRPr="006F34CD">
        <w:t>s Witnesses.</w:t>
      </w:r>
      <w:r w:rsidRPr="006F34CD" w:rsidR="00C53F84">
        <w:t xml:space="preserve"> The interference did not pursue any legitimate aim.</w:t>
      </w:r>
      <w:r w:rsidRPr="006F34CD" w:rsidR="001370AA">
        <w:t xml:space="preserve"> </w:t>
      </w:r>
      <w:r w:rsidRPr="006F34CD">
        <w:t>By holding the applicants criminally liable, simply for continuing religious services, the Russian authorities imposed a disproportionate and unjustifiable burden on the exercise of their freedom of religion and association. In addition, the applicants</w:t>
      </w:r>
      <w:r w:rsidRPr="006F34CD" w:rsidR="006F34CD">
        <w:t>’</w:t>
      </w:r>
      <w:r w:rsidRPr="006F34CD">
        <w:t xml:space="preserve"> criminal records had limited available employment and exposed them to risk of imprisonment should they “re-offend”. Two applicants who were parents of a young girl had left Russia and successfully applied for asylum abroad.</w:t>
      </w:r>
    </w:p>
    <w:p w:rsidRPr="006F34CD" w:rsidR="00F66138" w:rsidP="006F34CD" w:rsidRDefault="00563DE6" w14:paraId="21112D00" w14:textId="66F3BB06">
      <w:pPr>
        <w:pStyle w:val="JuPara"/>
      </w:pPr>
      <w:r w:rsidRPr="006F34CD">
        <w:fldChar w:fldCharType="begin"/>
      </w:r>
      <w:r w:rsidRPr="006F34CD">
        <w:instrText xml:space="preserve"> SEQ level0 \*arabic </w:instrText>
      </w:r>
      <w:r w:rsidRPr="006F34CD">
        <w:fldChar w:fldCharType="separate"/>
      </w:r>
      <w:r w:rsidRPr="006F34CD" w:rsidR="006F34CD">
        <w:rPr>
          <w:noProof/>
        </w:rPr>
        <w:t>261</w:t>
      </w:r>
      <w:r w:rsidRPr="006F34CD">
        <w:fldChar w:fldCharType="end"/>
      </w:r>
      <w:r w:rsidRPr="006F34CD">
        <w:t>.</w:t>
      </w:r>
      <w:r w:rsidRPr="006F34CD" w:rsidR="001370AA">
        <w:t>  </w:t>
      </w:r>
      <w:r w:rsidRPr="006F34CD">
        <w:t xml:space="preserve">The Government submitted that the founding members of the Taganrog LRO could </w:t>
      </w:r>
      <w:r w:rsidRPr="006F34CD" w:rsidR="00F27848">
        <w:t xml:space="preserve">not have been unaware of the </w:t>
      </w:r>
      <w:r w:rsidRPr="006F34CD" w:rsidR="00932C90">
        <w:t xml:space="preserve">liquidation </w:t>
      </w:r>
      <w:r w:rsidRPr="006F34CD" w:rsidR="00F27848">
        <w:t xml:space="preserve">decision </w:t>
      </w:r>
      <w:r w:rsidRPr="006F34CD" w:rsidR="00932C90">
        <w:t xml:space="preserve">which had been published </w:t>
      </w:r>
      <w:r w:rsidRPr="006F34CD">
        <w:t xml:space="preserve">on the </w:t>
      </w:r>
      <w:r w:rsidRPr="006F34CD" w:rsidR="0003576F">
        <w:t>website</w:t>
      </w:r>
      <w:r w:rsidRPr="006F34CD" w:rsidR="00C265EA">
        <w:t>s</w:t>
      </w:r>
      <w:r w:rsidRPr="006F34CD" w:rsidR="0003576F">
        <w:t xml:space="preserve"> of the </w:t>
      </w:r>
      <w:r w:rsidRPr="006F34CD">
        <w:t xml:space="preserve">Regional Court and the Ministry of Justice. Nevertheless, acting in an organised group, </w:t>
      </w:r>
      <w:r w:rsidRPr="006F34CD" w:rsidR="00932C90">
        <w:t xml:space="preserve">they </w:t>
      </w:r>
      <w:r w:rsidRPr="006F34CD">
        <w:t xml:space="preserve">had continued the activities of the banned </w:t>
      </w:r>
      <w:r w:rsidRPr="006F34CD" w:rsidR="00F66138">
        <w:t>LRO</w:t>
      </w:r>
      <w:r w:rsidRPr="006F34CD">
        <w:t xml:space="preserve"> and involved mi</w:t>
      </w:r>
      <w:r w:rsidRPr="006F34CD" w:rsidR="00F27848">
        <w:t>nors into those activities.</w:t>
      </w:r>
      <w:r w:rsidRPr="006F34CD" w:rsidR="001370AA">
        <w:t xml:space="preserve"> </w:t>
      </w:r>
      <w:r w:rsidRPr="006F34CD" w:rsidR="00080233">
        <w:t xml:space="preserve">In the case of </w:t>
      </w:r>
      <w:r w:rsidRPr="006F34CD" w:rsidR="00BC0864">
        <w:t>Mr C</w:t>
      </w:r>
      <w:r w:rsidRPr="006F34CD" w:rsidR="00080233">
        <w:t xml:space="preserve">hristensen, the court remanded him in custody because it was </w:t>
      </w:r>
      <w:r w:rsidRPr="006F34CD" w:rsidR="00E20B0E">
        <w:t>determined</w:t>
      </w:r>
      <w:r w:rsidRPr="006F34CD" w:rsidR="00080233">
        <w:t xml:space="preserve"> that he could put pressure on witnesses, destroy evidence or flee Russia. </w:t>
      </w:r>
      <w:r w:rsidRPr="006F34CD" w:rsidR="00BC0864">
        <w:t>Mr C</w:t>
      </w:r>
      <w:r w:rsidRPr="006F34CD" w:rsidR="00E20B0E">
        <w:t xml:space="preserve">hristensen must have been well aware that he was engaging in unlawful activities as he </w:t>
      </w:r>
      <w:r w:rsidRPr="006F34CD" w:rsidR="00B57BF4">
        <w:t xml:space="preserve">had </w:t>
      </w:r>
      <w:r w:rsidRPr="006F34CD" w:rsidR="00E20B0E">
        <w:t xml:space="preserve">restricted access to the Kingdom Hall only to pass holders and urged his fellow believers to exercise caution and discretion in the performance of their duties. </w:t>
      </w:r>
      <w:r w:rsidRPr="006F34CD" w:rsidR="00E776DF">
        <w:t xml:space="preserve">His activities fully overlapped with those of the banned </w:t>
      </w:r>
      <w:r w:rsidRPr="006F34CD" w:rsidR="00F66138">
        <w:t>Oryol</w:t>
      </w:r>
      <w:r w:rsidRPr="006F34CD" w:rsidR="00E776DF">
        <w:t xml:space="preserve"> LRO; they were carried out in a place of worship supported by donations and included the distribution of religious literature, which is characteristic of a religious organisation since, under Russian law, religious groups cannot own places of worship and distribute literature.</w:t>
      </w:r>
      <w:r w:rsidRPr="006F34CD" w:rsidR="00F66138">
        <w:t xml:space="preserve"> Correspondence with the banned Administrative Centre had been found on his computer, and audio surveillance </w:t>
      </w:r>
      <w:r w:rsidRPr="006F34CD" w:rsidR="00C265EA">
        <w:t xml:space="preserve">had </w:t>
      </w:r>
      <w:r w:rsidRPr="006F34CD" w:rsidR="00F66138">
        <w:t xml:space="preserve">recorded him discussing the names of persons who could be </w:t>
      </w:r>
      <w:r w:rsidRPr="006F34CD" w:rsidR="00C265EA">
        <w:t>sent for training to</w:t>
      </w:r>
      <w:r w:rsidRPr="006F34CD" w:rsidR="00F66138">
        <w:t xml:space="preserve"> the Administrative Centre</w:t>
      </w:r>
      <w:r w:rsidRPr="006F34CD" w:rsidR="006F34CD">
        <w:t>’</w:t>
      </w:r>
      <w:r w:rsidRPr="006F34CD" w:rsidR="00F66138">
        <w:t xml:space="preserve">s management school. The Government concluded that all applicants had been prosecuted and convicted for organising, and participating in, the activities of </w:t>
      </w:r>
      <w:r w:rsidRPr="006F34CD" w:rsidR="00B57BF4">
        <w:t>the</w:t>
      </w:r>
      <w:r w:rsidRPr="006F34CD" w:rsidR="00F66138">
        <w:t xml:space="preserve"> </w:t>
      </w:r>
      <w:r w:rsidRPr="006F34CD" w:rsidR="00B57BF4">
        <w:t>banned</w:t>
      </w:r>
      <w:r w:rsidRPr="006F34CD" w:rsidR="00F66138">
        <w:t xml:space="preserve"> organisation</w:t>
      </w:r>
      <w:r w:rsidRPr="006F34CD" w:rsidR="00B57BF4">
        <w:t>s</w:t>
      </w:r>
      <w:r w:rsidRPr="006F34CD" w:rsidR="00F66138">
        <w:t>. Their conviction was not related to their religious beliefs and was balanced against the public interest in protecting national security and preventing extremist offences.</w:t>
      </w:r>
    </w:p>
    <w:p w:rsidRPr="006F34CD" w:rsidR="005A6F0C" w:rsidP="006F34CD" w:rsidRDefault="00CB6108" w14:paraId="6C995798" w14:textId="1C63A57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262</w:t>
      </w:r>
      <w:r>
        <w:rPr>
          <w:noProof/>
        </w:rPr>
        <w:fldChar w:fldCharType="end"/>
      </w:r>
      <w:r w:rsidRPr="006F34CD" w:rsidR="00CA063D">
        <w:t xml:space="preserve">.  The Government of Denmark, in their comments on </w:t>
      </w:r>
      <w:r w:rsidRPr="006F34CD" w:rsidR="00BC0864">
        <w:t>Mr C</w:t>
      </w:r>
      <w:r w:rsidRPr="006F34CD" w:rsidR="00CA063D">
        <w:t>hristensen</w:t>
      </w:r>
      <w:r w:rsidRPr="006F34CD" w:rsidR="006F34CD">
        <w:t>’</w:t>
      </w:r>
      <w:r w:rsidRPr="006F34CD" w:rsidR="002703D5">
        <w:t>s case</w:t>
      </w:r>
      <w:r w:rsidRPr="006F34CD" w:rsidR="00CA063D">
        <w:t xml:space="preserve">, submitted </w:t>
      </w:r>
      <w:r w:rsidRPr="006F34CD" w:rsidR="002703D5">
        <w:t xml:space="preserve">that there </w:t>
      </w:r>
      <w:r w:rsidRPr="006F34CD" w:rsidR="00C50821">
        <w:t>had been</w:t>
      </w:r>
      <w:r w:rsidRPr="006F34CD" w:rsidR="002703D5">
        <w:t xml:space="preserve"> no basis for the charges against him. He had never been a member of the Oryol LRO, nor had it ever been possible for him to become a member because foreign nationals were prohibited from being members of religious organisations under Russian law. Moreover, the liquidation decision had explicitly stated that Jehovah</w:t>
      </w:r>
      <w:r w:rsidRPr="006F34CD" w:rsidR="006F34CD">
        <w:t>’</w:t>
      </w:r>
      <w:r w:rsidRPr="006F34CD" w:rsidR="002703D5">
        <w:t xml:space="preserve">s Witnesses </w:t>
      </w:r>
      <w:r w:rsidRPr="006F34CD" w:rsidR="00C50821">
        <w:t xml:space="preserve">were not prohibited </w:t>
      </w:r>
      <w:r w:rsidRPr="006F34CD" w:rsidR="002703D5">
        <w:t xml:space="preserve">from conducting services of worship not associated with the distribution of “extremist” literature. </w:t>
      </w:r>
      <w:r w:rsidRPr="006F34CD" w:rsidR="00BC0864">
        <w:t>Mr C</w:t>
      </w:r>
      <w:r w:rsidRPr="006F34CD" w:rsidR="002703D5">
        <w:t>hristensen had reasonably expected that he would be entitled to conduct services of worship of the Tsentralnoye congregation.</w:t>
      </w:r>
    </w:p>
    <w:p w:rsidRPr="006F34CD" w:rsidR="00587DCF" w:rsidP="006F34CD" w:rsidRDefault="00CB6108" w14:paraId="2328AEC4" w14:textId="12359B99">
      <w:pPr>
        <w:pStyle w:val="JuPara"/>
      </w:pPr>
      <w:r>
        <w:rPr>
          <w:noProof/>
        </w:rPr>
        <w:fldChar w:fldCharType="begin"/>
      </w:r>
      <w:r>
        <w:rPr>
          <w:noProof/>
        </w:rPr>
        <w:instrText xml:space="preserve"> SEQ </w:instrText>
      </w:r>
      <w:r>
        <w:rPr>
          <w:noProof/>
        </w:rPr>
        <w:instrText xml:space="preserve">level0 \*arabic \* MERGEFORMAT </w:instrText>
      </w:r>
      <w:r>
        <w:rPr>
          <w:noProof/>
        </w:rPr>
        <w:fldChar w:fldCharType="separate"/>
      </w:r>
      <w:r w:rsidRPr="006F34CD" w:rsidR="006F34CD">
        <w:rPr>
          <w:noProof/>
        </w:rPr>
        <w:t>263</w:t>
      </w:r>
      <w:r>
        <w:rPr>
          <w:noProof/>
        </w:rPr>
        <w:fldChar w:fldCharType="end"/>
      </w:r>
      <w:r w:rsidRPr="006F34CD" w:rsidR="005A6F0C">
        <w:t>.  </w:t>
      </w:r>
      <w:r w:rsidRPr="006F34CD" w:rsidR="00CB2630">
        <w:t>In response to the Government of Denmark</w:t>
      </w:r>
      <w:r w:rsidRPr="006F34CD" w:rsidR="006F34CD">
        <w:t>’</w:t>
      </w:r>
      <w:r w:rsidRPr="006F34CD" w:rsidR="00CB2630">
        <w:t xml:space="preserve">s comments, the Government submitted that </w:t>
      </w:r>
      <w:r w:rsidRPr="006F34CD" w:rsidR="003179D7">
        <w:t>Mr C</w:t>
      </w:r>
      <w:r w:rsidRPr="006F34CD" w:rsidR="00380EF6">
        <w:t>hristensen had been found criminally liable for extremist activities rather than for a manifestation of his religious beliefs.</w:t>
      </w:r>
    </w:p>
    <w:p w:rsidRPr="006F34CD" w:rsidR="0003576F" w:rsidP="006F34CD" w:rsidRDefault="0003576F" w14:paraId="0A34284A" w14:textId="44892B56">
      <w:pPr>
        <w:pStyle w:val="JuH1"/>
      </w:pPr>
      <w:bookmarkStart w:name="_Toc97301988" w:id="219"/>
      <w:r w:rsidRPr="006F34CD">
        <w:t>The Court</w:t>
      </w:r>
      <w:r w:rsidRPr="006F34CD" w:rsidR="006F34CD">
        <w:t>’</w:t>
      </w:r>
      <w:r w:rsidRPr="006F34CD">
        <w:t>s assessment</w:t>
      </w:r>
      <w:bookmarkEnd w:id="219"/>
    </w:p>
    <w:p w:rsidRPr="006F34CD" w:rsidR="0003576F" w:rsidP="006F34CD" w:rsidRDefault="0003576F" w14:paraId="0DFA4314" w14:textId="77777777">
      <w:pPr>
        <w:pStyle w:val="JuHa0"/>
      </w:pPr>
      <w:bookmarkStart w:name="_Toc97301989" w:id="220"/>
      <w:r w:rsidRPr="006F34CD">
        <w:t>Existence of interference</w:t>
      </w:r>
      <w:bookmarkEnd w:id="220"/>
    </w:p>
    <w:p w:rsidRPr="006F34CD" w:rsidR="00587DCF" w:rsidP="006F34CD" w:rsidRDefault="00563DE6" w14:paraId="42DC1D44" w14:textId="40FFA03B">
      <w:pPr>
        <w:pStyle w:val="JuPara"/>
      </w:pPr>
      <w:r w:rsidRPr="006F34CD">
        <w:fldChar w:fldCharType="begin"/>
      </w:r>
      <w:r w:rsidRPr="006F34CD">
        <w:instrText xml:space="preserve"> SEQ level0 \*arabic </w:instrText>
      </w:r>
      <w:r w:rsidRPr="006F34CD">
        <w:fldChar w:fldCharType="separate"/>
      </w:r>
      <w:r w:rsidRPr="006F34CD" w:rsidR="006F34CD">
        <w:rPr>
          <w:noProof/>
        </w:rPr>
        <w:t>264</w:t>
      </w:r>
      <w:r w:rsidRPr="006F34CD">
        <w:fldChar w:fldCharType="end"/>
      </w:r>
      <w:r w:rsidRPr="006F34CD">
        <w:t>.</w:t>
      </w:r>
      <w:r w:rsidRPr="006F34CD" w:rsidR="001370AA">
        <w:t>  </w:t>
      </w:r>
      <w:r w:rsidRPr="006F34CD">
        <w:t xml:space="preserve">The Court reiterates that </w:t>
      </w:r>
      <w:r w:rsidRPr="006F34CD" w:rsidR="0095693D">
        <w:t>the imposition of criminal sanctions for manifestation of religious beliefs amount</w:t>
      </w:r>
      <w:r w:rsidRPr="006F34CD" w:rsidR="00E16DB2">
        <w:t>s</w:t>
      </w:r>
      <w:r w:rsidRPr="006F34CD" w:rsidR="0095693D">
        <w:t xml:space="preserve"> to an interference with the exercise of the right to freedom of religion under </w:t>
      </w:r>
      <w:r w:rsidRPr="006F34CD" w:rsidR="00C8339E">
        <w:t>Article 9</w:t>
      </w:r>
      <w:r w:rsidRPr="006F34CD" w:rsidR="0095693D">
        <w:t xml:space="preserve"> </w:t>
      </w:r>
      <w:r w:rsidRPr="006F34CD" w:rsidR="00C8339E">
        <w:t>§ 1</w:t>
      </w:r>
      <w:r w:rsidRPr="006F34CD" w:rsidR="0095693D">
        <w:t xml:space="preserve"> of the Convention (see </w:t>
      </w:r>
      <w:r w:rsidRPr="006F34CD" w:rsidR="0095693D">
        <w:rPr>
          <w:i/>
        </w:rPr>
        <w:t>Kokkinakis</w:t>
      </w:r>
      <w:r w:rsidRPr="006F34CD" w:rsidR="0095693D">
        <w:t xml:space="preserve">, cited above, </w:t>
      </w:r>
      <w:r w:rsidRPr="006F34CD" w:rsidR="00C8339E">
        <w:t>§ 3</w:t>
      </w:r>
      <w:r w:rsidRPr="006F34CD" w:rsidR="0095693D">
        <w:t>6</w:t>
      </w:r>
      <w:r w:rsidRPr="006F34CD" w:rsidR="00E25EAC">
        <w:t>, and</w:t>
      </w:r>
      <w:r w:rsidRPr="006F34CD" w:rsidR="00E25EAC">
        <w:rPr>
          <w:i/>
        </w:rPr>
        <w:t xml:space="preserve"> </w:t>
      </w:r>
      <w:r w:rsidRPr="006F34CD" w:rsidR="0092629E">
        <w:rPr>
          <w:i/>
        </w:rPr>
        <w:t>Manoussakis and</w:t>
      </w:r>
      <w:r w:rsidRPr="006F34CD" w:rsidR="001621EE">
        <w:rPr>
          <w:i/>
        </w:rPr>
        <w:t> </w:t>
      </w:r>
      <w:r w:rsidRPr="006F34CD" w:rsidR="0092629E">
        <w:rPr>
          <w:i/>
        </w:rPr>
        <w:t>Others</w:t>
      </w:r>
      <w:r w:rsidRPr="006F34CD" w:rsidR="0092629E">
        <w:t xml:space="preserve">, cited above, </w:t>
      </w:r>
      <w:r w:rsidRPr="006F34CD" w:rsidR="004136AF">
        <w:t>§ 3</w:t>
      </w:r>
      <w:r w:rsidRPr="006F34CD" w:rsidR="0092629E">
        <w:t>6</w:t>
      </w:r>
      <w:r w:rsidRPr="006F34CD" w:rsidR="0095693D">
        <w:t>).</w:t>
      </w:r>
    </w:p>
    <w:p w:rsidRPr="006F34CD" w:rsidR="00C265EA" w:rsidP="006F34CD" w:rsidRDefault="00CB6108" w14:paraId="7CB4C169" w14:textId="2820BAAB">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265</w:t>
      </w:r>
      <w:r>
        <w:rPr>
          <w:noProof/>
        </w:rPr>
        <w:fldChar w:fldCharType="end"/>
      </w:r>
      <w:r w:rsidRPr="006F34CD" w:rsidR="00C265EA">
        <w:t>.  The parties disagreed on the nature of the activities</w:t>
      </w:r>
      <w:r w:rsidRPr="006F34CD" w:rsidR="002E153D">
        <w:t xml:space="preserve"> which had been sanctioned by the Russian authorities</w:t>
      </w:r>
      <w:r w:rsidRPr="006F34CD" w:rsidR="00C265EA">
        <w:t>.</w:t>
      </w:r>
      <w:r w:rsidRPr="006F34CD" w:rsidR="002E153D">
        <w:t xml:space="preserve"> </w:t>
      </w:r>
      <w:r w:rsidRPr="006F34CD" w:rsidR="00C265EA">
        <w:t xml:space="preserve">For the Government, the prosecution and conviction </w:t>
      </w:r>
      <w:r w:rsidRPr="006F34CD" w:rsidR="00391D3A">
        <w:t xml:space="preserve">of the applicants were </w:t>
      </w:r>
      <w:r w:rsidRPr="006F34CD" w:rsidR="00C265EA">
        <w:t xml:space="preserve">related </w:t>
      </w:r>
      <w:r w:rsidRPr="006F34CD" w:rsidR="008133CF">
        <w:t xml:space="preserve">not </w:t>
      </w:r>
      <w:r w:rsidRPr="006F34CD" w:rsidR="00C265EA">
        <w:t xml:space="preserve">to the exercise of their right to freedom of religion </w:t>
      </w:r>
      <w:r w:rsidRPr="006F34CD" w:rsidR="00391D3A">
        <w:t xml:space="preserve">but to their attempts to revive the activities of a banned extremist organisation and to participate in them. </w:t>
      </w:r>
      <w:r w:rsidRPr="006F34CD" w:rsidR="0092116A">
        <w:t xml:space="preserve">The applicants maintained that they had been </w:t>
      </w:r>
      <w:r w:rsidRPr="006F34CD" w:rsidR="00204F1D">
        <w:t>punished</w:t>
      </w:r>
      <w:r w:rsidRPr="006F34CD" w:rsidR="0092116A">
        <w:t xml:space="preserve"> for merely practising their faith and conducting services of worship together with fellow believers. The Court will therefore review the </w:t>
      </w:r>
      <w:r w:rsidRPr="006F34CD" w:rsidR="009445C8">
        <w:t>findings of</w:t>
      </w:r>
      <w:r w:rsidRPr="006F34CD" w:rsidR="0092116A">
        <w:t xml:space="preserve"> the domestic courts to determine whether or not the sanction was imposed </w:t>
      </w:r>
      <w:r w:rsidRPr="006F34CD" w:rsidR="00204F1D">
        <w:t xml:space="preserve">on them </w:t>
      </w:r>
      <w:r w:rsidRPr="006F34CD" w:rsidR="0092116A">
        <w:t xml:space="preserve">for </w:t>
      </w:r>
      <w:r w:rsidRPr="006F34CD" w:rsidR="002925A8">
        <w:t>practising their religion in community with others</w:t>
      </w:r>
      <w:r w:rsidRPr="006F34CD" w:rsidR="0092116A">
        <w:t>.</w:t>
      </w:r>
    </w:p>
    <w:p w:rsidRPr="006F34CD" w:rsidR="00B244D4" w:rsidP="006F34CD" w:rsidRDefault="00CB6108" w14:paraId="3D6CCE08" w14:textId="468DE32D">
      <w:pPr>
        <w:pStyle w:val="JuPara"/>
        <w:rPr>
          <w:iCs/>
        </w:rPr>
      </w:pPr>
      <w:r>
        <w:rPr>
          <w:noProof/>
        </w:rPr>
        <w:fldChar w:fldCharType="begin"/>
      </w:r>
      <w:r>
        <w:rPr>
          <w:noProof/>
        </w:rPr>
        <w:instrText xml:space="preserve"> SEQ level0 \*arabic \* MERGEFORMAT </w:instrText>
      </w:r>
      <w:r>
        <w:rPr>
          <w:noProof/>
        </w:rPr>
        <w:fldChar w:fldCharType="separate"/>
      </w:r>
      <w:r w:rsidRPr="006F34CD" w:rsidR="006F34CD">
        <w:rPr>
          <w:noProof/>
        </w:rPr>
        <w:t>266</w:t>
      </w:r>
      <w:r>
        <w:rPr>
          <w:noProof/>
        </w:rPr>
        <w:fldChar w:fldCharType="end"/>
      </w:r>
      <w:r w:rsidRPr="006F34CD" w:rsidR="0092116A">
        <w:t>.  </w:t>
      </w:r>
      <w:r w:rsidRPr="006F34CD" w:rsidR="004E4A87">
        <w:t>In the Taganrog</w:t>
      </w:r>
      <w:r w:rsidRPr="006F34CD" w:rsidR="00F959BB">
        <w:t xml:space="preserve"> and Oryol</w:t>
      </w:r>
      <w:r w:rsidRPr="006F34CD" w:rsidR="004E4A87">
        <w:t xml:space="preserve"> </w:t>
      </w:r>
      <w:r w:rsidRPr="006F34CD" w:rsidR="00AD0F9A">
        <w:t>trials</w:t>
      </w:r>
      <w:r w:rsidRPr="006F34CD" w:rsidR="004E4A87">
        <w:t xml:space="preserve">, </w:t>
      </w:r>
      <w:r w:rsidRPr="006F34CD" w:rsidR="00F959BB">
        <w:t>the Russian courts held that the continuation of the activities of the banned religious organisations consisted of the following</w:t>
      </w:r>
      <w:r w:rsidRPr="006F34CD" w:rsidR="00AD0F9A">
        <w:t xml:space="preserve"> elements</w:t>
      </w:r>
      <w:r w:rsidRPr="006F34CD" w:rsidR="00F959BB">
        <w:t xml:space="preserve">: organising and conducting religious </w:t>
      </w:r>
      <w:r w:rsidRPr="006F34CD" w:rsidR="00B244D4">
        <w:t>meetings;</w:t>
      </w:r>
      <w:r w:rsidRPr="006F34CD" w:rsidR="00F959BB">
        <w:t xml:space="preserve"> </w:t>
      </w:r>
      <w:r w:rsidRPr="006F34CD" w:rsidR="00AD0F9A">
        <w:t>opening, closing and cleaning</w:t>
      </w:r>
      <w:r w:rsidRPr="006F34CD" w:rsidR="00F959BB">
        <w:t xml:space="preserve"> the premises where </w:t>
      </w:r>
      <w:r w:rsidRPr="006F34CD" w:rsidR="00EE3807">
        <w:t xml:space="preserve">religious </w:t>
      </w:r>
      <w:r w:rsidRPr="006F34CD" w:rsidR="00F959BB">
        <w:t>meetings were held and determining the order of speakers at meetings (Mr Christensen)</w:t>
      </w:r>
      <w:r w:rsidRPr="006F34CD" w:rsidR="00B244D4">
        <w:t>;</w:t>
      </w:r>
      <w:r w:rsidRPr="006F34CD" w:rsidR="00F959BB">
        <w:t xml:space="preserve"> studying </w:t>
      </w:r>
      <w:r w:rsidRPr="006F34CD" w:rsidR="00B244D4">
        <w:t xml:space="preserve">and discussing </w:t>
      </w:r>
      <w:r w:rsidRPr="006F34CD" w:rsidR="00F959BB">
        <w:t xml:space="preserve">religious literature </w:t>
      </w:r>
      <w:r w:rsidRPr="006F34CD" w:rsidR="00EE3807">
        <w:t xml:space="preserve">available </w:t>
      </w:r>
      <w:r w:rsidRPr="006F34CD" w:rsidR="00F959BB">
        <w:t xml:space="preserve">on paper or </w:t>
      </w:r>
      <w:r w:rsidRPr="006F34CD" w:rsidR="00AD0F9A">
        <w:t xml:space="preserve">on </w:t>
      </w:r>
      <w:r w:rsidRPr="006F34CD" w:rsidR="00EE3807">
        <w:t xml:space="preserve">the </w:t>
      </w:r>
      <w:r w:rsidRPr="006F34CD" w:rsidR="00AD0F9A">
        <w:t>Internet</w:t>
      </w:r>
      <w:r w:rsidRPr="006F34CD" w:rsidR="00B244D4">
        <w:t>; preaching Jehovah</w:t>
      </w:r>
      <w:r w:rsidRPr="006F34CD" w:rsidR="006F34CD">
        <w:t>’</w:t>
      </w:r>
      <w:r w:rsidRPr="006F34CD" w:rsidR="00B244D4">
        <w:t xml:space="preserve">s Witnesses doctrine on blood transfusion and </w:t>
      </w:r>
      <w:r w:rsidRPr="006F34CD" w:rsidR="00AD0F9A">
        <w:t>conscientious objection</w:t>
      </w:r>
      <w:r w:rsidRPr="006F34CD" w:rsidR="00B244D4">
        <w:t xml:space="preserve">; assigning members of the congregation, including minors, to </w:t>
      </w:r>
      <w:r w:rsidRPr="006F34CD" w:rsidR="00EE3807">
        <w:t>perform religious duties</w:t>
      </w:r>
      <w:r w:rsidRPr="006F34CD" w:rsidR="00AD0F9A">
        <w:t xml:space="preserve">; </w:t>
      </w:r>
      <w:r w:rsidRPr="006F34CD" w:rsidR="00B6459B">
        <w:t>bringing</w:t>
      </w:r>
      <w:r w:rsidRPr="006F34CD" w:rsidR="00AD0F9A">
        <w:t xml:space="preserve"> new members </w:t>
      </w:r>
      <w:r w:rsidRPr="006F34CD" w:rsidR="00B6459B">
        <w:t>in</w:t>
      </w:r>
      <w:r w:rsidRPr="006F34CD" w:rsidR="00AD0F9A">
        <w:t>to the congregation,</w:t>
      </w:r>
      <w:r w:rsidRPr="006F34CD" w:rsidR="00B244D4">
        <w:t xml:space="preserve"> and collecting donations for the needs of the congregation</w:t>
      </w:r>
      <w:r w:rsidRPr="006F34CD" w:rsidR="00B244D4">
        <w:rPr>
          <w:iCs/>
        </w:rPr>
        <w:t xml:space="preserve"> (see paragraphs </w:t>
      </w:r>
      <w:r w:rsidRPr="006F34CD" w:rsidR="00B244D4">
        <w:rPr>
          <w:iCs/>
        </w:rPr>
        <w:fldChar w:fldCharType="begin"/>
      </w:r>
      <w:r w:rsidRPr="006F34CD" w:rsidR="006E5193">
        <w:rPr>
          <w:iCs/>
        </w:rPr>
        <w:instrText xml:space="preserve">REF paragraph00101 \h \* CharFormat </w:instrText>
      </w:r>
      <w:r w:rsidRPr="006F34CD" w:rsidR="00B244D4">
        <w:rPr>
          <w:iCs/>
        </w:rPr>
      </w:r>
      <w:r w:rsidRPr="006F34CD" w:rsidR="00B244D4">
        <w:rPr>
          <w:iCs/>
        </w:rPr>
        <w:fldChar w:fldCharType="separate"/>
      </w:r>
      <w:r w:rsidRPr="006F34CD" w:rsidR="006F34CD">
        <w:rPr>
          <w:iCs/>
        </w:rPr>
        <w:t>101</w:t>
      </w:r>
      <w:r w:rsidRPr="006F34CD" w:rsidR="00B244D4">
        <w:rPr>
          <w:iCs/>
        </w:rPr>
        <w:fldChar w:fldCharType="end"/>
      </w:r>
      <w:r w:rsidRPr="006F34CD" w:rsidR="00B244D4">
        <w:rPr>
          <w:iCs/>
        </w:rPr>
        <w:t>-</w:t>
      </w:r>
      <w:r w:rsidRPr="006F34CD" w:rsidR="00B244D4">
        <w:rPr>
          <w:iCs/>
        </w:rPr>
        <w:fldChar w:fldCharType="begin"/>
      </w:r>
      <w:r w:rsidRPr="006F34CD" w:rsidR="006E5193">
        <w:rPr>
          <w:iCs/>
        </w:rPr>
        <w:instrText xml:space="preserve">REF paragraph00104 \h \* CharFormat </w:instrText>
      </w:r>
      <w:r w:rsidRPr="006F34CD" w:rsidR="00B244D4">
        <w:rPr>
          <w:iCs/>
        </w:rPr>
      </w:r>
      <w:r w:rsidRPr="006F34CD" w:rsidR="00B244D4">
        <w:rPr>
          <w:iCs/>
        </w:rPr>
        <w:fldChar w:fldCharType="separate"/>
      </w:r>
      <w:r w:rsidRPr="006F34CD" w:rsidR="006F34CD">
        <w:rPr>
          <w:iCs/>
        </w:rPr>
        <w:t>104</w:t>
      </w:r>
      <w:r w:rsidRPr="006F34CD" w:rsidR="00B244D4">
        <w:rPr>
          <w:iCs/>
        </w:rPr>
        <w:fldChar w:fldCharType="end"/>
      </w:r>
      <w:r w:rsidRPr="006F34CD" w:rsidR="00B244D4">
        <w:rPr>
          <w:iCs/>
        </w:rPr>
        <w:t xml:space="preserve"> and </w:t>
      </w:r>
      <w:r w:rsidRPr="006F34CD" w:rsidR="00B244D4">
        <w:rPr>
          <w:iCs/>
        </w:rPr>
        <w:fldChar w:fldCharType="begin"/>
      </w:r>
      <w:r w:rsidRPr="006F34CD" w:rsidR="006E5193">
        <w:rPr>
          <w:iCs/>
        </w:rPr>
        <w:instrText xml:space="preserve">REF paragraph00110 \h \* CharFormat </w:instrText>
      </w:r>
      <w:r w:rsidRPr="006F34CD" w:rsidR="00B244D4">
        <w:rPr>
          <w:iCs/>
        </w:rPr>
      </w:r>
      <w:r w:rsidRPr="006F34CD" w:rsidR="00B244D4">
        <w:rPr>
          <w:iCs/>
        </w:rPr>
        <w:fldChar w:fldCharType="separate"/>
      </w:r>
      <w:r w:rsidRPr="006F34CD" w:rsidR="006F34CD">
        <w:rPr>
          <w:iCs/>
        </w:rPr>
        <w:t>110</w:t>
      </w:r>
      <w:r w:rsidRPr="006F34CD" w:rsidR="00B244D4">
        <w:rPr>
          <w:iCs/>
        </w:rPr>
        <w:fldChar w:fldCharType="end"/>
      </w:r>
      <w:r w:rsidRPr="006F34CD" w:rsidR="00B244D4">
        <w:rPr>
          <w:iCs/>
        </w:rPr>
        <w:t xml:space="preserve"> above)</w:t>
      </w:r>
      <w:r w:rsidRPr="006F34CD" w:rsidR="00AD0F9A">
        <w:rPr>
          <w:iCs/>
        </w:rPr>
        <w:t>.</w:t>
      </w:r>
    </w:p>
    <w:p w:rsidRPr="006F34CD" w:rsidR="00587DCF" w:rsidP="006F34CD" w:rsidRDefault="00CB6108" w14:paraId="01C4E6D6" w14:textId="5D0852E0">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267</w:t>
      </w:r>
      <w:r>
        <w:rPr>
          <w:noProof/>
        </w:rPr>
        <w:fldChar w:fldCharType="end"/>
      </w:r>
      <w:r w:rsidRPr="006F34CD" w:rsidR="00251C78">
        <w:t xml:space="preserve">.  The Court reiterates that </w:t>
      </w:r>
      <w:r w:rsidRPr="006F34CD" w:rsidR="004136AF">
        <w:t>Article 9</w:t>
      </w:r>
      <w:r w:rsidRPr="006F34CD" w:rsidR="00251C78">
        <w:t xml:space="preserve"> lists a number of forms which manifestation of one</w:t>
      </w:r>
      <w:r w:rsidRPr="006F34CD" w:rsidR="006F34CD">
        <w:t>’</w:t>
      </w:r>
      <w:r w:rsidRPr="006F34CD" w:rsidR="00251C78">
        <w:t xml:space="preserve">s religion or belief may take, namely worship, teaching, practice and observance. </w:t>
      </w:r>
      <w:r w:rsidRPr="006F34CD" w:rsidR="00345E40">
        <w:t>It</w:t>
      </w:r>
      <w:r w:rsidRPr="006F34CD" w:rsidR="00251C78">
        <w:t xml:space="preserve"> protects the right of believers to meet peacefully in order to worship in the manner prescribed by their religion</w:t>
      </w:r>
      <w:r w:rsidRPr="006F34CD" w:rsidR="00251C78">
        <w:rPr>
          <w:lang w:val="en-US"/>
        </w:rPr>
        <w:t xml:space="preserve"> and also the right to provide, open and maintain places or buildings devoted to religious worship (see</w:t>
      </w:r>
      <w:r w:rsidRPr="006F34CD" w:rsidR="00251C78">
        <w:rPr>
          <w:i/>
        </w:rPr>
        <w:t xml:space="preserve"> The Church of Jesus Christ of Latter-Day Saints</w:t>
      </w:r>
      <w:r w:rsidRPr="006F34CD" w:rsidR="004136AF">
        <w:t xml:space="preserve"> </w:t>
      </w:r>
      <w:r w:rsidRPr="006F34CD" w:rsidR="004136AF">
        <w:rPr>
          <w:i/>
        </w:rPr>
        <w:t>v.</w:t>
      </w:r>
      <w:r w:rsidRPr="006F34CD" w:rsidR="004136AF">
        <w:t> </w:t>
      </w:r>
      <w:r w:rsidRPr="006F34CD" w:rsidR="004136AF">
        <w:rPr>
          <w:i/>
        </w:rPr>
        <w:t>t</w:t>
      </w:r>
      <w:r w:rsidRPr="006F34CD" w:rsidR="00251C78">
        <w:rPr>
          <w:i/>
        </w:rPr>
        <w:t>he United Kingdom</w:t>
      </w:r>
      <w:r w:rsidRPr="006F34CD" w:rsidR="00251C78">
        <w:t xml:space="preserve">, </w:t>
      </w:r>
      <w:r w:rsidRPr="006F34CD" w:rsidR="004136AF">
        <w:t>no. 7</w:t>
      </w:r>
      <w:r w:rsidRPr="006F34CD" w:rsidR="00251C78">
        <w:t xml:space="preserve">552/09, § 30, </w:t>
      </w:r>
      <w:r w:rsidRPr="006F34CD" w:rsidR="004136AF">
        <w:t>4 March 2014</w:t>
      </w:r>
      <w:r w:rsidRPr="006F34CD" w:rsidR="00251C78">
        <w:t>, and</w:t>
      </w:r>
      <w:r w:rsidRPr="006F34CD" w:rsidR="00251C78">
        <w:rPr>
          <w:i/>
        </w:rPr>
        <w:t xml:space="preserve"> Cumhuriyetçi</w:t>
      </w:r>
      <w:r w:rsidRPr="006F34CD" w:rsidR="001621EE">
        <w:rPr>
          <w:i/>
        </w:rPr>
        <w:t> </w:t>
      </w:r>
      <w:r w:rsidRPr="006F34CD" w:rsidR="00251C78">
        <w:rPr>
          <w:i/>
        </w:rPr>
        <w:t>Eğitim ve Kültür Merkezi Vakfi</w:t>
      </w:r>
      <w:r w:rsidRPr="006F34CD" w:rsidR="004136AF">
        <w:t xml:space="preserve"> </w:t>
      </w:r>
      <w:r w:rsidRPr="006F34CD" w:rsidR="004136AF">
        <w:rPr>
          <w:i/>
        </w:rPr>
        <w:t>v.</w:t>
      </w:r>
      <w:r w:rsidRPr="006F34CD" w:rsidR="004136AF">
        <w:t> </w:t>
      </w:r>
      <w:r w:rsidRPr="006F34CD" w:rsidR="004136AF">
        <w:rPr>
          <w:i/>
        </w:rPr>
        <w:t>T</w:t>
      </w:r>
      <w:r w:rsidRPr="006F34CD" w:rsidR="00251C78">
        <w:rPr>
          <w:i/>
        </w:rPr>
        <w:t>urkey</w:t>
      </w:r>
      <w:r w:rsidRPr="006F34CD" w:rsidR="00251C78">
        <w:t xml:space="preserve">, </w:t>
      </w:r>
      <w:r w:rsidRPr="006F34CD" w:rsidR="004136AF">
        <w:t>no. 3</w:t>
      </w:r>
      <w:r w:rsidRPr="006F34CD" w:rsidR="00251C78">
        <w:t xml:space="preserve">2093/10, § 41, </w:t>
      </w:r>
      <w:r w:rsidRPr="006F34CD" w:rsidR="004136AF">
        <w:t>2 December 2014</w:t>
      </w:r>
      <w:r w:rsidRPr="006F34CD" w:rsidR="00251C78">
        <w:rPr>
          <w:lang w:val="en-US"/>
        </w:rPr>
        <w:t>). Collecting donations is also an important aspect of freedom of religion</w:t>
      </w:r>
      <w:r w:rsidRPr="006F34CD" w:rsidR="00857A58">
        <w:rPr>
          <w:lang w:val="en-US"/>
        </w:rPr>
        <w:t xml:space="preserve"> guaranteed by </w:t>
      </w:r>
      <w:r w:rsidRPr="006F34CD" w:rsidR="004136AF">
        <w:t>Article 9</w:t>
      </w:r>
      <w:r w:rsidRPr="006F34CD" w:rsidR="00857A58">
        <w:t xml:space="preserve"> of the Convention</w:t>
      </w:r>
      <w:r w:rsidRPr="006F34CD" w:rsidR="00251C78">
        <w:rPr>
          <w:lang w:val="en-US"/>
        </w:rPr>
        <w:t xml:space="preserve">, for without </w:t>
      </w:r>
      <w:r w:rsidRPr="006F34CD" w:rsidR="00345E40">
        <w:rPr>
          <w:lang w:val="en-US"/>
        </w:rPr>
        <w:t>financial resources</w:t>
      </w:r>
      <w:r w:rsidRPr="006F34CD" w:rsidR="00251C78">
        <w:rPr>
          <w:lang w:val="en-US"/>
        </w:rPr>
        <w:t xml:space="preserve">, religious associations might be unable to provide religious services or ensure their survival (see </w:t>
      </w:r>
      <w:r w:rsidRPr="006F34CD" w:rsidR="00251C78">
        <w:rPr>
          <w:i/>
        </w:rPr>
        <w:t>Association Les Témoins de Jéhovah</w:t>
      </w:r>
      <w:r w:rsidRPr="006F34CD" w:rsidR="004136AF">
        <w:rPr>
          <w:i/>
        </w:rPr>
        <w:t xml:space="preserve"> v. F</w:t>
      </w:r>
      <w:r w:rsidRPr="006F34CD" w:rsidR="00251C78">
        <w:rPr>
          <w:i/>
        </w:rPr>
        <w:t>rance</w:t>
      </w:r>
      <w:r w:rsidRPr="006F34CD" w:rsidR="00251C78">
        <w:t xml:space="preserve">, </w:t>
      </w:r>
      <w:r w:rsidRPr="006F34CD" w:rsidR="004136AF">
        <w:t>no. 8</w:t>
      </w:r>
      <w:r w:rsidRPr="006F34CD" w:rsidR="00251C78">
        <w:t>916/05, §</w:t>
      </w:r>
      <w:r w:rsidRPr="006F34CD" w:rsidR="00857A58">
        <w:t>§</w:t>
      </w:r>
      <w:r w:rsidRPr="006F34CD" w:rsidR="00251C78">
        <w:t> 49</w:t>
      </w:r>
      <w:r w:rsidRPr="006F34CD" w:rsidR="00857A58">
        <w:t xml:space="preserve"> and 53</w:t>
      </w:r>
      <w:r w:rsidRPr="006F34CD" w:rsidR="00251C78">
        <w:t xml:space="preserve">, </w:t>
      </w:r>
      <w:r w:rsidRPr="006F34CD" w:rsidR="004136AF">
        <w:t>30 June 2011</w:t>
      </w:r>
      <w:r w:rsidRPr="006F34CD" w:rsidR="00857A58">
        <w:t>).</w:t>
      </w:r>
    </w:p>
    <w:p w:rsidRPr="006F34CD" w:rsidR="00B5065A" w:rsidP="006F34CD" w:rsidRDefault="00CB6108" w14:paraId="47A07343" w14:textId="202ACD1B">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268</w:t>
      </w:r>
      <w:r>
        <w:rPr>
          <w:noProof/>
        </w:rPr>
        <w:fldChar w:fldCharType="end"/>
      </w:r>
      <w:r w:rsidRPr="006F34CD" w:rsidR="00B5065A">
        <w:t>.  In so far as the domestic judgments appeared to suggest that it was sufficient that the right to manifest one</w:t>
      </w:r>
      <w:r w:rsidRPr="006F34CD" w:rsidR="006F34CD">
        <w:t>’</w:t>
      </w:r>
      <w:r w:rsidRPr="006F34CD" w:rsidR="00B5065A">
        <w:t xml:space="preserve">s religion “individually” was allowed (see paragraph </w:t>
      </w:r>
      <w:r w:rsidRPr="006F34CD" w:rsidR="00B5065A">
        <w:fldChar w:fldCharType="begin"/>
      </w:r>
      <w:r w:rsidRPr="006F34CD" w:rsidR="006E5193">
        <w:instrText xml:space="preserve">REF paragraph00110 \h \* CharFormat </w:instrText>
      </w:r>
      <w:r w:rsidRPr="006F34CD" w:rsidR="00B5065A">
        <w:fldChar w:fldCharType="separate"/>
      </w:r>
      <w:r w:rsidRPr="006F34CD" w:rsidR="006F34CD">
        <w:t>110</w:t>
      </w:r>
      <w:r w:rsidRPr="006F34CD" w:rsidR="00B5065A">
        <w:fldChar w:fldCharType="end"/>
      </w:r>
      <w:r w:rsidRPr="006F34CD" w:rsidR="00B5065A">
        <w:t xml:space="preserve"> above), the Court reiterates that the right to manifest one</w:t>
      </w:r>
      <w:r w:rsidRPr="006F34CD" w:rsidR="006F34CD">
        <w:t>’</w:t>
      </w:r>
      <w:r w:rsidRPr="006F34CD" w:rsidR="00B5065A">
        <w:t xml:space="preserve">s religion “in community with others” has always been regarded as an essential part of the freedom of religion and that the two alternatives “either alone or in community with others” in </w:t>
      </w:r>
      <w:r w:rsidRPr="006F34CD" w:rsidR="004136AF">
        <w:t>Article 9</w:t>
      </w:r>
      <w:r w:rsidRPr="006F34CD" w:rsidR="00B5065A">
        <w:t xml:space="preserve"> of the Convention cannot be considered as mutually exclusive, or as leaving a choice to the authorities, but only as recognising that religion may be practised in either form (see </w:t>
      </w:r>
      <w:r w:rsidRPr="006F34CD" w:rsidR="00B5065A">
        <w:rPr>
          <w:i/>
          <w:iCs/>
        </w:rPr>
        <w:t>X</w:t>
      </w:r>
      <w:r w:rsidRPr="006F34CD" w:rsidR="00B12597">
        <w:rPr>
          <w:i/>
          <w:iCs/>
        </w:rPr>
        <w:t>.</w:t>
      </w:r>
      <w:r w:rsidRPr="006F34CD" w:rsidR="004136AF">
        <w:rPr>
          <w:i/>
          <w:iCs/>
        </w:rPr>
        <w:t xml:space="preserve"> v. t</w:t>
      </w:r>
      <w:r w:rsidRPr="006F34CD" w:rsidR="00B5065A">
        <w:rPr>
          <w:i/>
          <w:iCs/>
        </w:rPr>
        <w:t>he United Kingdom</w:t>
      </w:r>
      <w:r w:rsidRPr="006F34CD" w:rsidR="00B5065A">
        <w:t xml:space="preserve">, </w:t>
      </w:r>
      <w:r w:rsidRPr="006F34CD" w:rsidR="004136AF">
        <w:t>no. 8</w:t>
      </w:r>
      <w:r w:rsidRPr="006F34CD" w:rsidR="00B5065A">
        <w:t xml:space="preserve">160/78, Commission decision of </w:t>
      </w:r>
      <w:r w:rsidRPr="006F34CD" w:rsidR="004136AF">
        <w:t>12 March 1981</w:t>
      </w:r>
      <w:r w:rsidRPr="006F34CD" w:rsidR="00B5065A">
        <w:t>, Decisions and Reports 22, p. 27).</w:t>
      </w:r>
    </w:p>
    <w:p w:rsidRPr="006F34CD" w:rsidR="00587DCF" w:rsidP="006F34CD" w:rsidRDefault="00CB6108" w14:paraId="79680F40" w14:textId="4E3E36FF">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269</w:t>
      </w:r>
      <w:r>
        <w:rPr>
          <w:noProof/>
        </w:rPr>
        <w:fldChar w:fldCharType="end"/>
      </w:r>
      <w:r w:rsidRPr="006F34CD" w:rsidR="006967E3">
        <w:t>.  Accordingly, the Court finds that the applicants were sanction</w:t>
      </w:r>
      <w:r w:rsidRPr="006F34CD" w:rsidR="00B5065A">
        <w:t>ed</w:t>
      </w:r>
      <w:r w:rsidRPr="006F34CD" w:rsidR="006967E3">
        <w:t xml:space="preserve"> </w:t>
      </w:r>
      <w:r w:rsidRPr="006F34CD" w:rsidR="00B5065A">
        <w:t>for the conduct which amounted to the exercise of their right to freedom of religion in community with others. It notes in this connection that the UN Working Group on Arbitrary Detention reached the same conclusion in the cases concerning the arrest and prosecution of other Jehovah</w:t>
      </w:r>
      <w:r w:rsidRPr="006F34CD" w:rsidR="006F34CD">
        <w:t>’</w:t>
      </w:r>
      <w:r w:rsidRPr="006F34CD" w:rsidR="00B5065A">
        <w:t xml:space="preserve">s Witnesses in Russia on substantially similar charges (see paragraph </w:t>
      </w:r>
      <w:r w:rsidRPr="006F34CD" w:rsidR="00B5065A">
        <w:fldChar w:fldCharType="begin"/>
      </w:r>
      <w:r w:rsidRPr="006F34CD" w:rsidR="006E5193">
        <w:instrText xml:space="preserve">REF paragraph00136 \h \* CharFormat </w:instrText>
      </w:r>
      <w:r w:rsidRPr="006F34CD" w:rsidR="00B5065A">
        <w:fldChar w:fldCharType="separate"/>
      </w:r>
      <w:r w:rsidRPr="006F34CD" w:rsidR="006F34CD">
        <w:t>136</w:t>
      </w:r>
      <w:r w:rsidRPr="006F34CD" w:rsidR="00B5065A">
        <w:fldChar w:fldCharType="end"/>
      </w:r>
      <w:r w:rsidRPr="006F34CD" w:rsidR="00B5065A">
        <w:t xml:space="preserve"> above). There has therefore been an interference with the applicants</w:t>
      </w:r>
      <w:r w:rsidRPr="006F34CD" w:rsidR="006F34CD">
        <w:t>’</w:t>
      </w:r>
      <w:r w:rsidRPr="006F34CD" w:rsidR="00B5065A">
        <w:t xml:space="preserve"> right</w:t>
      </w:r>
      <w:r w:rsidRPr="006F34CD" w:rsidR="00C44EBD">
        <w:t>s</w:t>
      </w:r>
      <w:r w:rsidRPr="006F34CD" w:rsidR="001B35C5">
        <w:t xml:space="preserve"> protected</w:t>
      </w:r>
      <w:r w:rsidRPr="006F34CD" w:rsidR="00B5065A">
        <w:t xml:space="preserve"> under </w:t>
      </w:r>
      <w:r w:rsidRPr="006F34CD" w:rsidR="004136AF">
        <w:t>Article 9</w:t>
      </w:r>
      <w:r w:rsidRPr="006F34CD" w:rsidR="00B5065A">
        <w:t xml:space="preserve"> of the Convention.</w:t>
      </w:r>
    </w:p>
    <w:p w:rsidRPr="006F34CD" w:rsidR="002E7C60" w:rsidP="006F34CD" w:rsidRDefault="002E7C60" w14:paraId="586586A3" w14:textId="79D848A6">
      <w:pPr>
        <w:pStyle w:val="JuHa0"/>
      </w:pPr>
      <w:bookmarkStart w:name="_Toc97301990" w:id="221"/>
      <w:r w:rsidRPr="006F34CD">
        <w:t>Justification for the interference</w:t>
      </w:r>
      <w:bookmarkEnd w:id="221"/>
    </w:p>
    <w:p w:rsidRPr="006F34CD" w:rsidR="00587DCF" w:rsidP="006F34CD" w:rsidRDefault="00CB6108" w14:paraId="351A7EF0" w14:textId="3B62C638">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270</w:t>
      </w:r>
      <w:r>
        <w:rPr>
          <w:noProof/>
        </w:rPr>
        <w:fldChar w:fldCharType="end"/>
      </w:r>
      <w:r w:rsidRPr="006F34CD" w:rsidR="007A08F8">
        <w:t>.  The Court has found above that both the decision to liquidate the Taganrog LRO as an “extremist” organisation and the various decisions to categorise the Jehovah</w:t>
      </w:r>
      <w:r w:rsidRPr="006F34CD" w:rsidR="006F34CD">
        <w:t>’</w:t>
      </w:r>
      <w:r w:rsidRPr="006F34CD" w:rsidR="007A08F8">
        <w:t xml:space="preserve">s Witnesses publication as “extremist” – which subsequently laid the basis for the decision to liquidate the Oryol LRO – rested on an </w:t>
      </w:r>
      <w:r w:rsidRPr="006F34CD" w:rsidR="009173B3">
        <w:t>arbitrarily</w:t>
      </w:r>
      <w:r w:rsidRPr="006F34CD" w:rsidR="007A08F8">
        <w:t xml:space="preserve"> broad definition of “extremist activities” </w:t>
      </w:r>
      <w:r w:rsidRPr="006F34CD" w:rsidR="0045589F">
        <w:t xml:space="preserve">in Russian law </w:t>
      </w:r>
      <w:r w:rsidRPr="006F34CD" w:rsidR="007A08F8">
        <w:t>and disclosed</w:t>
      </w:r>
      <w:r w:rsidRPr="006F34CD" w:rsidR="006538D4">
        <w:t>,</w:t>
      </w:r>
      <w:r w:rsidRPr="006F34CD" w:rsidR="007A08F8">
        <w:t xml:space="preserve"> in particular</w:t>
      </w:r>
      <w:r w:rsidRPr="006F34CD" w:rsidR="006538D4">
        <w:t>,</w:t>
      </w:r>
      <w:r w:rsidRPr="006F34CD" w:rsidR="007A08F8">
        <w:t xml:space="preserve"> a violation of </w:t>
      </w:r>
      <w:r w:rsidRPr="006F34CD" w:rsidR="006541A0">
        <w:t>Article 9</w:t>
      </w:r>
      <w:r w:rsidRPr="006F34CD" w:rsidR="007A08F8">
        <w:t xml:space="preserve"> of the Convention (see paragraphs </w:t>
      </w:r>
      <w:r w:rsidRPr="006F34CD" w:rsidR="007A08F8">
        <w:fldChar w:fldCharType="begin"/>
      </w:r>
      <w:r w:rsidRPr="006F34CD" w:rsidR="006E5193">
        <w:instrText xml:space="preserve">REF paragraph00157 \h \* CharFormat </w:instrText>
      </w:r>
      <w:r w:rsidRPr="006F34CD" w:rsidR="007A08F8">
        <w:fldChar w:fldCharType="separate"/>
      </w:r>
      <w:r w:rsidRPr="006F34CD" w:rsidR="006F34CD">
        <w:t>157</w:t>
      </w:r>
      <w:r w:rsidRPr="006F34CD" w:rsidR="007A08F8">
        <w:fldChar w:fldCharType="end"/>
      </w:r>
      <w:r w:rsidRPr="006F34CD" w:rsidR="007A08F8">
        <w:t>-</w:t>
      </w:r>
      <w:r w:rsidRPr="006F34CD" w:rsidR="007A08F8">
        <w:fldChar w:fldCharType="begin"/>
      </w:r>
      <w:r w:rsidRPr="006F34CD" w:rsidR="006E5193">
        <w:instrText xml:space="preserve">REF paragraph00159 \h \* CharFormat </w:instrText>
      </w:r>
      <w:r w:rsidRPr="006F34CD" w:rsidR="007A08F8">
        <w:fldChar w:fldCharType="separate"/>
      </w:r>
      <w:r w:rsidRPr="006F34CD" w:rsidR="006F34CD">
        <w:t>159</w:t>
      </w:r>
      <w:r w:rsidRPr="006F34CD" w:rsidR="007A08F8">
        <w:fldChar w:fldCharType="end"/>
      </w:r>
      <w:r w:rsidRPr="006F34CD" w:rsidR="007A08F8">
        <w:t xml:space="preserve"> and </w:t>
      </w:r>
      <w:r w:rsidRPr="006F34CD" w:rsidR="007A08F8">
        <w:fldChar w:fldCharType="begin"/>
      </w:r>
      <w:r w:rsidRPr="006F34CD" w:rsidR="006E5193">
        <w:instrText xml:space="preserve">REF paragraph00201 \h \* CharFormat </w:instrText>
      </w:r>
      <w:r w:rsidRPr="006F34CD" w:rsidR="007A08F8">
        <w:fldChar w:fldCharType="separate"/>
      </w:r>
      <w:r w:rsidRPr="006F34CD" w:rsidR="006F34CD">
        <w:t>201</w:t>
      </w:r>
      <w:r w:rsidRPr="006F34CD" w:rsidR="007A08F8">
        <w:fldChar w:fldCharType="end"/>
      </w:r>
      <w:r w:rsidRPr="006F34CD" w:rsidR="007A08F8">
        <w:t xml:space="preserve"> above).</w:t>
      </w:r>
    </w:p>
    <w:p w:rsidRPr="006F34CD" w:rsidR="00D46F70" w:rsidP="006F34CD" w:rsidRDefault="00CB6108" w14:paraId="5A0C3A9D" w14:textId="3F271BCF">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271</w:t>
      </w:r>
      <w:r>
        <w:rPr>
          <w:noProof/>
        </w:rPr>
        <w:fldChar w:fldCharType="end"/>
      </w:r>
      <w:r w:rsidRPr="006F34CD" w:rsidR="00E844A9">
        <w:t>.  </w:t>
      </w:r>
      <w:r w:rsidRPr="006F34CD" w:rsidR="007C324E">
        <w:t>These findings are applicable to the complaint of the applicants</w:t>
      </w:r>
      <w:r w:rsidRPr="006F34CD" w:rsidR="006F34CD">
        <w:t>’</w:t>
      </w:r>
      <w:r w:rsidRPr="006F34CD" w:rsidR="007C324E">
        <w:t xml:space="preserve"> criminal prosecution and conviction</w:t>
      </w:r>
      <w:r w:rsidRPr="006F34CD" w:rsidR="00D46F70">
        <w:t xml:space="preserve">, as the grounds for the prosecution and conviction of the applicants </w:t>
      </w:r>
      <w:r w:rsidRPr="006F34CD" w:rsidR="00512A0A">
        <w:t>were no different from the reasons underlying the decision</w:t>
      </w:r>
      <w:r w:rsidRPr="006F34CD" w:rsidR="007C324E">
        <w:t>s</w:t>
      </w:r>
      <w:r w:rsidRPr="006F34CD" w:rsidR="00512A0A">
        <w:t xml:space="preserve"> to dissolve the Taganrog LRO</w:t>
      </w:r>
      <w:r w:rsidRPr="006F34CD" w:rsidR="007C324E">
        <w:t xml:space="preserve"> and to ban the publications of Jehovah</w:t>
      </w:r>
      <w:r w:rsidRPr="006F34CD" w:rsidR="006F34CD">
        <w:t>’</w:t>
      </w:r>
      <w:r w:rsidRPr="006F34CD" w:rsidR="007C324E">
        <w:t>s Witnesses</w:t>
      </w:r>
      <w:r w:rsidRPr="006F34CD" w:rsidR="00512A0A">
        <w:t>.</w:t>
      </w:r>
      <w:r w:rsidRPr="006F34CD" w:rsidR="00D46F70">
        <w:t xml:space="preserve"> </w:t>
      </w:r>
      <w:r w:rsidRPr="006F34CD" w:rsidR="00473170">
        <w:t xml:space="preserve">The Court reiterates that only religious statements and </w:t>
      </w:r>
      <w:r w:rsidRPr="006F34CD" w:rsidR="00D46F70">
        <w:t>actions involving or</w:t>
      </w:r>
      <w:r w:rsidRPr="006F34CD" w:rsidR="00473170">
        <w:t xml:space="preserve"> calling for violence, hatred or discrimination </w:t>
      </w:r>
      <w:r w:rsidRPr="006F34CD" w:rsidR="006538D4">
        <w:t>may</w:t>
      </w:r>
      <w:r w:rsidRPr="006F34CD" w:rsidR="00473170">
        <w:t xml:space="preserve"> warrant suppression as being “extremist”. </w:t>
      </w:r>
      <w:r w:rsidRPr="006F34CD" w:rsidR="00694AE1">
        <w:t xml:space="preserve">Accordingly, the authorities were required to demonstrate that the applicants had made any such statements or engaged in any such </w:t>
      </w:r>
      <w:r w:rsidRPr="006F34CD" w:rsidR="00D46F70">
        <w:t>acts</w:t>
      </w:r>
      <w:r w:rsidRPr="006F34CD" w:rsidR="00694AE1">
        <w:t xml:space="preserve">. Yet the texts of the judgments </w:t>
      </w:r>
      <w:r w:rsidRPr="006F34CD" w:rsidR="00D46F70">
        <w:t>in the Taganrog or Oryol proceedings go no further than paraphrasing the definition of “extremist activities” in the Suppression of Extremism Act and holding that the “extremist motives” in the applicants</w:t>
      </w:r>
      <w:r w:rsidRPr="006F34CD" w:rsidR="006F34CD">
        <w:t>’</w:t>
      </w:r>
      <w:r w:rsidRPr="006F34CD" w:rsidR="00D46F70">
        <w:t xml:space="preserve"> conduct were manifested in particular through proclaiming the superiority of the religion of Jehovah</w:t>
      </w:r>
      <w:r w:rsidRPr="006F34CD" w:rsidR="006F34CD">
        <w:t>’</w:t>
      </w:r>
      <w:r w:rsidRPr="006F34CD" w:rsidR="00D46F70">
        <w:t xml:space="preserve">s Witnesses, rejecting medical assistance in the form of blood transfusions, inciting refusal of military service, and involving minors in religious activities (see paragraphs </w:t>
      </w:r>
      <w:r w:rsidRPr="006F34CD" w:rsidR="00D46F70">
        <w:fldChar w:fldCharType="begin"/>
      </w:r>
      <w:r w:rsidRPr="006F34CD" w:rsidR="006E5193">
        <w:instrText xml:space="preserve">REF paragraph00101 \h \* CharFormat </w:instrText>
      </w:r>
      <w:r w:rsidRPr="006F34CD" w:rsidR="00D46F70">
        <w:fldChar w:fldCharType="separate"/>
      </w:r>
      <w:r w:rsidRPr="006F34CD" w:rsidR="006F34CD">
        <w:t>101</w:t>
      </w:r>
      <w:r w:rsidRPr="006F34CD" w:rsidR="00D46F70">
        <w:fldChar w:fldCharType="end"/>
      </w:r>
      <w:r w:rsidRPr="006F34CD" w:rsidR="00D46F70">
        <w:t xml:space="preserve"> and </w:t>
      </w:r>
      <w:r w:rsidRPr="006F34CD" w:rsidR="00D46F70">
        <w:fldChar w:fldCharType="begin"/>
      </w:r>
      <w:r w:rsidRPr="006F34CD" w:rsidR="006E5193">
        <w:instrText xml:space="preserve">REF paragraph00112 \h \* CharFormat </w:instrText>
      </w:r>
      <w:r w:rsidRPr="006F34CD" w:rsidR="00D46F70">
        <w:fldChar w:fldCharType="separate"/>
      </w:r>
      <w:r w:rsidRPr="006F34CD" w:rsidR="006F34CD">
        <w:t>112</w:t>
      </w:r>
      <w:r w:rsidRPr="006F34CD" w:rsidR="00D46F70">
        <w:fldChar w:fldCharType="end"/>
      </w:r>
      <w:r w:rsidRPr="006F34CD" w:rsidR="00D46F70">
        <w:t xml:space="preserve"> above). The courts did not identify any </w:t>
      </w:r>
      <w:r w:rsidRPr="006F34CD" w:rsidR="00694AE1">
        <w:t>word, deed or action</w:t>
      </w:r>
      <w:r w:rsidRPr="006F34CD" w:rsidR="00D46F70">
        <w:t xml:space="preserve"> by the applicants which would be motivated or</w:t>
      </w:r>
      <w:r w:rsidRPr="006F34CD" w:rsidR="00694AE1">
        <w:t xml:space="preserve"> </w:t>
      </w:r>
      <w:r w:rsidRPr="006F34CD" w:rsidR="00D46F70">
        <w:t>tainted by violence, hatred or discrimination against others. The claim</w:t>
      </w:r>
      <w:r w:rsidRPr="006F34CD" w:rsidR="00AD6456">
        <w:t xml:space="preserve"> that </w:t>
      </w:r>
      <w:r w:rsidRPr="006F34CD" w:rsidR="006541A0">
        <w:t>Mr C</w:t>
      </w:r>
      <w:r w:rsidRPr="006F34CD" w:rsidR="00D46F70">
        <w:t>hristensen</w:t>
      </w:r>
      <w:r w:rsidRPr="006F34CD" w:rsidR="006F34CD">
        <w:t>’</w:t>
      </w:r>
      <w:r w:rsidRPr="006F34CD" w:rsidR="00D46F70">
        <w:t>s actions were motivated by religious hatred because he had resumed the activities of an organisation banned as “extremist” was flawed because it conflated alleged actions with motives for such actions and because it cited no evidence in support of the conclusion.</w:t>
      </w:r>
    </w:p>
    <w:p w:rsidRPr="006F34CD" w:rsidR="00F3453E" w:rsidP="006F34CD" w:rsidRDefault="00CB6108" w14:paraId="22317952" w14:textId="5F12266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272</w:t>
      </w:r>
      <w:r>
        <w:rPr>
          <w:noProof/>
        </w:rPr>
        <w:fldChar w:fldCharType="end"/>
      </w:r>
      <w:r w:rsidRPr="006F34CD" w:rsidR="00D46F70">
        <w:t>.  </w:t>
      </w:r>
      <w:r w:rsidRPr="006F34CD" w:rsidR="006538D4">
        <w:t xml:space="preserve">The State has a narrow margin of appreciation </w:t>
      </w:r>
      <w:r w:rsidRPr="006F34CD" w:rsidR="008D7B00">
        <w:t xml:space="preserve">in the sphere of religious freedom </w:t>
      </w:r>
      <w:r w:rsidRPr="006F34CD" w:rsidR="006538D4">
        <w:t xml:space="preserve">and must advance serious and compelling reasons for an interference with the choices that people may make in pursuance of the religious </w:t>
      </w:r>
      <w:r w:rsidRPr="006F34CD" w:rsidR="00E123F3">
        <w:t xml:space="preserve">doctrines provided that </w:t>
      </w:r>
      <w:r w:rsidRPr="006F34CD" w:rsidR="008D7B00">
        <w:t>such</w:t>
      </w:r>
      <w:r w:rsidRPr="006F34CD" w:rsidR="00E123F3">
        <w:t xml:space="preserve"> choices remain </w:t>
      </w:r>
      <w:r w:rsidRPr="006F34CD" w:rsidR="006538D4">
        <w:t>compatible with the key principles underlying the Convention</w:t>
      </w:r>
      <w:r w:rsidRPr="006F34CD" w:rsidR="00E123F3">
        <w:t xml:space="preserve"> and are the result of a free and independent decision</w:t>
      </w:r>
      <w:r w:rsidRPr="006F34CD" w:rsidR="008D7B00">
        <w:t xml:space="preserve"> </w:t>
      </w:r>
      <w:r w:rsidRPr="006F34CD" w:rsidR="006538D4">
        <w:t>(</w:t>
      </w:r>
      <w:r w:rsidRPr="006F34CD" w:rsidR="008D7B00">
        <w:t>see</w:t>
      </w:r>
      <w:r w:rsidRPr="006F34CD" w:rsidR="008D7B00">
        <w:rPr>
          <w:i/>
        </w:rPr>
        <w:t xml:space="preserve"> Jehovah</w:t>
      </w:r>
      <w:r w:rsidRPr="006F34CD" w:rsidR="006F34CD">
        <w:rPr>
          <w:i/>
        </w:rPr>
        <w:t>’</w:t>
      </w:r>
      <w:r w:rsidRPr="006F34CD" w:rsidR="008D7B00">
        <w:rPr>
          <w:i/>
        </w:rPr>
        <w:t>s Witnesses of Moscow and Others</w:t>
      </w:r>
      <w:r w:rsidRPr="006F34CD" w:rsidR="008D7B00">
        <w:t xml:space="preserve">, cited above, </w:t>
      </w:r>
      <w:r w:rsidRPr="006F34CD" w:rsidR="006541A0">
        <w:t>§</w:t>
      </w:r>
      <w:r w:rsidRPr="006F34CD" w:rsidR="002E09D6">
        <w:t>§</w:t>
      </w:r>
      <w:r w:rsidRPr="006F34CD" w:rsidR="006541A0">
        <w:t> 1</w:t>
      </w:r>
      <w:r w:rsidRPr="006F34CD" w:rsidR="008D7B00">
        <w:t>11-19</w:t>
      </w:r>
      <w:r w:rsidRPr="006F34CD" w:rsidR="006538D4">
        <w:t>).</w:t>
      </w:r>
      <w:r w:rsidRPr="006F34CD" w:rsidR="00F3453E">
        <w:t xml:space="preserve"> Since the authorities </w:t>
      </w:r>
      <w:r w:rsidRPr="006F34CD" w:rsidR="00C44EBD">
        <w:t>failed</w:t>
      </w:r>
      <w:r w:rsidRPr="006F34CD" w:rsidR="00F3453E">
        <w:t xml:space="preserve"> to demonstrate that the applicants were involved in any socially dangerous activities of an extremist nature, the Court holds that their prosecution and conviction for peacefully practising the religion of Jehovah</w:t>
      </w:r>
      <w:r w:rsidRPr="006F34CD" w:rsidR="006F34CD">
        <w:t>’</w:t>
      </w:r>
      <w:r w:rsidRPr="006F34CD" w:rsidR="00F3453E">
        <w:t xml:space="preserve">s Witnesses in community with others was based on </w:t>
      </w:r>
      <w:r w:rsidRPr="006F34CD" w:rsidR="00F73C92">
        <w:t>the impermissibly broad formulation and application</w:t>
      </w:r>
      <w:r w:rsidRPr="006F34CD" w:rsidR="00F3453E">
        <w:t xml:space="preserve"> of the extremism legislation and also did not pursue any legitimate aim or “pressing social need”.</w:t>
      </w:r>
    </w:p>
    <w:bookmarkStart w:name="paragraph00273" w:id="222"/>
    <w:p w:rsidRPr="006F34CD" w:rsidR="00563DE6" w:rsidP="006F34CD" w:rsidRDefault="00F3453E" w14:paraId="5F0801EC" w14:textId="296523E5">
      <w:pPr>
        <w:pStyle w:val="JuPara"/>
      </w:pPr>
      <w:r w:rsidRPr="006F34CD">
        <w:fldChar w:fldCharType="begin"/>
      </w:r>
      <w:r w:rsidRPr="006F34CD">
        <w:instrText xml:space="preserve"> SEQ level0 \*arabic \* MERGEFORMAT </w:instrText>
      </w:r>
      <w:r w:rsidRPr="006F34CD">
        <w:fldChar w:fldCharType="separate"/>
      </w:r>
      <w:r w:rsidRPr="006F34CD" w:rsidR="006F34CD">
        <w:rPr>
          <w:noProof/>
        </w:rPr>
        <w:t>273</w:t>
      </w:r>
      <w:r w:rsidRPr="006F34CD">
        <w:fldChar w:fldCharType="end"/>
      </w:r>
      <w:bookmarkEnd w:id="222"/>
      <w:r w:rsidRPr="006F34CD">
        <w:t xml:space="preserve">.  There has therefore been </w:t>
      </w:r>
      <w:bookmarkStart w:name="conclusionVII" w:id="223"/>
      <w:r w:rsidRPr="006F34CD">
        <w:t>a violation of Article 9 of the Convention on account of the criminal prosecution of the applicants</w:t>
      </w:r>
      <w:bookmarkEnd w:id="223"/>
      <w:r w:rsidRPr="006F34CD">
        <w:t xml:space="preserve">. </w:t>
      </w:r>
      <w:r w:rsidRPr="006F34CD" w:rsidR="00C8339E">
        <w:t xml:space="preserve">Having thus found that the entire criminal </w:t>
      </w:r>
      <w:r w:rsidRPr="006F34CD" w:rsidR="00A70896">
        <w:t>procedure</w:t>
      </w:r>
      <w:r w:rsidRPr="006F34CD" w:rsidR="00C8339E">
        <w:t xml:space="preserve"> was </w:t>
      </w:r>
      <w:r w:rsidRPr="006F34CD" w:rsidR="00FF15F2">
        <w:t>tainted with arbitrariness</w:t>
      </w:r>
      <w:r w:rsidRPr="006F34CD" w:rsidR="00C8339E">
        <w:t>, the Court finds that Mr Christensen</w:t>
      </w:r>
      <w:r w:rsidRPr="006F34CD" w:rsidR="006F34CD">
        <w:t>’</w:t>
      </w:r>
      <w:r w:rsidRPr="006F34CD" w:rsidR="00C8339E">
        <w:t xml:space="preserve">s pre-trial detention </w:t>
      </w:r>
      <w:r w:rsidRPr="006F34CD" w:rsidR="00963F98">
        <w:t xml:space="preserve">and imprisonment were </w:t>
      </w:r>
      <w:r w:rsidRPr="006F34CD" w:rsidR="00C8339E">
        <w:t xml:space="preserve">not based on a “reasonable suspicion” of his having committed any offence and was therefore in breach of the requirements of </w:t>
      </w:r>
      <w:r w:rsidRPr="006F34CD" w:rsidR="00BC0864">
        <w:t>Article 5</w:t>
      </w:r>
      <w:r w:rsidRPr="006F34CD" w:rsidR="002E7C60">
        <w:t xml:space="preserve"> </w:t>
      </w:r>
      <w:r w:rsidRPr="006F34CD" w:rsidR="00C44EBD">
        <w:t>of the Convention</w:t>
      </w:r>
      <w:r w:rsidRPr="006F34CD" w:rsidR="00C8339E">
        <w:t>.</w:t>
      </w:r>
    </w:p>
    <w:p w:rsidRPr="006F34CD" w:rsidR="00563DE6" w:rsidP="006F34CD" w:rsidRDefault="006838B5" w14:paraId="513EB158" w14:textId="16DA479B">
      <w:pPr>
        <w:pStyle w:val="JuHIRoman"/>
      </w:pPr>
      <w:bookmarkStart w:name="_Toc97301991" w:id="224"/>
      <w:r w:rsidRPr="006F34CD">
        <w:rPr>
          <w:caps w:val="0"/>
        </w:rPr>
        <w:t>ALLEGED VIOLATION OF ARTICLE 1 OF PROTOCOL N</w:t>
      </w:r>
      <w:r w:rsidRPr="006F34CD" w:rsidR="005A7E09">
        <w:rPr>
          <w:caps w:val="0"/>
        </w:rPr>
        <w:t>o</w:t>
      </w:r>
      <w:r w:rsidRPr="006F34CD">
        <w:rPr>
          <w:caps w:val="0"/>
        </w:rPr>
        <w:t>. 1</w:t>
      </w:r>
      <w:bookmarkEnd w:id="224"/>
    </w:p>
    <w:p w:rsidRPr="006F34CD" w:rsidR="00563DE6" w:rsidP="006F34CD" w:rsidRDefault="00563DE6" w14:paraId="6D266B69" w14:textId="44CEB2B5">
      <w:pPr>
        <w:pStyle w:val="JuPara"/>
      </w:pPr>
      <w:r w:rsidRPr="006F34CD">
        <w:fldChar w:fldCharType="begin"/>
      </w:r>
      <w:r w:rsidRPr="006F34CD">
        <w:instrText xml:space="preserve"> SEQ level0 \*arabic </w:instrText>
      </w:r>
      <w:r w:rsidRPr="006F34CD">
        <w:fldChar w:fldCharType="separate"/>
      </w:r>
      <w:r w:rsidRPr="006F34CD" w:rsidR="006F34CD">
        <w:rPr>
          <w:noProof/>
        </w:rPr>
        <w:t>274</w:t>
      </w:r>
      <w:r w:rsidRPr="006F34CD">
        <w:fldChar w:fldCharType="end"/>
      </w:r>
      <w:r w:rsidRPr="006F34CD">
        <w:t>.</w:t>
      </w:r>
      <w:r w:rsidRPr="006F34CD" w:rsidR="001370AA">
        <w:t>  </w:t>
      </w:r>
      <w:r w:rsidRPr="006F34CD">
        <w:t xml:space="preserve">The applicant organisations complained that the decisions to confiscate </w:t>
      </w:r>
      <w:r w:rsidRPr="006F34CD" w:rsidR="00DC7FF3">
        <w:t xml:space="preserve">their </w:t>
      </w:r>
      <w:r w:rsidRPr="006F34CD" w:rsidR="00F77282">
        <w:t>publications, places of worship and other</w:t>
      </w:r>
      <w:r w:rsidRPr="006F34CD">
        <w:t xml:space="preserve"> propert</w:t>
      </w:r>
      <w:r w:rsidRPr="006F34CD" w:rsidR="001844DC">
        <w:t>y</w:t>
      </w:r>
      <w:r w:rsidRPr="006F34CD">
        <w:t xml:space="preserve"> </w:t>
      </w:r>
      <w:r w:rsidRPr="006F34CD" w:rsidR="009335D9">
        <w:t>(sections</w:t>
      </w:r>
      <w:r w:rsidRPr="006F34CD" w:rsidR="001621EE">
        <w:t> </w:t>
      </w:r>
      <w:r w:rsidRPr="006F34CD" w:rsidR="009335D9">
        <w:fldChar w:fldCharType="begin"/>
      </w:r>
      <w:r w:rsidRPr="006F34CD" w:rsidR="009335D9">
        <w:instrText xml:space="preserve"> REF _Ref76487359 \n \h </w:instrText>
      </w:r>
      <w:r w:rsidRPr="006F34CD" w:rsidR="009335D9">
        <w:fldChar w:fldCharType="separate"/>
      </w:r>
      <w:r w:rsidRPr="006F34CD" w:rsidR="006F34CD">
        <w:t>A</w:t>
      </w:r>
      <w:r w:rsidRPr="006F34CD" w:rsidR="009335D9">
        <w:fldChar w:fldCharType="end"/>
      </w:r>
      <w:r w:rsidRPr="006F34CD" w:rsidR="009335D9">
        <w:t xml:space="preserve">, </w:t>
      </w:r>
      <w:r w:rsidRPr="006F34CD" w:rsidR="009335D9">
        <w:fldChar w:fldCharType="begin"/>
      </w:r>
      <w:r w:rsidRPr="006F34CD" w:rsidR="009335D9">
        <w:instrText xml:space="preserve"> REF _Ref76487375 \n \h </w:instrText>
      </w:r>
      <w:r w:rsidRPr="006F34CD" w:rsidR="009335D9">
        <w:fldChar w:fldCharType="separate"/>
      </w:r>
      <w:r w:rsidRPr="006F34CD" w:rsidR="006F34CD">
        <w:t>B</w:t>
      </w:r>
      <w:r w:rsidRPr="006F34CD" w:rsidR="009335D9">
        <w:fldChar w:fldCharType="end"/>
      </w:r>
      <w:r w:rsidRPr="006F34CD" w:rsidR="009335D9">
        <w:t xml:space="preserve">, </w:t>
      </w:r>
      <w:r w:rsidRPr="006F34CD" w:rsidR="009335D9">
        <w:fldChar w:fldCharType="begin"/>
      </w:r>
      <w:r w:rsidRPr="006F34CD" w:rsidR="009335D9">
        <w:instrText xml:space="preserve"> REF _Ref76487398 \n \h </w:instrText>
      </w:r>
      <w:r w:rsidRPr="006F34CD" w:rsidR="009335D9">
        <w:fldChar w:fldCharType="separate"/>
      </w:r>
      <w:r w:rsidRPr="006F34CD" w:rsidR="006F34CD">
        <w:t>D</w:t>
      </w:r>
      <w:r w:rsidRPr="006F34CD" w:rsidR="009335D9">
        <w:fldChar w:fldCharType="end"/>
      </w:r>
      <w:r w:rsidRPr="006F34CD" w:rsidR="009335D9">
        <w:t xml:space="preserve"> and </w:t>
      </w:r>
      <w:r w:rsidRPr="006F34CD" w:rsidR="0003576F">
        <w:fldChar w:fldCharType="begin"/>
      </w:r>
      <w:r w:rsidRPr="006F34CD" w:rsidR="0003576F">
        <w:instrText xml:space="preserve"> REF _Ref78291315 \n \h </w:instrText>
      </w:r>
      <w:r w:rsidRPr="006F34CD" w:rsidR="0003576F">
        <w:fldChar w:fldCharType="separate"/>
      </w:r>
      <w:r w:rsidRPr="006F34CD" w:rsidR="006F34CD">
        <w:t>F</w:t>
      </w:r>
      <w:r w:rsidRPr="006F34CD" w:rsidR="0003576F">
        <w:fldChar w:fldCharType="end"/>
      </w:r>
      <w:r w:rsidRPr="006F34CD" w:rsidR="0003576F">
        <w:t xml:space="preserve"> </w:t>
      </w:r>
      <w:r w:rsidRPr="006F34CD" w:rsidR="009335D9">
        <w:t xml:space="preserve">of the Facts) </w:t>
      </w:r>
      <w:r w:rsidRPr="006F34CD">
        <w:t>had violated their right to peaceful enjoyment of possessions</w:t>
      </w:r>
      <w:r w:rsidRPr="006F34CD" w:rsidR="009761E8">
        <w:t xml:space="preserve">. </w:t>
      </w:r>
      <w:r w:rsidRPr="006F34CD" w:rsidR="001370AA">
        <w:t>Article 1</w:t>
      </w:r>
      <w:r w:rsidRPr="006F34CD">
        <w:t xml:space="preserve"> of Protocol No. 1 provides</w:t>
      </w:r>
      <w:r w:rsidRPr="006F34CD" w:rsidR="009761E8">
        <w:t xml:space="preserve"> as follows</w:t>
      </w:r>
      <w:r w:rsidRPr="006F34CD">
        <w:t>:</w:t>
      </w:r>
    </w:p>
    <w:p w:rsidRPr="006F34CD" w:rsidR="00563DE6" w:rsidP="006F34CD" w:rsidRDefault="00563DE6" w14:paraId="75F3914E" w14:textId="6AD77860">
      <w:pPr>
        <w:pStyle w:val="JuQuot"/>
      </w:pPr>
      <w:r w:rsidRPr="006F34CD">
        <w:t xml:space="preserve">“Every natural or legal person is entitled to the peaceful enjoyment of his possessions. No one shall be deprived of his possessions except in the public interest and subject to the conditions provided for by law </w:t>
      </w:r>
      <w:r w:rsidRPr="006F34CD" w:rsidR="00587DCF">
        <w:t>...</w:t>
      </w:r>
    </w:p>
    <w:p w:rsidRPr="006F34CD" w:rsidR="00F27848" w:rsidP="006F34CD" w:rsidRDefault="00563DE6" w14:paraId="1C1A4869" w14:textId="024C2DAC">
      <w:pPr>
        <w:pStyle w:val="JuQuot"/>
      </w:pPr>
      <w:r w:rsidRPr="006F34CD">
        <w:t xml:space="preserve">The preceding provisions shall </w:t>
      </w:r>
      <w:r w:rsidRPr="006F34CD" w:rsidR="00F27848">
        <w:t>not, however, in any way impair the right of a State to enforce such laws as it deems necessary to control the use of property in accordance with the general interest</w:t>
      </w:r>
      <w:r w:rsidRPr="006F34CD" w:rsidR="00E61666">
        <w:t xml:space="preserve"> </w:t>
      </w:r>
      <w:r w:rsidRPr="006F34CD" w:rsidR="00587DCF">
        <w:t>...</w:t>
      </w:r>
      <w:r w:rsidRPr="006F34CD" w:rsidR="00F27848">
        <w:t>”</w:t>
      </w:r>
    </w:p>
    <w:p w:rsidRPr="006F34CD" w:rsidR="00F27848" w:rsidP="006F34CD" w:rsidRDefault="00F27848" w14:paraId="3758AD5A" w14:textId="77777777">
      <w:pPr>
        <w:pStyle w:val="JuHA"/>
      </w:pPr>
      <w:bookmarkStart w:name="_Toc97301992" w:id="225"/>
      <w:r w:rsidRPr="006F34CD">
        <w:t>Admissibility</w:t>
      </w:r>
      <w:bookmarkEnd w:id="225"/>
    </w:p>
    <w:p w:rsidRPr="006F34CD" w:rsidR="00E206CB" w:rsidP="006F34CD" w:rsidRDefault="00F27848" w14:paraId="5FFF1AED" w14:textId="62114B85">
      <w:pPr>
        <w:pStyle w:val="JuPara"/>
      </w:pPr>
      <w:r w:rsidRPr="006F34CD">
        <w:fldChar w:fldCharType="begin"/>
      </w:r>
      <w:r w:rsidRPr="006F34CD">
        <w:instrText xml:space="preserve"> SEQ level0 \*arabic </w:instrText>
      </w:r>
      <w:r w:rsidRPr="006F34CD">
        <w:fldChar w:fldCharType="separate"/>
      </w:r>
      <w:r w:rsidRPr="006F34CD" w:rsidR="006F34CD">
        <w:rPr>
          <w:noProof/>
        </w:rPr>
        <w:t>275</w:t>
      </w:r>
      <w:r w:rsidRPr="006F34CD">
        <w:fldChar w:fldCharType="end"/>
      </w:r>
      <w:r w:rsidRPr="006F34CD">
        <w:t>.</w:t>
      </w:r>
      <w:r w:rsidRPr="006F34CD" w:rsidR="001370AA">
        <w:t>  </w:t>
      </w:r>
      <w:r w:rsidRPr="006F34CD">
        <w:t>The Court considers that this complaint is not manifestly ill</w:t>
      </w:r>
      <w:r w:rsidRPr="006F34CD" w:rsidR="00AC1B15">
        <w:noBreakHyphen/>
      </w:r>
      <w:r w:rsidRPr="006F34CD">
        <w:t xml:space="preserve">founded within the meaning of </w:t>
      </w:r>
      <w:r w:rsidRPr="006F34CD" w:rsidR="001370AA">
        <w:t>Article 3</w:t>
      </w:r>
      <w:r w:rsidRPr="006F34CD">
        <w:t>5</w:t>
      </w:r>
      <w:r w:rsidRPr="006F34CD" w:rsidR="001370AA">
        <w:t xml:space="preserve"> § 3 </w:t>
      </w:r>
      <w:r w:rsidRPr="006F34CD">
        <w:t>(a) of the Convention.</w:t>
      </w:r>
      <w:r w:rsidRPr="006F34CD" w:rsidR="001370AA">
        <w:t xml:space="preserve"> </w:t>
      </w:r>
      <w:r w:rsidRPr="006F34CD" w:rsidR="00E206CB">
        <w:t xml:space="preserve">It further </w:t>
      </w:r>
      <w:r w:rsidRPr="006F34CD">
        <w:t>notes that it is not inadmissible on any other grounds.</w:t>
      </w:r>
      <w:r w:rsidRPr="006F34CD" w:rsidR="001370AA">
        <w:t xml:space="preserve"> </w:t>
      </w:r>
      <w:r w:rsidRPr="006F34CD" w:rsidR="00E206CB">
        <w:t>It must therefore be declared admissible.</w:t>
      </w:r>
    </w:p>
    <w:p w:rsidRPr="006F34CD" w:rsidR="00563DE6" w:rsidP="006F34CD" w:rsidRDefault="003619AA" w14:paraId="58B8F001" w14:textId="77777777">
      <w:pPr>
        <w:pStyle w:val="JuHA"/>
      </w:pPr>
      <w:bookmarkStart w:name="_Toc97301993" w:id="226"/>
      <w:r w:rsidRPr="006F34CD">
        <w:t>Merits</w:t>
      </w:r>
      <w:bookmarkEnd w:id="226"/>
    </w:p>
    <w:p w:rsidRPr="006F34CD" w:rsidR="009A597D" w:rsidP="006F34CD" w:rsidRDefault="00076284" w14:paraId="49DC4482" w14:textId="77777777">
      <w:pPr>
        <w:pStyle w:val="JuH1"/>
      </w:pPr>
      <w:bookmarkStart w:name="_Toc97301994" w:id="227"/>
      <w:r w:rsidRPr="006F34CD">
        <w:t>Submissions by the parties</w:t>
      </w:r>
      <w:bookmarkEnd w:id="227"/>
    </w:p>
    <w:p w:rsidRPr="006F34CD" w:rsidR="00587DCF" w:rsidP="006F34CD" w:rsidRDefault="003619AA" w14:paraId="7A4FDF7E" w14:textId="03F862B9">
      <w:pPr>
        <w:pStyle w:val="JuPara"/>
      </w:pPr>
      <w:r w:rsidRPr="006F34CD">
        <w:fldChar w:fldCharType="begin"/>
      </w:r>
      <w:r w:rsidRPr="006F34CD">
        <w:instrText xml:space="preserve"> SEQ level0 \*arabic </w:instrText>
      </w:r>
      <w:r w:rsidRPr="006F34CD">
        <w:fldChar w:fldCharType="separate"/>
      </w:r>
      <w:r w:rsidRPr="006F34CD" w:rsidR="006F34CD">
        <w:rPr>
          <w:noProof/>
        </w:rPr>
        <w:t>276</w:t>
      </w:r>
      <w:r w:rsidRPr="006F34CD">
        <w:fldChar w:fldCharType="end"/>
      </w:r>
      <w:r w:rsidRPr="006F34CD">
        <w:t>.</w:t>
      </w:r>
      <w:r w:rsidRPr="006F34CD" w:rsidR="001370AA">
        <w:t>  </w:t>
      </w:r>
      <w:r w:rsidRPr="006F34CD">
        <w:t xml:space="preserve">The applicants </w:t>
      </w:r>
      <w:r w:rsidRPr="006F34CD" w:rsidR="00987360">
        <w:t>submitted</w:t>
      </w:r>
      <w:r w:rsidRPr="006F34CD">
        <w:t xml:space="preserve"> that</w:t>
      </w:r>
      <w:r w:rsidRPr="006F34CD" w:rsidR="00AE2D9A">
        <w:t>, in addition to “extremist” publications confiscated pursuant to the court orders,</w:t>
      </w:r>
      <w:r w:rsidRPr="006F34CD">
        <w:t xml:space="preserve"> a substantial amount of “non-extremist” printed material and electronic devices had been seized from the premises of the applicant organisations and from </w:t>
      </w:r>
      <w:r w:rsidRPr="006F34CD" w:rsidR="001844DC">
        <w:t xml:space="preserve">the </w:t>
      </w:r>
      <w:r w:rsidRPr="006F34CD">
        <w:t>individual applicants and never returned.</w:t>
      </w:r>
      <w:r w:rsidRPr="006F34CD" w:rsidR="001370AA">
        <w:t xml:space="preserve"> </w:t>
      </w:r>
      <w:r w:rsidRPr="006F34CD" w:rsidR="001844DC">
        <w:t>S</w:t>
      </w:r>
      <w:r w:rsidRPr="006F34CD">
        <w:t xml:space="preserve">imple possession of “extremist” material was not an administrative or criminal offence, </w:t>
      </w:r>
      <w:r w:rsidRPr="006F34CD" w:rsidR="00FF2FD9">
        <w:t xml:space="preserve">as </w:t>
      </w:r>
      <w:r w:rsidRPr="006F34CD">
        <w:t>only the “</w:t>
      </w:r>
      <w:r w:rsidRPr="006F34CD" w:rsidR="007346BD">
        <w:t>mass dissemination</w:t>
      </w:r>
      <w:r w:rsidRPr="006F34CD">
        <w:t xml:space="preserve">” of such material was prohibited under </w:t>
      </w:r>
      <w:r w:rsidRPr="006F34CD" w:rsidR="001370AA">
        <w:t>Article 2</w:t>
      </w:r>
      <w:r w:rsidRPr="006F34CD">
        <w:t xml:space="preserve">0.29 of the </w:t>
      </w:r>
      <w:r w:rsidRPr="006F34CD" w:rsidR="00FF2FD9">
        <w:t>CAO</w:t>
      </w:r>
      <w:r w:rsidRPr="006F34CD">
        <w:t>.</w:t>
      </w:r>
      <w:r w:rsidRPr="006F34CD" w:rsidR="001370AA">
        <w:t xml:space="preserve"> </w:t>
      </w:r>
      <w:r w:rsidRPr="006F34CD">
        <w:t xml:space="preserve">The interference </w:t>
      </w:r>
      <w:r w:rsidRPr="006F34CD" w:rsidR="001844DC">
        <w:t>did not have</w:t>
      </w:r>
      <w:r w:rsidRPr="006F34CD">
        <w:t xml:space="preserve"> a legal basis and </w:t>
      </w:r>
      <w:r w:rsidRPr="006F34CD" w:rsidR="001844DC">
        <w:t>was</w:t>
      </w:r>
      <w:r w:rsidRPr="006F34CD">
        <w:t xml:space="preserve"> arbitrary.</w:t>
      </w:r>
      <w:r w:rsidRPr="006F34CD" w:rsidR="00987360">
        <w:t xml:space="preserve"> </w:t>
      </w:r>
      <w:r w:rsidRPr="006F34CD" w:rsidR="00406F2F">
        <w:t>As regards the properties transferred to foreign organisations prior to the liquidation decision, the Russian courts had confirmed in their decisions annulling the transfers that the LROs had remained the owners of the properties up to the date on which the liquidation decision became effective.</w:t>
      </w:r>
    </w:p>
    <w:p w:rsidRPr="006F34CD" w:rsidR="00587DCF" w:rsidP="006F34CD" w:rsidRDefault="00563DE6" w14:paraId="1149EACC" w14:textId="09C6648C">
      <w:pPr>
        <w:pStyle w:val="JuPara"/>
      </w:pPr>
      <w:r w:rsidRPr="006F34CD">
        <w:fldChar w:fldCharType="begin"/>
      </w:r>
      <w:r w:rsidRPr="006F34CD">
        <w:instrText xml:space="preserve"> SEQ level0 \*arabic </w:instrText>
      </w:r>
      <w:r w:rsidRPr="006F34CD">
        <w:fldChar w:fldCharType="separate"/>
      </w:r>
      <w:r w:rsidRPr="006F34CD" w:rsidR="006F34CD">
        <w:rPr>
          <w:noProof/>
        </w:rPr>
        <w:t>277</w:t>
      </w:r>
      <w:r w:rsidRPr="006F34CD">
        <w:fldChar w:fldCharType="end"/>
      </w:r>
      <w:r w:rsidRPr="006F34CD">
        <w:t>.</w:t>
      </w:r>
      <w:r w:rsidRPr="006F34CD" w:rsidR="001370AA">
        <w:t>  </w:t>
      </w:r>
      <w:r w:rsidRPr="006F34CD">
        <w:t xml:space="preserve">The Government submitted that the </w:t>
      </w:r>
      <w:r w:rsidRPr="006F34CD" w:rsidR="00AE2D9A">
        <w:t>confiscation orders</w:t>
      </w:r>
      <w:r w:rsidRPr="006F34CD">
        <w:t xml:space="preserve"> had been based on </w:t>
      </w:r>
      <w:r w:rsidRPr="006F34CD" w:rsidR="001370AA">
        <w:t>section 1</w:t>
      </w:r>
      <w:r w:rsidRPr="006F34CD">
        <w:t xml:space="preserve">3 of the Suppression of Extremism Act, as upheld by the Constitutional Court (see paragraph </w:t>
      </w:r>
      <w:r w:rsidRPr="006F34CD">
        <w:fldChar w:fldCharType="begin"/>
      </w:r>
      <w:r w:rsidRPr="006F34CD" w:rsidR="006E5193">
        <w:instrText xml:space="preserve">REF paragraph00124 \h \* CharFormat </w:instrText>
      </w:r>
      <w:r w:rsidRPr="006F34CD">
        <w:fldChar w:fldCharType="separate"/>
      </w:r>
      <w:r w:rsidRPr="006F34CD" w:rsidR="006F34CD">
        <w:t>124</w:t>
      </w:r>
      <w:r w:rsidRPr="006F34CD">
        <w:fldChar w:fldCharType="end"/>
      </w:r>
      <w:r w:rsidRPr="006F34CD">
        <w:t xml:space="preserve"> above). The confiscation </w:t>
      </w:r>
      <w:r w:rsidRPr="006F34CD" w:rsidR="00AE2D9A">
        <w:t xml:space="preserve">orders </w:t>
      </w:r>
      <w:r w:rsidRPr="006F34CD">
        <w:t xml:space="preserve">had pursued the legitimate aim of the protection of rights and freedoms and constitutional order. The authorities had sought to bar access to </w:t>
      </w:r>
      <w:r w:rsidRPr="006F34CD" w:rsidR="00AE2D9A">
        <w:t>extremist</w:t>
      </w:r>
      <w:r w:rsidRPr="006F34CD">
        <w:t xml:space="preserve"> material for the purpose of preventing its negative impact on the constitutionally important values.</w:t>
      </w:r>
      <w:r w:rsidRPr="006F34CD" w:rsidR="00987360">
        <w:t xml:space="preserve"> </w:t>
      </w:r>
      <w:r w:rsidRPr="006F34CD" w:rsidR="00031171">
        <w:t>Since</w:t>
      </w:r>
      <w:r w:rsidRPr="006F34CD" w:rsidR="00406F2F">
        <w:t xml:space="preserve"> the LROs had intentionally alienated 269 places of worship, they were no longer the legal owners of those properties and had thus renounced any claim to them.</w:t>
      </w:r>
    </w:p>
    <w:p w:rsidRPr="006F34CD" w:rsidR="00076284" w:rsidP="006F34CD" w:rsidRDefault="00076284" w14:paraId="75C7B390" w14:textId="4179599C">
      <w:pPr>
        <w:pStyle w:val="JuH1"/>
      </w:pPr>
      <w:bookmarkStart w:name="_Toc97301995" w:id="228"/>
      <w:r w:rsidRPr="006F34CD">
        <w:t>The Court</w:t>
      </w:r>
      <w:r w:rsidRPr="006F34CD" w:rsidR="006F34CD">
        <w:t>’</w:t>
      </w:r>
      <w:r w:rsidRPr="006F34CD">
        <w:t>s assessment</w:t>
      </w:r>
      <w:bookmarkEnd w:id="228"/>
    </w:p>
    <w:p w:rsidRPr="006F34CD" w:rsidR="000059CD" w:rsidP="006F34CD" w:rsidRDefault="000059CD" w14:paraId="09409227" w14:textId="77777777">
      <w:pPr>
        <w:pStyle w:val="JuHa0"/>
      </w:pPr>
      <w:bookmarkStart w:name="_Toc97301996" w:id="229"/>
      <w:r w:rsidRPr="006F34CD">
        <w:t>Existence of interference</w:t>
      </w:r>
      <w:r w:rsidRPr="006F34CD" w:rsidR="00031171">
        <w:t xml:space="preserve"> and the applicable rule</w:t>
      </w:r>
      <w:bookmarkEnd w:id="229"/>
    </w:p>
    <w:p w:rsidRPr="006F34CD" w:rsidR="00587DCF" w:rsidP="006F34CD" w:rsidRDefault="00CB6108" w14:paraId="2237A1A3" w14:textId="46DA7A5C">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278</w:t>
      </w:r>
      <w:r>
        <w:rPr>
          <w:noProof/>
        </w:rPr>
        <w:fldChar w:fldCharType="end"/>
      </w:r>
      <w:r w:rsidRPr="006F34CD" w:rsidR="000059CD">
        <w:t>.  </w:t>
      </w:r>
      <w:r w:rsidRPr="006F34CD" w:rsidR="008F545D">
        <w:t xml:space="preserve">The complaint concerns three types of </w:t>
      </w:r>
      <w:r w:rsidRPr="006F34CD" w:rsidR="00031171">
        <w:t>“</w:t>
      </w:r>
      <w:r w:rsidRPr="006F34CD" w:rsidR="008F545D">
        <w:t>possessions</w:t>
      </w:r>
      <w:r w:rsidRPr="006F34CD" w:rsidR="00031171">
        <w:t>”</w:t>
      </w:r>
      <w:r w:rsidRPr="006F34CD" w:rsidR="008F545D">
        <w:t>: (i) the allegedly “extremist” publications which were seized from the applicants</w:t>
      </w:r>
      <w:r w:rsidRPr="006F34CD" w:rsidR="006F34CD">
        <w:t>’</w:t>
      </w:r>
      <w:r w:rsidRPr="006F34CD" w:rsidR="008F545D">
        <w:t xml:space="preserve"> homes, places of worship and other </w:t>
      </w:r>
      <w:r w:rsidRPr="006F34CD" w:rsidR="00031171">
        <w:t>premises</w:t>
      </w:r>
      <w:r w:rsidRPr="006F34CD" w:rsidR="008F545D">
        <w:t xml:space="preserve">; (ii) the publications which had not been declared “extremist” </w:t>
      </w:r>
      <w:r w:rsidRPr="006F34CD" w:rsidR="00031171">
        <w:t>and other</w:t>
      </w:r>
      <w:r w:rsidRPr="006F34CD" w:rsidR="008F545D">
        <w:t xml:space="preserve"> personal property of the applicants including their computers, notebooks and printed material; (iii) immovable property owned by the Administrative Centre and the LROs.</w:t>
      </w:r>
    </w:p>
    <w:p w:rsidRPr="006F34CD" w:rsidR="00587DCF" w:rsidP="006F34CD" w:rsidRDefault="00CB6108" w14:paraId="0A7B0F21" w14:textId="79430509">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279</w:t>
      </w:r>
      <w:r>
        <w:rPr>
          <w:noProof/>
        </w:rPr>
        <w:fldChar w:fldCharType="end"/>
      </w:r>
      <w:r w:rsidRPr="006F34CD" w:rsidR="00D8262A">
        <w:t>.  </w:t>
      </w:r>
      <w:r w:rsidRPr="006F34CD" w:rsidR="00031171">
        <w:t xml:space="preserve">While the Government did not dispute that the applicants were the legal owners of the first and second types of possessions, they did assert </w:t>
      </w:r>
      <w:r w:rsidRPr="006F34CD" w:rsidR="008F545D">
        <w:t xml:space="preserve">that the Administrative Centre and the LROs </w:t>
      </w:r>
      <w:r w:rsidRPr="006F34CD" w:rsidR="00481EA1">
        <w:t xml:space="preserve">no longer owned </w:t>
      </w:r>
      <w:r w:rsidRPr="006F34CD" w:rsidR="00D8262A">
        <w:t xml:space="preserve">the properties </w:t>
      </w:r>
      <w:r w:rsidRPr="006F34CD" w:rsidR="00481EA1">
        <w:t xml:space="preserve">which </w:t>
      </w:r>
      <w:r w:rsidRPr="006F34CD" w:rsidR="00D8262A">
        <w:t xml:space="preserve">they had reassigned to foreign entities. </w:t>
      </w:r>
      <w:r w:rsidRPr="006F34CD" w:rsidR="00031171">
        <w:t>Their</w:t>
      </w:r>
      <w:r w:rsidRPr="006F34CD" w:rsidR="00D8262A">
        <w:t xml:space="preserve"> position however is inconsistent with the view taken by the domestic courts which considered that the transfer deeds had been null and void under Russian law and that the </w:t>
      </w:r>
      <w:r w:rsidRPr="006F34CD" w:rsidR="00BC70D3">
        <w:t xml:space="preserve">Administrative Centre or the </w:t>
      </w:r>
      <w:r w:rsidRPr="006F34CD" w:rsidR="00D8262A">
        <w:t xml:space="preserve">LROs had been the </w:t>
      </w:r>
      <w:r w:rsidRPr="006F34CD" w:rsidR="00A054C6">
        <w:t>legal</w:t>
      </w:r>
      <w:r w:rsidRPr="006F34CD" w:rsidR="00BC70D3">
        <w:t xml:space="preserve"> </w:t>
      </w:r>
      <w:r w:rsidRPr="006F34CD" w:rsidR="00D8262A">
        <w:t>owners of the property on the date of the liquidation decision</w:t>
      </w:r>
      <w:r w:rsidRPr="006F34CD" w:rsidR="00481EA1">
        <w:t xml:space="preserve"> which incorporated an order for their confiscation</w:t>
      </w:r>
      <w:r w:rsidRPr="006F34CD" w:rsidR="00D8262A">
        <w:t xml:space="preserve"> (see paragraph </w:t>
      </w:r>
      <w:r w:rsidRPr="006F34CD" w:rsidR="00CF323A">
        <w:fldChar w:fldCharType="begin"/>
      </w:r>
      <w:r w:rsidRPr="006F34CD" w:rsidR="006E5193">
        <w:instrText xml:space="preserve">REF paragraph00094 \h \* CharFormat </w:instrText>
      </w:r>
      <w:r w:rsidRPr="006F34CD" w:rsidR="00CF323A">
        <w:fldChar w:fldCharType="separate"/>
      </w:r>
      <w:r w:rsidRPr="006F34CD" w:rsidR="006F34CD">
        <w:t>94</w:t>
      </w:r>
      <w:r w:rsidRPr="006F34CD" w:rsidR="00CF323A">
        <w:fldChar w:fldCharType="end"/>
      </w:r>
      <w:r w:rsidRPr="006F34CD" w:rsidR="00D8262A">
        <w:t xml:space="preserve"> above).</w:t>
      </w:r>
    </w:p>
    <w:p w:rsidRPr="006F34CD" w:rsidR="004C5189" w:rsidP="006F34CD" w:rsidRDefault="00CB6108" w14:paraId="1C050F9E" w14:textId="5E1B7FC8">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280</w:t>
      </w:r>
      <w:r>
        <w:rPr>
          <w:noProof/>
        </w:rPr>
        <w:fldChar w:fldCharType="end"/>
      </w:r>
      <w:r w:rsidRPr="006F34CD" w:rsidR="004C5189">
        <w:t>.  The Court reiterates that both the seizure and retention of objects in criminal proceedings and confiscation measures fall to be considered from the standpoint of the State</w:t>
      </w:r>
      <w:r w:rsidRPr="006F34CD" w:rsidR="006F34CD">
        <w:t>’</w:t>
      </w:r>
      <w:r w:rsidRPr="006F34CD" w:rsidR="004C5189">
        <w:t>s right to control the use of property in accordance with the general interest (see</w:t>
      </w:r>
      <w:r w:rsidRPr="006F34CD" w:rsidR="004C5189">
        <w:rPr>
          <w:i/>
        </w:rPr>
        <w:t xml:space="preserve"> Smirnov</w:t>
      </w:r>
      <w:r w:rsidRPr="006F34CD" w:rsidR="00954109">
        <w:rPr>
          <w:i/>
        </w:rPr>
        <w:t xml:space="preserve"> v. R</w:t>
      </w:r>
      <w:r w:rsidRPr="006F34CD" w:rsidR="004C5189">
        <w:rPr>
          <w:i/>
        </w:rPr>
        <w:t>ussia</w:t>
      </w:r>
      <w:r w:rsidRPr="006F34CD" w:rsidR="004C5189">
        <w:t xml:space="preserve">, </w:t>
      </w:r>
      <w:r w:rsidRPr="006F34CD" w:rsidR="00954109">
        <w:t>no. 7</w:t>
      </w:r>
      <w:r w:rsidRPr="006F34CD" w:rsidR="004C5189">
        <w:t xml:space="preserve">1362/01, § 54, </w:t>
      </w:r>
      <w:r w:rsidRPr="006F34CD" w:rsidR="00954109">
        <w:t>7 June 2007</w:t>
      </w:r>
      <w:r w:rsidRPr="006F34CD" w:rsidR="004C5189">
        <w:t>, and</w:t>
      </w:r>
      <w:r w:rsidRPr="006F34CD" w:rsidR="004C5189">
        <w:rPr>
          <w:i/>
        </w:rPr>
        <w:t xml:space="preserve"> Silickienė</w:t>
      </w:r>
      <w:r w:rsidRPr="006F34CD" w:rsidR="00954109">
        <w:rPr>
          <w:i/>
        </w:rPr>
        <w:t xml:space="preserve"> v. L</w:t>
      </w:r>
      <w:r w:rsidRPr="006F34CD" w:rsidR="004C5189">
        <w:rPr>
          <w:i/>
        </w:rPr>
        <w:t>ithuania</w:t>
      </w:r>
      <w:r w:rsidRPr="006F34CD" w:rsidR="004C5189">
        <w:t xml:space="preserve">, </w:t>
      </w:r>
      <w:r w:rsidRPr="006F34CD" w:rsidR="00954109">
        <w:t>no. 2</w:t>
      </w:r>
      <w:r w:rsidRPr="006F34CD" w:rsidR="004C5189">
        <w:t xml:space="preserve">0496/02, § 62, </w:t>
      </w:r>
      <w:r w:rsidRPr="006F34CD" w:rsidR="00954109">
        <w:t>10 April 2012</w:t>
      </w:r>
      <w:r w:rsidRPr="006F34CD" w:rsidR="004C5189">
        <w:t>).</w:t>
      </w:r>
    </w:p>
    <w:p w:rsidRPr="006F34CD" w:rsidR="00D8262A" w:rsidP="006F34CD" w:rsidRDefault="00D8262A" w14:paraId="0934D8C0" w14:textId="77777777">
      <w:pPr>
        <w:pStyle w:val="JuHa0"/>
      </w:pPr>
      <w:bookmarkStart w:name="_Toc97301997" w:id="230"/>
      <w:r w:rsidRPr="006F34CD">
        <w:t>Justification for the interference</w:t>
      </w:r>
      <w:bookmarkEnd w:id="230"/>
    </w:p>
    <w:p w:rsidRPr="006F34CD" w:rsidR="002E2BF2" w:rsidP="006F34CD" w:rsidRDefault="00CB6108" w14:paraId="4B6BE1A4" w14:textId="40D1A4C9">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281</w:t>
      </w:r>
      <w:r>
        <w:rPr>
          <w:noProof/>
        </w:rPr>
        <w:fldChar w:fldCharType="end"/>
      </w:r>
      <w:r w:rsidRPr="006F34CD" w:rsidR="002E2BF2">
        <w:t xml:space="preserve">.  The first and most important requirement of </w:t>
      </w:r>
      <w:r w:rsidRPr="006F34CD" w:rsidR="006541A0">
        <w:t>Article 1</w:t>
      </w:r>
      <w:r w:rsidRPr="006F34CD" w:rsidR="002E2BF2">
        <w:t xml:space="preserve"> of Protocol No. 1 is that any interference by a public authority with the peaceful enjoyment of possessions should be “lawful”. In particular, the second paragraph of </w:t>
      </w:r>
      <w:r w:rsidRPr="006F34CD" w:rsidR="006541A0">
        <w:t>Article 1</w:t>
      </w:r>
      <w:r w:rsidRPr="006F34CD" w:rsidR="002E2BF2">
        <w:t xml:space="preserve">, while recognising that States have the right to control the use of property, subjects their right to the condition that it be exercised by enforcing “laws”. </w:t>
      </w:r>
      <w:r w:rsidRPr="006F34CD" w:rsidR="00305DEA">
        <w:t>T</w:t>
      </w:r>
      <w:r w:rsidRPr="006F34CD" w:rsidR="002E2BF2">
        <w:t xml:space="preserve">he principle of lawfulness presupposes that the applicable provisions of domestic law are sufficiently accessible, precise and foreseeable in their application (see </w:t>
      </w:r>
      <w:r w:rsidRPr="006F34CD" w:rsidR="002E2BF2">
        <w:rPr>
          <w:i/>
          <w:iCs/>
        </w:rPr>
        <w:t>Smirnov</w:t>
      </w:r>
      <w:r w:rsidRPr="006F34CD" w:rsidR="002E2BF2">
        <w:t xml:space="preserve">, cited above, </w:t>
      </w:r>
      <w:r w:rsidRPr="006F34CD" w:rsidR="006541A0">
        <w:t>§ 5</w:t>
      </w:r>
      <w:r w:rsidRPr="006F34CD" w:rsidR="002E2BF2">
        <w:t>5).</w:t>
      </w:r>
    </w:p>
    <w:p w:rsidRPr="006F34CD" w:rsidR="00F47AC3" w:rsidP="006F34CD" w:rsidRDefault="00F47AC3" w14:paraId="04BC2AA5" w14:textId="77777777">
      <w:pPr>
        <w:pStyle w:val="JuHi"/>
      </w:pPr>
      <w:bookmarkStart w:name="_Toc97301998" w:id="231"/>
      <w:r w:rsidRPr="006F34CD">
        <w:t>“Extremist” publications</w:t>
      </w:r>
      <w:r w:rsidRPr="006F34CD" w:rsidR="00ED580E">
        <w:t xml:space="preserve"> and </w:t>
      </w:r>
      <w:r w:rsidRPr="006F34CD" w:rsidR="00BA5750">
        <w:t>confiscated</w:t>
      </w:r>
      <w:r w:rsidRPr="006F34CD" w:rsidR="00ED580E">
        <w:t xml:space="preserve"> property</w:t>
      </w:r>
      <w:bookmarkEnd w:id="231"/>
    </w:p>
    <w:p w:rsidRPr="006F34CD" w:rsidR="00D8262A" w:rsidP="006F34CD" w:rsidRDefault="00CB6108" w14:paraId="41BCBC28" w14:textId="3A3148E3">
      <w:pPr>
        <w:pStyle w:val="JuPara"/>
      </w:pPr>
      <w:r>
        <w:rPr>
          <w:noProof/>
        </w:rPr>
        <w:fldChar w:fldCharType="begin"/>
      </w:r>
      <w:r>
        <w:rPr>
          <w:noProof/>
        </w:rPr>
        <w:instrText xml:space="preserve"> </w:instrText>
      </w:r>
      <w:r>
        <w:rPr>
          <w:noProof/>
        </w:rPr>
        <w:instrText xml:space="preserve">SEQ level0 \*arabic \* MERGEFORMAT </w:instrText>
      </w:r>
      <w:r>
        <w:rPr>
          <w:noProof/>
        </w:rPr>
        <w:fldChar w:fldCharType="separate"/>
      </w:r>
      <w:r w:rsidRPr="006F34CD" w:rsidR="006F34CD">
        <w:rPr>
          <w:noProof/>
        </w:rPr>
        <w:t>282</w:t>
      </w:r>
      <w:r>
        <w:rPr>
          <w:noProof/>
        </w:rPr>
        <w:fldChar w:fldCharType="end"/>
      </w:r>
      <w:r w:rsidRPr="006F34CD" w:rsidR="00D8262A">
        <w:t>.  </w:t>
      </w:r>
      <w:r w:rsidRPr="006F34CD" w:rsidR="00515F39">
        <w:t>The Court has found above that the decisions to declare the publications “extremist” and to dissolve the religious organisations of Jehovah</w:t>
      </w:r>
      <w:r w:rsidRPr="006F34CD" w:rsidR="006F34CD">
        <w:t>’</w:t>
      </w:r>
      <w:r w:rsidRPr="006F34CD" w:rsidR="00515F39">
        <w:t>s Witnesses</w:t>
      </w:r>
      <w:r w:rsidRPr="006F34CD" w:rsidR="00305DEA">
        <w:t xml:space="preserve"> were</w:t>
      </w:r>
      <w:r w:rsidRPr="006F34CD" w:rsidR="00515F39">
        <w:t xml:space="preserve"> based on an unforeseeable </w:t>
      </w:r>
      <w:r w:rsidRPr="006F34CD" w:rsidR="00305DEA">
        <w:t>application</w:t>
      </w:r>
      <w:r w:rsidRPr="006F34CD" w:rsidR="00515F39">
        <w:t xml:space="preserve"> of </w:t>
      </w:r>
      <w:r w:rsidRPr="006F34CD" w:rsidR="00305DEA">
        <w:t>extremism legislation</w:t>
      </w:r>
      <w:r w:rsidRPr="006F34CD" w:rsidR="00515F39">
        <w:t xml:space="preserve"> </w:t>
      </w:r>
      <w:r w:rsidRPr="006F34CD" w:rsidR="00A855D3">
        <w:t xml:space="preserve">(see paragraphs </w:t>
      </w:r>
      <w:r w:rsidRPr="006F34CD" w:rsidR="00305DEA">
        <w:fldChar w:fldCharType="begin"/>
      </w:r>
      <w:r w:rsidRPr="006F34CD" w:rsidR="006E5193">
        <w:instrText xml:space="preserve">REF paragraph00159 \h \* CharFormat </w:instrText>
      </w:r>
      <w:r w:rsidRPr="006F34CD" w:rsidR="00305DEA">
        <w:fldChar w:fldCharType="separate"/>
      </w:r>
      <w:r w:rsidRPr="006F34CD" w:rsidR="006F34CD">
        <w:t>159</w:t>
      </w:r>
      <w:r w:rsidRPr="006F34CD" w:rsidR="00305DEA">
        <w:fldChar w:fldCharType="end"/>
      </w:r>
      <w:r w:rsidRPr="006F34CD" w:rsidR="00305DEA">
        <w:t xml:space="preserve">, </w:t>
      </w:r>
      <w:r w:rsidRPr="006F34CD" w:rsidR="00305DEA">
        <w:fldChar w:fldCharType="begin"/>
      </w:r>
      <w:r w:rsidRPr="006F34CD" w:rsidR="006E5193">
        <w:instrText xml:space="preserve">REF paragraph00201 \h \* CharFormat </w:instrText>
      </w:r>
      <w:r w:rsidRPr="006F34CD" w:rsidR="00305DEA">
        <w:fldChar w:fldCharType="separate"/>
      </w:r>
      <w:r w:rsidRPr="006F34CD" w:rsidR="006F34CD">
        <w:t>201</w:t>
      </w:r>
      <w:r w:rsidRPr="006F34CD" w:rsidR="00305DEA">
        <w:fldChar w:fldCharType="end"/>
      </w:r>
      <w:r w:rsidRPr="006F34CD" w:rsidR="00A855D3">
        <w:t xml:space="preserve"> </w:t>
      </w:r>
      <w:r w:rsidRPr="006F34CD" w:rsidR="00305DEA">
        <w:t xml:space="preserve">and </w:t>
      </w:r>
      <w:r w:rsidRPr="006F34CD" w:rsidR="00305DEA">
        <w:fldChar w:fldCharType="begin"/>
      </w:r>
      <w:r w:rsidRPr="006F34CD" w:rsidR="006E5193">
        <w:instrText xml:space="preserve">REF paragraph00242 \h \* CharFormat </w:instrText>
      </w:r>
      <w:r w:rsidRPr="006F34CD" w:rsidR="00305DEA">
        <w:fldChar w:fldCharType="separate"/>
      </w:r>
      <w:r w:rsidRPr="006F34CD" w:rsidR="006F34CD">
        <w:t>242</w:t>
      </w:r>
      <w:r w:rsidRPr="006F34CD" w:rsidR="00305DEA">
        <w:fldChar w:fldCharType="end"/>
      </w:r>
      <w:r w:rsidRPr="006F34CD" w:rsidR="00305DEA">
        <w:t xml:space="preserve"> </w:t>
      </w:r>
      <w:r w:rsidRPr="006F34CD" w:rsidR="00A855D3">
        <w:t>above).</w:t>
      </w:r>
      <w:r w:rsidRPr="006F34CD" w:rsidR="00305DEA">
        <w:t xml:space="preserve"> As the confiscation orders in respect of the “extremist” publications and immovable property of the liquidated organisations were integral part of those decisions, the Court finds that they also lacked a clear and foreseeable legal basis and that the interference with the applicants</w:t>
      </w:r>
      <w:r w:rsidRPr="006F34CD" w:rsidR="006F34CD">
        <w:t>’</w:t>
      </w:r>
      <w:r w:rsidRPr="006F34CD" w:rsidR="00305DEA">
        <w:t xml:space="preserve"> “possessions” was not lawful.</w:t>
      </w:r>
    </w:p>
    <w:p w:rsidRPr="006F34CD" w:rsidR="00F47AC3" w:rsidP="006F34CD" w:rsidRDefault="00F47AC3" w14:paraId="008B1790" w14:textId="77777777">
      <w:pPr>
        <w:pStyle w:val="JuHi"/>
      </w:pPr>
      <w:bookmarkStart w:name="_Toc97301999" w:id="232"/>
      <w:r w:rsidRPr="006F34CD">
        <w:t>Non-extremist publications and personal property</w:t>
      </w:r>
      <w:bookmarkEnd w:id="232"/>
    </w:p>
    <w:p w:rsidRPr="006F34CD" w:rsidR="00F47AC3" w:rsidP="006F34CD" w:rsidRDefault="00F47AC3" w14:paraId="7313984C" w14:textId="5F18F5F0">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283</w:t>
      </w:r>
      <w:r w:rsidRPr="006F34CD">
        <w:rPr>
          <w:lang w:bidi="en-US"/>
        </w:rPr>
        <w:fldChar w:fldCharType="end"/>
      </w:r>
      <w:r w:rsidRPr="006F34CD">
        <w:rPr>
          <w:lang w:bidi="en-US"/>
        </w:rPr>
        <w:t>.  </w:t>
      </w:r>
      <w:r w:rsidRPr="006F34CD" w:rsidR="004919BA">
        <w:rPr>
          <w:lang w:bidi="en-US"/>
        </w:rPr>
        <w:t>The Court reiterates that retention of material evidence may be necessary in the interests of proper administration of justice, which is a “legitimate aim” in the “general interest” of the community. It has found however that continued retention of personal property items ha</w:t>
      </w:r>
      <w:r w:rsidRPr="006F34CD" w:rsidR="00ED580E">
        <w:rPr>
          <w:lang w:bidi="en-US"/>
        </w:rPr>
        <w:t>d</w:t>
      </w:r>
      <w:r w:rsidRPr="006F34CD" w:rsidR="004919BA">
        <w:rPr>
          <w:lang w:bidi="en-US"/>
        </w:rPr>
        <w:t xml:space="preserve"> no justification where such objects were not in themselves an object, instrument or product of any criminal offence, and constituted thus a disproportionate interference with the right to peaceful enjoyment of possessions (see</w:t>
      </w:r>
      <w:r w:rsidRPr="006F34CD" w:rsidR="004919BA">
        <w:rPr>
          <w:rFonts w:ascii="Times New Roman" w:hAnsi="Times New Roman" w:cs="Times New Roman"/>
          <w:i/>
        </w:rPr>
        <w:t xml:space="preserve"> </w:t>
      </w:r>
      <w:r w:rsidRPr="006F34CD" w:rsidR="004919BA">
        <w:rPr>
          <w:i/>
          <w:lang w:bidi="en-US"/>
        </w:rPr>
        <w:t>Kruglov and Others</w:t>
      </w:r>
      <w:r w:rsidRPr="006F34CD" w:rsidR="00954109">
        <w:rPr>
          <w:i/>
          <w:lang w:bidi="en-US"/>
        </w:rPr>
        <w:t xml:space="preserve"> v. R</w:t>
      </w:r>
      <w:r w:rsidRPr="006F34CD" w:rsidR="004919BA">
        <w:rPr>
          <w:i/>
          <w:lang w:bidi="en-US"/>
        </w:rPr>
        <w:t>ussia</w:t>
      </w:r>
      <w:r w:rsidRPr="006F34CD" w:rsidR="004919BA">
        <w:rPr>
          <w:lang w:bidi="en-US"/>
        </w:rPr>
        <w:t xml:space="preserve">, </w:t>
      </w:r>
      <w:r w:rsidRPr="006F34CD" w:rsidR="00954109">
        <w:rPr>
          <w:lang w:bidi="en-US"/>
        </w:rPr>
        <w:t>nos. 1</w:t>
      </w:r>
      <w:r w:rsidRPr="006F34CD" w:rsidR="004919BA">
        <w:rPr>
          <w:lang w:bidi="en-US"/>
        </w:rPr>
        <w:t>1264/04 and</w:t>
      </w:r>
      <w:r w:rsidRPr="006F34CD" w:rsidR="001621EE">
        <w:rPr>
          <w:lang w:bidi="en-US"/>
        </w:rPr>
        <w:t> </w:t>
      </w:r>
      <w:r w:rsidRPr="006F34CD" w:rsidR="004919BA">
        <w:rPr>
          <w:lang w:bidi="en-US"/>
        </w:rPr>
        <w:t>15</w:t>
      </w:r>
      <w:r w:rsidRPr="006F34CD" w:rsidR="00305DEA">
        <w:rPr>
          <w:lang w:bidi="en-US"/>
        </w:rPr>
        <w:t> </w:t>
      </w:r>
      <w:r w:rsidRPr="006F34CD" w:rsidR="004919BA">
        <w:rPr>
          <w:lang w:bidi="en-US"/>
        </w:rPr>
        <w:t xml:space="preserve">others, §§ 144-46, </w:t>
      </w:r>
      <w:r w:rsidRPr="006F34CD" w:rsidR="00954109">
        <w:rPr>
          <w:lang w:bidi="en-US"/>
        </w:rPr>
        <w:t>4 February 2020</w:t>
      </w:r>
      <w:r w:rsidRPr="006F34CD" w:rsidR="004919BA">
        <w:rPr>
          <w:lang w:bidi="en-US"/>
        </w:rPr>
        <w:t>).</w:t>
      </w:r>
    </w:p>
    <w:p w:rsidRPr="006F34CD" w:rsidR="00587DCF" w:rsidP="006F34CD" w:rsidRDefault="003224C0" w14:paraId="55A8D40A" w14:textId="3CFC6B31">
      <w:pPr>
        <w:pStyle w:val="JuPara"/>
        <w:rPr>
          <w:lang w:bidi="en-US"/>
        </w:rPr>
      </w:pPr>
      <w:r w:rsidRPr="006F34CD">
        <w:rPr>
          <w:lang w:bidi="en-US"/>
        </w:rPr>
        <w:fldChar w:fldCharType="begin"/>
      </w:r>
      <w:r w:rsidRPr="006F34CD">
        <w:rPr>
          <w:lang w:bidi="en-US"/>
        </w:rPr>
        <w:instrText xml:space="preserve"> SEQ level0 \*arabic \* MERGEFORMAT </w:instrText>
      </w:r>
      <w:r w:rsidRPr="006F34CD">
        <w:rPr>
          <w:lang w:bidi="en-US"/>
        </w:rPr>
        <w:fldChar w:fldCharType="separate"/>
      </w:r>
      <w:r w:rsidRPr="006F34CD" w:rsidR="006F34CD">
        <w:rPr>
          <w:noProof/>
          <w:lang w:bidi="en-US"/>
        </w:rPr>
        <w:t>284</w:t>
      </w:r>
      <w:r w:rsidRPr="006F34CD">
        <w:rPr>
          <w:lang w:bidi="en-US"/>
        </w:rPr>
        <w:fldChar w:fldCharType="end"/>
      </w:r>
      <w:r w:rsidRPr="006F34CD">
        <w:rPr>
          <w:lang w:bidi="en-US"/>
        </w:rPr>
        <w:t>.  The Government did not challenge the applicants</w:t>
      </w:r>
      <w:r w:rsidRPr="006F34CD" w:rsidR="006F34CD">
        <w:rPr>
          <w:lang w:bidi="en-US"/>
        </w:rPr>
        <w:t>’</w:t>
      </w:r>
      <w:r w:rsidRPr="006F34CD">
        <w:rPr>
          <w:lang w:bidi="en-US"/>
        </w:rPr>
        <w:t xml:space="preserve"> contention that the consignment of religious literature had not contained any items pronounced “extremist” or otherwise restricted in circulation under Russian law (see paragraphs </w:t>
      </w:r>
      <w:r w:rsidRPr="006F34CD">
        <w:rPr>
          <w:lang w:bidi="en-US"/>
        </w:rPr>
        <w:fldChar w:fldCharType="begin"/>
      </w:r>
      <w:r w:rsidRPr="006F34CD" w:rsidR="006E5193">
        <w:rPr>
          <w:lang w:bidi="en-US"/>
        </w:rPr>
        <w:instrText xml:space="preserve">REF paragraph00074 \h \* CharFormat </w:instrText>
      </w:r>
      <w:r w:rsidRPr="006F34CD">
        <w:rPr>
          <w:lang w:bidi="en-US"/>
        </w:rPr>
      </w:r>
      <w:r w:rsidRPr="006F34CD">
        <w:rPr>
          <w:lang w:bidi="en-US"/>
        </w:rPr>
        <w:fldChar w:fldCharType="separate"/>
      </w:r>
      <w:r w:rsidRPr="006F34CD" w:rsidR="006F34CD">
        <w:rPr>
          <w:lang w:bidi="en-US"/>
        </w:rPr>
        <w:t>74</w:t>
      </w:r>
      <w:r w:rsidRPr="006F34CD">
        <w:rPr>
          <w:lang w:bidi="en-US"/>
        </w:rPr>
        <w:fldChar w:fldCharType="end"/>
      </w:r>
      <w:r w:rsidRPr="006F34CD">
        <w:rPr>
          <w:lang w:bidi="en-US"/>
        </w:rPr>
        <w:t xml:space="preserve"> and </w:t>
      </w:r>
      <w:r w:rsidRPr="006F34CD">
        <w:rPr>
          <w:lang w:bidi="en-US"/>
        </w:rPr>
        <w:fldChar w:fldCharType="begin"/>
      </w:r>
      <w:r w:rsidRPr="006F34CD" w:rsidR="006E5193">
        <w:rPr>
          <w:lang w:bidi="en-US"/>
        </w:rPr>
        <w:instrText xml:space="preserve">REF paragraph00076 \h \* CharFormat </w:instrText>
      </w:r>
      <w:r w:rsidRPr="006F34CD">
        <w:rPr>
          <w:lang w:bidi="en-US"/>
        </w:rPr>
      </w:r>
      <w:r w:rsidRPr="006F34CD">
        <w:rPr>
          <w:lang w:bidi="en-US"/>
        </w:rPr>
        <w:fldChar w:fldCharType="separate"/>
      </w:r>
      <w:r w:rsidRPr="006F34CD" w:rsidR="006F34CD">
        <w:rPr>
          <w:lang w:bidi="en-US"/>
        </w:rPr>
        <w:t>76</w:t>
      </w:r>
      <w:r w:rsidRPr="006F34CD">
        <w:rPr>
          <w:lang w:bidi="en-US"/>
        </w:rPr>
        <w:fldChar w:fldCharType="end"/>
      </w:r>
      <w:r w:rsidRPr="006F34CD">
        <w:rPr>
          <w:lang w:bidi="en-US"/>
        </w:rPr>
        <w:t xml:space="preserve"> above). Similarly, the applicants</w:t>
      </w:r>
      <w:r w:rsidRPr="006F34CD" w:rsidR="006F34CD">
        <w:rPr>
          <w:lang w:bidi="en-US"/>
        </w:rPr>
        <w:t>’</w:t>
      </w:r>
      <w:r w:rsidRPr="006F34CD">
        <w:rPr>
          <w:lang w:bidi="en-US"/>
        </w:rPr>
        <w:t xml:space="preserve"> personal items, such as notebooks, magazines and electronic devices, were not in themselves objects, instruments or products of any criminal offence.</w:t>
      </w:r>
      <w:r w:rsidRPr="006F34CD" w:rsidR="00DC2C9A">
        <w:rPr>
          <w:lang w:bidi="en-US"/>
        </w:rPr>
        <w:t xml:space="preserve"> Nor did the authorities claim that those items had any evidentiary value for the criminal proceedings.</w:t>
      </w:r>
      <w:r w:rsidRPr="006F34CD">
        <w:rPr>
          <w:lang w:bidi="en-US"/>
        </w:rPr>
        <w:t xml:space="preserve"> In these circumstances, the Court cannot find any legal basis for the domestic authorities</w:t>
      </w:r>
      <w:r w:rsidRPr="006F34CD" w:rsidR="006F34CD">
        <w:rPr>
          <w:lang w:bidi="en-US"/>
        </w:rPr>
        <w:t>’</w:t>
      </w:r>
      <w:r w:rsidRPr="006F34CD">
        <w:rPr>
          <w:lang w:bidi="en-US"/>
        </w:rPr>
        <w:t xml:space="preserve"> continued retention of </w:t>
      </w:r>
      <w:r w:rsidRPr="006F34CD" w:rsidR="00DC2C9A">
        <w:rPr>
          <w:lang w:bidi="en-US"/>
        </w:rPr>
        <w:t xml:space="preserve">the </w:t>
      </w:r>
      <w:r w:rsidRPr="006F34CD" w:rsidR="00922D08">
        <w:rPr>
          <w:lang w:bidi="en-US"/>
        </w:rPr>
        <w:t>applicants</w:t>
      </w:r>
      <w:r w:rsidRPr="006F34CD" w:rsidR="006F34CD">
        <w:rPr>
          <w:lang w:bidi="en-US"/>
        </w:rPr>
        <w:t>’</w:t>
      </w:r>
      <w:r w:rsidRPr="006F34CD" w:rsidR="00922D08">
        <w:rPr>
          <w:lang w:bidi="en-US"/>
        </w:rPr>
        <w:t xml:space="preserve"> </w:t>
      </w:r>
      <w:r w:rsidRPr="006F34CD" w:rsidR="00DC2C9A">
        <w:rPr>
          <w:lang w:bidi="en-US"/>
        </w:rPr>
        <w:t>religious literature and personal property.</w:t>
      </w:r>
    </w:p>
    <w:p w:rsidRPr="006F34CD" w:rsidR="00F47AC3" w:rsidP="006F34CD" w:rsidRDefault="00F47AC3" w14:paraId="47A2A252" w14:textId="2E001EC2">
      <w:pPr>
        <w:pStyle w:val="JuHi"/>
      </w:pPr>
      <w:bookmarkStart w:name="_Toc97302000" w:id="233"/>
      <w:r w:rsidRPr="006F34CD">
        <w:t>Conclusion</w:t>
      </w:r>
      <w:bookmarkEnd w:id="233"/>
    </w:p>
    <w:bookmarkStart w:name="paragraph00285" w:id="234"/>
    <w:p w:rsidRPr="006F34CD" w:rsidR="00F27848" w:rsidP="006F34CD" w:rsidRDefault="00F27848" w14:paraId="453A093E" w14:textId="4B3FC5E9">
      <w:pPr>
        <w:pStyle w:val="JuPara"/>
      </w:pPr>
      <w:r w:rsidRPr="006F34CD">
        <w:fldChar w:fldCharType="begin"/>
      </w:r>
      <w:r w:rsidRPr="006F34CD">
        <w:instrText xml:space="preserve"> SEQ level0 \*arabic </w:instrText>
      </w:r>
      <w:r w:rsidRPr="006F34CD">
        <w:fldChar w:fldCharType="separate"/>
      </w:r>
      <w:r w:rsidRPr="006F34CD" w:rsidR="006F34CD">
        <w:rPr>
          <w:noProof/>
        </w:rPr>
        <w:t>285</w:t>
      </w:r>
      <w:r w:rsidRPr="006F34CD">
        <w:fldChar w:fldCharType="end"/>
      </w:r>
      <w:bookmarkEnd w:id="234"/>
      <w:r w:rsidRPr="006F34CD">
        <w:t>.</w:t>
      </w:r>
      <w:r w:rsidRPr="006F34CD" w:rsidR="001370AA">
        <w:t>  </w:t>
      </w:r>
      <w:r w:rsidRPr="006F34CD" w:rsidR="004B2FD3">
        <w:t xml:space="preserve">There has therefore been </w:t>
      </w:r>
      <w:bookmarkStart w:name="conclusionVIII" w:id="235"/>
      <w:r w:rsidRPr="006F34CD" w:rsidR="004B2FD3">
        <w:t xml:space="preserve">a violation of </w:t>
      </w:r>
      <w:r w:rsidRPr="006F34CD" w:rsidR="00471944">
        <w:t>Article 1</w:t>
      </w:r>
      <w:r w:rsidRPr="006F34CD" w:rsidR="004B2FD3">
        <w:t xml:space="preserve"> of Protocol No. 1</w:t>
      </w:r>
      <w:bookmarkEnd w:id="235"/>
      <w:r w:rsidRPr="006F34CD" w:rsidR="00F47AC3">
        <w:t xml:space="preserve"> in respect of all types of possessions</w:t>
      </w:r>
      <w:r w:rsidRPr="006F34CD" w:rsidR="004B2FD3">
        <w:t>.</w:t>
      </w:r>
    </w:p>
    <w:p w:rsidRPr="006F34CD" w:rsidR="00F27848" w:rsidP="006F34CD" w:rsidRDefault="00F27848" w14:paraId="5E81671D" w14:textId="77777777">
      <w:pPr>
        <w:pStyle w:val="JuHIRoman"/>
      </w:pPr>
      <w:bookmarkStart w:name="_Toc97302001" w:id="236"/>
      <w:r w:rsidRPr="006F34CD">
        <w:t>OTHER ALLEGED VIOLATIONS OF THE CONVENTION</w:t>
      </w:r>
      <w:bookmarkEnd w:id="236"/>
    </w:p>
    <w:p w:rsidRPr="006F34CD" w:rsidR="00587DCF" w:rsidP="006F34CD" w:rsidRDefault="00F27848" w14:paraId="594EF827" w14:textId="5785EF41">
      <w:pPr>
        <w:pStyle w:val="JuPara"/>
      </w:pPr>
      <w:r w:rsidRPr="006F34CD">
        <w:fldChar w:fldCharType="begin"/>
      </w:r>
      <w:r w:rsidRPr="006F34CD">
        <w:instrText xml:space="preserve"> SEQ level0 \*arabic </w:instrText>
      </w:r>
      <w:r w:rsidRPr="006F34CD">
        <w:fldChar w:fldCharType="separate"/>
      </w:r>
      <w:r w:rsidRPr="006F34CD" w:rsidR="006F34CD">
        <w:rPr>
          <w:noProof/>
        </w:rPr>
        <w:t>286</w:t>
      </w:r>
      <w:r w:rsidRPr="006F34CD">
        <w:fldChar w:fldCharType="end"/>
      </w:r>
      <w:r w:rsidRPr="006F34CD">
        <w:t>.</w:t>
      </w:r>
      <w:r w:rsidRPr="006F34CD" w:rsidR="001370AA">
        <w:t>  </w:t>
      </w:r>
      <w:r w:rsidRPr="006F34CD">
        <w:t xml:space="preserve">Lastly, the applicants complained under </w:t>
      </w:r>
      <w:r w:rsidRPr="006F34CD" w:rsidR="001370AA">
        <w:t>Article 1</w:t>
      </w:r>
      <w:r w:rsidRPr="006F34CD">
        <w:t xml:space="preserve">4 of the Convention, taken in conjunction with </w:t>
      </w:r>
      <w:r w:rsidRPr="006F34CD" w:rsidR="001370AA">
        <w:t>Article 9</w:t>
      </w:r>
      <w:r w:rsidRPr="006F34CD">
        <w:t xml:space="preserve">, that they </w:t>
      </w:r>
      <w:r w:rsidRPr="006F34CD" w:rsidR="002529BF">
        <w:t>had been</w:t>
      </w:r>
      <w:r w:rsidRPr="006F34CD">
        <w:t xml:space="preserve"> discriminated against on account of their religious beliefs</w:t>
      </w:r>
      <w:r w:rsidRPr="006F34CD" w:rsidR="0006550A">
        <w:t xml:space="preserve">, and </w:t>
      </w:r>
      <w:r w:rsidRPr="006F34CD" w:rsidR="002529BF">
        <w:t xml:space="preserve">under </w:t>
      </w:r>
      <w:r w:rsidRPr="006F34CD" w:rsidR="001370AA">
        <w:t>Article 6</w:t>
      </w:r>
      <w:r w:rsidRPr="006F34CD">
        <w:t xml:space="preserve"> of the Convention that the applicants who wished to join </w:t>
      </w:r>
      <w:r w:rsidRPr="006F34CD" w:rsidR="002529BF">
        <w:t xml:space="preserve">the </w:t>
      </w:r>
      <w:r w:rsidRPr="006F34CD" w:rsidR="00C66752">
        <w:t xml:space="preserve">dissolution </w:t>
      </w:r>
      <w:r w:rsidRPr="006F34CD">
        <w:t xml:space="preserve">proceedings </w:t>
      </w:r>
      <w:r w:rsidRPr="006F34CD" w:rsidR="002529BF">
        <w:t>had been</w:t>
      </w:r>
      <w:r w:rsidRPr="006F34CD">
        <w:t xml:space="preserve"> denied that possibility</w:t>
      </w:r>
      <w:r w:rsidRPr="006F34CD" w:rsidR="0006550A">
        <w:t>.</w:t>
      </w:r>
    </w:p>
    <w:p w:rsidRPr="006F34CD" w:rsidR="00F27848" w:rsidP="006F34CD" w:rsidRDefault="00CB6108" w14:paraId="155C872D" w14:textId="7351AE4C">
      <w:pPr>
        <w:pStyle w:val="JuPara"/>
      </w:pPr>
      <w:r>
        <w:rPr>
          <w:noProof/>
        </w:rPr>
        <w:fldChar w:fldCharType="begin"/>
      </w:r>
      <w:r>
        <w:rPr>
          <w:noProof/>
        </w:rPr>
        <w:instrText xml:space="preserve"> SE</w:instrText>
      </w:r>
      <w:r>
        <w:rPr>
          <w:noProof/>
        </w:rPr>
        <w:instrText xml:space="preserve">Q level0 \*arabic \* MERGEFORMAT </w:instrText>
      </w:r>
      <w:r>
        <w:rPr>
          <w:noProof/>
        </w:rPr>
        <w:fldChar w:fldCharType="separate"/>
      </w:r>
      <w:r w:rsidRPr="006F34CD" w:rsidR="006F34CD">
        <w:rPr>
          <w:noProof/>
        </w:rPr>
        <w:t>287</w:t>
      </w:r>
      <w:r>
        <w:rPr>
          <w:noProof/>
        </w:rPr>
        <w:fldChar w:fldCharType="end"/>
      </w:r>
      <w:r w:rsidRPr="006F34CD" w:rsidR="005F751A">
        <w:t>.  </w:t>
      </w:r>
      <w:r w:rsidRPr="006F34CD" w:rsidR="009F1DF7">
        <w:t>As</w:t>
      </w:r>
      <w:r w:rsidRPr="006F34CD" w:rsidR="0006550A">
        <w:t xml:space="preserve"> </w:t>
      </w:r>
      <w:r w:rsidRPr="006F34CD" w:rsidR="001370AA">
        <w:t>Article 6</w:t>
      </w:r>
      <w:r w:rsidRPr="006F34CD" w:rsidR="00F27848">
        <w:t xml:space="preserve"> is applicable to disputes involving the right to freedom of expression and restrictions on dissemination of information (see </w:t>
      </w:r>
      <w:r w:rsidRPr="006F34CD" w:rsidR="00F27848">
        <w:rPr>
          <w:i/>
        </w:rPr>
        <w:t>Kenedi</w:t>
      </w:r>
      <w:r w:rsidRPr="006F34CD" w:rsidR="001370AA">
        <w:rPr>
          <w:i/>
        </w:rPr>
        <w:t xml:space="preserve"> v. H</w:t>
      </w:r>
      <w:r w:rsidRPr="006F34CD" w:rsidR="00F27848">
        <w:rPr>
          <w:i/>
        </w:rPr>
        <w:t>ungary</w:t>
      </w:r>
      <w:r w:rsidRPr="006F34CD" w:rsidR="00F27848">
        <w:t xml:space="preserve">, </w:t>
      </w:r>
      <w:r w:rsidRPr="006F34CD" w:rsidR="001370AA">
        <w:t>no. 3</w:t>
      </w:r>
      <w:r w:rsidRPr="006F34CD" w:rsidR="00F27848">
        <w:t xml:space="preserve">1475/05, </w:t>
      </w:r>
      <w:r w:rsidRPr="006F34CD" w:rsidR="001370AA">
        <w:t>§ 3</w:t>
      </w:r>
      <w:r w:rsidRPr="006F34CD" w:rsidR="00F27848">
        <w:t xml:space="preserve">3, </w:t>
      </w:r>
      <w:r w:rsidRPr="006F34CD" w:rsidR="001370AA">
        <w:t>26 May 2009</w:t>
      </w:r>
      <w:r w:rsidRPr="006F34CD" w:rsidR="00F27848">
        <w:t>)</w:t>
      </w:r>
      <w:r w:rsidRPr="006F34CD" w:rsidR="005F751A">
        <w:t>, the Court declares these complaints admissible. However, having regard to the facts of the case, the submissions of the parties and its findings above, the Court considers that there is no need to give a separate ruling on the merits of these complaints.</w:t>
      </w:r>
    </w:p>
    <w:p w:rsidRPr="006F34CD" w:rsidR="00F27848" w:rsidP="006F34CD" w:rsidRDefault="00F27848" w14:paraId="19BA8C56" w14:textId="1024281E">
      <w:pPr>
        <w:pStyle w:val="JuHIRoman"/>
      </w:pPr>
      <w:bookmarkStart w:name="_Toc97302002" w:id="237"/>
      <w:r w:rsidRPr="006F34CD">
        <w:t>APPLICATION OF ARTICLE</w:t>
      </w:r>
      <w:r w:rsidRPr="006F34CD" w:rsidR="00CC3E4D">
        <w:t>S</w:t>
      </w:r>
      <w:r w:rsidRPr="006F34CD" w:rsidR="001370AA">
        <w:t xml:space="preserve"> </w:t>
      </w:r>
      <w:r w:rsidRPr="006F34CD">
        <w:t xml:space="preserve">41 </w:t>
      </w:r>
      <w:r w:rsidRPr="006F34CD" w:rsidR="00CC3E4D">
        <w:t xml:space="preserve">AND 46 </w:t>
      </w:r>
      <w:r w:rsidRPr="006F34CD">
        <w:t>OF THE CONVENTION</w:t>
      </w:r>
      <w:bookmarkEnd w:id="237"/>
    </w:p>
    <w:p w:rsidRPr="006F34CD" w:rsidR="00587DCF" w:rsidP="006F34CD" w:rsidRDefault="00E300ED" w14:paraId="2ABE6783" w14:textId="77777777">
      <w:pPr>
        <w:pStyle w:val="JuHA"/>
      </w:pPr>
      <w:bookmarkStart w:name="_Toc97302003" w:id="238"/>
      <w:r w:rsidRPr="006F34CD">
        <w:t>Individual measures</w:t>
      </w:r>
      <w:bookmarkEnd w:id="238"/>
    </w:p>
    <w:p w:rsidRPr="006F34CD" w:rsidR="00CC3E4D" w:rsidP="006F34CD" w:rsidRDefault="006F34CD" w14:paraId="22C4F4E9" w14:textId="22706450">
      <w:pPr>
        <w:pStyle w:val="JuPara"/>
      </w:pPr>
      <w:fldSimple w:instr=" SEQ level0 \*arabic \* MERGEFORMAT ">
        <w:r w:rsidRPr="006F34CD">
          <w:rPr>
            <w:noProof/>
          </w:rPr>
          <w:t>288</w:t>
        </w:r>
      </w:fldSimple>
      <w:r w:rsidRPr="006F34CD" w:rsidR="00CC3E4D">
        <w:t>.  </w:t>
      </w:r>
      <w:r w:rsidRPr="006F34CD" w:rsidR="00BC0864">
        <w:t>Article 4</w:t>
      </w:r>
      <w:r w:rsidRPr="006F34CD" w:rsidR="00CC3E4D">
        <w:t>6 of the Convention provides in the relevant part:</w:t>
      </w:r>
    </w:p>
    <w:p w:rsidRPr="006F34CD" w:rsidR="00CC3E4D" w:rsidP="006F34CD" w:rsidRDefault="00CC3E4D" w14:paraId="78F45DB1" w14:textId="4974EC49">
      <w:pPr>
        <w:pStyle w:val="JuQuot"/>
      </w:pPr>
      <w:r w:rsidRPr="006F34CD">
        <w:t>“1.</w:t>
      </w:r>
      <w:r w:rsidRPr="006F34CD" w:rsidR="002E09D6">
        <w:t>  </w:t>
      </w:r>
      <w:r w:rsidRPr="006F34CD">
        <w:t>The High Contracting Parties undertake to abide by the final judgment of the Court in any case to which they are parties.</w:t>
      </w:r>
    </w:p>
    <w:p w:rsidRPr="006F34CD" w:rsidR="00587DCF" w:rsidP="006F34CD" w:rsidRDefault="00CC3E4D" w14:paraId="421D827D" w14:textId="62057AA5">
      <w:pPr>
        <w:pStyle w:val="JuQuot"/>
      </w:pPr>
      <w:r w:rsidRPr="006F34CD">
        <w:t>2.</w:t>
      </w:r>
      <w:r w:rsidRPr="006F34CD" w:rsidR="002E09D6">
        <w:t>  </w:t>
      </w:r>
      <w:r w:rsidRPr="006F34CD">
        <w:t>The final judgment of the Court shall be transmitted to the Committee of Ministers, which shall supervise its execution.</w:t>
      </w:r>
      <w:r w:rsidRPr="006F34CD" w:rsidR="00352B99">
        <w:t>”</w:t>
      </w:r>
    </w:p>
    <w:p w:rsidRPr="006F34CD" w:rsidR="00CC3E4D" w:rsidP="006F34CD" w:rsidRDefault="006F34CD" w14:paraId="17C69221" w14:textId="03912E03">
      <w:pPr>
        <w:pStyle w:val="JuPara"/>
      </w:pPr>
      <w:fldSimple w:instr=" SEQ level0 \*arabic \* MERGEFORMAT ">
        <w:r w:rsidRPr="006F34CD">
          <w:rPr>
            <w:noProof/>
          </w:rPr>
          <w:t>289</w:t>
        </w:r>
      </w:fldSimple>
      <w:r w:rsidRPr="006F34CD" w:rsidR="00CC3E4D">
        <w:t>.  </w:t>
      </w:r>
      <w:r w:rsidRPr="006F34CD" w:rsidR="002D29E1">
        <w:t>The Court has found above that the criminal prosecution and sentencing of Jehovah</w:t>
      </w:r>
      <w:r w:rsidRPr="006F34CD">
        <w:t>’</w:t>
      </w:r>
      <w:r w:rsidRPr="006F34CD" w:rsidR="002D29E1">
        <w:t>s Witnesses in connection with the peaceful exercise of the right to freedom of religion has disclosed a violation of the Convention. The Court emphasises that the execution measures that must now be taken by the respondent State, under the supervision of the Committee of Ministers, must be compatible with the conclusions and spirit of this judgment (see</w:t>
      </w:r>
      <w:r w:rsidRPr="006F34CD" w:rsidR="00F637AD">
        <w:rPr>
          <w:i/>
          <w:iCs/>
        </w:rPr>
        <w:t xml:space="preserve"> Ilgar Mammadov</w:t>
      </w:r>
      <w:r w:rsidRPr="006F34CD" w:rsidR="00BC0864">
        <w:rPr>
          <w:i/>
          <w:iCs/>
        </w:rPr>
        <w:t xml:space="preserve"> v. A</w:t>
      </w:r>
      <w:r w:rsidRPr="006F34CD" w:rsidR="00F637AD">
        <w:rPr>
          <w:i/>
          <w:iCs/>
        </w:rPr>
        <w:t>zerbaijan</w:t>
      </w:r>
      <w:r w:rsidRPr="006F34CD" w:rsidR="00F637AD">
        <w:rPr>
          <w:iCs/>
        </w:rPr>
        <w:t xml:space="preserve"> (infringement proceedings) [GC]</w:t>
      </w:r>
      <w:r w:rsidRPr="006F34CD" w:rsidR="00F637AD">
        <w:t xml:space="preserve">, </w:t>
      </w:r>
      <w:r w:rsidRPr="006F34CD" w:rsidR="00BC0864">
        <w:t>no. </w:t>
      </w:r>
      <w:r w:rsidRPr="006F34CD" w:rsidR="00BC0864">
        <w:rPr>
          <w:iCs/>
        </w:rPr>
        <w:t>1</w:t>
      </w:r>
      <w:r w:rsidRPr="006F34CD" w:rsidR="00F637AD">
        <w:rPr>
          <w:iCs/>
        </w:rPr>
        <w:t>5172/13,</w:t>
      </w:r>
      <w:r w:rsidRPr="006F34CD" w:rsidR="00F637AD">
        <w:rPr>
          <w:i/>
          <w:iCs/>
        </w:rPr>
        <w:t xml:space="preserve"> </w:t>
      </w:r>
      <w:r w:rsidRPr="006F34CD" w:rsidR="00F637AD">
        <w:rPr>
          <w:iCs/>
        </w:rPr>
        <w:t xml:space="preserve">§ 182, </w:t>
      </w:r>
      <w:r w:rsidRPr="006F34CD" w:rsidR="00BC0864">
        <w:rPr>
          <w:iCs/>
        </w:rPr>
        <w:t>29 May 2019</w:t>
      </w:r>
      <w:r w:rsidRPr="006F34CD" w:rsidR="002D29E1">
        <w:t>).</w:t>
      </w:r>
    </w:p>
    <w:p w:rsidRPr="006F34CD" w:rsidR="002D29E1" w:rsidP="006F34CD" w:rsidRDefault="006F34CD" w14:paraId="37E0C891" w14:textId="2FA1B090">
      <w:pPr>
        <w:pStyle w:val="JuPara"/>
      </w:pPr>
      <w:fldSimple w:instr=" SEQ level0 \*arabic \* MERGEFORMAT ">
        <w:r w:rsidRPr="006F34CD">
          <w:rPr>
            <w:noProof/>
          </w:rPr>
          <w:t>290</w:t>
        </w:r>
      </w:fldSimple>
      <w:r w:rsidRPr="006F34CD" w:rsidR="002D29E1">
        <w:t>.  However, where the nature of the violation found is such as to leave no real choice as to the measures required to remedy it, the Court may decide to indicate a specific individual measure (see</w:t>
      </w:r>
      <w:r w:rsidRPr="006F34CD" w:rsidR="002D29E1">
        <w:rPr>
          <w:i/>
        </w:rPr>
        <w:t xml:space="preserve"> Assanidze</w:t>
      </w:r>
      <w:r w:rsidRPr="006F34CD" w:rsidR="00BC0864">
        <w:rPr>
          <w:i/>
        </w:rPr>
        <w:t xml:space="preserve"> v. G</w:t>
      </w:r>
      <w:r w:rsidRPr="006F34CD" w:rsidR="002D29E1">
        <w:rPr>
          <w:i/>
        </w:rPr>
        <w:t>eorgia</w:t>
      </w:r>
      <w:r w:rsidRPr="006F34CD" w:rsidR="002D29E1">
        <w:t xml:space="preserve"> [GC], </w:t>
      </w:r>
      <w:r w:rsidRPr="006F34CD" w:rsidR="00BC0864">
        <w:t>no. 7</w:t>
      </w:r>
      <w:r w:rsidRPr="006F34CD" w:rsidR="002D29E1">
        <w:t>1503/01, §§ 202-03, ECHR 2004</w:t>
      </w:r>
      <w:r w:rsidRPr="006F34CD" w:rsidR="002D29E1">
        <w:noBreakHyphen/>
        <w:t>II;</w:t>
      </w:r>
      <w:r w:rsidRPr="006F34CD" w:rsidR="002D29E1">
        <w:rPr>
          <w:i/>
        </w:rPr>
        <w:t xml:space="preserve"> Del Río Prada</w:t>
      </w:r>
      <w:r w:rsidRPr="006F34CD" w:rsidR="00BC0864">
        <w:t xml:space="preserve"> </w:t>
      </w:r>
      <w:r w:rsidRPr="006F34CD" w:rsidR="00BC0864">
        <w:rPr>
          <w:i/>
        </w:rPr>
        <w:t>v.</w:t>
      </w:r>
      <w:r w:rsidRPr="006F34CD" w:rsidR="00BC0864">
        <w:t> </w:t>
      </w:r>
      <w:r w:rsidRPr="006F34CD" w:rsidR="00BC0864">
        <w:rPr>
          <w:i/>
        </w:rPr>
        <w:t>S</w:t>
      </w:r>
      <w:r w:rsidRPr="006F34CD" w:rsidR="002D29E1">
        <w:rPr>
          <w:i/>
        </w:rPr>
        <w:t>pain</w:t>
      </w:r>
      <w:r w:rsidRPr="006F34CD" w:rsidR="002D29E1">
        <w:t xml:space="preserve"> [GC], </w:t>
      </w:r>
      <w:r w:rsidRPr="006F34CD" w:rsidR="00BC0864">
        <w:t>no. 4</w:t>
      </w:r>
      <w:r w:rsidRPr="006F34CD" w:rsidR="002D29E1">
        <w:t xml:space="preserve">2750/09, §§ 138-39, ECHR 2013; and </w:t>
      </w:r>
      <w:r w:rsidRPr="006F34CD" w:rsidR="002D29E1">
        <w:rPr>
          <w:i/>
        </w:rPr>
        <w:t>Selahattin Demirtaş</w:t>
      </w:r>
      <w:r w:rsidRPr="006F34CD" w:rsidR="00BC0864">
        <w:rPr>
          <w:i/>
        </w:rPr>
        <w:t xml:space="preserve"> v. T</w:t>
      </w:r>
      <w:r w:rsidRPr="006F34CD" w:rsidR="002D29E1">
        <w:rPr>
          <w:i/>
        </w:rPr>
        <w:t>urkey (</w:t>
      </w:r>
      <w:r w:rsidRPr="006F34CD" w:rsidR="00BC0864">
        <w:rPr>
          <w:i/>
        </w:rPr>
        <w:t>no. 2</w:t>
      </w:r>
      <w:r w:rsidRPr="006F34CD" w:rsidR="002D29E1">
        <w:rPr>
          <w:i/>
        </w:rPr>
        <w:t>)</w:t>
      </w:r>
      <w:r w:rsidRPr="006F34CD" w:rsidR="002D29E1">
        <w:t xml:space="preserve"> [GC], no. 14305/17, § 442, 22 December 2020, with further references). In the present case, it is apparent that the continued prosecution and imprisonment of Jehovah</w:t>
      </w:r>
      <w:r w:rsidRPr="006F34CD">
        <w:t>’</w:t>
      </w:r>
      <w:r w:rsidRPr="006F34CD" w:rsidR="002D29E1">
        <w:t>s Witnesses would entail a prolongation of the violation of their rights and a breach of the obligation on the respondent State to abide by the Court</w:t>
      </w:r>
      <w:r w:rsidRPr="006F34CD">
        <w:t>’</w:t>
      </w:r>
      <w:r w:rsidRPr="006F34CD" w:rsidR="002D29E1">
        <w:t xml:space="preserve">s judgment in accordance with </w:t>
      </w:r>
      <w:r w:rsidRPr="006F34CD" w:rsidR="00BC0864">
        <w:t>Article 4</w:t>
      </w:r>
      <w:r w:rsidRPr="006F34CD" w:rsidR="002D29E1">
        <w:t xml:space="preserve">6 </w:t>
      </w:r>
      <w:r w:rsidRPr="006F34CD" w:rsidR="00BC0864">
        <w:t>§ 1</w:t>
      </w:r>
      <w:r w:rsidRPr="006F34CD" w:rsidR="002D29E1">
        <w:t xml:space="preserve"> of the Convention</w:t>
      </w:r>
      <w:r w:rsidRPr="006F34CD" w:rsidR="00A56A63">
        <w:t>. This view is also consistent with the requirement of release of all imprisoned Jehovah</w:t>
      </w:r>
      <w:r w:rsidRPr="006F34CD">
        <w:t>’</w:t>
      </w:r>
      <w:r w:rsidRPr="006F34CD" w:rsidR="00A56A63">
        <w:t xml:space="preserve">s Witnesses addressed to the Russian Government in the Opinion No. 10/2020 by the Working Group on Arbitrary Detention (see paragraph </w:t>
      </w:r>
      <w:r w:rsidRPr="006F34CD" w:rsidR="00A56A63">
        <w:fldChar w:fldCharType="begin"/>
      </w:r>
      <w:r w:rsidRPr="006F34CD" w:rsidR="006E5193">
        <w:instrText xml:space="preserve">REF paragraph00136 \h \* CharFormat </w:instrText>
      </w:r>
      <w:r w:rsidRPr="006F34CD" w:rsidR="00A56A63">
        <w:fldChar w:fldCharType="separate"/>
      </w:r>
      <w:r w:rsidRPr="006F34CD">
        <w:t>136</w:t>
      </w:r>
      <w:r w:rsidRPr="006F34CD" w:rsidR="00A56A63">
        <w:fldChar w:fldCharType="end"/>
      </w:r>
      <w:r w:rsidRPr="006F34CD" w:rsidR="00A56A63">
        <w:t xml:space="preserve"> above)</w:t>
      </w:r>
      <w:r w:rsidRPr="006F34CD" w:rsidR="002D29E1">
        <w:t xml:space="preserve">. Accordingly, the Court holds that the respondent State must take all necessary measures to secure the discontinuation of </w:t>
      </w:r>
      <w:r w:rsidRPr="006F34CD" w:rsidR="00927F47">
        <w:t xml:space="preserve">all </w:t>
      </w:r>
      <w:r w:rsidRPr="006F34CD" w:rsidR="002D29E1">
        <w:t>pending criminal proceedings against Jehovah</w:t>
      </w:r>
      <w:r w:rsidRPr="006F34CD">
        <w:t>’</w:t>
      </w:r>
      <w:r w:rsidRPr="006F34CD" w:rsidR="002D29E1">
        <w:t>s Witnesses</w:t>
      </w:r>
      <w:r w:rsidRPr="006F34CD" w:rsidR="00427F01">
        <w:t xml:space="preserve">, including by reference to the recently amended guidance by the Supreme Court of Russia (see </w:t>
      </w:r>
      <w:r w:rsidRPr="006F34CD" w:rsidR="006E5193">
        <w:t>paragraph 1</w:t>
      </w:r>
      <w:r w:rsidRPr="006F34CD" w:rsidR="00427F01">
        <w:t>26 above),</w:t>
      </w:r>
      <w:r w:rsidRPr="006F34CD" w:rsidR="002D29E1">
        <w:t xml:space="preserve"> and release of </w:t>
      </w:r>
      <w:r w:rsidRPr="006F34CD" w:rsidR="00927F47">
        <w:t>all</w:t>
      </w:r>
      <w:r w:rsidRPr="006F34CD" w:rsidR="002D29E1">
        <w:t xml:space="preserve"> Jehovah</w:t>
      </w:r>
      <w:r w:rsidRPr="006F34CD">
        <w:t>’</w:t>
      </w:r>
      <w:r w:rsidRPr="006F34CD" w:rsidR="002D29E1">
        <w:t>s Witnesses</w:t>
      </w:r>
      <w:r w:rsidRPr="006F34CD" w:rsidR="009404C5">
        <w:t xml:space="preserve"> who have been deprived of their liberty</w:t>
      </w:r>
      <w:r w:rsidRPr="006F34CD" w:rsidR="006A4402">
        <w:t>.</w:t>
      </w:r>
    </w:p>
    <w:p w:rsidRPr="006F34CD" w:rsidR="00587DCF" w:rsidP="006F34CD" w:rsidRDefault="00E300ED" w14:paraId="53FE1100" w14:textId="77777777">
      <w:pPr>
        <w:pStyle w:val="JuHA"/>
      </w:pPr>
      <w:bookmarkStart w:name="_Toc97302004" w:id="239"/>
      <w:r w:rsidRPr="006F34CD">
        <w:t>Just satisfaction</w:t>
      </w:r>
      <w:bookmarkEnd w:id="239"/>
    </w:p>
    <w:p w:rsidRPr="006F34CD" w:rsidR="005E6066" w:rsidP="006F34CD" w:rsidRDefault="00CB6108" w14:paraId="21B6BDAF" w14:textId="71C08C78">
      <w:pPr>
        <w:pStyle w:val="JuPara"/>
        <w:keepNext/>
      </w:pPr>
      <w:r>
        <w:rPr>
          <w:noProof/>
        </w:rPr>
        <w:fldChar w:fldCharType="begin"/>
      </w:r>
      <w:r>
        <w:rPr>
          <w:noProof/>
        </w:rPr>
        <w:instrText xml:space="preserve"> SEQ level0 \*arabic \* MERGEFORMAT </w:instrText>
      </w:r>
      <w:r>
        <w:rPr>
          <w:noProof/>
        </w:rPr>
        <w:fldChar w:fldCharType="separate"/>
      </w:r>
      <w:r w:rsidRPr="006F34CD" w:rsidR="006F34CD">
        <w:rPr>
          <w:noProof/>
        </w:rPr>
        <w:t>291</w:t>
      </w:r>
      <w:r>
        <w:rPr>
          <w:noProof/>
        </w:rPr>
        <w:fldChar w:fldCharType="end"/>
      </w:r>
      <w:r w:rsidRPr="006F34CD" w:rsidR="005E6066">
        <w:t>.  Article 41 of the Convention provides:</w:t>
      </w:r>
    </w:p>
    <w:p w:rsidRPr="006F34CD" w:rsidR="005E6066" w:rsidP="006F34CD" w:rsidRDefault="005E6066" w14:paraId="7A9794D9" w14:textId="77777777">
      <w:pPr>
        <w:pStyle w:val="JuQuot"/>
        <w:keepLines/>
      </w:pPr>
      <w:r w:rsidRPr="006F34C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F34CD" w:rsidR="00F27848" w:rsidP="006F34CD" w:rsidRDefault="00F27848" w14:paraId="24364477" w14:textId="77777777">
      <w:pPr>
        <w:pStyle w:val="JuH1"/>
      </w:pPr>
      <w:bookmarkStart w:name="_Toc97302005" w:id="240"/>
      <w:r w:rsidRPr="006F34CD">
        <w:t>Pecuniary damage</w:t>
      </w:r>
      <w:bookmarkEnd w:id="240"/>
    </w:p>
    <w:p w:rsidRPr="006F34CD" w:rsidR="00587DCF" w:rsidP="006F34CD" w:rsidRDefault="00F27848" w14:paraId="0DF34244" w14:textId="485861D8">
      <w:pPr>
        <w:pStyle w:val="JuPara"/>
      </w:pPr>
      <w:r w:rsidRPr="006F34CD">
        <w:fldChar w:fldCharType="begin"/>
      </w:r>
      <w:r w:rsidRPr="006F34CD">
        <w:instrText xml:space="preserve"> SEQ level0 \*arabic </w:instrText>
      </w:r>
      <w:r w:rsidRPr="006F34CD">
        <w:fldChar w:fldCharType="separate"/>
      </w:r>
      <w:r w:rsidRPr="006F34CD" w:rsidR="006F34CD">
        <w:rPr>
          <w:noProof/>
        </w:rPr>
        <w:t>292</w:t>
      </w:r>
      <w:r w:rsidRPr="006F34CD">
        <w:fldChar w:fldCharType="end"/>
      </w:r>
      <w:r w:rsidRPr="006F34CD">
        <w:t>.</w:t>
      </w:r>
      <w:r w:rsidRPr="006F34CD" w:rsidR="001370AA">
        <w:t>  </w:t>
      </w:r>
      <w:r w:rsidRPr="006F34CD">
        <w:t>The applicant</w:t>
      </w:r>
      <w:r w:rsidRPr="006F34CD" w:rsidR="00CD0AE9">
        <w:t>s</w:t>
      </w:r>
      <w:r w:rsidRPr="006F34CD">
        <w:t xml:space="preserve"> asked the Court to give the Russian authorities a period of no more than six months to restore the registration of </w:t>
      </w:r>
      <w:r w:rsidRPr="006F34CD" w:rsidR="008C5164">
        <w:t xml:space="preserve">the </w:t>
      </w:r>
      <w:r w:rsidRPr="006F34CD">
        <w:t>dissolved organisations and the ownership of the confiscated property.</w:t>
      </w:r>
      <w:r w:rsidRPr="006F34CD" w:rsidR="001370AA">
        <w:t xml:space="preserve"> </w:t>
      </w:r>
      <w:r w:rsidRPr="006F34CD" w:rsidR="00563DE6">
        <w:t xml:space="preserve">In the alternative, they claimed the value of the properties, reconstruction costs incurred to return them to the state in which they had been seized, and the cost of items which had been held there at the time of seizure. The value of the immovable and movable property, converted into euros (EUR) on the date of submission of the claims and adjusted for inflation, amounted to </w:t>
      </w:r>
      <w:r w:rsidRPr="006F34CD" w:rsidR="001370AA">
        <w:t>EUR 9</w:t>
      </w:r>
      <w:r w:rsidRPr="006F34CD" w:rsidR="00563DE6">
        <w:t xml:space="preserve">1,140 in the case of the Taganrog LRO and </w:t>
      </w:r>
      <w:r w:rsidRPr="006F34CD" w:rsidR="001370AA">
        <w:t>EUR 7</w:t>
      </w:r>
      <w:r w:rsidRPr="006F34CD" w:rsidR="00563DE6">
        <w:t>3,276 in the case of the Samara LRO.</w:t>
      </w:r>
      <w:r w:rsidRPr="006F34CD" w:rsidR="00CD0AE9">
        <w:t xml:space="preserve"> </w:t>
      </w:r>
      <w:r w:rsidRPr="006F34CD" w:rsidR="00563DE6">
        <w:t xml:space="preserve">The </w:t>
      </w:r>
      <w:r w:rsidRPr="006F34CD" w:rsidR="005C7C28">
        <w:t>twenty-one</w:t>
      </w:r>
      <w:r w:rsidRPr="006F34CD" w:rsidR="00CD0AE9">
        <w:t xml:space="preserve"> properties owned by the Administrative Centre and </w:t>
      </w:r>
      <w:r w:rsidRPr="006F34CD" w:rsidR="005C7C28">
        <w:t>the ninety-seven</w:t>
      </w:r>
      <w:r w:rsidRPr="006F34CD" w:rsidR="00563DE6">
        <w:t xml:space="preserve"> properties owned by </w:t>
      </w:r>
      <w:r w:rsidRPr="006F34CD" w:rsidR="00406F2F">
        <w:t>LRO</w:t>
      </w:r>
      <w:r w:rsidRPr="006F34CD" w:rsidR="00563DE6">
        <w:t xml:space="preserve">s on the date of the liquidation decision were valued at </w:t>
      </w:r>
      <w:r w:rsidRPr="006F34CD" w:rsidR="001370AA">
        <w:t>EUR </w:t>
      </w:r>
      <w:r w:rsidRPr="006F34CD" w:rsidR="00CD0AE9">
        <w:t>40,568,252</w:t>
      </w:r>
      <w:r w:rsidRPr="006F34CD" w:rsidR="00563DE6">
        <w:t xml:space="preserve">, and the </w:t>
      </w:r>
      <w:r w:rsidRPr="006F34CD" w:rsidR="00CD0AE9">
        <w:t>280</w:t>
      </w:r>
      <w:r w:rsidRPr="006F34CD" w:rsidR="00563DE6">
        <w:t xml:space="preserve"> properties which had been transferred </w:t>
      </w:r>
      <w:r w:rsidRPr="006F34CD" w:rsidR="0005475A">
        <w:t>to</w:t>
      </w:r>
      <w:r w:rsidRPr="006F34CD" w:rsidR="00563DE6">
        <w:t xml:space="preserve"> foreign religious organisations of Jehovah</w:t>
      </w:r>
      <w:r w:rsidRPr="006F34CD" w:rsidR="006F34CD">
        <w:t>’</w:t>
      </w:r>
      <w:r w:rsidRPr="006F34CD" w:rsidR="00563DE6">
        <w:t xml:space="preserve">s Witnesses before the liquidation and in respect of which the Russian authorities were seeking to annul transfer deeds, had a total value of </w:t>
      </w:r>
      <w:r w:rsidRPr="006F34CD" w:rsidR="001370AA">
        <w:t>EUR </w:t>
      </w:r>
      <w:r w:rsidRPr="006F34CD" w:rsidR="00CD0AE9">
        <w:t>25,510,994</w:t>
      </w:r>
      <w:r w:rsidRPr="006F34CD" w:rsidR="00563DE6">
        <w:t xml:space="preserve">. The loss of enjoyment of use of those properties was estimated at </w:t>
      </w:r>
      <w:r w:rsidRPr="006F34CD" w:rsidR="00F50F6F">
        <w:t>EUR 5</w:t>
      </w:r>
      <w:r w:rsidRPr="006F34CD" w:rsidR="00CD0AE9">
        <w:t>00,000 for the national headquarters</w:t>
      </w:r>
      <w:r w:rsidRPr="006F34CD" w:rsidR="005C7C28">
        <w:t xml:space="preserve"> of Jehovah</w:t>
      </w:r>
      <w:r w:rsidRPr="006F34CD" w:rsidR="006F34CD">
        <w:t>’</w:t>
      </w:r>
      <w:r w:rsidRPr="006F34CD" w:rsidR="005C7C28">
        <w:t>s Witnesses</w:t>
      </w:r>
      <w:r w:rsidRPr="006F34CD" w:rsidR="00CD0AE9">
        <w:t xml:space="preserve">, </w:t>
      </w:r>
      <w:r w:rsidRPr="006F34CD" w:rsidR="00F50F6F">
        <w:t>EUR 3</w:t>
      </w:r>
      <w:r w:rsidRPr="006F34CD" w:rsidR="00CD0AE9">
        <w:t xml:space="preserve">00,000 and </w:t>
      </w:r>
      <w:r w:rsidRPr="006F34CD" w:rsidR="00F50F6F">
        <w:t>EUR 2</w:t>
      </w:r>
      <w:r w:rsidRPr="006F34CD" w:rsidR="00CD0AE9">
        <w:t xml:space="preserve">00,000 for the St Petersburg and Moscow Assembly Halls respectively, and </w:t>
      </w:r>
      <w:r w:rsidRPr="006F34CD" w:rsidR="001370AA">
        <w:t>EUR 1</w:t>
      </w:r>
      <w:r w:rsidRPr="006F34CD" w:rsidR="00563DE6">
        <w:t xml:space="preserve">0,000 </w:t>
      </w:r>
      <w:r w:rsidRPr="006F34CD" w:rsidR="00CD0AE9">
        <w:t xml:space="preserve">for </w:t>
      </w:r>
      <w:r w:rsidRPr="006F34CD" w:rsidR="00984C2D">
        <w:t xml:space="preserve">each of </w:t>
      </w:r>
      <w:r w:rsidRPr="006F34CD" w:rsidR="00CD0AE9">
        <w:t>the 395 other</w:t>
      </w:r>
      <w:r w:rsidRPr="006F34CD" w:rsidR="00563DE6">
        <w:t xml:space="preserve"> proper</w:t>
      </w:r>
      <w:r w:rsidRPr="006F34CD" w:rsidR="00CD0AE9">
        <w:t>ties</w:t>
      </w:r>
      <w:r w:rsidRPr="006F34CD" w:rsidR="00563DE6">
        <w:t>.</w:t>
      </w:r>
      <w:r w:rsidRPr="006F34CD" w:rsidR="00CD0AE9">
        <w:t xml:space="preserve"> In addition, the Administrative Centre claimed </w:t>
      </w:r>
      <w:r w:rsidRPr="006F34CD" w:rsidR="00F50F6F">
        <w:t>EUR 6</w:t>
      </w:r>
      <w:r w:rsidRPr="006F34CD" w:rsidR="00CD0AE9">
        <w:t>,243, representing the amount of cash seized from its bank accounts.</w:t>
      </w:r>
    </w:p>
    <w:p w:rsidRPr="006F34CD" w:rsidR="00FC3671" w:rsidP="006F34CD" w:rsidRDefault="00CB6108" w14:paraId="3C550E5A" w14:textId="73A2CA17">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293</w:t>
      </w:r>
      <w:r>
        <w:rPr>
          <w:noProof/>
        </w:rPr>
        <w:fldChar w:fldCharType="end"/>
      </w:r>
      <w:r w:rsidRPr="006F34CD" w:rsidR="00A6528F">
        <w:t>.  </w:t>
      </w:r>
      <w:r w:rsidRPr="006F34CD" w:rsidR="00984C2D">
        <w:t>The individual applicants claimed</w:t>
      </w:r>
      <w:r w:rsidRPr="006F34CD" w:rsidR="00B3019C">
        <w:t xml:space="preserve">, in respect </w:t>
      </w:r>
      <w:r w:rsidRPr="006F34CD" w:rsidR="00984C2D">
        <w:t>of pecuniary damage</w:t>
      </w:r>
      <w:r w:rsidRPr="006F34CD" w:rsidR="00B3019C">
        <w:t xml:space="preserve">, </w:t>
      </w:r>
      <w:r w:rsidRPr="006F34CD" w:rsidR="00FD7E17">
        <w:t>the amount of the fine</w:t>
      </w:r>
      <w:r w:rsidRPr="006F34CD" w:rsidR="00B3019C">
        <w:t>s</w:t>
      </w:r>
      <w:r w:rsidRPr="006F34CD" w:rsidR="00FD7E17">
        <w:t xml:space="preserve"> </w:t>
      </w:r>
      <w:r w:rsidRPr="006F34CD" w:rsidR="00B3019C">
        <w:t>they</w:t>
      </w:r>
      <w:r w:rsidRPr="006F34CD" w:rsidR="00FD7E17">
        <w:t xml:space="preserve"> had paid</w:t>
      </w:r>
      <w:r w:rsidRPr="006F34CD" w:rsidR="00B3019C">
        <w:t xml:space="preserve"> and the replacement value of the property which had been seized from them. </w:t>
      </w:r>
      <w:r w:rsidRPr="006F34CD" w:rsidR="00BC0864">
        <w:t>Mr C</w:t>
      </w:r>
      <w:r w:rsidRPr="006F34CD" w:rsidR="00B3019C">
        <w:t xml:space="preserve">hristensen claimed, in two applications, </w:t>
      </w:r>
      <w:r w:rsidRPr="006F34CD" w:rsidR="00BC0864">
        <w:t>EUR 1</w:t>
      </w:r>
      <w:r w:rsidRPr="006F34CD" w:rsidR="00984C2D">
        <w:t xml:space="preserve">,500 </w:t>
      </w:r>
      <w:r w:rsidRPr="006F34CD" w:rsidR="00FC3671">
        <w:t xml:space="preserve">for the replacement value of his computer and other personal items seized from him and </w:t>
      </w:r>
      <w:r w:rsidRPr="006F34CD" w:rsidR="00BC0864">
        <w:t>EUR 1</w:t>
      </w:r>
      <w:r w:rsidRPr="006F34CD" w:rsidR="00FC3671">
        <w:t>6,344 for the loss of income</w:t>
      </w:r>
      <w:r w:rsidRPr="006F34CD" w:rsidR="00B3019C">
        <w:t>.</w:t>
      </w:r>
    </w:p>
    <w:p w:rsidRPr="006F34CD" w:rsidR="00563DE6" w:rsidP="006F34CD" w:rsidRDefault="00CB6108" w14:paraId="26146831" w14:textId="622452F1">
      <w:pPr>
        <w:pStyle w:val="JuPara"/>
      </w:pPr>
      <w:r>
        <w:rPr>
          <w:noProof/>
        </w:rPr>
        <w:fldChar w:fldCharType="begin"/>
      </w:r>
      <w:r>
        <w:rPr>
          <w:noProof/>
        </w:rPr>
        <w:instrText xml:space="preserve"> SEQ level0 \*arabic \* MERGEFORMAT </w:instrText>
      </w:r>
      <w:r>
        <w:rPr>
          <w:noProof/>
        </w:rPr>
        <w:fldChar w:fldCharType="separate"/>
      </w:r>
      <w:bookmarkStart w:name="paragraph00293" w:id="241"/>
      <w:r w:rsidRPr="006F34CD" w:rsidR="006F34CD">
        <w:rPr>
          <w:noProof/>
        </w:rPr>
        <w:t>294</w:t>
      </w:r>
      <w:bookmarkEnd w:id="241"/>
      <w:r>
        <w:rPr>
          <w:noProof/>
        </w:rPr>
        <w:fldChar w:fldCharType="end"/>
      </w:r>
      <w:r w:rsidRPr="006F34CD" w:rsidR="00FD7E17">
        <w:t>.  </w:t>
      </w:r>
      <w:r w:rsidRPr="006F34CD" w:rsidR="00563DE6">
        <w:t xml:space="preserve">The Government submitted that </w:t>
      </w:r>
      <w:r w:rsidRPr="006F34CD" w:rsidR="00F27848">
        <w:t xml:space="preserve">no compensation in respect of pecuniary damage should be awarded because </w:t>
      </w:r>
      <w:r w:rsidRPr="006F34CD" w:rsidR="00407B02">
        <w:t xml:space="preserve">there </w:t>
      </w:r>
      <w:r w:rsidRPr="006F34CD" w:rsidR="00F27848">
        <w:t>had been no violation of the applicants</w:t>
      </w:r>
      <w:r w:rsidRPr="006F34CD" w:rsidR="006F34CD">
        <w:t>’</w:t>
      </w:r>
      <w:r w:rsidRPr="006F34CD" w:rsidR="00F27848">
        <w:t xml:space="preserve"> rights.</w:t>
      </w:r>
      <w:r w:rsidRPr="006F34CD" w:rsidR="001370AA">
        <w:t xml:space="preserve"> </w:t>
      </w:r>
      <w:r w:rsidRPr="006F34CD" w:rsidR="00465BFD">
        <w:t>In their view, the confiscation order</w:t>
      </w:r>
      <w:r w:rsidRPr="006F34CD" w:rsidR="00C71094">
        <w:t>s</w:t>
      </w:r>
      <w:r w:rsidRPr="006F34CD" w:rsidR="00465BFD">
        <w:t xml:space="preserve"> in respect of the applicants</w:t>
      </w:r>
      <w:r w:rsidRPr="006F34CD" w:rsidR="006F34CD">
        <w:t>’</w:t>
      </w:r>
      <w:r w:rsidRPr="006F34CD" w:rsidR="00465BFD">
        <w:t xml:space="preserve"> funds in banks had</w:t>
      </w:r>
      <w:r w:rsidRPr="006F34CD" w:rsidR="00C71094">
        <w:t xml:space="preserve"> been “a legitimate act” which could not be considered a violation of the applicants</w:t>
      </w:r>
      <w:r w:rsidRPr="006F34CD" w:rsidR="006F34CD">
        <w:t>’</w:t>
      </w:r>
      <w:r w:rsidRPr="006F34CD" w:rsidR="00C71094">
        <w:t xml:space="preserve"> rights.</w:t>
      </w:r>
      <w:r w:rsidRPr="006F34CD" w:rsidR="00465BFD">
        <w:t xml:space="preserve"> </w:t>
      </w:r>
      <w:r w:rsidRPr="006F34CD" w:rsidR="00563DE6">
        <w:t xml:space="preserve">They pointed out that the Samara LRO did </w:t>
      </w:r>
      <w:r w:rsidRPr="006F34CD" w:rsidR="00F27848">
        <w:t xml:space="preserve">not complain of a violation of </w:t>
      </w:r>
      <w:r w:rsidRPr="006F34CD" w:rsidR="001370AA">
        <w:t>Article 1</w:t>
      </w:r>
      <w:r w:rsidRPr="006F34CD" w:rsidR="00F27848">
        <w:t xml:space="preserve"> of Protocol No.</w:t>
      </w:r>
      <w:r w:rsidRPr="006F34CD" w:rsidR="001370AA">
        <w:t xml:space="preserve"> </w:t>
      </w:r>
      <w:r w:rsidRPr="006F34CD" w:rsidR="00563DE6">
        <w:t>1</w:t>
      </w:r>
      <w:r w:rsidRPr="006F34CD" w:rsidR="00281841">
        <w:t xml:space="preserve"> and </w:t>
      </w:r>
      <w:r w:rsidRPr="006F34CD" w:rsidR="005F65B6">
        <w:t xml:space="preserve">disputed the ownership of properties in respect of </w:t>
      </w:r>
      <w:r w:rsidRPr="006F34CD" w:rsidR="00407B02">
        <w:t xml:space="preserve">which </w:t>
      </w:r>
      <w:r w:rsidRPr="006F34CD" w:rsidR="005F65B6">
        <w:t>the Administrative Centre claimed compensation.</w:t>
      </w:r>
      <w:r w:rsidRPr="006F34CD" w:rsidR="00281841">
        <w:t xml:space="preserve"> They also submitted that a statement of </w:t>
      </w:r>
      <w:r w:rsidRPr="006F34CD" w:rsidR="003179D7">
        <w:t>Mr C</w:t>
      </w:r>
      <w:r w:rsidRPr="006F34CD" w:rsidR="00281841">
        <w:t>hristensen</w:t>
      </w:r>
      <w:r w:rsidRPr="006F34CD" w:rsidR="006F34CD">
        <w:t>’</w:t>
      </w:r>
      <w:r w:rsidRPr="006F34CD" w:rsidR="00281841">
        <w:t>s past income was not sufficient evidence of future losses he claimed.</w:t>
      </w:r>
      <w:r w:rsidRPr="006F34CD" w:rsidR="00262CB2">
        <w:t xml:space="preserve"> Finally, they added that no compensation for loss of enjoyment was due because there had been no violation.</w:t>
      </w:r>
    </w:p>
    <w:p w:rsidRPr="006F34CD" w:rsidR="00FD7E17" w:rsidP="006F34CD" w:rsidRDefault="00CB6108" w14:paraId="77EDDCF0" w14:textId="3BC73205">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295</w:t>
      </w:r>
      <w:r>
        <w:rPr>
          <w:noProof/>
        </w:rPr>
        <w:fldChar w:fldCharType="end"/>
      </w:r>
      <w:r w:rsidRPr="006F34CD" w:rsidR="00FD7E17">
        <w:t xml:space="preserve">.  The Court </w:t>
      </w:r>
      <w:r w:rsidRPr="006F34CD" w:rsidR="00B3019C">
        <w:t>reiterates that a clear causal connection must be established between the pecuniary damage alleged and the violation of the Convention that has been found. It has refused to accept claims for loss of income which allegedly resulted from the domestic authorities</w:t>
      </w:r>
      <w:r w:rsidRPr="006F34CD" w:rsidR="006F34CD">
        <w:t>’</w:t>
      </w:r>
      <w:r w:rsidRPr="006F34CD" w:rsidR="00B3019C">
        <w:t xml:space="preserve"> decision to maintain pre-trial detention without sufficient reasons (see </w:t>
      </w:r>
      <w:r w:rsidRPr="006F34CD" w:rsidR="00B3019C">
        <w:rPr>
          <w:i/>
        </w:rPr>
        <w:t>Bykov</w:t>
      </w:r>
      <w:r w:rsidRPr="006F34CD" w:rsidR="00BC0864">
        <w:rPr>
          <w:i/>
        </w:rPr>
        <w:t xml:space="preserve"> v. R</w:t>
      </w:r>
      <w:r w:rsidRPr="006F34CD" w:rsidR="00B3019C">
        <w:rPr>
          <w:i/>
        </w:rPr>
        <w:t>ussia</w:t>
      </w:r>
      <w:r w:rsidRPr="006F34CD" w:rsidR="003E2707">
        <w:t> </w:t>
      </w:r>
      <w:r w:rsidRPr="006F34CD" w:rsidR="00B3019C">
        <w:t xml:space="preserve">[GC], </w:t>
      </w:r>
      <w:r w:rsidRPr="006F34CD" w:rsidR="00BC0864">
        <w:t>no. 4</w:t>
      </w:r>
      <w:r w:rsidRPr="006F34CD" w:rsidR="00B3019C">
        <w:t xml:space="preserve">378/02, § 110, </w:t>
      </w:r>
      <w:r w:rsidRPr="006F34CD" w:rsidR="00BC0864">
        <w:t>10 March 2009</w:t>
      </w:r>
      <w:r w:rsidRPr="006F34CD" w:rsidR="00B3019C">
        <w:t>).</w:t>
      </w:r>
      <w:r w:rsidRPr="006F34CD" w:rsidR="000F7A5E">
        <w:t xml:space="preserve"> The situation in </w:t>
      </w:r>
      <w:r w:rsidRPr="006F34CD" w:rsidR="00BC0864">
        <w:t>Mr C</w:t>
      </w:r>
      <w:r w:rsidRPr="006F34CD" w:rsidR="000F7A5E">
        <w:t>hristensen</w:t>
      </w:r>
      <w:r w:rsidRPr="006F34CD" w:rsidR="006F34CD">
        <w:t>’</w:t>
      </w:r>
      <w:r w:rsidRPr="006F34CD" w:rsidR="000F7A5E">
        <w:t xml:space="preserve">s case is however different in that the Court found that not only his pre-trial detention but also his prosecution and imprisonment had been effected in breach of the Convention. It is therefore satisfied that, had it not been for his arrest, detention and conviction on the extremism charges, he </w:t>
      </w:r>
      <w:r w:rsidRPr="006F34CD" w:rsidR="00E819B8">
        <w:t>w</w:t>
      </w:r>
      <w:r w:rsidRPr="006F34CD" w:rsidR="000F7A5E">
        <w:t xml:space="preserve">ould have continued to earn the </w:t>
      </w:r>
      <w:r w:rsidRPr="006F34CD" w:rsidR="001A20BD">
        <w:t xml:space="preserve">established and regular </w:t>
      </w:r>
      <w:r w:rsidRPr="006F34CD" w:rsidR="000F7A5E">
        <w:t xml:space="preserve">income </w:t>
      </w:r>
      <w:r w:rsidRPr="006F34CD" w:rsidR="001A20BD">
        <w:t>he had had before his imprisonment</w:t>
      </w:r>
      <w:r w:rsidRPr="006F34CD" w:rsidR="000F7A5E">
        <w:t xml:space="preserve">. Accordingly, the Court awards </w:t>
      </w:r>
      <w:r w:rsidRPr="006F34CD" w:rsidR="00BC0864">
        <w:t>Mr C</w:t>
      </w:r>
      <w:r w:rsidRPr="006F34CD" w:rsidR="000F7A5E">
        <w:t xml:space="preserve">hristensen the amount </w:t>
      </w:r>
      <w:r w:rsidRPr="006F34CD" w:rsidR="00407B02">
        <w:t xml:space="preserve">of </w:t>
      </w:r>
      <w:r w:rsidRPr="006F34CD" w:rsidR="003179D7">
        <w:t>EUR 1</w:t>
      </w:r>
      <w:r w:rsidRPr="006F34CD" w:rsidR="00407B02">
        <w:t xml:space="preserve">6,344 </w:t>
      </w:r>
      <w:r w:rsidRPr="006F34CD" w:rsidR="000F7A5E">
        <w:t xml:space="preserve">in respect of the loss of income. It </w:t>
      </w:r>
      <w:r w:rsidRPr="006F34CD" w:rsidR="00473A8C">
        <w:t>also</w:t>
      </w:r>
      <w:r w:rsidRPr="006F34CD" w:rsidR="000F7A5E">
        <w:t xml:space="preserve"> awards Mr</w:t>
      </w:r>
      <w:r w:rsidRPr="006F34CD" w:rsidR="00473A8C">
        <w:t> </w:t>
      </w:r>
      <w:r w:rsidRPr="006F34CD" w:rsidR="000F7A5E">
        <w:t xml:space="preserve">Christensen and the other applicants the amounts they claimed for the loss of the seized personal property </w:t>
      </w:r>
      <w:r w:rsidRPr="006F34CD" w:rsidR="004B064D">
        <w:t xml:space="preserve">(see </w:t>
      </w:r>
      <w:r w:rsidRPr="006F34CD" w:rsidR="00407B02">
        <w:t xml:space="preserve">the amounts in </w:t>
      </w:r>
      <w:r w:rsidRPr="006F34CD" w:rsidR="003179D7">
        <w:t>Appendix I</w:t>
      </w:r>
      <w:r w:rsidRPr="006F34CD" w:rsidR="00407B02">
        <w:t>I</w:t>
      </w:r>
      <w:r w:rsidRPr="006F34CD" w:rsidR="004B064D">
        <w:t xml:space="preserve">) </w:t>
      </w:r>
      <w:r w:rsidRPr="006F34CD" w:rsidR="000F7A5E">
        <w:t xml:space="preserve">and the fines they had paid, </w:t>
      </w:r>
      <w:r w:rsidRPr="006F34CD" w:rsidR="00FD7E17">
        <w:t>plus any tax that may be chargeable.</w:t>
      </w:r>
    </w:p>
    <w:bookmarkStart w:name="paragraph00296" w:id="242"/>
    <w:p w:rsidRPr="006F34CD" w:rsidR="00003359" w:rsidP="006F34CD" w:rsidRDefault="001A3585" w14:paraId="7B41EBC7" w14:textId="7A6C8103">
      <w:pPr>
        <w:pStyle w:val="JuPara"/>
        <w:rPr>
          <w:rFonts w:eastAsiaTheme="minorEastAsia"/>
        </w:rPr>
      </w:pPr>
      <w:r w:rsidRPr="006F34CD">
        <w:fldChar w:fldCharType="begin"/>
      </w:r>
      <w:r w:rsidRPr="006F34CD">
        <w:instrText xml:space="preserve"> SEQ level0 \*arabic \* MERGEFORMAT </w:instrText>
      </w:r>
      <w:r w:rsidRPr="006F34CD">
        <w:fldChar w:fldCharType="separate"/>
      </w:r>
      <w:r w:rsidRPr="006F34CD" w:rsidR="006F34CD">
        <w:rPr>
          <w:noProof/>
        </w:rPr>
        <w:t>296</w:t>
      </w:r>
      <w:r w:rsidRPr="006F34CD">
        <w:rPr>
          <w:noProof/>
        </w:rPr>
        <w:fldChar w:fldCharType="end"/>
      </w:r>
      <w:bookmarkEnd w:id="242"/>
      <w:r w:rsidRPr="006F34CD" w:rsidR="00FD7E17">
        <w:t>.  </w:t>
      </w:r>
      <w:r w:rsidRPr="006F34CD" w:rsidR="00003359">
        <w:rPr>
          <w:rFonts w:eastAsiaTheme="minorEastAsia"/>
        </w:rPr>
        <w:t xml:space="preserve">The Court further </w:t>
      </w:r>
      <w:r w:rsidRPr="006F34CD" w:rsidR="00AF5F20">
        <w:rPr>
          <w:rFonts w:eastAsiaTheme="minorEastAsia"/>
        </w:rPr>
        <w:t>notes</w:t>
      </w:r>
      <w:r w:rsidRPr="006F34CD" w:rsidR="00003359">
        <w:rPr>
          <w:rFonts w:eastAsiaTheme="minorEastAsia"/>
        </w:rPr>
        <w:t xml:space="preserve"> that a judgment in which it finds a violation of the Convention imposes on the respondent State a legal obligation to put an end to the breach and make reparation for its consequences in such a way as to restore as far as possible the situation existing before the breach (</w:t>
      </w:r>
      <w:r w:rsidRPr="006F34CD" w:rsidR="00003359">
        <w:rPr>
          <w:rFonts w:eastAsiaTheme="minorEastAsia"/>
          <w:i/>
          <w:iCs/>
        </w:rPr>
        <w:t>status quo ante</w:t>
      </w:r>
      <w:r w:rsidRPr="006F34CD" w:rsidR="00003359">
        <w:rPr>
          <w:rFonts w:eastAsiaTheme="minorEastAsia"/>
        </w:rPr>
        <w:t xml:space="preserve">). If the nature of the violation allows for </w:t>
      </w:r>
      <w:r w:rsidRPr="006F34CD" w:rsidR="00003359">
        <w:rPr>
          <w:rFonts w:eastAsiaTheme="minorEastAsia"/>
          <w:i/>
        </w:rPr>
        <w:t>restitutio in integrum</w:t>
      </w:r>
      <w:r w:rsidRPr="006F34CD" w:rsidR="00003359">
        <w:rPr>
          <w:rFonts w:eastAsiaTheme="minorEastAsia"/>
          <w:iCs/>
        </w:rPr>
        <w:t>,</w:t>
      </w:r>
      <w:r w:rsidRPr="006F34CD" w:rsidR="00003359">
        <w:rPr>
          <w:rFonts w:eastAsiaTheme="minorEastAsia"/>
        </w:rPr>
        <w:t xml:space="preserve"> it is the duty of the State held liable to effect it, the Court having neither the power nor the practical possibility of doing so itself. If, however, national law does not allow – or allows only partial – reparation to be made for the consequences of the breach, Article 41 empowers the Court to afford the injured party such satisfaction as appears to it to be appropriate (see </w:t>
      </w:r>
      <w:r w:rsidRPr="006F34CD" w:rsidR="00003359">
        <w:rPr>
          <w:rFonts w:eastAsiaTheme="minorEastAsia"/>
          <w:i/>
        </w:rPr>
        <w:t>Iatridis</w:t>
      </w:r>
      <w:r w:rsidRPr="006F34CD" w:rsidR="00F50F6F">
        <w:rPr>
          <w:rFonts w:eastAsiaTheme="minorEastAsia"/>
          <w:i/>
        </w:rPr>
        <w:t xml:space="preserve"> v. G</w:t>
      </w:r>
      <w:r w:rsidRPr="006F34CD" w:rsidR="00003359">
        <w:rPr>
          <w:rFonts w:eastAsiaTheme="minorEastAsia"/>
          <w:i/>
        </w:rPr>
        <w:t>reece</w:t>
      </w:r>
      <w:r w:rsidRPr="006F34CD" w:rsidR="00003359">
        <w:rPr>
          <w:rFonts w:eastAsiaTheme="minorEastAsia"/>
        </w:rPr>
        <w:t xml:space="preserve"> (just satisfaction) [GC], no. 31107/96 </w:t>
      </w:r>
      <w:r w:rsidRPr="006F34CD" w:rsidR="00F50F6F">
        <w:rPr>
          <w:rFonts w:eastAsiaTheme="minorEastAsia"/>
        </w:rPr>
        <w:t>§ 3</w:t>
      </w:r>
      <w:r w:rsidRPr="006F34CD" w:rsidR="00003359">
        <w:rPr>
          <w:rFonts w:eastAsiaTheme="minorEastAsia"/>
        </w:rPr>
        <w:t xml:space="preserve">2, ECHR 2000-XI, and </w:t>
      </w:r>
      <w:r w:rsidRPr="006F34CD" w:rsidR="00003359">
        <w:rPr>
          <w:rFonts w:eastAsiaTheme="minorEastAsia"/>
          <w:i/>
        </w:rPr>
        <w:t>Guiso-Gallisay</w:t>
      </w:r>
      <w:r w:rsidRPr="006F34CD" w:rsidR="00F50F6F">
        <w:rPr>
          <w:rFonts w:eastAsiaTheme="minorEastAsia"/>
          <w:i/>
        </w:rPr>
        <w:t xml:space="preserve"> v. I</w:t>
      </w:r>
      <w:r w:rsidRPr="006F34CD" w:rsidR="00003359">
        <w:rPr>
          <w:rFonts w:eastAsiaTheme="minorEastAsia"/>
          <w:i/>
        </w:rPr>
        <w:t xml:space="preserve">taly </w:t>
      </w:r>
      <w:r w:rsidRPr="006F34CD" w:rsidR="00003359">
        <w:rPr>
          <w:rFonts w:eastAsiaTheme="minorEastAsia"/>
        </w:rPr>
        <w:t xml:space="preserve">(just satisfaction) [GC], </w:t>
      </w:r>
      <w:r w:rsidRPr="006F34CD" w:rsidR="00F50F6F">
        <w:rPr>
          <w:rFonts w:eastAsiaTheme="minorEastAsia"/>
        </w:rPr>
        <w:t>no. 5</w:t>
      </w:r>
      <w:r w:rsidRPr="006F34CD" w:rsidR="00003359">
        <w:rPr>
          <w:rFonts w:eastAsiaTheme="minorEastAsia"/>
        </w:rPr>
        <w:t>8858/00</w:t>
      </w:r>
      <w:r w:rsidRPr="006F34CD" w:rsidR="00003359">
        <w:rPr>
          <w:rFonts w:eastAsiaTheme="minorEastAsia"/>
          <w:snapToGrid w:val="0"/>
        </w:rPr>
        <w:t xml:space="preserve">, </w:t>
      </w:r>
      <w:r w:rsidRPr="006F34CD" w:rsidR="00F50F6F">
        <w:rPr>
          <w:rFonts w:eastAsiaTheme="minorEastAsia"/>
          <w:snapToGrid w:val="0"/>
        </w:rPr>
        <w:t>§ 9</w:t>
      </w:r>
      <w:r w:rsidRPr="006F34CD" w:rsidR="00003359">
        <w:rPr>
          <w:rFonts w:eastAsiaTheme="minorEastAsia"/>
          <w:snapToGrid w:val="0"/>
        </w:rPr>
        <w:t xml:space="preserve">0, </w:t>
      </w:r>
      <w:r w:rsidRPr="006F34CD" w:rsidR="00F50F6F">
        <w:rPr>
          <w:rFonts w:eastAsiaTheme="minorEastAsia"/>
          <w:snapToGrid w:val="0"/>
        </w:rPr>
        <w:t>22 December 2009</w:t>
      </w:r>
      <w:r w:rsidRPr="006F34CD" w:rsidR="00003359">
        <w:rPr>
          <w:rFonts w:eastAsiaTheme="minorEastAsia"/>
        </w:rPr>
        <w:t>).</w:t>
      </w:r>
    </w:p>
    <w:p w:rsidRPr="006F34CD" w:rsidR="00587DCF" w:rsidP="006F34CD" w:rsidRDefault="00003359" w14:paraId="242E82C7" w14:textId="408A3C4D">
      <w:pPr>
        <w:pStyle w:val="JuPara"/>
        <w:rPr>
          <w:rFonts w:eastAsiaTheme="minorEastAsia"/>
        </w:rPr>
      </w:pPr>
      <w:r w:rsidRPr="006F34CD">
        <w:rPr>
          <w:rFonts w:eastAsiaTheme="minorEastAsia"/>
        </w:rPr>
        <w:fldChar w:fldCharType="begin"/>
      </w:r>
      <w:r w:rsidRPr="006F34CD">
        <w:rPr>
          <w:rFonts w:eastAsiaTheme="minorEastAsia"/>
        </w:rPr>
        <w:instrText xml:space="preserve"> SEQ level0 \*arabic \* MERGEFORMAT </w:instrText>
      </w:r>
      <w:r w:rsidRPr="006F34CD">
        <w:rPr>
          <w:rFonts w:eastAsiaTheme="minorEastAsia"/>
        </w:rPr>
        <w:fldChar w:fldCharType="separate"/>
      </w:r>
      <w:r w:rsidRPr="006F34CD" w:rsidR="006F34CD">
        <w:rPr>
          <w:rFonts w:eastAsiaTheme="minorEastAsia"/>
          <w:noProof/>
        </w:rPr>
        <w:t>297</w:t>
      </w:r>
      <w:r w:rsidRPr="006F34CD">
        <w:rPr>
          <w:rFonts w:eastAsiaTheme="minorEastAsia"/>
        </w:rPr>
        <w:fldChar w:fldCharType="end"/>
      </w:r>
      <w:r w:rsidRPr="006F34CD">
        <w:rPr>
          <w:rFonts w:eastAsiaTheme="minorEastAsia"/>
        </w:rPr>
        <w:t>.  The Court has found above that the decisions to dissolve the applicant organisations and confiscate their property had been made in breach of the Convention requirements. The Court</w:t>
      </w:r>
      <w:r w:rsidRPr="006F34CD" w:rsidR="006F34CD">
        <w:rPr>
          <w:rFonts w:eastAsiaTheme="minorEastAsia"/>
        </w:rPr>
        <w:t>’</w:t>
      </w:r>
      <w:r w:rsidRPr="006F34CD">
        <w:rPr>
          <w:rFonts w:eastAsiaTheme="minorEastAsia"/>
        </w:rPr>
        <w:t xml:space="preserve">s finding of a violation of the Convention is a ground for reopening domestic proceedings </w:t>
      </w:r>
      <w:r w:rsidRPr="006F34CD" w:rsidR="00C940DF">
        <w:rPr>
          <w:rFonts w:eastAsiaTheme="minorEastAsia"/>
        </w:rPr>
        <w:t xml:space="preserve">with a view to </w:t>
      </w:r>
      <w:r w:rsidRPr="006F34CD">
        <w:rPr>
          <w:rFonts w:eastAsiaTheme="minorEastAsia"/>
        </w:rPr>
        <w:t>review</w:t>
      </w:r>
      <w:r w:rsidRPr="006F34CD" w:rsidR="00DB2609">
        <w:rPr>
          <w:rFonts w:eastAsiaTheme="minorEastAsia"/>
        </w:rPr>
        <w:t>ing</w:t>
      </w:r>
      <w:r w:rsidRPr="006F34CD">
        <w:rPr>
          <w:rFonts w:eastAsiaTheme="minorEastAsia"/>
        </w:rPr>
        <w:t xml:space="preserve"> the final judgments in the light of the Convention principles (see, among others, </w:t>
      </w:r>
      <w:r w:rsidRPr="006F34CD">
        <w:rPr>
          <w:rFonts w:eastAsiaTheme="minorEastAsia"/>
          <w:i/>
        </w:rPr>
        <w:t>Biblical Centre of the Chuvash Republic</w:t>
      </w:r>
      <w:r w:rsidRPr="006F34CD">
        <w:rPr>
          <w:rFonts w:eastAsiaTheme="minorEastAsia"/>
        </w:rPr>
        <w:t xml:space="preserve">, cited above, </w:t>
      </w:r>
      <w:r w:rsidRPr="006F34CD" w:rsidR="00F50F6F">
        <w:rPr>
          <w:rFonts w:eastAsiaTheme="minorEastAsia"/>
        </w:rPr>
        <w:t>§ 6</w:t>
      </w:r>
      <w:r w:rsidRPr="006F34CD">
        <w:rPr>
          <w:rFonts w:eastAsiaTheme="minorEastAsia"/>
        </w:rPr>
        <w:t xml:space="preserve">6). The Court considers that such a review would be the most appropriate means of </w:t>
      </w:r>
      <w:r w:rsidRPr="006F34CD" w:rsidR="00DB2609">
        <w:rPr>
          <w:rFonts w:eastAsiaTheme="minorEastAsia"/>
        </w:rPr>
        <w:t>mak</w:t>
      </w:r>
      <w:r w:rsidRPr="006F34CD" w:rsidR="00D076A1">
        <w:rPr>
          <w:rFonts w:eastAsiaTheme="minorEastAsia"/>
        </w:rPr>
        <w:t>ing</w:t>
      </w:r>
      <w:r w:rsidRPr="006F34CD" w:rsidR="00DB2609">
        <w:rPr>
          <w:rFonts w:eastAsiaTheme="minorEastAsia"/>
        </w:rPr>
        <w:t xml:space="preserve"> reparation for the consequences of the violations it has found and restoring the </w:t>
      </w:r>
      <w:r w:rsidRPr="006F34CD" w:rsidR="00DB2609">
        <w:rPr>
          <w:rFonts w:eastAsiaTheme="minorEastAsia"/>
          <w:i/>
          <w:iCs/>
        </w:rPr>
        <w:t>status quo ante</w:t>
      </w:r>
      <w:r w:rsidRPr="006F34CD" w:rsidR="00C940DF">
        <w:rPr>
          <w:rFonts w:eastAsiaTheme="minorEastAsia"/>
        </w:rPr>
        <w:t>, including the return of the confiscated properties to the applicants</w:t>
      </w:r>
      <w:r w:rsidRPr="006F34CD" w:rsidR="00DB2609">
        <w:rPr>
          <w:rFonts w:eastAsiaTheme="minorEastAsia"/>
        </w:rPr>
        <w:t xml:space="preserve">. </w:t>
      </w:r>
      <w:r w:rsidRPr="006F34CD" w:rsidR="00C9020D">
        <w:rPr>
          <w:rFonts w:eastAsiaTheme="minorEastAsia"/>
        </w:rPr>
        <w:t xml:space="preserve">Alternatively, should </w:t>
      </w:r>
      <w:r w:rsidRPr="006F34CD" w:rsidR="00C940DF">
        <w:rPr>
          <w:rFonts w:eastAsiaTheme="minorEastAsia"/>
        </w:rPr>
        <w:t>the return of the confiscated properties not be effected</w:t>
      </w:r>
      <w:r w:rsidRPr="006F34CD" w:rsidR="00C9020D">
        <w:rPr>
          <w:rFonts w:eastAsiaTheme="minorEastAsia"/>
        </w:rPr>
        <w:t xml:space="preserve"> within three months of the present judgment becoming final in accordance with </w:t>
      </w:r>
      <w:r w:rsidRPr="006F34CD" w:rsidR="008E2738">
        <w:rPr>
          <w:rFonts w:eastAsiaTheme="minorEastAsia"/>
        </w:rPr>
        <w:t>Article 4</w:t>
      </w:r>
      <w:r w:rsidRPr="006F34CD" w:rsidR="00C9020D">
        <w:rPr>
          <w:rFonts w:eastAsiaTheme="minorEastAsia"/>
        </w:rPr>
        <w:t xml:space="preserve">4 </w:t>
      </w:r>
      <w:r w:rsidRPr="006F34CD" w:rsidR="008E2738">
        <w:rPr>
          <w:rFonts w:eastAsiaTheme="minorEastAsia"/>
        </w:rPr>
        <w:t>§ 2</w:t>
      </w:r>
      <w:r w:rsidRPr="006F34CD" w:rsidR="00C9020D">
        <w:rPr>
          <w:rFonts w:eastAsiaTheme="minorEastAsia"/>
        </w:rPr>
        <w:t xml:space="preserve"> of the Convention, the respondent State is to pay</w:t>
      </w:r>
      <w:r w:rsidRPr="006F34CD" w:rsidR="00344A22">
        <w:rPr>
          <w:rFonts w:eastAsiaTheme="minorEastAsia"/>
        </w:rPr>
        <w:t>, in respect of pecuniary damage,</w:t>
      </w:r>
      <w:r w:rsidRPr="006F34CD" w:rsidR="00C9020D">
        <w:rPr>
          <w:rFonts w:eastAsiaTheme="minorEastAsia"/>
        </w:rPr>
        <w:t xml:space="preserve"> the </w:t>
      </w:r>
      <w:r w:rsidRPr="006F34CD" w:rsidR="00344A22">
        <w:t>amounts</w:t>
      </w:r>
      <w:r w:rsidRPr="006F34CD" w:rsidR="0000176D">
        <w:t xml:space="preserve"> specified</w:t>
      </w:r>
      <w:r w:rsidRPr="006F34CD" w:rsidR="00344A22">
        <w:t xml:space="preserve"> in Appendix II, plus any tax that may be chargeable on these amounts</w:t>
      </w:r>
      <w:r w:rsidRPr="006F34CD" w:rsidR="00C9020D">
        <w:rPr>
          <w:rFonts w:eastAsiaTheme="minorEastAsia"/>
        </w:rPr>
        <w:t>.</w:t>
      </w:r>
    </w:p>
    <w:p w:rsidRPr="006F34CD" w:rsidR="00F27848" w:rsidP="006F34CD" w:rsidRDefault="00F27848" w14:paraId="1BDE1E18" w14:textId="4841ED04">
      <w:pPr>
        <w:pStyle w:val="JuH1"/>
      </w:pPr>
      <w:bookmarkStart w:name="_Toc97302006" w:id="243"/>
      <w:r w:rsidRPr="006F34CD">
        <w:t>Non-pecuniary damage</w:t>
      </w:r>
      <w:bookmarkEnd w:id="243"/>
    </w:p>
    <w:p w:rsidRPr="006F34CD" w:rsidR="00F27848" w:rsidP="006F34CD" w:rsidRDefault="00F27848" w14:paraId="33352D07" w14:textId="6FC86FA7">
      <w:pPr>
        <w:pStyle w:val="JuPara"/>
      </w:pPr>
      <w:r w:rsidRPr="006F34CD">
        <w:fldChar w:fldCharType="begin"/>
      </w:r>
      <w:r w:rsidRPr="006F34CD">
        <w:instrText xml:space="preserve"> SEQ level0 \*arabic </w:instrText>
      </w:r>
      <w:r w:rsidRPr="006F34CD">
        <w:fldChar w:fldCharType="separate"/>
      </w:r>
      <w:r w:rsidRPr="006F34CD" w:rsidR="006F34CD">
        <w:rPr>
          <w:noProof/>
        </w:rPr>
        <w:t>298</w:t>
      </w:r>
      <w:r w:rsidRPr="006F34CD">
        <w:fldChar w:fldCharType="end"/>
      </w:r>
      <w:r w:rsidRPr="006F34CD">
        <w:t>.</w:t>
      </w:r>
      <w:r w:rsidRPr="006F34CD" w:rsidR="001370AA">
        <w:t>  </w:t>
      </w:r>
      <w:r w:rsidRPr="006F34CD" w:rsidR="00662AE5">
        <w:t xml:space="preserve">The applicants claimed: </w:t>
      </w:r>
      <w:r w:rsidRPr="006F34CD" w:rsidR="001370AA">
        <w:t>EUR 2</w:t>
      </w:r>
      <w:r w:rsidRPr="006F34CD">
        <w:t xml:space="preserve">0,000 </w:t>
      </w:r>
      <w:r w:rsidRPr="006F34CD" w:rsidR="00B46164">
        <w:t>to</w:t>
      </w:r>
      <w:r w:rsidRPr="006F34CD" w:rsidR="00662AE5">
        <w:t xml:space="preserve"> the Taganrog LRO and the Administrative Centre </w:t>
      </w:r>
      <w:r w:rsidRPr="006F34CD">
        <w:t xml:space="preserve">and </w:t>
      </w:r>
      <w:r w:rsidRPr="006F34CD" w:rsidR="001370AA">
        <w:t>EUR 2</w:t>
      </w:r>
      <w:r w:rsidRPr="006F34CD">
        <w:t xml:space="preserve">50 </w:t>
      </w:r>
      <w:r w:rsidRPr="006F34CD" w:rsidR="00B46164">
        <w:t>to</w:t>
      </w:r>
      <w:r w:rsidRPr="006F34CD">
        <w:t xml:space="preserve"> each individual </w:t>
      </w:r>
      <w:r w:rsidRPr="006F34CD" w:rsidR="00662AE5">
        <w:t xml:space="preserve">applicant in the case of </w:t>
      </w:r>
      <w:r w:rsidRPr="006F34CD" w:rsidR="00B46164">
        <w:t xml:space="preserve">the </w:t>
      </w:r>
      <w:r w:rsidRPr="006F34CD" w:rsidR="00662AE5">
        <w:t xml:space="preserve">Taganrog LRO; </w:t>
      </w:r>
      <w:r w:rsidRPr="006F34CD" w:rsidR="00F50F6F">
        <w:t>EUR 5</w:t>
      </w:r>
      <w:r w:rsidRPr="006F34CD" w:rsidR="00662AE5">
        <w:t xml:space="preserve">,000 to the Gorno-Altaysk LRO, </w:t>
      </w:r>
      <w:r w:rsidRPr="006F34CD" w:rsidR="00F50F6F">
        <w:t>EUR 2</w:t>
      </w:r>
      <w:r w:rsidRPr="006F34CD" w:rsidR="00662AE5">
        <w:t>50 to each member of its congregation and EUR 20,000 to the Administrative Centre and two publishers of the Jehovah</w:t>
      </w:r>
      <w:r w:rsidRPr="006F34CD" w:rsidR="006F34CD">
        <w:t>’</w:t>
      </w:r>
      <w:r w:rsidRPr="006F34CD" w:rsidR="00662AE5">
        <w:t>s Witnesses</w:t>
      </w:r>
      <w:r w:rsidRPr="006F34CD" w:rsidR="006F34CD">
        <w:t>’</w:t>
      </w:r>
      <w:r w:rsidRPr="006F34CD" w:rsidR="00662AE5">
        <w:t xml:space="preserve"> literature; </w:t>
      </w:r>
      <w:r w:rsidRPr="006F34CD" w:rsidR="00F50F6F">
        <w:t>EUR 3</w:t>
      </w:r>
      <w:r w:rsidRPr="006F34CD" w:rsidR="00662AE5">
        <w:t xml:space="preserve">0,000 to the Samara LRO; </w:t>
      </w:r>
      <w:r w:rsidRPr="006F34CD" w:rsidR="00F50F6F">
        <w:t>EUR 1</w:t>
      </w:r>
      <w:r w:rsidRPr="006F34CD" w:rsidR="00662AE5">
        <w:t xml:space="preserve">0,000 to </w:t>
      </w:r>
      <w:r w:rsidRPr="006F34CD" w:rsidR="00F50F6F">
        <w:t>Mr A</w:t>
      </w:r>
      <w:r w:rsidRPr="006F34CD" w:rsidR="00662AE5">
        <w:t xml:space="preserve">liyev; </w:t>
      </w:r>
      <w:r w:rsidRPr="006F34CD" w:rsidR="001370AA">
        <w:t>EUR 1</w:t>
      </w:r>
      <w:r w:rsidRPr="006F34CD">
        <w:t xml:space="preserve">00,000 </w:t>
      </w:r>
      <w:r w:rsidRPr="006F34CD" w:rsidR="00662AE5">
        <w:t>each to the publisher and distributor of the Jehovah</w:t>
      </w:r>
      <w:r w:rsidRPr="006F34CD" w:rsidR="006F34CD">
        <w:t>’</w:t>
      </w:r>
      <w:r w:rsidRPr="006F34CD" w:rsidR="00662AE5">
        <w:t>s Witnesses</w:t>
      </w:r>
      <w:r w:rsidRPr="006F34CD" w:rsidR="006F34CD">
        <w:t>’</w:t>
      </w:r>
      <w:r w:rsidRPr="006F34CD" w:rsidR="00662AE5">
        <w:t xml:space="preserve"> publications in the case concerning the withdrawal of the distribution permit; </w:t>
      </w:r>
      <w:r w:rsidRPr="006F34CD" w:rsidR="00F50F6F">
        <w:t>EUR 2</w:t>
      </w:r>
      <w:r w:rsidRPr="006F34CD" w:rsidR="00662AE5">
        <w:t xml:space="preserve">5,000 each to Watchtower New York and the Administrative Centre and </w:t>
      </w:r>
      <w:r w:rsidRPr="006F34CD" w:rsidR="00F50F6F">
        <w:t>EUR 1</w:t>
      </w:r>
      <w:r w:rsidRPr="006F34CD" w:rsidR="00662AE5">
        <w:t xml:space="preserve">0,000 to the individual applicants in the case concerning the declaration of the website extremist; </w:t>
      </w:r>
      <w:r w:rsidRPr="006F34CD" w:rsidR="00F50F6F">
        <w:t>EUR 1</w:t>
      </w:r>
      <w:r w:rsidRPr="006F34CD" w:rsidR="00662AE5">
        <w:t xml:space="preserve">5,000 to each applicant in the case concerning </w:t>
      </w:r>
      <w:r w:rsidRPr="006F34CD" w:rsidR="00B46164">
        <w:t xml:space="preserve">the </w:t>
      </w:r>
      <w:r w:rsidRPr="006F34CD" w:rsidR="00662AE5">
        <w:t xml:space="preserve">criminal </w:t>
      </w:r>
      <w:r w:rsidRPr="006F34CD" w:rsidR="00B46164">
        <w:t>conviction of</w:t>
      </w:r>
      <w:r w:rsidRPr="006F34CD" w:rsidR="00662AE5">
        <w:t xml:space="preserve"> Jehovah</w:t>
      </w:r>
      <w:r w:rsidRPr="006F34CD" w:rsidR="006F34CD">
        <w:t>’</w:t>
      </w:r>
      <w:r w:rsidRPr="006F34CD" w:rsidR="00662AE5">
        <w:t>s Witnesses</w:t>
      </w:r>
      <w:r w:rsidRPr="006F34CD" w:rsidR="00FC3671">
        <w:t xml:space="preserve"> in Taganrog; </w:t>
      </w:r>
      <w:r w:rsidRPr="006F34CD" w:rsidR="00BC0864">
        <w:t>EUR 1</w:t>
      </w:r>
      <w:r w:rsidRPr="006F34CD" w:rsidR="00FC3671">
        <w:t xml:space="preserve">15,000 to </w:t>
      </w:r>
      <w:r w:rsidRPr="006F34CD" w:rsidR="00BC0864">
        <w:t>Mr C</w:t>
      </w:r>
      <w:r w:rsidRPr="006F34CD" w:rsidR="00FC3671">
        <w:t>hristensen</w:t>
      </w:r>
      <w:r w:rsidRPr="006F34CD" w:rsidR="00662AE5">
        <w:t xml:space="preserve">; </w:t>
      </w:r>
      <w:r w:rsidRPr="006F34CD" w:rsidR="00F50F6F">
        <w:t>EUR 2</w:t>
      </w:r>
      <w:r w:rsidRPr="006F34CD" w:rsidR="00AE252A">
        <w:t>50,000</w:t>
      </w:r>
      <w:r w:rsidRPr="006F34CD" w:rsidR="00662AE5">
        <w:t xml:space="preserve"> to the Administrative Centre and </w:t>
      </w:r>
      <w:r w:rsidRPr="006F34CD" w:rsidR="00F50F6F">
        <w:t>EUR 3</w:t>
      </w:r>
      <w:r w:rsidRPr="006F34CD">
        <w:t xml:space="preserve">0,000 to each </w:t>
      </w:r>
      <w:r w:rsidRPr="006F34CD" w:rsidR="00406F2F">
        <w:t>LRO</w:t>
      </w:r>
      <w:r w:rsidRPr="006F34CD" w:rsidR="00662AE5">
        <w:t xml:space="preserve"> in the cases concerning their forced dissolution.</w:t>
      </w:r>
    </w:p>
    <w:p w:rsidRPr="006F34CD" w:rsidR="00F27848" w:rsidP="006F34CD" w:rsidRDefault="00F27848" w14:paraId="1A0D22C3" w14:textId="48E5CD7D">
      <w:pPr>
        <w:pStyle w:val="JuPara"/>
      </w:pPr>
      <w:r w:rsidRPr="006F34CD">
        <w:fldChar w:fldCharType="begin"/>
      </w:r>
      <w:r w:rsidRPr="006F34CD">
        <w:instrText xml:space="preserve"> SEQ level0 \*arabic </w:instrText>
      </w:r>
      <w:r w:rsidRPr="006F34CD">
        <w:fldChar w:fldCharType="separate"/>
      </w:r>
      <w:r w:rsidRPr="006F34CD" w:rsidR="006F34CD">
        <w:rPr>
          <w:noProof/>
        </w:rPr>
        <w:t>299</w:t>
      </w:r>
      <w:r w:rsidRPr="006F34CD">
        <w:fldChar w:fldCharType="end"/>
      </w:r>
      <w:r w:rsidRPr="006F34CD">
        <w:t>.</w:t>
      </w:r>
      <w:r w:rsidRPr="006F34CD" w:rsidR="001370AA">
        <w:t>  </w:t>
      </w:r>
      <w:r w:rsidRPr="006F34CD">
        <w:t xml:space="preserve">The Government submitted that </w:t>
      </w:r>
      <w:r w:rsidRPr="006F34CD" w:rsidR="008C5164">
        <w:t xml:space="preserve">the claims were excessive and that </w:t>
      </w:r>
      <w:r w:rsidRPr="006F34CD">
        <w:t>the finding of a violation</w:t>
      </w:r>
      <w:r w:rsidRPr="006F34CD" w:rsidR="008C5164">
        <w:t>,</w:t>
      </w:r>
      <w:r w:rsidRPr="006F34CD">
        <w:t xml:space="preserve"> if any</w:t>
      </w:r>
      <w:r w:rsidRPr="006F34CD" w:rsidR="008C5164">
        <w:t>,</w:t>
      </w:r>
      <w:r w:rsidRPr="006F34CD">
        <w:t xml:space="preserve"> </w:t>
      </w:r>
      <w:r w:rsidRPr="006F34CD" w:rsidR="008C5164">
        <w:t>w</w:t>
      </w:r>
      <w:r w:rsidRPr="006F34CD">
        <w:t>ould constitute sufficient just satisfaction.</w:t>
      </w:r>
    </w:p>
    <w:p w:rsidRPr="006F34CD" w:rsidR="00F27848" w:rsidP="006F34CD" w:rsidRDefault="00F27848" w14:paraId="04FB55AE" w14:textId="72777FAE">
      <w:pPr>
        <w:pStyle w:val="JuPara"/>
      </w:pPr>
      <w:r w:rsidRPr="006F34CD">
        <w:fldChar w:fldCharType="begin"/>
      </w:r>
      <w:r w:rsidRPr="006F34CD">
        <w:instrText xml:space="preserve"> SEQ level0 \*arabic </w:instrText>
      </w:r>
      <w:r w:rsidRPr="006F34CD">
        <w:fldChar w:fldCharType="separate"/>
      </w:r>
      <w:r w:rsidRPr="006F34CD" w:rsidR="006F34CD">
        <w:rPr>
          <w:noProof/>
        </w:rPr>
        <w:t>300</w:t>
      </w:r>
      <w:r w:rsidRPr="006F34CD">
        <w:fldChar w:fldCharType="end"/>
      </w:r>
      <w:r w:rsidRPr="006F34CD">
        <w:t>.</w:t>
      </w:r>
      <w:r w:rsidRPr="006F34CD" w:rsidR="001370AA">
        <w:t>  </w:t>
      </w:r>
      <w:r w:rsidRPr="006F34CD">
        <w:t xml:space="preserve">The Court awards </w:t>
      </w:r>
      <w:r w:rsidRPr="006F34CD" w:rsidR="00523DC0">
        <w:t>EUR 1</w:t>
      </w:r>
      <w:r w:rsidRPr="006F34CD" w:rsidR="008E2738">
        <w:t>5,000</w:t>
      </w:r>
      <w:r w:rsidRPr="006F34CD" w:rsidR="00294067">
        <w:t xml:space="preserve"> </w:t>
      </w:r>
      <w:r w:rsidRPr="006F34CD" w:rsidR="00956B7A">
        <w:t xml:space="preserve">each or such smaller amount as was actually claimed </w:t>
      </w:r>
      <w:r w:rsidRPr="006F34CD" w:rsidR="00294067">
        <w:t xml:space="preserve">to the </w:t>
      </w:r>
      <w:r w:rsidRPr="006F34CD" w:rsidR="00A558CB">
        <w:t xml:space="preserve">individual </w:t>
      </w:r>
      <w:r w:rsidRPr="006F34CD" w:rsidR="00294067">
        <w:t>applicants</w:t>
      </w:r>
      <w:r w:rsidRPr="006F34CD" w:rsidR="004945B3">
        <w:t xml:space="preserve"> who were convicted in criminal proceedings</w:t>
      </w:r>
      <w:r w:rsidRPr="006F34CD" w:rsidR="00294067">
        <w:t xml:space="preserve">; </w:t>
      </w:r>
      <w:r w:rsidRPr="006F34CD" w:rsidR="00F50F6F">
        <w:t>EUR </w:t>
      </w:r>
      <w:r w:rsidRPr="006F34CD" w:rsidR="008E2738">
        <w:t>7,500</w:t>
      </w:r>
      <w:r w:rsidRPr="006F34CD" w:rsidR="00294067">
        <w:t xml:space="preserve"> </w:t>
      </w:r>
      <w:r w:rsidRPr="006F34CD" w:rsidR="00956B7A">
        <w:t xml:space="preserve">each or such smaller amount as was actually claimed </w:t>
      </w:r>
      <w:r w:rsidRPr="006F34CD" w:rsidR="00294067">
        <w:t xml:space="preserve">to the </w:t>
      </w:r>
      <w:r w:rsidRPr="006F34CD" w:rsidR="004945B3">
        <w:t xml:space="preserve">liquidated or banned </w:t>
      </w:r>
      <w:r w:rsidRPr="006F34CD" w:rsidR="00294067">
        <w:t xml:space="preserve">applicant organisations and congregations </w:t>
      </w:r>
      <w:r w:rsidRPr="006F34CD" w:rsidR="00F00433">
        <w:t>and to the applicants who were convicted in administrative proceedings</w:t>
      </w:r>
      <w:r w:rsidRPr="006F34CD" w:rsidR="00294067">
        <w:t xml:space="preserve">; </w:t>
      </w:r>
      <w:r w:rsidRPr="006F34CD" w:rsidR="004945B3">
        <w:t xml:space="preserve">and </w:t>
      </w:r>
      <w:r w:rsidRPr="006F34CD" w:rsidR="00294067">
        <w:t>EUR</w:t>
      </w:r>
      <w:r w:rsidRPr="006F34CD" w:rsidR="004945B3">
        <w:t> </w:t>
      </w:r>
      <w:r w:rsidRPr="006F34CD" w:rsidR="008E2738">
        <w:t>1,000</w:t>
      </w:r>
      <w:r w:rsidRPr="006F34CD" w:rsidR="00294067">
        <w:t xml:space="preserve"> each </w:t>
      </w:r>
      <w:r w:rsidRPr="006F34CD" w:rsidR="00881905">
        <w:t xml:space="preserve">or such smaller amount as was actually claimed </w:t>
      </w:r>
      <w:r w:rsidRPr="006F34CD" w:rsidR="00294067">
        <w:t xml:space="preserve">to the other applicants, </w:t>
      </w:r>
      <w:r w:rsidRPr="006F34CD">
        <w:t>in respect of non-pecuniary damage</w:t>
      </w:r>
      <w:r w:rsidRPr="006F34CD" w:rsidR="00294067">
        <w:t>, plus any tax that may be chargeable</w:t>
      </w:r>
      <w:r w:rsidRPr="006F34CD" w:rsidR="00956B7A">
        <w:t xml:space="preserve"> (see </w:t>
      </w:r>
      <w:r w:rsidRPr="006F34CD" w:rsidR="003179D7">
        <w:t>Appendix I</w:t>
      </w:r>
      <w:r w:rsidRPr="006F34CD" w:rsidR="00956B7A">
        <w:t>I for the amounts awarded)</w:t>
      </w:r>
      <w:r w:rsidRPr="006F34CD" w:rsidR="00294067">
        <w:t>.</w:t>
      </w:r>
    </w:p>
    <w:p w:rsidRPr="006F34CD" w:rsidR="00956B7A" w:rsidP="006F34CD" w:rsidRDefault="00956B7A" w14:paraId="0C44512A" w14:textId="259D1952">
      <w:pPr>
        <w:pStyle w:val="JuH1"/>
      </w:pPr>
      <w:bookmarkStart w:name="_Toc97302007" w:id="244"/>
      <w:r w:rsidRPr="006F34CD">
        <w:t>Punitive damages</w:t>
      </w:r>
      <w:bookmarkEnd w:id="244"/>
    </w:p>
    <w:p w:rsidRPr="006F34CD" w:rsidR="00587DCF" w:rsidP="006F34CD" w:rsidRDefault="00CB6108" w14:paraId="7E1641AE" w14:textId="0ABD0121">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301</w:t>
      </w:r>
      <w:r>
        <w:rPr>
          <w:noProof/>
        </w:rPr>
        <w:fldChar w:fldCharType="end"/>
      </w:r>
      <w:r w:rsidRPr="006F34CD" w:rsidR="00956B7A">
        <w:t>.  Some applicants also claimed punitive damages to reflect the particular character of the violations they suffered and to serve as a deterrent in respect of violations of a similar nature by the respondent State.</w:t>
      </w:r>
    </w:p>
    <w:p w:rsidRPr="006F34CD" w:rsidR="00956B7A" w:rsidP="006F34CD" w:rsidRDefault="00CB6108" w14:paraId="16E1144A" w14:textId="765EB63A">
      <w:pPr>
        <w:pStyle w:val="JuPara"/>
      </w:pPr>
      <w:r>
        <w:rPr>
          <w:noProof/>
        </w:rPr>
        <w:fldChar w:fldCharType="begin"/>
      </w:r>
      <w:r>
        <w:rPr>
          <w:noProof/>
        </w:rPr>
        <w:instrText xml:space="preserve"> SEQ level0 \*arabic \* MERGEFORMAT </w:instrText>
      </w:r>
      <w:r>
        <w:rPr>
          <w:noProof/>
        </w:rPr>
        <w:fldChar w:fldCharType="separate"/>
      </w:r>
      <w:r w:rsidRPr="006F34CD" w:rsidR="006F34CD">
        <w:rPr>
          <w:noProof/>
        </w:rPr>
        <w:t>302</w:t>
      </w:r>
      <w:r>
        <w:rPr>
          <w:noProof/>
        </w:rPr>
        <w:fldChar w:fldCharType="end"/>
      </w:r>
      <w:r w:rsidRPr="006F34CD" w:rsidR="00956B7A">
        <w:t xml:space="preserve">.  The Court has declined to award “punitive damages” in the past (see </w:t>
      </w:r>
      <w:r w:rsidRPr="006F34CD" w:rsidR="008E2738">
        <w:rPr>
          <w:i/>
        </w:rPr>
        <w:t>Carter</w:t>
      </w:r>
      <w:r w:rsidRPr="006F34CD" w:rsidR="00523DC0">
        <w:rPr>
          <w:i/>
        </w:rPr>
        <w:t xml:space="preserve"> v. R</w:t>
      </w:r>
      <w:r w:rsidRPr="006F34CD" w:rsidR="008E2738">
        <w:rPr>
          <w:i/>
        </w:rPr>
        <w:t>ussia</w:t>
      </w:r>
      <w:r w:rsidRPr="006F34CD" w:rsidR="008E2738">
        <w:t>, no. 20914/07, § 180, 21 September 2021</w:t>
      </w:r>
      <w:r w:rsidRPr="006F34CD" w:rsidR="00956B7A">
        <w:t xml:space="preserve">) and finds no reason to depart from </w:t>
      </w:r>
      <w:r w:rsidRPr="006F34CD" w:rsidR="006A5E15">
        <w:t>its</w:t>
      </w:r>
      <w:r w:rsidRPr="006F34CD" w:rsidR="00956B7A">
        <w:t xml:space="preserve"> established case-law.</w:t>
      </w:r>
      <w:r w:rsidRPr="006F34CD" w:rsidR="006A5E15">
        <w:t xml:space="preserve"> It rejects the claims</w:t>
      </w:r>
      <w:r w:rsidRPr="006F34CD" w:rsidR="00372307">
        <w:t xml:space="preserve"> under this head</w:t>
      </w:r>
      <w:r w:rsidRPr="006F34CD" w:rsidR="006A5E15">
        <w:t>.</w:t>
      </w:r>
    </w:p>
    <w:p w:rsidRPr="006F34CD" w:rsidR="00F27848" w:rsidP="006F34CD" w:rsidRDefault="00F27848" w14:paraId="3912A896" w14:textId="77777777">
      <w:pPr>
        <w:pStyle w:val="JuH1"/>
      </w:pPr>
      <w:bookmarkStart w:name="_Toc97302008" w:id="245"/>
      <w:r w:rsidRPr="006F34CD">
        <w:t>Costs and expenses</w:t>
      </w:r>
      <w:bookmarkEnd w:id="245"/>
    </w:p>
    <w:p w:rsidRPr="006F34CD" w:rsidR="00F27848" w:rsidP="006F34CD" w:rsidRDefault="00F27848" w14:paraId="1BDA5B0F" w14:textId="28E777C8">
      <w:pPr>
        <w:pStyle w:val="JuPara"/>
      </w:pPr>
      <w:r w:rsidRPr="006F34CD">
        <w:fldChar w:fldCharType="begin"/>
      </w:r>
      <w:r w:rsidRPr="006F34CD">
        <w:instrText xml:space="preserve"> SEQ level0 \*arabic </w:instrText>
      </w:r>
      <w:r w:rsidRPr="006F34CD">
        <w:fldChar w:fldCharType="separate"/>
      </w:r>
      <w:r w:rsidRPr="006F34CD" w:rsidR="006F34CD">
        <w:rPr>
          <w:noProof/>
        </w:rPr>
        <w:t>303</w:t>
      </w:r>
      <w:r w:rsidRPr="006F34CD">
        <w:fldChar w:fldCharType="end"/>
      </w:r>
      <w:r w:rsidRPr="006F34CD">
        <w:t>.</w:t>
      </w:r>
      <w:r w:rsidRPr="006F34CD" w:rsidR="001370AA">
        <w:t>  </w:t>
      </w:r>
      <w:r w:rsidRPr="006F34CD" w:rsidR="004945B3">
        <w:t xml:space="preserve">The applicants claimed: </w:t>
      </w:r>
      <w:r w:rsidRPr="006F34CD" w:rsidR="001370AA">
        <w:t>EUR 9</w:t>
      </w:r>
      <w:r w:rsidRPr="006F34CD">
        <w:t>,000 for the work of their representatives before the Court</w:t>
      </w:r>
      <w:r w:rsidRPr="006F34CD" w:rsidR="004945B3">
        <w:t xml:space="preserve"> in the case of Taganrog LRO</w:t>
      </w:r>
      <w:r w:rsidRPr="006F34CD">
        <w:t>;</w:t>
      </w:r>
      <w:r w:rsidRPr="006F34CD" w:rsidR="004945B3">
        <w:t xml:space="preserve"> </w:t>
      </w:r>
      <w:r w:rsidRPr="006F34CD" w:rsidR="001370AA">
        <w:t>EUR 4</w:t>
      </w:r>
      <w:r w:rsidRPr="006F34CD">
        <w:t>,483</w:t>
      </w:r>
      <w:r w:rsidRPr="006F34CD" w:rsidR="00DF1CED">
        <w:t xml:space="preserve"> and EUR 4,500 </w:t>
      </w:r>
      <w:r w:rsidRPr="006F34CD">
        <w:t xml:space="preserve">for the </w:t>
      </w:r>
      <w:r w:rsidRPr="006F34CD" w:rsidR="004945B3">
        <w:t xml:space="preserve">work </w:t>
      </w:r>
      <w:r w:rsidRPr="006F34CD">
        <w:t xml:space="preserve">in the domestic </w:t>
      </w:r>
      <w:r w:rsidRPr="006F34CD" w:rsidR="00DF1CED">
        <w:t xml:space="preserve">and Strasbourg </w:t>
      </w:r>
      <w:r w:rsidRPr="006F34CD">
        <w:t>proceedings</w:t>
      </w:r>
      <w:r w:rsidRPr="006F34CD" w:rsidR="00DF1CED">
        <w:t xml:space="preserve"> respectively </w:t>
      </w:r>
      <w:r w:rsidRPr="006F34CD" w:rsidR="004945B3">
        <w:t>in the case of Samara LRO</w:t>
      </w:r>
      <w:r w:rsidRPr="006F34CD">
        <w:t>;</w:t>
      </w:r>
      <w:r w:rsidRPr="006F34CD" w:rsidR="004945B3">
        <w:t xml:space="preserve"> </w:t>
      </w:r>
      <w:r w:rsidRPr="006F34CD" w:rsidR="00F50F6F">
        <w:t>EUR 9</w:t>
      </w:r>
      <w:r w:rsidRPr="006F34CD" w:rsidR="00DF1CED">
        <w:t xml:space="preserve">,000 in the case of the Gorno-Altaysk LRO; </w:t>
      </w:r>
      <w:r w:rsidRPr="006F34CD" w:rsidR="00F50F6F">
        <w:t>EUR 3</w:t>
      </w:r>
      <w:r w:rsidRPr="006F34CD" w:rsidR="00DF1CED">
        <w:t xml:space="preserve">,500 in the case of </w:t>
      </w:r>
      <w:r w:rsidRPr="006F34CD" w:rsidR="00F50F6F">
        <w:t>Mr </w:t>
      </w:r>
      <w:r w:rsidRPr="006F34CD" w:rsidR="00F50F6F">
        <w:rPr>
          <w:lang w:val="en-US"/>
        </w:rPr>
        <w:t>A</w:t>
      </w:r>
      <w:r w:rsidRPr="006F34CD" w:rsidR="00DF1CED">
        <w:rPr>
          <w:lang w:val="en-US"/>
        </w:rPr>
        <w:t xml:space="preserve">liyev; </w:t>
      </w:r>
      <w:r w:rsidRPr="006F34CD" w:rsidR="00F50F6F">
        <w:t>EUR 2</w:t>
      </w:r>
      <w:r w:rsidRPr="006F34CD" w:rsidR="00DF1CED">
        <w:t xml:space="preserve">2,000 in the case concerning the withdrawal of the distribution permit; </w:t>
      </w:r>
      <w:r w:rsidRPr="006F34CD" w:rsidR="00F50F6F">
        <w:t>EUR 4</w:t>
      </w:r>
      <w:r w:rsidRPr="006F34CD" w:rsidR="00DF1CED">
        <w:t xml:space="preserve">,500 in the case concerning the banning of the website; </w:t>
      </w:r>
      <w:r w:rsidRPr="006F34CD" w:rsidR="001370AA">
        <w:t>EUR 9</w:t>
      </w:r>
      <w:r w:rsidRPr="006F34CD">
        <w:t xml:space="preserve">1,078 for the defence </w:t>
      </w:r>
      <w:r w:rsidRPr="006F34CD" w:rsidR="00DF1CED">
        <w:t xml:space="preserve">of </w:t>
      </w:r>
      <w:r w:rsidRPr="006F34CD" w:rsidR="00F50F6F">
        <w:t>Mr T</w:t>
      </w:r>
      <w:r w:rsidRPr="006F34CD" w:rsidR="00DF1CED">
        <w:t xml:space="preserve">rotsyuk and other applicants </w:t>
      </w:r>
      <w:r w:rsidRPr="006F34CD">
        <w:t>by a team of eight lawyers on 158 court days over a four-year trial</w:t>
      </w:r>
      <w:r w:rsidRPr="006F34CD" w:rsidR="00DF1CED">
        <w:t xml:space="preserve"> and</w:t>
      </w:r>
      <w:r w:rsidRPr="006F34CD">
        <w:t xml:space="preserve"> </w:t>
      </w:r>
      <w:r w:rsidRPr="006F34CD" w:rsidR="001370AA">
        <w:t>EUR 4</w:t>
      </w:r>
      <w:r w:rsidRPr="006F34CD">
        <w:t xml:space="preserve">,500 </w:t>
      </w:r>
      <w:r w:rsidRPr="006F34CD" w:rsidR="00DF1CED">
        <w:t xml:space="preserve">for their representation </w:t>
      </w:r>
      <w:r w:rsidRPr="006F34CD">
        <w:t>before the Cour</w:t>
      </w:r>
      <w:r w:rsidRPr="006F34CD" w:rsidR="00DF1CED">
        <w:t xml:space="preserve">t; </w:t>
      </w:r>
      <w:r w:rsidRPr="006F34CD" w:rsidR="00BC0864">
        <w:t>EUR 4</w:t>
      </w:r>
      <w:r w:rsidRPr="006F34CD" w:rsidR="00FC3671">
        <w:t xml:space="preserve">8,450 for </w:t>
      </w:r>
      <w:r w:rsidRPr="006F34CD" w:rsidR="00BC0864">
        <w:t>Mr C</w:t>
      </w:r>
      <w:r w:rsidRPr="006F34CD" w:rsidR="00FC3671">
        <w:t>hristensen</w:t>
      </w:r>
      <w:r w:rsidRPr="006F34CD" w:rsidR="006F34CD">
        <w:t>’</w:t>
      </w:r>
      <w:r w:rsidRPr="006F34CD" w:rsidR="00FC3671">
        <w:t xml:space="preserve">s representation in the domestic and Strasbourg proceedings; </w:t>
      </w:r>
      <w:r w:rsidRPr="006F34CD" w:rsidR="00DF1CED">
        <w:t xml:space="preserve">and a total of </w:t>
      </w:r>
      <w:r w:rsidRPr="006F34CD" w:rsidR="00F50F6F">
        <w:t>EUR 3</w:t>
      </w:r>
      <w:r w:rsidRPr="006F34CD" w:rsidR="00DF1CED">
        <w:t xml:space="preserve">5,190 for the work in the cases concerning the dissolution of the Administrative Centre and </w:t>
      </w:r>
      <w:r w:rsidRPr="006F34CD" w:rsidR="00984C2D">
        <w:t>LROs</w:t>
      </w:r>
      <w:r w:rsidRPr="006F34CD" w:rsidR="00DF1CED">
        <w:t>.</w:t>
      </w:r>
    </w:p>
    <w:p w:rsidRPr="006F34CD" w:rsidR="00F27848" w:rsidP="006F34CD" w:rsidRDefault="00F27848" w14:paraId="22E41CC0" w14:textId="072E1E9B">
      <w:pPr>
        <w:pStyle w:val="JuPara"/>
      </w:pPr>
      <w:r w:rsidRPr="006F34CD">
        <w:fldChar w:fldCharType="begin"/>
      </w:r>
      <w:r w:rsidRPr="006F34CD">
        <w:instrText xml:space="preserve"> SEQ level0 \*arabic </w:instrText>
      </w:r>
      <w:r w:rsidRPr="006F34CD">
        <w:fldChar w:fldCharType="separate"/>
      </w:r>
      <w:r w:rsidRPr="006F34CD" w:rsidR="006F34CD">
        <w:rPr>
          <w:noProof/>
        </w:rPr>
        <w:t>304</w:t>
      </w:r>
      <w:r w:rsidRPr="006F34CD">
        <w:fldChar w:fldCharType="end"/>
      </w:r>
      <w:r w:rsidRPr="006F34CD">
        <w:t>.</w:t>
      </w:r>
      <w:r w:rsidRPr="006F34CD" w:rsidR="001370AA">
        <w:t>  </w:t>
      </w:r>
      <w:r w:rsidRPr="006F34CD">
        <w:t>The Government submitted that the amounts claimed for costs and expenses were excessive and that evidence of disbursements had not been provided.</w:t>
      </w:r>
    </w:p>
    <w:p w:rsidRPr="006F34CD" w:rsidR="00587DCF" w:rsidP="006F34CD" w:rsidRDefault="00F27848" w14:paraId="2F0D017C" w14:textId="07DDC95F">
      <w:pPr>
        <w:pStyle w:val="JuPara"/>
      </w:pPr>
      <w:r w:rsidRPr="006F34CD">
        <w:fldChar w:fldCharType="begin"/>
      </w:r>
      <w:r w:rsidRPr="006F34CD">
        <w:instrText xml:space="preserve"> SEQ level0 \*arabic </w:instrText>
      </w:r>
      <w:r w:rsidRPr="006F34CD">
        <w:fldChar w:fldCharType="separate"/>
      </w:r>
      <w:r w:rsidRPr="006F34CD" w:rsidR="006F34CD">
        <w:rPr>
          <w:noProof/>
        </w:rPr>
        <w:t>305</w:t>
      </w:r>
      <w:r w:rsidRPr="006F34CD">
        <w:fldChar w:fldCharType="end"/>
      </w:r>
      <w:r w:rsidRPr="006F34CD">
        <w:t>.</w:t>
      </w:r>
      <w:r w:rsidRPr="006F34CD" w:rsidR="001370AA">
        <w:t>  </w:t>
      </w:r>
      <w:r w:rsidRPr="006F34CD">
        <w:t>According to the Court</w:t>
      </w:r>
      <w:r w:rsidRPr="006F34CD" w:rsidR="006F34CD">
        <w:t>’</w:t>
      </w:r>
      <w:r w:rsidRPr="006F34CD">
        <w:t>s case-law, an applicant is entitled to the reimbursement of costs and expenses only in so far as it has been shown that these have been actually and necessarily incurred and are reasonable as to quantum.</w:t>
      </w:r>
      <w:r w:rsidRPr="006F34CD" w:rsidR="001370AA">
        <w:t xml:space="preserve"> </w:t>
      </w:r>
      <w:r w:rsidRPr="006F34CD" w:rsidR="004945B3">
        <w:t>The dissolution</w:t>
      </w:r>
      <w:r w:rsidRPr="006F34CD" w:rsidR="00AE7009">
        <w:t xml:space="preserve">, administrative and criminal </w:t>
      </w:r>
      <w:r w:rsidRPr="006F34CD" w:rsidR="004945B3">
        <w:t xml:space="preserve">proceedings </w:t>
      </w:r>
      <w:r w:rsidRPr="006F34CD" w:rsidR="00AE7009">
        <w:t>initiated</w:t>
      </w:r>
      <w:r w:rsidRPr="006F34CD" w:rsidR="004945B3">
        <w:t xml:space="preserve"> by the Russian authorities </w:t>
      </w:r>
      <w:r w:rsidRPr="006F34CD" w:rsidR="00AE7009">
        <w:t>to suppress</w:t>
      </w:r>
      <w:r w:rsidRPr="006F34CD" w:rsidR="004945B3">
        <w:t xml:space="preserve"> the activities of the </w:t>
      </w:r>
      <w:r w:rsidRPr="006F34CD" w:rsidR="00AE7009">
        <w:t>Jehovah</w:t>
      </w:r>
      <w:r w:rsidRPr="006F34CD" w:rsidR="006F34CD">
        <w:t>’</w:t>
      </w:r>
      <w:r w:rsidRPr="006F34CD" w:rsidR="00AE7009">
        <w:t xml:space="preserve">s Witnesses </w:t>
      </w:r>
      <w:r w:rsidRPr="006F34CD" w:rsidR="004945B3">
        <w:t xml:space="preserve">community in Russia were </w:t>
      </w:r>
      <w:r w:rsidRPr="006F34CD" w:rsidR="00CF68DB">
        <w:t>exceptionally</w:t>
      </w:r>
      <w:r w:rsidRPr="006F34CD" w:rsidR="004945B3">
        <w:t xml:space="preserve"> complex and generated a substantial amount of legal costs and expenses (</w:t>
      </w:r>
      <w:r w:rsidRPr="006F34CD" w:rsidR="00AE7009">
        <w:t>compare</w:t>
      </w:r>
      <w:r w:rsidRPr="006F34CD" w:rsidR="004945B3">
        <w:t xml:space="preserve"> </w:t>
      </w:r>
      <w:r w:rsidRPr="006F34CD" w:rsidR="00BD5883">
        <w:rPr>
          <w:i/>
        </w:rPr>
        <w:t>Jehovah</w:t>
      </w:r>
      <w:r w:rsidRPr="006F34CD" w:rsidR="006F34CD">
        <w:rPr>
          <w:i/>
        </w:rPr>
        <w:t>’</w:t>
      </w:r>
      <w:r w:rsidRPr="006F34CD" w:rsidR="00BD5883">
        <w:rPr>
          <w:i/>
        </w:rPr>
        <w:t>s Witnesses of Moscow and Others</w:t>
      </w:r>
      <w:r w:rsidRPr="006F34CD" w:rsidR="00BD5883">
        <w:t xml:space="preserve">, cited above, </w:t>
      </w:r>
      <w:r w:rsidRPr="006F34CD" w:rsidR="00F50F6F">
        <w:t>§ 2</w:t>
      </w:r>
      <w:r w:rsidRPr="006F34CD" w:rsidR="00BD5883">
        <w:t>11). Making a global assessment of costs and expenses</w:t>
      </w:r>
      <w:r w:rsidRPr="006F34CD" w:rsidR="00481D27">
        <w:t xml:space="preserve"> on the basis of the documents submitted</w:t>
      </w:r>
      <w:r w:rsidRPr="006F34CD" w:rsidR="00BD5883">
        <w:t xml:space="preserve">, the Court awards the applicants jointly </w:t>
      </w:r>
      <w:r w:rsidRPr="006F34CD" w:rsidR="00F50F6F">
        <w:t>EUR 1</w:t>
      </w:r>
      <w:r w:rsidRPr="006F34CD" w:rsidR="00697461">
        <w:t>25</w:t>
      </w:r>
      <w:r w:rsidRPr="006F34CD" w:rsidR="00BD5883">
        <w:t>,000, plus any tax that may be chargeable to them on that amount</w:t>
      </w:r>
      <w:r w:rsidRPr="006F34CD" w:rsidR="009C7ED9">
        <w:t>, payable into the bank account specified by their representative before the Court</w:t>
      </w:r>
      <w:r w:rsidRPr="006F34CD" w:rsidR="00BD5883">
        <w:t>.</w:t>
      </w:r>
    </w:p>
    <w:p w:rsidRPr="006F34CD" w:rsidR="008B54C0" w:rsidP="006F34CD" w:rsidRDefault="008B54C0" w14:paraId="57911DD0" w14:textId="36E29F7B">
      <w:pPr>
        <w:pStyle w:val="JuH1"/>
      </w:pPr>
      <w:bookmarkStart w:name="_Toc97302009" w:id="246"/>
      <w:r w:rsidRPr="006F34CD">
        <w:t>Default interest</w:t>
      </w:r>
      <w:bookmarkEnd w:id="246"/>
    </w:p>
    <w:p w:rsidRPr="006F34CD" w:rsidR="00903A10" w:rsidP="006F34CD" w:rsidRDefault="008B54C0" w14:paraId="753195D1" w14:textId="2709B346">
      <w:pPr>
        <w:pStyle w:val="JuPara"/>
      </w:pPr>
      <w:r w:rsidRPr="006F34CD">
        <w:fldChar w:fldCharType="begin"/>
      </w:r>
      <w:r w:rsidRPr="006F34CD">
        <w:instrText xml:space="preserve"> SEQ level0 \*arabic </w:instrText>
      </w:r>
      <w:r w:rsidRPr="006F34CD">
        <w:fldChar w:fldCharType="separate"/>
      </w:r>
      <w:r w:rsidRPr="006F34CD" w:rsidR="006F34CD">
        <w:rPr>
          <w:noProof/>
        </w:rPr>
        <w:t>306</w:t>
      </w:r>
      <w:r w:rsidRPr="006F34CD">
        <w:fldChar w:fldCharType="end"/>
      </w:r>
      <w:r w:rsidRPr="006F34CD">
        <w:t>.</w:t>
      </w:r>
      <w:r w:rsidRPr="006F34CD" w:rsidR="001370AA">
        <w:t>  </w:t>
      </w:r>
      <w:r w:rsidRPr="006F34CD">
        <w:t>The Court considers it appropriate that the default interest rate should be based on the marginal lending rate of the European Central Bank, to which should be added three percentage points.</w:t>
      </w:r>
    </w:p>
    <w:p w:rsidRPr="006F34CD" w:rsidR="000C5AA2" w:rsidP="006F34CD" w:rsidRDefault="000C5AA2" w14:paraId="0A4D6A4A" w14:textId="7CE6A52A">
      <w:pPr>
        <w:pStyle w:val="JuHHead"/>
        <w:numPr>
          <w:ilvl w:val="0"/>
          <w:numId w:val="3"/>
        </w:numPr>
      </w:pPr>
      <w:bookmarkStart w:name="_Toc97302010" w:id="247"/>
      <w:r w:rsidRPr="006F34CD">
        <w:t>FOR THESE REASONS, THE COURT</w:t>
      </w:r>
      <w:bookmarkEnd w:id="247"/>
    </w:p>
    <w:p w:rsidRPr="006F34CD" w:rsidR="008B54C0" w:rsidP="006F34CD" w:rsidRDefault="008B54C0" w14:paraId="56F359FF" w14:textId="6A7E6876">
      <w:pPr>
        <w:pStyle w:val="JuList"/>
      </w:pPr>
      <w:r w:rsidRPr="006F34CD">
        <w:rPr>
          <w:i/>
        </w:rPr>
        <w:t>Decides</w:t>
      </w:r>
      <w:r w:rsidRPr="006F34CD" w:rsidR="004C701D">
        <w:rPr>
          <w:iCs/>
        </w:rPr>
        <w:t>, by a majority,</w:t>
      </w:r>
      <w:r w:rsidRPr="006F34CD">
        <w:rPr>
          <w:i/>
        </w:rPr>
        <w:t xml:space="preserve"> </w:t>
      </w:r>
      <w:r w:rsidRPr="006F34CD">
        <w:t>to join the applications;</w:t>
      </w:r>
    </w:p>
    <w:p w:rsidRPr="006F34CD" w:rsidR="000C5AA2" w:rsidP="006F34CD" w:rsidRDefault="000C5AA2" w14:paraId="50D05F8E" w14:textId="7A90CD82">
      <w:pPr>
        <w:pStyle w:val="JuList"/>
      </w:pPr>
      <w:r w:rsidRPr="006F34CD">
        <w:rPr>
          <w:i/>
        </w:rPr>
        <w:t>Declares</w:t>
      </w:r>
      <w:r w:rsidRPr="006F34CD" w:rsidR="004C701D">
        <w:rPr>
          <w:iCs/>
        </w:rPr>
        <w:t>, unanimously,</w:t>
      </w:r>
      <w:r w:rsidRPr="006F34CD">
        <w:t xml:space="preserve"> the application</w:t>
      </w:r>
      <w:r w:rsidRPr="006F34CD" w:rsidR="008B54C0">
        <w:t>s</w:t>
      </w:r>
      <w:r w:rsidRPr="006F34CD">
        <w:t xml:space="preserve"> admissible;</w:t>
      </w:r>
    </w:p>
    <w:p w:rsidRPr="006F34CD" w:rsidR="000C5AA2" w:rsidP="006F34CD" w:rsidRDefault="000C5AA2" w14:paraId="64EEB535" w14:textId="0F6DAFCA">
      <w:pPr>
        <w:pStyle w:val="JuList"/>
      </w:pPr>
      <w:r w:rsidRPr="006F34CD">
        <w:rPr>
          <w:i/>
        </w:rPr>
        <w:t>Holds</w:t>
      </w:r>
      <w:r w:rsidRPr="006F34CD" w:rsidR="004C701D">
        <w:rPr>
          <w:iCs/>
        </w:rPr>
        <w:t>, by six votes to one,</w:t>
      </w:r>
      <w:r w:rsidRPr="006F34CD">
        <w:t xml:space="preserve"> that there has been</w:t>
      </w:r>
      <w:r w:rsidRPr="006F34CD" w:rsidR="006254AC">
        <w:t xml:space="preserve"> </w:t>
      </w:r>
      <w:r w:rsidRPr="006F34CD" w:rsidR="008C4E11">
        <w:t>a violation of Article 9 of the Convention, read in the light of Article 11, on account of the forced dissolution of Taganrog LRO and a violation of Article 10 of the Convention on account of the declaration of Jehovah</w:t>
      </w:r>
      <w:r w:rsidRPr="006F34CD" w:rsidR="006F34CD">
        <w:t>’</w:t>
      </w:r>
      <w:r w:rsidRPr="006F34CD" w:rsidR="008C4E11">
        <w:t>s Witnesses</w:t>
      </w:r>
      <w:r w:rsidRPr="006F34CD" w:rsidR="006F34CD">
        <w:t>’</w:t>
      </w:r>
      <w:r w:rsidRPr="006F34CD" w:rsidR="008C4E11">
        <w:t xml:space="preserve"> publications “extremist”</w:t>
      </w:r>
      <w:r w:rsidRPr="006F34CD" w:rsidR="006254AC">
        <w:t>;</w:t>
      </w:r>
    </w:p>
    <w:p w:rsidRPr="006F34CD" w:rsidR="004D446F" w:rsidP="006F34CD" w:rsidRDefault="004D446F" w14:paraId="34AA9E4D" w14:textId="0CC8E7AD">
      <w:pPr>
        <w:pStyle w:val="JuList"/>
      </w:pPr>
      <w:r w:rsidRPr="006F34CD">
        <w:rPr>
          <w:i/>
        </w:rPr>
        <w:t>Holds</w:t>
      </w:r>
      <w:r w:rsidRPr="006F34CD" w:rsidR="004C701D">
        <w:rPr>
          <w:iCs/>
        </w:rPr>
        <w:t>, by six votes to one,</w:t>
      </w:r>
      <w:r w:rsidRPr="006F34CD" w:rsidR="004C701D">
        <w:t xml:space="preserve"> </w:t>
      </w:r>
      <w:r w:rsidRPr="006F34CD">
        <w:t>that there has been</w:t>
      </w:r>
      <w:r w:rsidRPr="006F34CD" w:rsidR="004B2FD3">
        <w:t xml:space="preserve"> </w:t>
      </w:r>
      <w:r w:rsidRPr="006F34CD" w:rsidR="008C4E11">
        <w:t>a violation of Articles 10 and 11 of the Convention, read in the light of Article 9, on account of the declaration of the Jehovah</w:t>
      </w:r>
      <w:r w:rsidRPr="006F34CD" w:rsidR="006F34CD">
        <w:t>’</w:t>
      </w:r>
      <w:r w:rsidRPr="006F34CD" w:rsidR="008C4E11">
        <w:t>s Witnesses</w:t>
      </w:r>
      <w:r w:rsidRPr="006F34CD" w:rsidR="006F34CD">
        <w:t>’</w:t>
      </w:r>
      <w:r w:rsidRPr="006F34CD" w:rsidR="008C4E11">
        <w:t xml:space="preserve"> publications “extremist” and the prosecution of individual applicants and the forced dissolution of the Samara LRO for using those publications in their religious ministry</w:t>
      </w:r>
      <w:r w:rsidRPr="006F34CD" w:rsidR="00673F16">
        <w:t>;</w:t>
      </w:r>
    </w:p>
    <w:p w:rsidRPr="006F34CD" w:rsidR="000C5AA2" w:rsidP="006F34CD" w:rsidRDefault="000C5AA2" w14:paraId="1087C6F8" w14:textId="51A496C5">
      <w:pPr>
        <w:pStyle w:val="JuList"/>
      </w:pPr>
      <w:r w:rsidRPr="006F34CD">
        <w:rPr>
          <w:i/>
        </w:rPr>
        <w:t>Holds</w:t>
      </w:r>
      <w:r w:rsidRPr="006F34CD" w:rsidR="004C701D">
        <w:rPr>
          <w:iCs/>
        </w:rPr>
        <w:t>, by six votes to one,</w:t>
      </w:r>
      <w:r w:rsidRPr="006F34CD" w:rsidR="004C701D">
        <w:t xml:space="preserve"> </w:t>
      </w:r>
      <w:r w:rsidRPr="006F34CD">
        <w:t xml:space="preserve">that there has been </w:t>
      </w:r>
      <w:r w:rsidRPr="006F34CD" w:rsidR="008C4E11">
        <w:t>a violation of Article 10 of the Convention, read in the light of Article 9, on account of the withdrawal of the distribution permit and the prosecution of the applicants for distributing unregistered media</w:t>
      </w:r>
      <w:r w:rsidRPr="006F34CD" w:rsidR="006254AC">
        <w:t>;</w:t>
      </w:r>
    </w:p>
    <w:p w:rsidRPr="006F34CD" w:rsidR="008B54C0" w:rsidP="006F34CD" w:rsidRDefault="000C5AA2" w14:paraId="43E8C726" w14:textId="49D6CDCE">
      <w:pPr>
        <w:pStyle w:val="JuList"/>
      </w:pPr>
      <w:r w:rsidRPr="006F34CD">
        <w:rPr>
          <w:i/>
        </w:rPr>
        <w:t>Holds</w:t>
      </w:r>
      <w:r w:rsidRPr="006F34CD" w:rsidR="004C701D">
        <w:rPr>
          <w:iCs/>
        </w:rPr>
        <w:t>, by six votes to one,</w:t>
      </w:r>
      <w:r w:rsidRPr="006F34CD" w:rsidR="004C701D">
        <w:t xml:space="preserve"> </w:t>
      </w:r>
      <w:r w:rsidRPr="006F34CD">
        <w:t xml:space="preserve">that </w:t>
      </w:r>
      <w:r w:rsidRPr="006F34CD" w:rsidR="0065571A">
        <w:t xml:space="preserve">there has been </w:t>
      </w:r>
      <w:r w:rsidRPr="006F34CD" w:rsidR="008C4E11">
        <w:t>a violation of Article 10 of the Convention, read in the light of Article 9, on account of the declaration of the Jehovah</w:t>
      </w:r>
      <w:r w:rsidRPr="006F34CD" w:rsidR="006F34CD">
        <w:t>’</w:t>
      </w:r>
      <w:r w:rsidRPr="006F34CD" w:rsidR="008C4E11">
        <w:t>s Witnesses</w:t>
      </w:r>
      <w:r w:rsidRPr="006F34CD" w:rsidR="006F34CD">
        <w:t>’</w:t>
      </w:r>
      <w:r w:rsidRPr="006F34CD" w:rsidR="008C4E11">
        <w:t xml:space="preserve"> international website “extremist”</w:t>
      </w:r>
      <w:r w:rsidRPr="006F34CD" w:rsidR="006254AC">
        <w:t>;</w:t>
      </w:r>
    </w:p>
    <w:p w:rsidRPr="006F34CD" w:rsidR="006254AC" w:rsidP="006F34CD" w:rsidRDefault="006254AC" w14:paraId="542CD957" w14:textId="5526E5D3">
      <w:pPr>
        <w:pStyle w:val="JuList"/>
      </w:pPr>
      <w:r w:rsidRPr="006F34CD">
        <w:rPr>
          <w:i/>
        </w:rPr>
        <w:t>Holds</w:t>
      </w:r>
      <w:r w:rsidRPr="006F34CD" w:rsidR="004C701D">
        <w:rPr>
          <w:iCs/>
        </w:rPr>
        <w:t>, by six votes to one,</w:t>
      </w:r>
      <w:r w:rsidRPr="006F34CD" w:rsidR="004C701D">
        <w:t xml:space="preserve"> </w:t>
      </w:r>
      <w:r w:rsidRPr="006F34CD">
        <w:t xml:space="preserve">that there has been </w:t>
      </w:r>
      <w:r w:rsidRPr="006F34CD" w:rsidR="008C4E11">
        <w:t>a violation of Article 9 of the Convention, read in the light of Article 11, on account of the dissolution of the Administrative Centre of Jehovah</w:t>
      </w:r>
      <w:r w:rsidRPr="006F34CD" w:rsidR="006F34CD">
        <w:t>’</w:t>
      </w:r>
      <w:r w:rsidRPr="006F34CD" w:rsidR="008C4E11">
        <w:t>s Witnesses in Russia and the LROs of Jehovah</w:t>
      </w:r>
      <w:r w:rsidRPr="006F34CD" w:rsidR="006F34CD">
        <w:t>’</w:t>
      </w:r>
      <w:r w:rsidRPr="006F34CD" w:rsidR="008C4E11">
        <w:t>s Witnesses</w:t>
      </w:r>
      <w:r w:rsidRPr="006F34CD">
        <w:t>;</w:t>
      </w:r>
    </w:p>
    <w:p w:rsidRPr="006F34CD" w:rsidR="004D446F" w:rsidP="006F34CD" w:rsidRDefault="004D446F" w14:paraId="579AC4F5" w14:textId="2D0F8D1E">
      <w:pPr>
        <w:pStyle w:val="JuList"/>
      </w:pPr>
      <w:r w:rsidRPr="006F34CD">
        <w:rPr>
          <w:i/>
        </w:rPr>
        <w:t>Holds</w:t>
      </w:r>
      <w:r w:rsidRPr="006F34CD" w:rsidR="004C701D">
        <w:rPr>
          <w:iCs/>
        </w:rPr>
        <w:t>, by six votes to one,</w:t>
      </w:r>
      <w:r w:rsidRPr="006F34CD" w:rsidR="004C701D">
        <w:t xml:space="preserve"> </w:t>
      </w:r>
      <w:r w:rsidRPr="006F34CD">
        <w:t>that there has been</w:t>
      </w:r>
      <w:r w:rsidRPr="006F34CD" w:rsidR="004B2FD3">
        <w:t xml:space="preserve"> </w:t>
      </w:r>
      <w:r w:rsidRPr="006F34CD" w:rsidR="008C4E11">
        <w:t>a violation of Article 9 of the Convention on account of the criminal prosecution of the applicants</w:t>
      </w:r>
      <w:r w:rsidRPr="006F34CD" w:rsidR="00A1191B">
        <w:t xml:space="preserve"> </w:t>
      </w:r>
      <w:r w:rsidRPr="006F34CD" w:rsidR="00182517">
        <w:t xml:space="preserve">for continuing to practice their religion </w:t>
      </w:r>
      <w:r w:rsidRPr="006F34CD" w:rsidR="00A1191B">
        <w:t xml:space="preserve">and a violation of </w:t>
      </w:r>
      <w:r w:rsidRPr="006F34CD" w:rsidR="001535E0">
        <w:t>Article 5</w:t>
      </w:r>
      <w:r w:rsidRPr="006F34CD" w:rsidR="00A1191B">
        <w:t xml:space="preserve"> of the Convention in respect of </w:t>
      </w:r>
      <w:r w:rsidRPr="006F34CD" w:rsidR="001535E0">
        <w:t>Mr C</w:t>
      </w:r>
      <w:r w:rsidRPr="006F34CD" w:rsidR="00A1191B">
        <w:t>hristensen</w:t>
      </w:r>
      <w:r w:rsidRPr="006F34CD" w:rsidR="00673F16">
        <w:t>;</w:t>
      </w:r>
    </w:p>
    <w:p w:rsidRPr="006F34CD" w:rsidR="004D446F" w:rsidP="006F34CD" w:rsidRDefault="004D446F" w14:paraId="6782C97D" w14:textId="6F3CF8B8">
      <w:pPr>
        <w:pStyle w:val="JuList"/>
      </w:pPr>
      <w:r w:rsidRPr="006F34CD">
        <w:rPr>
          <w:i/>
          <w:iCs/>
        </w:rPr>
        <w:t>Holds</w:t>
      </w:r>
      <w:r w:rsidRPr="006F34CD" w:rsidR="004C701D">
        <w:rPr>
          <w:iCs/>
        </w:rPr>
        <w:t>, by six votes to one,</w:t>
      </w:r>
      <w:r w:rsidRPr="006F34CD" w:rsidR="004C701D">
        <w:t xml:space="preserve"> </w:t>
      </w:r>
      <w:r w:rsidRPr="006F34CD">
        <w:t>that there has been</w:t>
      </w:r>
      <w:r w:rsidRPr="006F34CD" w:rsidR="004B2FD3">
        <w:t xml:space="preserve"> </w:t>
      </w:r>
      <w:r w:rsidRPr="006F34CD" w:rsidR="008C4E11">
        <w:t>a violation of Article 1 of Protocol No. 1</w:t>
      </w:r>
      <w:r w:rsidRPr="006F34CD" w:rsidR="006254AC">
        <w:t>;</w:t>
      </w:r>
    </w:p>
    <w:p w:rsidRPr="006F34CD" w:rsidR="0006550A" w:rsidP="006F34CD" w:rsidRDefault="0006550A" w14:paraId="1F789C20" w14:textId="799ED58E">
      <w:pPr>
        <w:pStyle w:val="JuList"/>
      </w:pPr>
      <w:r w:rsidRPr="006F34CD">
        <w:rPr>
          <w:i/>
        </w:rPr>
        <w:t>Holds</w:t>
      </w:r>
      <w:r w:rsidRPr="006F34CD" w:rsidR="004C701D">
        <w:rPr>
          <w:iCs/>
        </w:rPr>
        <w:t>, unanimously,</w:t>
      </w:r>
      <w:r w:rsidRPr="006F34CD">
        <w:rPr>
          <w:color w:val="000000"/>
        </w:rPr>
        <w:t xml:space="preserve"> </w:t>
      </w:r>
      <w:r w:rsidRPr="006F34CD">
        <w:t xml:space="preserve">that it is not necessary to </w:t>
      </w:r>
      <w:r w:rsidRPr="006F34CD" w:rsidR="006561A7">
        <w:t>give a separate ruling on the merits of the remaining</w:t>
      </w:r>
      <w:r w:rsidRPr="006F34CD">
        <w:t xml:space="preserve"> complaints;</w:t>
      </w:r>
    </w:p>
    <w:p w:rsidRPr="006F34CD" w:rsidR="00352B99" w:rsidP="006F34CD" w:rsidRDefault="00352B99" w14:paraId="710A37B0" w14:textId="7D50A120">
      <w:pPr>
        <w:pStyle w:val="JuList"/>
      </w:pPr>
      <w:r w:rsidRPr="006F34CD">
        <w:rPr>
          <w:i/>
        </w:rPr>
        <w:t>Holds</w:t>
      </w:r>
      <w:r w:rsidRPr="006F34CD" w:rsidR="004C701D">
        <w:rPr>
          <w:iCs/>
        </w:rPr>
        <w:t>, by four votes to three,</w:t>
      </w:r>
      <w:r w:rsidRPr="006F34CD">
        <w:rPr>
          <w:color w:val="000000"/>
        </w:rPr>
        <w:t xml:space="preserve"> </w:t>
      </w:r>
      <w:r w:rsidRPr="006F34CD">
        <w:t>that the respondent State is to take all necessary measures to secure the discontinuation of pending criminal proceedings against Jehovah</w:t>
      </w:r>
      <w:r w:rsidRPr="006F34CD" w:rsidR="006F34CD">
        <w:t>’</w:t>
      </w:r>
      <w:r w:rsidRPr="006F34CD">
        <w:t>s Witnesses and release of the imprisoned Jehovah</w:t>
      </w:r>
      <w:r w:rsidRPr="006F34CD" w:rsidR="006F34CD">
        <w:t>’</w:t>
      </w:r>
      <w:r w:rsidRPr="006F34CD">
        <w:t>s Witnesses;</w:t>
      </w:r>
    </w:p>
    <w:p w:rsidRPr="006F34CD" w:rsidR="00151684" w:rsidP="006F34CD" w:rsidRDefault="009D6E7F" w14:paraId="7B8BA079" w14:textId="1BAAD46D">
      <w:pPr>
        <w:pStyle w:val="JuList"/>
      </w:pPr>
      <w:r w:rsidRPr="006F34CD">
        <w:rPr>
          <w:i/>
        </w:rPr>
        <w:t>Holds</w:t>
      </w:r>
      <w:r w:rsidRPr="006F34CD" w:rsidR="004C701D">
        <w:rPr>
          <w:iCs/>
        </w:rPr>
        <w:t>, by six votes to one,</w:t>
      </w:r>
      <w:r w:rsidRPr="006F34CD" w:rsidR="004C701D">
        <w:t xml:space="preserve"> </w:t>
      </w:r>
      <w:r w:rsidRPr="006F34CD">
        <w:t xml:space="preserve">that the </w:t>
      </w:r>
      <w:r w:rsidRPr="006F34CD" w:rsidR="00C940DF">
        <w:t>respondent State, in order to satisfy the applicants</w:t>
      </w:r>
      <w:r w:rsidRPr="006F34CD" w:rsidR="006F34CD">
        <w:t>’</w:t>
      </w:r>
      <w:r w:rsidRPr="006F34CD" w:rsidR="00C940DF">
        <w:t xml:space="preserve"> claim for pecuniary damage incurred through the confiscation of their properties, </w:t>
      </w:r>
      <w:r w:rsidRPr="006F34CD" w:rsidR="00151684">
        <w:t xml:space="preserve">is to ensure that the properties be returned to the applicants, within three months of the present judgment becoming final in accordance with </w:t>
      </w:r>
      <w:r w:rsidRPr="006F34CD" w:rsidR="008E2738">
        <w:t>Article 4</w:t>
      </w:r>
      <w:r w:rsidRPr="006F34CD" w:rsidR="00151684">
        <w:t xml:space="preserve">4 </w:t>
      </w:r>
      <w:r w:rsidRPr="006F34CD" w:rsidR="008E2738">
        <w:t>§ 2</w:t>
      </w:r>
      <w:r w:rsidRPr="006F34CD" w:rsidR="00151684">
        <w:t xml:space="preserve"> of the Convention;</w:t>
      </w:r>
    </w:p>
    <w:p w:rsidRPr="006F34CD" w:rsidR="00151684" w:rsidP="006F34CD" w:rsidRDefault="00151684" w14:paraId="5FFCBE5C" w14:textId="4420C0C1">
      <w:pPr>
        <w:pStyle w:val="JuList"/>
      </w:pPr>
      <w:r w:rsidRPr="006F34CD">
        <w:rPr>
          <w:i/>
        </w:rPr>
        <w:t>Holds</w:t>
      </w:r>
      <w:r w:rsidRPr="006F34CD">
        <w:rPr>
          <w:iCs/>
        </w:rPr>
        <w:t xml:space="preserve">, </w:t>
      </w:r>
      <w:r w:rsidRPr="006F34CD" w:rsidR="004C701D">
        <w:rPr>
          <w:iCs/>
        </w:rPr>
        <w:t>by six votes to one,</w:t>
      </w:r>
      <w:r w:rsidRPr="006F34CD" w:rsidR="004C701D">
        <w:t xml:space="preserve"> </w:t>
      </w:r>
      <w:r w:rsidRPr="006F34CD">
        <w:rPr>
          <w:iCs/>
        </w:rPr>
        <w:t>in the alternative</w:t>
      </w:r>
      <w:r w:rsidRPr="006F34CD">
        <w:t xml:space="preserve"> that should the respondent State fail to return the properties as specified in the preceding paragraph, it is to pay, within three months from the date on which the judgment becomes final in accordance with Article 44 § 2 of the Convention, the amounts specified in </w:t>
      </w:r>
      <w:r w:rsidRPr="006F34CD" w:rsidR="008E2738">
        <w:t>Appendix I</w:t>
      </w:r>
      <w:r w:rsidRPr="006F34CD">
        <w:t>I, to be converted into the currency of the respondent State at the rate applicable at the date of settlement in case of the applicants who are resident in Russia;</w:t>
      </w:r>
    </w:p>
    <w:p w:rsidRPr="006F34CD" w:rsidR="000C5AA2" w:rsidP="006F34CD" w:rsidRDefault="000C5AA2" w14:paraId="6ACD7CC3" w14:textId="526C5594">
      <w:pPr>
        <w:pStyle w:val="JuList"/>
      </w:pPr>
      <w:r w:rsidRPr="006F34CD">
        <w:rPr>
          <w:i/>
        </w:rPr>
        <w:t>Holds</w:t>
      </w:r>
      <w:r w:rsidRPr="006F34CD" w:rsidR="004C701D">
        <w:rPr>
          <w:iCs/>
        </w:rPr>
        <w:t>, by six votes to one,</w:t>
      </w:r>
    </w:p>
    <w:p w:rsidRPr="006F34CD" w:rsidR="000C5AA2" w:rsidP="006F34CD" w:rsidRDefault="000C5AA2" w14:paraId="68382678" w14:textId="6CADF279">
      <w:pPr>
        <w:pStyle w:val="JuLista"/>
      </w:pPr>
      <w:r w:rsidRPr="006F34CD">
        <w:t>that the respondent State is to pay, within three months</w:t>
      </w:r>
      <w:r w:rsidRPr="006F34CD" w:rsidR="008B54C0">
        <w:t xml:space="preserve"> from the date on which the judgment becomes final in accordance with </w:t>
      </w:r>
      <w:r w:rsidRPr="006F34CD" w:rsidR="001370AA">
        <w:t>Article 4</w:t>
      </w:r>
      <w:r w:rsidRPr="006F34CD" w:rsidR="008B54C0">
        <w:t>4</w:t>
      </w:r>
      <w:r w:rsidRPr="006F34CD" w:rsidR="001370AA">
        <w:t xml:space="preserve"> § 2</w:t>
      </w:r>
      <w:r w:rsidRPr="006F34CD" w:rsidR="008B54C0">
        <w:t xml:space="preserve"> of the Convention</w:t>
      </w:r>
      <w:r w:rsidRPr="006F34CD">
        <w:t xml:space="preserve">, </w:t>
      </w:r>
      <w:r w:rsidRPr="006F34CD" w:rsidR="00AF020A">
        <w:t>the amounts</w:t>
      </w:r>
      <w:r w:rsidRPr="006F34CD" w:rsidR="00151684">
        <w:t xml:space="preserve"> specified below and detailed in </w:t>
      </w:r>
      <w:r w:rsidRPr="006F34CD" w:rsidR="008E2738">
        <w:t>Appendix I</w:t>
      </w:r>
      <w:r w:rsidRPr="006F34CD" w:rsidR="00151684">
        <w:t>I</w:t>
      </w:r>
      <w:r w:rsidRPr="006F34CD" w:rsidR="00AF020A">
        <w:t>, to be converted into the currency of the respondent State at the rate applicable at the date of settlement</w:t>
      </w:r>
      <w:r w:rsidRPr="006F34CD" w:rsidR="00340062">
        <w:t xml:space="preserve"> in case of the applicants who are resident in Russia</w:t>
      </w:r>
      <w:r w:rsidRPr="006F34CD" w:rsidR="00AF020A">
        <w:t>:</w:t>
      </w:r>
    </w:p>
    <w:p w:rsidRPr="006F34CD" w:rsidR="00294067" w:rsidP="006F34CD" w:rsidRDefault="007C7AE2" w14:paraId="4D28BD82" w14:textId="77777777">
      <w:pPr>
        <w:pStyle w:val="JuListi"/>
      </w:pPr>
      <w:r w:rsidRPr="006F34CD">
        <w:t>the amounts claimed</w:t>
      </w:r>
      <w:r w:rsidRPr="006F34CD" w:rsidR="00294067">
        <w:t>, plus any tax that may be chargeable, in respect of pecuniary damage;</w:t>
      </w:r>
    </w:p>
    <w:p w:rsidRPr="006F34CD" w:rsidR="000C5AA2" w:rsidP="006F34CD" w:rsidRDefault="00BC0864" w14:paraId="2EFAFDFE" w14:textId="77777777">
      <w:pPr>
        <w:pStyle w:val="JuListi"/>
      </w:pPr>
      <w:r w:rsidRPr="006F34CD">
        <w:t>EUR 1</w:t>
      </w:r>
      <w:r w:rsidRPr="006F34CD" w:rsidR="00E857C2">
        <w:t>5,000 (fifteen thousand euros)</w:t>
      </w:r>
      <w:r w:rsidRPr="006F34CD" w:rsidR="00340062">
        <w:t xml:space="preserve"> each</w:t>
      </w:r>
      <w:r w:rsidRPr="006F34CD" w:rsidR="00E857C2">
        <w:t xml:space="preserve"> to the individual applicants who were convicted in criminal proceedings; EUR 7,500 (seven thousand five hundred euros) each to the liquidated or banned applicant organisations and congregations and to the applicants who were convicted in administrative proceedings; and EUR 1,000 (one thousand euros) each or such smaller amount as was actually claimed to the other applicants</w:t>
      </w:r>
      <w:r w:rsidRPr="006F34CD" w:rsidR="000C5AA2">
        <w:t>, plus any tax that may be chargeable, in respect of non-pecuniary damage;</w:t>
      </w:r>
    </w:p>
    <w:p w:rsidRPr="006F34CD" w:rsidR="000C5AA2" w:rsidP="006F34CD" w:rsidRDefault="00F50F6F" w14:paraId="6DEEC3F9" w14:textId="25527DF5">
      <w:pPr>
        <w:pStyle w:val="JuListi"/>
      </w:pPr>
      <w:r w:rsidRPr="006F34CD">
        <w:t>EUR 1</w:t>
      </w:r>
      <w:r w:rsidRPr="006F34CD" w:rsidR="00697461">
        <w:t>25</w:t>
      </w:r>
      <w:r w:rsidRPr="006F34CD" w:rsidR="00CD467B">
        <w:t>,000</w:t>
      </w:r>
      <w:r w:rsidRPr="006F34CD" w:rsidR="000C5AA2">
        <w:t xml:space="preserve"> (</w:t>
      </w:r>
      <w:r w:rsidRPr="006F34CD" w:rsidR="00697461">
        <w:t>one hundred and twenty</w:t>
      </w:r>
      <w:r w:rsidRPr="006F34CD" w:rsidR="00CD467B">
        <w:t>-five thousand</w:t>
      </w:r>
      <w:r w:rsidRPr="006F34CD" w:rsidR="000C5AA2">
        <w:t xml:space="preserve"> euros)</w:t>
      </w:r>
      <w:r w:rsidRPr="006F34CD" w:rsidR="00362BA5">
        <w:t xml:space="preserve"> jointly to all applicants</w:t>
      </w:r>
      <w:r w:rsidRPr="006F34CD" w:rsidR="000C5AA2">
        <w:t xml:space="preserve"> </w:t>
      </w:r>
      <w:r w:rsidRPr="006F34CD" w:rsidR="00362BA5">
        <w:t xml:space="preserve">in respect of costs and expenses, </w:t>
      </w:r>
      <w:r w:rsidRPr="006F34CD" w:rsidR="000C5AA2">
        <w:t xml:space="preserve">plus any tax that may be chargeable to </w:t>
      </w:r>
      <w:r w:rsidRPr="006F34CD" w:rsidR="00294067">
        <w:t>them</w:t>
      </w:r>
      <w:r w:rsidRPr="006F34CD" w:rsidR="002B3B7A">
        <w:t>, payable into the bank account specified by their representative before the Court</w:t>
      </w:r>
      <w:r w:rsidRPr="006F34CD" w:rsidR="000C5AA2">
        <w:t>;</w:t>
      </w:r>
    </w:p>
    <w:p w:rsidRPr="006F34CD" w:rsidR="000C5AA2" w:rsidP="006F34CD" w:rsidRDefault="000C5AA2" w14:paraId="7BE12B54" w14:textId="77777777">
      <w:pPr>
        <w:pStyle w:val="JuLista"/>
      </w:pPr>
      <w:r w:rsidRPr="006F34CD">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6F34CD" w:rsidR="00151C30" w:rsidP="006F34CD" w:rsidRDefault="000C5AA2" w14:paraId="084829BC" w14:textId="49D82994">
      <w:pPr>
        <w:pStyle w:val="JuList"/>
      </w:pPr>
      <w:r w:rsidRPr="006F34CD">
        <w:rPr>
          <w:i/>
        </w:rPr>
        <w:t>Dismisses</w:t>
      </w:r>
      <w:r w:rsidRPr="006F34CD" w:rsidR="004C701D">
        <w:rPr>
          <w:iCs/>
        </w:rPr>
        <w:t>, unanimously,</w:t>
      </w:r>
      <w:r w:rsidRPr="006F34CD" w:rsidR="008B54C0">
        <w:t xml:space="preserve"> </w:t>
      </w:r>
      <w:r w:rsidRPr="006F34CD">
        <w:t xml:space="preserve">the remainder of the </w:t>
      </w:r>
      <w:r w:rsidRPr="006F34CD" w:rsidR="008B54C0">
        <w:t>applicants</w:t>
      </w:r>
      <w:r w:rsidRPr="006F34CD" w:rsidR="006F34CD">
        <w:t>’</w:t>
      </w:r>
      <w:r w:rsidRPr="006F34CD">
        <w:t xml:space="preserve"> claim</w:t>
      </w:r>
      <w:r w:rsidRPr="006F34CD" w:rsidR="00151C30">
        <w:t>s</w:t>
      </w:r>
      <w:r w:rsidRPr="006F34CD">
        <w:t xml:space="preserve"> </w:t>
      </w:r>
      <w:r w:rsidRPr="006F34CD" w:rsidR="00151C30">
        <w:t>in respect of non-pecuniary damage and costs and expenses</w:t>
      </w:r>
      <w:r w:rsidRPr="006F34CD" w:rsidR="009D6E7F">
        <w:t>.</w:t>
      </w:r>
    </w:p>
    <w:p w:rsidRPr="006F34CD" w:rsidR="000C5AA2" w:rsidP="006F34CD" w:rsidRDefault="000C5AA2" w14:paraId="5375BA48" w14:textId="317BDE09">
      <w:pPr>
        <w:pStyle w:val="JuParaLast"/>
      </w:pPr>
      <w:r w:rsidRPr="006F34CD">
        <w:t xml:space="preserve">Done in English, and notified in writing on </w:t>
      </w:r>
      <w:r w:rsidRPr="006F34CD" w:rsidR="006E5193">
        <w:t>7 June 2022</w:t>
      </w:r>
      <w:r w:rsidRPr="006F34CD">
        <w:t xml:space="preserve">, pursuant to </w:t>
      </w:r>
      <w:r w:rsidRPr="006F34CD" w:rsidR="001370AA">
        <w:t>Rule 7</w:t>
      </w:r>
      <w:r w:rsidRPr="006F34CD">
        <w:t>7</w:t>
      </w:r>
      <w:r w:rsidRPr="006F34CD" w:rsidR="001370AA">
        <w:t xml:space="preserve"> </w:t>
      </w:r>
      <w:r w:rsidRPr="006F34CD">
        <w:t>§</w:t>
      </w:r>
      <w:r w:rsidRPr="006F34CD" w:rsidR="001370AA">
        <w:t>§ 2</w:t>
      </w:r>
      <w:r w:rsidRPr="006F34CD">
        <w:t xml:space="preserve"> and</w:t>
      </w:r>
      <w:r w:rsidRPr="006F34CD" w:rsidR="001370AA">
        <w:t xml:space="preserve"> </w:t>
      </w:r>
      <w:r w:rsidRPr="006F34CD">
        <w:t>3 of the Rules of Court.</w:t>
      </w:r>
    </w:p>
    <w:p w:rsidRPr="006F34CD" w:rsidR="00A24E54" w:rsidP="006F34CD" w:rsidRDefault="00FD0484" w14:paraId="70FB607A" w14:textId="466027D3">
      <w:pPr>
        <w:pStyle w:val="JuSigned"/>
      </w:pPr>
      <w:r w:rsidRPr="006F34CD">
        <w:tab/>
      </w:r>
      <w:r w:rsidRPr="006F34CD" w:rsidR="008B54C0">
        <w:t>Milan Blaško</w:t>
      </w:r>
      <w:r w:rsidRPr="006F34CD" w:rsidR="004350A8">
        <w:tab/>
      </w:r>
      <w:r w:rsidRPr="006F34CD" w:rsidR="007D32EF">
        <w:t>Georges Ravarani</w:t>
      </w:r>
      <w:r w:rsidRPr="006F34CD" w:rsidR="004350A8">
        <w:br/>
      </w:r>
      <w:r w:rsidRPr="006F34CD" w:rsidR="004350A8">
        <w:tab/>
        <w:t>Registrar</w:t>
      </w:r>
      <w:r w:rsidRPr="006F34CD" w:rsidR="004350A8">
        <w:tab/>
        <w:t>President</w:t>
      </w:r>
    </w:p>
    <w:p w:rsidRPr="006F34CD" w:rsidR="00A3209A" w:rsidP="006F34CD" w:rsidRDefault="00A3209A" w14:paraId="6F790A6E" w14:textId="77777777">
      <w:pPr>
        <w:pStyle w:val="JuPara"/>
        <w:sectPr w:rsidRPr="006F34CD" w:rsidR="00A3209A" w:rsidSect="0052552A">
          <w:headerReference w:type="first" r:id="rId14"/>
          <w:footerReference w:type="first" r:id="rId15"/>
          <w:footnotePr>
            <w:numRestart w:val="eachSect"/>
          </w:footnotePr>
          <w:endnotePr>
            <w:numFmt w:val="decimal"/>
          </w:endnotePr>
          <w:type w:val="oddPage"/>
          <w:pgSz w:w="11906" w:h="16838" w:code="9"/>
          <w:pgMar w:top="2274" w:right="2274" w:bottom="2274" w:left="2274" w:header="1701" w:footer="720" w:gutter="0"/>
          <w:pgNumType w:start="1"/>
          <w:cols w:space="720"/>
          <w:titlePg/>
          <w:docGrid w:linePitch="326"/>
        </w:sectPr>
      </w:pPr>
    </w:p>
    <w:p w:rsidRPr="006F34CD" w:rsidR="00A3209A" w:rsidP="006F34CD" w:rsidRDefault="00A3209A" w14:paraId="75F74575" w14:textId="7288A1A1">
      <w:pPr>
        <w:pStyle w:val="JuPara"/>
      </w:pPr>
    </w:p>
    <w:p w:rsidRPr="006F34CD" w:rsidR="005678CB" w:rsidP="006F34CD" w:rsidRDefault="005678CB" w14:paraId="2ECA51A5" w14:textId="6618730B">
      <w:pPr>
        <w:pStyle w:val="JuHHead"/>
        <w:numPr>
          <w:ilvl w:val="0"/>
          <w:numId w:val="3"/>
        </w:numPr>
        <w:jc w:val="center"/>
        <w:rPr>
          <w:caps w:val="0"/>
        </w:rPr>
      </w:pPr>
      <w:bookmarkStart w:name="_Toc97302011" w:id="248"/>
      <w:r w:rsidRPr="006F34CD">
        <w:rPr>
          <w:caps w:val="0"/>
        </w:rPr>
        <w:t>APPENDIX I: LIST OF APPLICATIONS</w:t>
      </w:r>
      <w:bookmarkEnd w:id="248"/>
    </w:p>
    <w:p w:rsidRPr="006F34CD" w:rsidR="005D3A48" w:rsidP="006F34CD" w:rsidRDefault="005D3A48" w14:paraId="53025658" w14:textId="173B7295">
      <w:pPr>
        <w:pStyle w:val="JuPara"/>
        <w:ind w:firstLine="0"/>
      </w:pPr>
      <w:r w:rsidRPr="006F34CD">
        <w:t>Note: asterisks indicate applications in which some complaints were declared inadmissible on giving notice to the Government.</w:t>
      </w:r>
    </w:p>
    <w:p w:rsidRPr="006F34CD" w:rsidR="005D3A48" w:rsidP="006F34CD" w:rsidRDefault="005D3A48" w14:paraId="644CAD4E" w14:textId="77777777">
      <w:pPr>
        <w:pStyle w:val="JuPara"/>
      </w:pPr>
    </w:p>
    <w:tbl>
      <w:tblPr>
        <w:tblStyle w:val="ECHRListTable"/>
        <w:tblW w:w="0" w:type="auto"/>
        <w:tblLook w:val="0420" w:firstRow="1" w:lastRow="0" w:firstColumn="0" w:lastColumn="0" w:noHBand="0" w:noVBand="1"/>
      </w:tblPr>
      <w:tblGrid>
        <w:gridCol w:w="570"/>
        <w:gridCol w:w="1417"/>
        <w:gridCol w:w="4277"/>
        <w:gridCol w:w="1310"/>
      </w:tblGrid>
      <w:tr w:rsidRPr="006F34CD" w:rsidR="008C40B9" w:rsidTr="00396F9A" w14:paraId="16BFDA6B" w14:textId="77777777">
        <w:trPr>
          <w:cnfStyle w:val="100000000000" w:firstRow="1" w:lastRow="0" w:firstColumn="0" w:lastColumn="0" w:oddVBand="0" w:evenVBand="0" w:oddHBand="0" w:evenHBand="0" w:firstRowFirstColumn="0" w:firstRowLastColumn="0" w:lastRowFirstColumn="0" w:lastRowLastColumn="0"/>
          <w:divId w:val="2118981044"/>
        </w:trPr>
        <w:tc>
          <w:tcPr>
            <w:tcW w:w="0" w:type="auto"/>
            <w:hideMark/>
          </w:tcPr>
          <w:p w:rsidRPr="006F34CD" w:rsidR="008C40B9" w:rsidP="006F34CD" w:rsidRDefault="008C40B9" w14:paraId="22AAE715" w14:textId="77777777">
            <w:pPr>
              <w:rPr>
                <w:rFonts w:eastAsia="Times New Roman"/>
              </w:rPr>
            </w:pPr>
            <w:bookmarkStart w:name="AppTableStart" w:id="249"/>
            <w:bookmarkEnd w:id="249"/>
            <w:r w:rsidRPr="006F34CD">
              <w:rPr>
                <w:rFonts w:eastAsia="Times New Roman"/>
              </w:rPr>
              <w:t>No.</w:t>
            </w:r>
          </w:p>
        </w:tc>
        <w:tc>
          <w:tcPr>
            <w:tcW w:w="1381" w:type="dxa"/>
            <w:hideMark/>
          </w:tcPr>
          <w:p w:rsidRPr="006F34CD" w:rsidR="008C40B9" w:rsidP="006F34CD" w:rsidRDefault="008C40B9" w14:paraId="116FD6B1" w14:textId="77777777">
            <w:pPr>
              <w:rPr>
                <w:rFonts w:eastAsia="Times New Roman"/>
              </w:rPr>
            </w:pPr>
            <w:r w:rsidRPr="006F34CD">
              <w:rPr>
                <w:rFonts w:eastAsia="Times New Roman"/>
              </w:rPr>
              <w:t>Application no.</w:t>
            </w:r>
          </w:p>
        </w:tc>
        <w:tc>
          <w:tcPr>
            <w:tcW w:w="4313" w:type="dxa"/>
            <w:hideMark/>
          </w:tcPr>
          <w:p w:rsidRPr="006F34CD" w:rsidR="008C40B9" w:rsidP="006F34CD" w:rsidRDefault="008A21BF" w14:paraId="0A8BF169" w14:textId="3EC30578">
            <w:pPr>
              <w:rPr>
                <w:rFonts w:eastAsia="Times New Roman"/>
              </w:rPr>
            </w:pPr>
            <w:r w:rsidRPr="006F34CD">
              <w:rPr>
                <w:rFonts w:eastAsia="Times New Roman"/>
              </w:rPr>
              <w:t>Application title</w:t>
            </w:r>
          </w:p>
        </w:tc>
        <w:tc>
          <w:tcPr>
            <w:tcW w:w="0" w:type="auto"/>
            <w:hideMark/>
          </w:tcPr>
          <w:p w:rsidRPr="006F34CD" w:rsidR="008C40B9" w:rsidP="006F34CD" w:rsidRDefault="008C40B9" w14:paraId="35B909F5" w14:textId="77777777">
            <w:pPr>
              <w:rPr>
                <w:rFonts w:eastAsia="Times New Roman"/>
              </w:rPr>
            </w:pPr>
            <w:r w:rsidRPr="006F34CD">
              <w:rPr>
                <w:rFonts w:eastAsia="Times New Roman"/>
              </w:rPr>
              <w:t>Lodged on</w:t>
            </w:r>
          </w:p>
        </w:tc>
      </w:tr>
      <w:tr w:rsidRPr="006F34CD" w:rsidR="008C40B9" w:rsidTr="00396F9A" w14:paraId="3F2D7F44" w14:textId="77777777">
        <w:trPr>
          <w:divId w:val="2118981044"/>
        </w:trPr>
        <w:tc>
          <w:tcPr>
            <w:tcW w:w="0" w:type="auto"/>
            <w:hideMark/>
          </w:tcPr>
          <w:p w:rsidRPr="006F34CD" w:rsidR="008C40B9" w:rsidP="006F34CD" w:rsidRDefault="008C40B9" w14:paraId="592AE940" w14:textId="77777777">
            <w:pPr>
              <w:rPr>
                <w:rFonts w:eastAsia="Times New Roman"/>
              </w:rPr>
            </w:pPr>
            <w:r w:rsidRPr="006F34CD">
              <w:rPr>
                <w:rFonts w:eastAsia="Times New Roman"/>
              </w:rPr>
              <w:t>1.</w:t>
            </w:r>
          </w:p>
        </w:tc>
        <w:tc>
          <w:tcPr>
            <w:tcW w:w="1381" w:type="dxa"/>
            <w:hideMark/>
          </w:tcPr>
          <w:p w:rsidRPr="006F34CD" w:rsidR="008C40B9" w:rsidP="006F34CD" w:rsidRDefault="008C40B9" w14:paraId="5E4326CC" w14:textId="77777777">
            <w:pPr>
              <w:rPr>
                <w:rFonts w:eastAsia="Times New Roman"/>
              </w:rPr>
            </w:pPr>
            <w:r w:rsidRPr="006F34CD">
              <w:rPr>
                <w:rFonts w:eastAsia="Times New Roman"/>
              </w:rPr>
              <w:t>32401/10</w:t>
            </w:r>
          </w:p>
        </w:tc>
        <w:tc>
          <w:tcPr>
            <w:tcW w:w="4313" w:type="dxa"/>
            <w:hideMark/>
          </w:tcPr>
          <w:p w:rsidRPr="006F34CD" w:rsidR="008C40B9" w:rsidP="006F34CD" w:rsidRDefault="008C40B9" w14:paraId="51344530" w14:textId="77777777">
            <w:pPr>
              <w:rPr>
                <w:rFonts w:eastAsia="Times New Roman"/>
                <w:i/>
                <w:iCs/>
              </w:rPr>
            </w:pPr>
            <w:r w:rsidRPr="006F34CD">
              <w:rPr>
                <w:rFonts w:eastAsia="Times New Roman"/>
                <w:i/>
                <w:iCs/>
              </w:rPr>
              <w:t>Taganrog LRO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5D4F1D8D" w14:textId="77777777">
            <w:pPr>
              <w:rPr>
                <w:rFonts w:eastAsia="Times New Roman"/>
              </w:rPr>
            </w:pPr>
            <w:r w:rsidRPr="006F34CD">
              <w:rPr>
                <w:rFonts w:eastAsia="Times New Roman"/>
              </w:rPr>
              <w:t>01/06/2010</w:t>
            </w:r>
          </w:p>
        </w:tc>
      </w:tr>
      <w:tr w:rsidRPr="006F34CD" w:rsidR="008C40B9" w:rsidTr="00396F9A" w14:paraId="00CA3DCF" w14:textId="77777777">
        <w:trPr>
          <w:divId w:val="2118981044"/>
        </w:trPr>
        <w:tc>
          <w:tcPr>
            <w:tcW w:w="0" w:type="auto"/>
            <w:hideMark/>
          </w:tcPr>
          <w:p w:rsidRPr="006F34CD" w:rsidR="008C40B9" w:rsidP="006F34CD" w:rsidRDefault="008C40B9" w14:paraId="4F7833C3" w14:textId="77777777">
            <w:pPr>
              <w:rPr>
                <w:rFonts w:eastAsia="Times New Roman"/>
              </w:rPr>
            </w:pPr>
            <w:r w:rsidRPr="006F34CD">
              <w:rPr>
                <w:rFonts w:eastAsia="Times New Roman"/>
              </w:rPr>
              <w:t>2.</w:t>
            </w:r>
          </w:p>
        </w:tc>
        <w:tc>
          <w:tcPr>
            <w:tcW w:w="1381" w:type="dxa"/>
            <w:hideMark/>
          </w:tcPr>
          <w:p w:rsidRPr="006F34CD" w:rsidR="008C40B9" w:rsidP="006F34CD" w:rsidRDefault="008C40B9" w14:paraId="5166946F" w14:textId="77777777">
            <w:pPr>
              <w:rPr>
                <w:rFonts w:eastAsia="Times New Roman"/>
              </w:rPr>
            </w:pPr>
            <w:r w:rsidRPr="006F34CD">
              <w:rPr>
                <w:rFonts w:eastAsia="Times New Roman"/>
              </w:rPr>
              <w:t>44285/10</w:t>
            </w:r>
          </w:p>
        </w:tc>
        <w:tc>
          <w:tcPr>
            <w:tcW w:w="4313" w:type="dxa"/>
            <w:hideMark/>
          </w:tcPr>
          <w:p w:rsidRPr="006F34CD" w:rsidR="008C40B9" w:rsidP="006F34CD" w:rsidRDefault="008C40B9" w14:paraId="675942EF" w14:textId="77777777">
            <w:pPr>
              <w:rPr>
                <w:rFonts w:eastAsia="Times New Roman"/>
                <w:i/>
                <w:iCs/>
              </w:rPr>
            </w:pPr>
            <w:r w:rsidRPr="006F34CD">
              <w:rPr>
                <w:rFonts w:eastAsia="Times New Roman"/>
                <w:i/>
                <w:iCs/>
              </w:rPr>
              <w:t>Gorno-Altaysk LRO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6669B824" w14:textId="77777777">
            <w:pPr>
              <w:rPr>
                <w:rFonts w:eastAsia="Times New Roman"/>
              </w:rPr>
            </w:pPr>
            <w:r w:rsidRPr="006F34CD">
              <w:rPr>
                <w:rFonts w:eastAsia="Times New Roman"/>
              </w:rPr>
              <w:t>23/07/2010</w:t>
            </w:r>
          </w:p>
        </w:tc>
      </w:tr>
      <w:tr w:rsidRPr="006F34CD" w:rsidR="008C40B9" w:rsidTr="00396F9A" w14:paraId="6F68AE46" w14:textId="77777777">
        <w:trPr>
          <w:divId w:val="2118981044"/>
        </w:trPr>
        <w:tc>
          <w:tcPr>
            <w:tcW w:w="0" w:type="auto"/>
            <w:hideMark/>
          </w:tcPr>
          <w:p w:rsidRPr="006F34CD" w:rsidR="008C40B9" w:rsidP="006F34CD" w:rsidRDefault="008C40B9" w14:paraId="69B1E3EC" w14:textId="77777777">
            <w:pPr>
              <w:rPr>
                <w:rFonts w:eastAsia="Times New Roman"/>
              </w:rPr>
            </w:pPr>
            <w:r w:rsidRPr="006F34CD">
              <w:rPr>
                <w:rFonts w:eastAsia="Times New Roman"/>
              </w:rPr>
              <w:t>3.</w:t>
            </w:r>
          </w:p>
        </w:tc>
        <w:tc>
          <w:tcPr>
            <w:tcW w:w="1381" w:type="dxa"/>
            <w:hideMark/>
          </w:tcPr>
          <w:p w:rsidRPr="006F34CD" w:rsidR="008C40B9" w:rsidP="006F34CD" w:rsidRDefault="008C40B9" w14:paraId="6881B7A4" w14:textId="77777777">
            <w:pPr>
              <w:rPr>
                <w:rFonts w:eastAsia="Times New Roman"/>
              </w:rPr>
            </w:pPr>
            <w:r w:rsidRPr="006F34CD">
              <w:rPr>
                <w:rFonts w:eastAsia="Times New Roman"/>
              </w:rPr>
              <w:t>3488/11</w:t>
            </w:r>
          </w:p>
        </w:tc>
        <w:tc>
          <w:tcPr>
            <w:tcW w:w="4313" w:type="dxa"/>
            <w:hideMark/>
          </w:tcPr>
          <w:p w:rsidRPr="006F34CD" w:rsidR="008C40B9" w:rsidP="006F34CD" w:rsidRDefault="008C40B9" w14:paraId="536EEAE4" w14:textId="77777777">
            <w:pPr>
              <w:rPr>
                <w:rFonts w:eastAsia="Times New Roman"/>
                <w:i/>
                <w:iCs/>
              </w:rPr>
            </w:pPr>
            <w:r w:rsidRPr="006F34CD">
              <w:rPr>
                <w:rFonts w:eastAsia="Times New Roman"/>
                <w:i/>
                <w:iCs/>
              </w:rPr>
              <w:t>Boltnyev</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6135FE46" w14:textId="77777777">
            <w:pPr>
              <w:rPr>
                <w:rFonts w:eastAsia="Times New Roman"/>
              </w:rPr>
            </w:pPr>
            <w:r w:rsidRPr="006F34CD">
              <w:rPr>
                <w:rFonts w:eastAsia="Times New Roman"/>
              </w:rPr>
              <w:t>03/01/2011</w:t>
            </w:r>
          </w:p>
        </w:tc>
      </w:tr>
      <w:tr w:rsidRPr="006F34CD" w:rsidR="008C40B9" w:rsidTr="00396F9A" w14:paraId="7493F4D7" w14:textId="77777777">
        <w:trPr>
          <w:divId w:val="2118981044"/>
        </w:trPr>
        <w:tc>
          <w:tcPr>
            <w:tcW w:w="0" w:type="auto"/>
            <w:hideMark/>
          </w:tcPr>
          <w:p w:rsidRPr="006F34CD" w:rsidR="008C40B9" w:rsidP="006F34CD" w:rsidRDefault="008C40B9" w14:paraId="1DF2B462" w14:textId="77777777">
            <w:pPr>
              <w:rPr>
                <w:rFonts w:eastAsia="Times New Roman"/>
              </w:rPr>
            </w:pPr>
            <w:r w:rsidRPr="006F34CD">
              <w:rPr>
                <w:rFonts w:eastAsia="Times New Roman"/>
              </w:rPr>
              <w:t>4.</w:t>
            </w:r>
          </w:p>
        </w:tc>
        <w:tc>
          <w:tcPr>
            <w:tcW w:w="1381" w:type="dxa"/>
            <w:hideMark/>
          </w:tcPr>
          <w:p w:rsidRPr="006F34CD" w:rsidR="008C40B9" w:rsidP="006F34CD" w:rsidRDefault="008C40B9" w14:paraId="02FEDE4F" w14:textId="77777777">
            <w:pPr>
              <w:rPr>
                <w:rFonts w:eastAsia="Times New Roman"/>
              </w:rPr>
            </w:pPr>
            <w:r w:rsidRPr="006F34CD">
              <w:rPr>
                <w:rFonts w:eastAsia="Times New Roman"/>
              </w:rPr>
              <w:t>3492/11</w:t>
            </w:r>
          </w:p>
        </w:tc>
        <w:tc>
          <w:tcPr>
            <w:tcW w:w="4313" w:type="dxa"/>
            <w:hideMark/>
          </w:tcPr>
          <w:p w:rsidRPr="006F34CD" w:rsidR="008C40B9" w:rsidP="006F34CD" w:rsidRDefault="008C40B9" w14:paraId="06A333DA" w14:textId="77777777">
            <w:pPr>
              <w:rPr>
                <w:rFonts w:eastAsia="Times New Roman"/>
                <w:i/>
                <w:iCs/>
              </w:rPr>
            </w:pPr>
            <w:r w:rsidRPr="006F34CD">
              <w:rPr>
                <w:rFonts w:eastAsia="Times New Roman"/>
                <w:i/>
                <w:iCs/>
              </w:rPr>
              <w:t>Mardonov</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3E08D9AF" w14:textId="77777777">
            <w:pPr>
              <w:rPr>
                <w:rFonts w:eastAsia="Times New Roman"/>
              </w:rPr>
            </w:pPr>
            <w:r w:rsidRPr="006F34CD">
              <w:rPr>
                <w:rFonts w:eastAsia="Times New Roman"/>
              </w:rPr>
              <w:t>03/01/2011</w:t>
            </w:r>
          </w:p>
        </w:tc>
      </w:tr>
      <w:tr w:rsidRPr="006F34CD" w:rsidR="008C40B9" w:rsidTr="00396F9A" w14:paraId="60138A3D" w14:textId="77777777">
        <w:trPr>
          <w:divId w:val="2118981044"/>
        </w:trPr>
        <w:tc>
          <w:tcPr>
            <w:tcW w:w="0" w:type="auto"/>
            <w:hideMark/>
          </w:tcPr>
          <w:p w:rsidRPr="006F34CD" w:rsidR="008C40B9" w:rsidP="006F34CD" w:rsidRDefault="008C40B9" w14:paraId="6B24CAB3" w14:textId="77777777">
            <w:pPr>
              <w:rPr>
                <w:rFonts w:eastAsia="Times New Roman"/>
              </w:rPr>
            </w:pPr>
            <w:r w:rsidRPr="006F34CD">
              <w:rPr>
                <w:rFonts w:eastAsia="Times New Roman"/>
              </w:rPr>
              <w:t>5.</w:t>
            </w:r>
          </w:p>
        </w:tc>
        <w:tc>
          <w:tcPr>
            <w:tcW w:w="1381" w:type="dxa"/>
            <w:hideMark/>
          </w:tcPr>
          <w:p w:rsidRPr="006F34CD" w:rsidR="008C40B9" w:rsidP="006F34CD" w:rsidRDefault="008C40B9" w14:paraId="7D8112C2" w14:textId="77777777">
            <w:pPr>
              <w:rPr>
                <w:rFonts w:eastAsia="Times New Roman"/>
              </w:rPr>
            </w:pPr>
            <w:r w:rsidRPr="006F34CD">
              <w:rPr>
                <w:rFonts w:eastAsia="Times New Roman"/>
              </w:rPr>
              <w:t>14821/11</w:t>
            </w:r>
          </w:p>
        </w:tc>
        <w:tc>
          <w:tcPr>
            <w:tcW w:w="4313" w:type="dxa"/>
            <w:hideMark/>
          </w:tcPr>
          <w:p w:rsidRPr="006F34CD" w:rsidR="008C40B9" w:rsidP="006F34CD" w:rsidRDefault="008C40B9" w14:paraId="5BB9A5AB" w14:textId="77777777">
            <w:pPr>
              <w:rPr>
                <w:rFonts w:eastAsia="Times New Roman"/>
                <w:i/>
                <w:iCs/>
              </w:rPr>
            </w:pPr>
            <w:r w:rsidRPr="006F34CD">
              <w:rPr>
                <w:rFonts w:eastAsia="Times New Roman"/>
                <w:i/>
                <w:iCs/>
              </w:rPr>
              <w:t>Aliyev</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7C15816F" w14:textId="77777777">
            <w:pPr>
              <w:rPr>
                <w:rFonts w:eastAsia="Times New Roman"/>
              </w:rPr>
            </w:pPr>
            <w:r w:rsidRPr="006F34CD">
              <w:rPr>
                <w:rFonts w:eastAsia="Times New Roman"/>
              </w:rPr>
              <w:t>08/02/2011</w:t>
            </w:r>
          </w:p>
        </w:tc>
      </w:tr>
      <w:tr w:rsidRPr="006F34CD" w:rsidR="008C40B9" w:rsidTr="00396F9A" w14:paraId="14333759" w14:textId="77777777">
        <w:trPr>
          <w:divId w:val="2118981044"/>
        </w:trPr>
        <w:tc>
          <w:tcPr>
            <w:tcW w:w="0" w:type="auto"/>
            <w:hideMark/>
          </w:tcPr>
          <w:p w:rsidRPr="006F34CD" w:rsidR="008C40B9" w:rsidP="006F34CD" w:rsidRDefault="008C40B9" w14:paraId="68AB3D5E" w14:textId="77777777">
            <w:pPr>
              <w:rPr>
                <w:rFonts w:eastAsia="Times New Roman"/>
              </w:rPr>
            </w:pPr>
            <w:r w:rsidRPr="006F34CD">
              <w:rPr>
                <w:rFonts w:eastAsia="Times New Roman"/>
              </w:rPr>
              <w:t>6.</w:t>
            </w:r>
          </w:p>
        </w:tc>
        <w:tc>
          <w:tcPr>
            <w:tcW w:w="1381" w:type="dxa"/>
            <w:hideMark/>
          </w:tcPr>
          <w:p w:rsidRPr="006F34CD" w:rsidR="008C40B9" w:rsidP="006F34CD" w:rsidRDefault="008C40B9" w14:paraId="0C5E3EFB" w14:textId="77777777">
            <w:pPr>
              <w:rPr>
                <w:rFonts w:eastAsia="Times New Roman"/>
              </w:rPr>
            </w:pPr>
            <w:r w:rsidRPr="006F34CD">
              <w:rPr>
                <w:rFonts w:eastAsia="Times New Roman"/>
              </w:rPr>
              <w:t>17552/11</w:t>
            </w:r>
          </w:p>
        </w:tc>
        <w:tc>
          <w:tcPr>
            <w:tcW w:w="4313" w:type="dxa"/>
            <w:hideMark/>
          </w:tcPr>
          <w:p w:rsidRPr="006F34CD" w:rsidR="008C40B9" w:rsidP="006F34CD" w:rsidRDefault="008C40B9" w14:paraId="16A2D204" w14:textId="77777777">
            <w:pPr>
              <w:rPr>
                <w:rFonts w:eastAsia="Times New Roman"/>
                <w:i/>
                <w:iCs/>
              </w:rPr>
            </w:pPr>
            <w:r w:rsidRPr="006F34CD">
              <w:rPr>
                <w:rFonts w:eastAsia="Times New Roman"/>
                <w:i/>
                <w:iCs/>
              </w:rPr>
              <w:t>Fedorin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7F5FAB15" w14:textId="77777777">
            <w:pPr>
              <w:rPr>
                <w:rFonts w:eastAsia="Times New Roman"/>
              </w:rPr>
            </w:pPr>
            <w:r w:rsidRPr="006F34CD">
              <w:rPr>
                <w:rFonts w:eastAsia="Times New Roman"/>
              </w:rPr>
              <w:t>11/03/2011</w:t>
            </w:r>
          </w:p>
        </w:tc>
      </w:tr>
      <w:tr w:rsidRPr="006F34CD" w:rsidR="008C40B9" w:rsidTr="00396F9A" w14:paraId="33DEE668" w14:textId="77777777">
        <w:trPr>
          <w:divId w:val="2118981044"/>
        </w:trPr>
        <w:tc>
          <w:tcPr>
            <w:tcW w:w="0" w:type="auto"/>
            <w:hideMark/>
          </w:tcPr>
          <w:p w:rsidRPr="006F34CD" w:rsidR="008C40B9" w:rsidP="006F34CD" w:rsidRDefault="008C40B9" w14:paraId="0BDF0868" w14:textId="77777777">
            <w:pPr>
              <w:rPr>
                <w:rFonts w:eastAsia="Times New Roman"/>
              </w:rPr>
            </w:pPr>
            <w:r w:rsidRPr="006F34CD">
              <w:rPr>
                <w:rFonts w:eastAsia="Times New Roman"/>
              </w:rPr>
              <w:t>7.</w:t>
            </w:r>
          </w:p>
        </w:tc>
        <w:tc>
          <w:tcPr>
            <w:tcW w:w="1381" w:type="dxa"/>
            <w:hideMark/>
          </w:tcPr>
          <w:p w:rsidRPr="006F34CD" w:rsidR="008C40B9" w:rsidP="006F34CD" w:rsidRDefault="008C40B9" w14:paraId="065244AB" w14:textId="77777777">
            <w:pPr>
              <w:rPr>
                <w:rFonts w:eastAsia="Times New Roman"/>
              </w:rPr>
            </w:pPr>
            <w:r w:rsidRPr="006F34CD">
              <w:rPr>
                <w:rFonts w:eastAsia="Times New Roman"/>
              </w:rPr>
              <w:t>2269/12</w:t>
            </w:r>
          </w:p>
        </w:tc>
        <w:tc>
          <w:tcPr>
            <w:tcW w:w="4313" w:type="dxa"/>
            <w:hideMark/>
          </w:tcPr>
          <w:p w:rsidRPr="006F34CD" w:rsidR="008C40B9" w:rsidP="006F34CD" w:rsidRDefault="008C40B9" w14:paraId="1D210128" w14:textId="77777777">
            <w:pPr>
              <w:rPr>
                <w:rFonts w:eastAsia="Times New Roman"/>
                <w:i/>
                <w:iCs/>
              </w:rPr>
            </w:pPr>
            <w:r w:rsidRPr="006F34CD">
              <w:rPr>
                <w:rFonts w:eastAsia="Times New Roman"/>
                <w:i/>
                <w:iCs/>
              </w:rPr>
              <w:t>Chukan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16361561" w14:textId="77777777">
            <w:pPr>
              <w:rPr>
                <w:rFonts w:eastAsia="Times New Roman"/>
              </w:rPr>
            </w:pPr>
            <w:r w:rsidRPr="006F34CD">
              <w:rPr>
                <w:rFonts w:eastAsia="Times New Roman"/>
              </w:rPr>
              <w:t>05/01/2012</w:t>
            </w:r>
          </w:p>
        </w:tc>
      </w:tr>
      <w:tr w:rsidRPr="006F34CD" w:rsidR="008C40B9" w:rsidTr="00396F9A" w14:paraId="0539EC93" w14:textId="77777777">
        <w:trPr>
          <w:divId w:val="2118981044"/>
        </w:trPr>
        <w:tc>
          <w:tcPr>
            <w:tcW w:w="0" w:type="auto"/>
            <w:hideMark/>
          </w:tcPr>
          <w:p w:rsidRPr="006F34CD" w:rsidR="008C40B9" w:rsidP="006F34CD" w:rsidRDefault="008C40B9" w14:paraId="0939F827" w14:textId="77777777">
            <w:pPr>
              <w:rPr>
                <w:rFonts w:eastAsia="Times New Roman"/>
              </w:rPr>
            </w:pPr>
            <w:r w:rsidRPr="006F34CD">
              <w:rPr>
                <w:rFonts w:eastAsia="Times New Roman"/>
              </w:rPr>
              <w:t>8.</w:t>
            </w:r>
          </w:p>
        </w:tc>
        <w:tc>
          <w:tcPr>
            <w:tcW w:w="1381" w:type="dxa"/>
            <w:hideMark/>
          </w:tcPr>
          <w:p w:rsidRPr="006F34CD" w:rsidR="008C40B9" w:rsidP="006F34CD" w:rsidRDefault="008C40B9" w14:paraId="0FF1B7E1" w14:textId="77777777">
            <w:pPr>
              <w:rPr>
                <w:rFonts w:eastAsia="Times New Roman"/>
              </w:rPr>
            </w:pPr>
            <w:r w:rsidRPr="006F34CD">
              <w:rPr>
                <w:rFonts w:eastAsia="Times New Roman"/>
              </w:rPr>
              <w:t>5547/12</w:t>
            </w:r>
          </w:p>
        </w:tc>
        <w:tc>
          <w:tcPr>
            <w:tcW w:w="4313" w:type="dxa"/>
            <w:hideMark/>
          </w:tcPr>
          <w:p w:rsidRPr="006F34CD" w:rsidR="008C40B9" w:rsidP="006F34CD" w:rsidRDefault="008C40B9" w14:paraId="4727DFB2" w14:textId="77777777">
            <w:pPr>
              <w:rPr>
                <w:rFonts w:eastAsia="Times New Roman"/>
                <w:i/>
                <w:iCs/>
              </w:rPr>
            </w:pPr>
            <w:r w:rsidRPr="006F34CD">
              <w:rPr>
                <w:rFonts w:eastAsia="Times New Roman"/>
                <w:i/>
                <w:iCs/>
              </w:rPr>
              <w:t>Gareyev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5FBD88E7" w14:textId="77777777">
            <w:pPr>
              <w:rPr>
                <w:rFonts w:eastAsia="Times New Roman"/>
              </w:rPr>
            </w:pPr>
            <w:r w:rsidRPr="006F34CD">
              <w:rPr>
                <w:rFonts w:eastAsia="Times New Roman"/>
              </w:rPr>
              <w:t>10/01/2012</w:t>
            </w:r>
          </w:p>
        </w:tc>
      </w:tr>
      <w:tr w:rsidRPr="006F34CD" w:rsidR="008C40B9" w:rsidTr="00396F9A" w14:paraId="686D449B" w14:textId="77777777">
        <w:trPr>
          <w:divId w:val="2118981044"/>
        </w:trPr>
        <w:tc>
          <w:tcPr>
            <w:tcW w:w="0" w:type="auto"/>
            <w:hideMark/>
          </w:tcPr>
          <w:p w:rsidRPr="006F34CD" w:rsidR="008C40B9" w:rsidP="006F34CD" w:rsidRDefault="008C40B9" w14:paraId="1A357109" w14:textId="77777777">
            <w:pPr>
              <w:rPr>
                <w:rFonts w:eastAsia="Times New Roman"/>
              </w:rPr>
            </w:pPr>
            <w:r w:rsidRPr="006F34CD">
              <w:rPr>
                <w:rFonts w:eastAsia="Times New Roman"/>
              </w:rPr>
              <w:t>9.</w:t>
            </w:r>
          </w:p>
        </w:tc>
        <w:tc>
          <w:tcPr>
            <w:tcW w:w="1381" w:type="dxa"/>
            <w:hideMark/>
          </w:tcPr>
          <w:p w:rsidRPr="006F34CD" w:rsidR="008C40B9" w:rsidP="006F34CD" w:rsidRDefault="008C40B9" w14:paraId="0F3E3180" w14:textId="77777777">
            <w:pPr>
              <w:rPr>
                <w:rFonts w:eastAsia="Times New Roman"/>
              </w:rPr>
            </w:pPr>
            <w:r w:rsidRPr="006F34CD">
              <w:rPr>
                <w:rFonts w:eastAsia="Times New Roman"/>
              </w:rPr>
              <w:t>76162/12</w:t>
            </w:r>
          </w:p>
        </w:tc>
        <w:tc>
          <w:tcPr>
            <w:tcW w:w="4313" w:type="dxa"/>
            <w:hideMark/>
          </w:tcPr>
          <w:p w:rsidRPr="006F34CD" w:rsidR="008C40B9" w:rsidP="006F34CD" w:rsidRDefault="008C40B9" w14:paraId="5FFDBD10" w14:textId="542C4DBA">
            <w:pPr>
              <w:rPr>
                <w:rFonts w:eastAsia="Times New Roman"/>
                <w:i/>
                <w:iCs/>
              </w:rPr>
            </w:pPr>
            <w:r w:rsidRPr="006F34CD">
              <w:rPr>
                <w:rFonts w:eastAsia="Times New Roman"/>
                <w:i/>
                <w:iCs/>
              </w:rPr>
              <w:t>Administrative Centre of Jehovah</w:t>
            </w:r>
            <w:r w:rsidRPr="006F34CD" w:rsidR="006F34CD">
              <w:rPr>
                <w:rFonts w:eastAsia="Times New Roman"/>
                <w:i/>
                <w:iCs/>
              </w:rPr>
              <w:t>’</w:t>
            </w:r>
            <w:r w:rsidRPr="006F34CD">
              <w:rPr>
                <w:rFonts w:eastAsia="Times New Roman"/>
                <w:i/>
                <w:iCs/>
              </w:rPr>
              <w:t xml:space="preserve">s Witnesses </w:t>
            </w:r>
            <w:r w:rsidRPr="006F34CD" w:rsidR="00E23DD0">
              <w:rPr>
                <w:rFonts w:eastAsia="Times New Roman"/>
                <w:i/>
                <w:iCs/>
              </w:rPr>
              <w:t>in</w:t>
            </w:r>
            <w:r w:rsidRPr="006F34CD">
              <w:rPr>
                <w:rFonts w:eastAsia="Times New Roman"/>
                <w:i/>
                <w:iCs/>
              </w:rPr>
              <w:t xml:space="preserve"> Russia and Wachtturm Bibel- </w:t>
            </w:r>
            <w:r w:rsidRPr="006F34CD" w:rsidR="00191CC4">
              <w:rPr>
                <w:rFonts w:eastAsia="Times New Roman"/>
                <w:i/>
                <w:iCs/>
              </w:rPr>
              <w:t xml:space="preserve">und </w:t>
            </w:r>
            <w:r w:rsidRPr="006F34CD">
              <w:rPr>
                <w:rFonts w:eastAsia="Times New Roman"/>
                <w:i/>
                <w:iCs/>
              </w:rPr>
              <w:t xml:space="preserve">Traktat-Gesellschaft </w:t>
            </w:r>
            <w:r w:rsidRPr="006F34CD" w:rsidR="00191CC4">
              <w:rPr>
                <w:rFonts w:eastAsia="Times New Roman"/>
                <w:i/>
                <w:iCs/>
              </w:rPr>
              <w:t xml:space="preserve">der </w:t>
            </w:r>
            <w:r w:rsidRPr="006F34CD">
              <w:rPr>
                <w:rFonts w:eastAsia="Times New Roman"/>
                <w:i/>
                <w:iCs/>
              </w:rPr>
              <w:t>Zeugen Jehovas e.V.</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244AE62E" w14:textId="77777777">
            <w:pPr>
              <w:rPr>
                <w:rFonts w:eastAsia="Times New Roman"/>
              </w:rPr>
            </w:pPr>
            <w:r w:rsidRPr="006F34CD">
              <w:rPr>
                <w:rFonts w:eastAsia="Times New Roman"/>
              </w:rPr>
              <w:t>21/11/2012</w:t>
            </w:r>
          </w:p>
        </w:tc>
      </w:tr>
      <w:tr w:rsidRPr="006F34CD" w:rsidR="008C40B9" w:rsidTr="00396F9A" w14:paraId="2941AB75" w14:textId="77777777">
        <w:trPr>
          <w:divId w:val="2118981044"/>
        </w:trPr>
        <w:tc>
          <w:tcPr>
            <w:tcW w:w="0" w:type="auto"/>
            <w:hideMark/>
          </w:tcPr>
          <w:p w:rsidRPr="006F34CD" w:rsidR="008C40B9" w:rsidP="006F34CD" w:rsidRDefault="008C40B9" w14:paraId="42EDDC9A" w14:textId="77777777">
            <w:pPr>
              <w:rPr>
                <w:rFonts w:eastAsia="Times New Roman"/>
              </w:rPr>
            </w:pPr>
            <w:r w:rsidRPr="006F34CD">
              <w:rPr>
                <w:rFonts w:eastAsia="Times New Roman"/>
              </w:rPr>
              <w:t>10.</w:t>
            </w:r>
          </w:p>
        </w:tc>
        <w:tc>
          <w:tcPr>
            <w:tcW w:w="1381" w:type="dxa"/>
            <w:hideMark/>
          </w:tcPr>
          <w:p w:rsidRPr="006F34CD" w:rsidR="008C40B9" w:rsidP="006F34CD" w:rsidRDefault="008C40B9" w14:paraId="3A34E82C" w14:textId="77777777">
            <w:pPr>
              <w:rPr>
                <w:rFonts w:eastAsia="Times New Roman"/>
              </w:rPr>
            </w:pPr>
            <w:r w:rsidRPr="006F34CD">
              <w:rPr>
                <w:rFonts w:eastAsia="Times New Roman"/>
              </w:rPr>
              <w:t>74387/13</w:t>
            </w:r>
          </w:p>
        </w:tc>
        <w:tc>
          <w:tcPr>
            <w:tcW w:w="4313" w:type="dxa"/>
            <w:hideMark/>
          </w:tcPr>
          <w:p w:rsidRPr="006F34CD" w:rsidR="008C40B9" w:rsidP="006F34CD" w:rsidRDefault="008C40B9" w14:paraId="1ABBACDD" w14:textId="77777777">
            <w:pPr>
              <w:rPr>
                <w:rFonts w:eastAsia="Times New Roman"/>
                <w:i/>
                <w:iCs/>
              </w:rPr>
            </w:pPr>
            <w:r w:rsidRPr="006F34CD">
              <w:rPr>
                <w:rFonts w:eastAsia="Times New Roman"/>
                <w:i/>
                <w:iCs/>
              </w:rPr>
              <w:t>Zinich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2CE35BB3" w14:textId="77777777">
            <w:pPr>
              <w:rPr>
                <w:rFonts w:eastAsia="Times New Roman"/>
              </w:rPr>
            </w:pPr>
            <w:r w:rsidRPr="006F34CD">
              <w:rPr>
                <w:rFonts w:eastAsia="Times New Roman"/>
              </w:rPr>
              <w:t>19/11/2013</w:t>
            </w:r>
          </w:p>
        </w:tc>
      </w:tr>
      <w:tr w:rsidRPr="006F34CD" w:rsidR="008C40B9" w:rsidTr="00396F9A" w14:paraId="74998CF6" w14:textId="77777777">
        <w:trPr>
          <w:divId w:val="2118981044"/>
        </w:trPr>
        <w:tc>
          <w:tcPr>
            <w:tcW w:w="0" w:type="auto"/>
            <w:hideMark/>
          </w:tcPr>
          <w:p w:rsidRPr="006F34CD" w:rsidR="008C40B9" w:rsidP="006F34CD" w:rsidRDefault="008C40B9" w14:paraId="575B81A4" w14:textId="77777777">
            <w:pPr>
              <w:rPr>
                <w:rFonts w:eastAsia="Times New Roman"/>
              </w:rPr>
            </w:pPr>
            <w:r w:rsidRPr="006F34CD">
              <w:rPr>
                <w:rFonts w:eastAsia="Times New Roman"/>
              </w:rPr>
              <w:t>11.</w:t>
            </w:r>
          </w:p>
        </w:tc>
        <w:tc>
          <w:tcPr>
            <w:tcW w:w="1381" w:type="dxa"/>
            <w:hideMark/>
          </w:tcPr>
          <w:p w:rsidRPr="006F34CD" w:rsidR="008C40B9" w:rsidP="006F34CD" w:rsidRDefault="008C40B9" w14:paraId="6C895E1F" w14:textId="77777777">
            <w:pPr>
              <w:rPr>
                <w:rFonts w:eastAsia="Times New Roman"/>
              </w:rPr>
            </w:pPr>
            <w:r w:rsidRPr="006F34CD">
              <w:rPr>
                <w:rFonts w:eastAsia="Times New Roman"/>
              </w:rPr>
              <w:t>79240/13</w:t>
            </w:r>
          </w:p>
        </w:tc>
        <w:tc>
          <w:tcPr>
            <w:tcW w:w="4313" w:type="dxa"/>
            <w:hideMark/>
          </w:tcPr>
          <w:p w:rsidRPr="006F34CD" w:rsidR="008C40B9" w:rsidP="006F34CD" w:rsidRDefault="008C40B9" w14:paraId="6CECBA87" w14:textId="77777777">
            <w:pPr>
              <w:rPr>
                <w:rFonts w:eastAsia="Times New Roman"/>
                <w:i/>
                <w:iCs/>
              </w:rPr>
            </w:pPr>
            <w:r w:rsidRPr="006F34CD">
              <w:rPr>
                <w:rFonts w:eastAsia="Times New Roman"/>
                <w:i/>
                <w:iCs/>
              </w:rPr>
              <w:t>Verish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50BCC334" w14:textId="77777777">
            <w:pPr>
              <w:rPr>
                <w:rFonts w:eastAsia="Times New Roman"/>
              </w:rPr>
            </w:pPr>
            <w:r w:rsidRPr="006F34CD">
              <w:rPr>
                <w:rFonts w:eastAsia="Times New Roman"/>
              </w:rPr>
              <w:t>11/12/2013</w:t>
            </w:r>
          </w:p>
        </w:tc>
      </w:tr>
      <w:tr w:rsidRPr="006F34CD" w:rsidR="008C40B9" w:rsidTr="00396F9A" w14:paraId="264AF19C" w14:textId="77777777">
        <w:trPr>
          <w:divId w:val="2118981044"/>
        </w:trPr>
        <w:tc>
          <w:tcPr>
            <w:tcW w:w="0" w:type="auto"/>
            <w:hideMark/>
          </w:tcPr>
          <w:p w:rsidRPr="006F34CD" w:rsidR="008C40B9" w:rsidP="006F34CD" w:rsidRDefault="008C40B9" w14:paraId="41C1A8DC" w14:textId="77777777">
            <w:pPr>
              <w:rPr>
                <w:rFonts w:eastAsia="Times New Roman"/>
              </w:rPr>
            </w:pPr>
            <w:r w:rsidRPr="006F34CD">
              <w:rPr>
                <w:rFonts w:eastAsia="Times New Roman"/>
              </w:rPr>
              <w:t>12.</w:t>
            </w:r>
          </w:p>
        </w:tc>
        <w:tc>
          <w:tcPr>
            <w:tcW w:w="1381" w:type="dxa"/>
            <w:hideMark/>
          </w:tcPr>
          <w:p w:rsidRPr="006F34CD" w:rsidR="008C40B9" w:rsidP="006F34CD" w:rsidRDefault="008C40B9" w14:paraId="3D77E48D" w14:textId="77777777">
            <w:pPr>
              <w:rPr>
                <w:rFonts w:eastAsia="Times New Roman"/>
              </w:rPr>
            </w:pPr>
            <w:r w:rsidRPr="006F34CD">
              <w:rPr>
                <w:rFonts w:eastAsia="Times New Roman"/>
              </w:rPr>
              <w:t>28108/14</w:t>
            </w:r>
          </w:p>
        </w:tc>
        <w:tc>
          <w:tcPr>
            <w:tcW w:w="4313" w:type="dxa"/>
            <w:hideMark/>
          </w:tcPr>
          <w:p w:rsidRPr="006F34CD" w:rsidR="008C40B9" w:rsidP="006F34CD" w:rsidRDefault="008C40B9" w14:paraId="3B87CCE4" w14:textId="77777777">
            <w:pPr>
              <w:rPr>
                <w:rFonts w:eastAsia="Times New Roman"/>
                <w:i/>
                <w:iCs/>
              </w:rPr>
            </w:pPr>
            <w:r w:rsidRPr="006F34CD">
              <w:rPr>
                <w:rFonts w:eastAsia="Times New Roman"/>
                <w:i/>
                <w:iCs/>
              </w:rPr>
              <w:t>Novikov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63CC0E3C" w14:textId="77777777">
            <w:pPr>
              <w:rPr>
                <w:rFonts w:eastAsia="Times New Roman"/>
              </w:rPr>
            </w:pPr>
            <w:r w:rsidRPr="006F34CD">
              <w:rPr>
                <w:rFonts w:eastAsia="Times New Roman"/>
              </w:rPr>
              <w:t>04/04/2014</w:t>
            </w:r>
          </w:p>
        </w:tc>
      </w:tr>
      <w:tr w:rsidRPr="006F34CD" w:rsidR="008C40B9" w:rsidTr="00396F9A" w14:paraId="3C3382F3" w14:textId="77777777">
        <w:trPr>
          <w:divId w:val="2118981044"/>
        </w:trPr>
        <w:tc>
          <w:tcPr>
            <w:tcW w:w="0" w:type="auto"/>
            <w:hideMark/>
          </w:tcPr>
          <w:p w:rsidRPr="006F34CD" w:rsidR="008C40B9" w:rsidP="006F34CD" w:rsidRDefault="008C40B9" w14:paraId="2423B109" w14:textId="77777777">
            <w:pPr>
              <w:rPr>
                <w:rFonts w:eastAsia="Times New Roman"/>
              </w:rPr>
            </w:pPr>
            <w:r w:rsidRPr="006F34CD">
              <w:rPr>
                <w:rFonts w:eastAsia="Times New Roman"/>
              </w:rPr>
              <w:t>13.</w:t>
            </w:r>
          </w:p>
        </w:tc>
        <w:tc>
          <w:tcPr>
            <w:tcW w:w="1381" w:type="dxa"/>
            <w:hideMark/>
          </w:tcPr>
          <w:p w:rsidRPr="006F34CD" w:rsidR="008C40B9" w:rsidP="006F34CD" w:rsidRDefault="008C40B9" w14:paraId="084B6510" w14:textId="77777777">
            <w:pPr>
              <w:rPr>
                <w:rFonts w:eastAsia="Times New Roman"/>
              </w:rPr>
            </w:pPr>
            <w:r w:rsidRPr="006F34CD">
              <w:rPr>
                <w:rFonts w:eastAsia="Times New Roman"/>
              </w:rPr>
              <w:t>2861/15</w:t>
            </w:r>
            <w:r w:rsidRPr="006F34CD" w:rsidR="006C787D">
              <w:rPr>
                <w:rFonts w:eastAsia="Times New Roman"/>
              </w:rPr>
              <w:t>*</w:t>
            </w:r>
          </w:p>
        </w:tc>
        <w:tc>
          <w:tcPr>
            <w:tcW w:w="4313" w:type="dxa"/>
            <w:hideMark/>
          </w:tcPr>
          <w:p w:rsidRPr="006F34CD" w:rsidR="008C40B9" w:rsidP="006F34CD" w:rsidRDefault="008C40B9" w14:paraId="4F70D288" w14:textId="77777777">
            <w:pPr>
              <w:rPr>
                <w:rFonts w:eastAsia="Times New Roman"/>
                <w:i/>
                <w:iCs/>
              </w:rPr>
            </w:pPr>
            <w:r w:rsidRPr="006F34CD">
              <w:rPr>
                <w:rFonts w:eastAsia="Times New Roman"/>
                <w:i/>
                <w:iCs/>
              </w:rPr>
              <w:t>Kravchuk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36497C54" w14:textId="77777777">
            <w:pPr>
              <w:rPr>
                <w:rFonts w:eastAsia="Times New Roman"/>
              </w:rPr>
            </w:pPr>
            <w:r w:rsidRPr="006F34CD">
              <w:rPr>
                <w:rFonts w:eastAsia="Times New Roman"/>
              </w:rPr>
              <w:t>14/01/2015</w:t>
            </w:r>
          </w:p>
        </w:tc>
      </w:tr>
      <w:tr w:rsidRPr="006F34CD" w:rsidR="008C40B9" w:rsidTr="00396F9A" w14:paraId="6C59E904" w14:textId="77777777">
        <w:trPr>
          <w:divId w:val="2118981044"/>
        </w:trPr>
        <w:tc>
          <w:tcPr>
            <w:tcW w:w="0" w:type="auto"/>
            <w:hideMark/>
          </w:tcPr>
          <w:p w:rsidRPr="006F34CD" w:rsidR="008C40B9" w:rsidP="006F34CD" w:rsidRDefault="008C40B9" w14:paraId="1F33755A" w14:textId="77777777">
            <w:pPr>
              <w:rPr>
                <w:rFonts w:eastAsia="Times New Roman"/>
              </w:rPr>
            </w:pPr>
            <w:r w:rsidRPr="006F34CD">
              <w:rPr>
                <w:rFonts w:eastAsia="Times New Roman"/>
              </w:rPr>
              <w:t>14.</w:t>
            </w:r>
          </w:p>
        </w:tc>
        <w:tc>
          <w:tcPr>
            <w:tcW w:w="1381" w:type="dxa"/>
            <w:hideMark/>
          </w:tcPr>
          <w:p w:rsidRPr="006F34CD" w:rsidR="008C40B9" w:rsidP="006F34CD" w:rsidRDefault="008C40B9" w14:paraId="1429C5B4" w14:textId="77777777">
            <w:pPr>
              <w:rPr>
                <w:rFonts w:eastAsia="Times New Roman"/>
              </w:rPr>
            </w:pPr>
            <w:r w:rsidRPr="006F34CD">
              <w:rPr>
                <w:rFonts w:eastAsia="Times New Roman"/>
              </w:rPr>
              <w:t>15962/15</w:t>
            </w:r>
            <w:r w:rsidRPr="006F34CD" w:rsidR="006C787D">
              <w:rPr>
                <w:rFonts w:eastAsia="Times New Roman"/>
              </w:rPr>
              <w:t>*</w:t>
            </w:r>
          </w:p>
        </w:tc>
        <w:tc>
          <w:tcPr>
            <w:tcW w:w="4313" w:type="dxa"/>
            <w:hideMark/>
          </w:tcPr>
          <w:p w:rsidRPr="006F34CD" w:rsidR="008C40B9" w:rsidP="006F34CD" w:rsidRDefault="008C40B9" w14:paraId="21925339" w14:textId="77777777">
            <w:pPr>
              <w:rPr>
                <w:rFonts w:eastAsia="Times New Roman"/>
                <w:i/>
                <w:iCs/>
              </w:rPr>
            </w:pPr>
            <w:r w:rsidRPr="006F34CD">
              <w:rPr>
                <w:rFonts w:eastAsia="Times New Roman"/>
                <w:i/>
                <w:iCs/>
              </w:rPr>
              <w:t>Samara LRO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058F7A77" w14:textId="77777777">
            <w:pPr>
              <w:rPr>
                <w:rFonts w:eastAsia="Times New Roman"/>
              </w:rPr>
            </w:pPr>
            <w:r w:rsidRPr="006F34CD">
              <w:rPr>
                <w:rFonts w:eastAsia="Times New Roman"/>
              </w:rPr>
              <w:t>31/03/2015</w:t>
            </w:r>
          </w:p>
        </w:tc>
      </w:tr>
      <w:tr w:rsidRPr="006F34CD" w:rsidR="008C40B9" w:rsidTr="00396F9A" w14:paraId="4CC695E7" w14:textId="77777777">
        <w:trPr>
          <w:divId w:val="2118981044"/>
        </w:trPr>
        <w:tc>
          <w:tcPr>
            <w:tcW w:w="0" w:type="auto"/>
            <w:hideMark/>
          </w:tcPr>
          <w:p w:rsidRPr="006F34CD" w:rsidR="008C40B9" w:rsidP="006F34CD" w:rsidRDefault="008C40B9" w14:paraId="504D2AB9" w14:textId="77777777">
            <w:pPr>
              <w:rPr>
                <w:rFonts w:eastAsia="Times New Roman"/>
              </w:rPr>
            </w:pPr>
            <w:r w:rsidRPr="006F34CD">
              <w:rPr>
                <w:rFonts w:eastAsia="Times New Roman"/>
              </w:rPr>
              <w:t>15.</w:t>
            </w:r>
          </w:p>
        </w:tc>
        <w:tc>
          <w:tcPr>
            <w:tcW w:w="1381" w:type="dxa"/>
            <w:hideMark/>
          </w:tcPr>
          <w:p w:rsidRPr="006F34CD" w:rsidR="008C40B9" w:rsidP="006F34CD" w:rsidRDefault="008C40B9" w14:paraId="3B6CE72E" w14:textId="77777777">
            <w:pPr>
              <w:rPr>
                <w:rFonts w:eastAsia="Times New Roman"/>
              </w:rPr>
            </w:pPr>
            <w:r w:rsidRPr="006F34CD">
              <w:rPr>
                <w:rFonts w:eastAsia="Times New Roman"/>
              </w:rPr>
              <w:t>16578/15</w:t>
            </w:r>
          </w:p>
        </w:tc>
        <w:tc>
          <w:tcPr>
            <w:tcW w:w="4313" w:type="dxa"/>
            <w:hideMark/>
          </w:tcPr>
          <w:p w:rsidRPr="006F34CD" w:rsidR="008C40B9" w:rsidP="006F34CD" w:rsidRDefault="003F46AA" w14:paraId="5BED9FBC" w14:textId="02B9F4FF">
            <w:pPr>
              <w:rPr>
                <w:rFonts w:eastAsia="Times New Roman"/>
                <w:i/>
                <w:iCs/>
              </w:rPr>
            </w:pPr>
            <w:r w:rsidRPr="006F34CD">
              <w:rPr>
                <w:rFonts w:eastAsia="Times New Roman"/>
                <w:i/>
                <w:iCs/>
              </w:rPr>
              <w:t xml:space="preserve">Birobidzhan </w:t>
            </w:r>
            <w:r w:rsidRPr="006F34CD" w:rsidR="00CF3EA1">
              <w:rPr>
                <w:rFonts w:eastAsia="Times New Roman"/>
                <w:i/>
                <w:iCs/>
              </w:rPr>
              <w:t xml:space="preserve">LRO </w:t>
            </w:r>
            <w:r w:rsidRPr="006F34CD">
              <w:rPr>
                <w:rFonts w:eastAsia="Times New Roman"/>
                <w:i/>
                <w:iCs/>
              </w:rPr>
              <w:t xml:space="preserve">and </w:t>
            </w:r>
            <w:r w:rsidRPr="006F34CD" w:rsidR="008C40B9">
              <w:rPr>
                <w:rFonts w:eastAsia="Times New Roman"/>
                <w:i/>
                <w:iCs/>
              </w:rPr>
              <w:t xml:space="preserve">Aliyev </w:t>
            </w:r>
            <w:r w:rsidRPr="006F34CD" w:rsidR="0011451F">
              <w:rPr>
                <w:rFonts w:eastAsia="Times New Roman"/>
                <w:i/>
                <w:iCs/>
              </w:rPr>
              <w:t>v. R</w:t>
            </w:r>
            <w:r w:rsidRPr="006F34CD" w:rsidR="008C40B9">
              <w:rPr>
                <w:rFonts w:eastAsia="Times New Roman"/>
                <w:i/>
                <w:iCs/>
              </w:rPr>
              <w:t>ussia</w:t>
            </w:r>
          </w:p>
        </w:tc>
        <w:tc>
          <w:tcPr>
            <w:tcW w:w="0" w:type="auto"/>
            <w:hideMark/>
          </w:tcPr>
          <w:p w:rsidRPr="006F34CD" w:rsidR="008C40B9" w:rsidP="006F34CD" w:rsidRDefault="008C40B9" w14:paraId="4615C8D6" w14:textId="77777777">
            <w:pPr>
              <w:rPr>
                <w:rFonts w:eastAsia="Times New Roman"/>
              </w:rPr>
            </w:pPr>
            <w:r w:rsidRPr="006F34CD">
              <w:rPr>
                <w:rFonts w:eastAsia="Times New Roman"/>
              </w:rPr>
              <w:t>07/04/2015</w:t>
            </w:r>
          </w:p>
        </w:tc>
      </w:tr>
      <w:tr w:rsidRPr="006F34CD" w:rsidR="008C40B9" w:rsidTr="00396F9A" w14:paraId="2E3C1C32" w14:textId="77777777">
        <w:trPr>
          <w:divId w:val="2118981044"/>
        </w:trPr>
        <w:tc>
          <w:tcPr>
            <w:tcW w:w="0" w:type="auto"/>
            <w:hideMark/>
          </w:tcPr>
          <w:p w:rsidRPr="006F34CD" w:rsidR="008C40B9" w:rsidP="006F34CD" w:rsidRDefault="008C40B9" w14:paraId="7971A8CA" w14:textId="77777777">
            <w:pPr>
              <w:rPr>
                <w:rFonts w:eastAsia="Times New Roman"/>
              </w:rPr>
            </w:pPr>
            <w:r w:rsidRPr="006F34CD">
              <w:rPr>
                <w:rFonts w:eastAsia="Times New Roman"/>
              </w:rPr>
              <w:t>16.</w:t>
            </w:r>
          </w:p>
        </w:tc>
        <w:tc>
          <w:tcPr>
            <w:tcW w:w="1381" w:type="dxa"/>
            <w:hideMark/>
          </w:tcPr>
          <w:p w:rsidRPr="006F34CD" w:rsidR="008C40B9" w:rsidP="006F34CD" w:rsidRDefault="008C40B9" w14:paraId="1865407A" w14:textId="77777777">
            <w:pPr>
              <w:rPr>
                <w:rFonts w:eastAsia="Times New Roman"/>
              </w:rPr>
            </w:pPr>
            <w:r w:rsidRPr="006F34CD">
              <w:rPr>
                <w:rFonts w:eastAsia="Times New Roman"/>
              </w:rPr>
              <w:t>24622/16</w:t>
            </w:r>
            <w:r w:rsidRPr="006F34CD" w:rsidR="006C787D">
              <w:rPr>
                <w:rFonts w:eastAsia="Times New Roman"/>
              </w:rPr>
              <w:t>*</w:t>
            </w:r>
          </w:p>
        </w:tc>
        <w:tc>
          <w:tcPr>
            <w:tcW w:w="4313" w:type="dxa"/>
            <w:hideMark/>
          </w:tcPr>
          <w:p w:rsidRPr="006F34CD" w:rsidR="008C40B9" w:rsidP="006F34CD" w:rsidRDefault="008C40B9" w14:paraId="7F673BCB" w14:textId="77777777">
            <w:pPr>
              <w:rPr>
                <w:rFonts w:eastAsia="Times New Roman"/>
                <w:i/>
                <w:iCs/>
              </w:rPr>
            </w:pPr>
            <w:r w:rsidRPr="006F34CD">
              <w:rPr>
                <w:rFonts w:eastAsia="Times New Roman"/>
                <w:i/>
                <w:iCs/>
              </w:rPr>
              <w:t>Trotsyuk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366DD2C8" w14:textId="77777777">
            <w:pPr>
              <w:rPr>
                <w:rFonts w:eastAsia="Times New Roman"/>
              </w:rPr>
            </w:pPr>
            <w:r w:rsidRPr="006F34CD">
              <w:rPr>
                <w:rFonts w:eastAsia="Times New Roman"/>
              </w:rPr>
              <w:t>28/04/2016</w:t>
            </w:r>
          </w:p>
        </w:tc>
      </w:tr>
      <w:tr w:rsidRPr="006F34CD" w:rsidR="008C40B9" w:rsidTr="00396F9A" w14:paraId="4BA88EF4" w14:textId="77777777">
        <w:trPr>
          <w:divId w:val="2118981044"/>
        </w:trPr>
        <w:tc>
          <w:tcPr>
            <w:tcW w:w="0" w:type="auto"/>
            <w:hideMark/>
          </w:tcPr>
          <w:p w:rsidRPr="006F34CD" w:rsidR="008C40B9" w:rsidP="006F34CD" w:rsidRDefault="008C40B9" w14:paraId="53128653" w14:textId="77777777">
            <w:pPr>
              <w:rPr>
                <w:rFonts w:eastAsia="Times New Roman"/>
              </w:rPr>
            </w:pPr>
            <w:r w:rsidRPr="006F34CD">
              <w:rPr>
                <w:rFonts w:eastAsia="Times New Roman"/>
              </w:rPr>
              <w:t>17.</w:t>
            </w:r>
          </w:p>
        </w:tc>
        <w:tc>
          <w:tcPr>
            <w:tcW w:w="1381" w:type="dxa"/>
            <w:hideMark/>
          </w:tcPr>
          <w:p w:rsidRPr="006F34CD" w:rsidR="008C40B9" w:rsidP="006F34CD" w:rsidRDefault="008C40B9" w14:paraId="08B80808" w14:textId="77777777">
            <w:pPr>
              <w:rPr>
                <w:rFonts w:eastAsia="Times New Roman"/>
              </w:rPr>
            </w:pPr>
            <w:r w:rsidRPr="006F34CD">
              <w:rPr>
                <w:rFonts w:eastAsia="Times New Roman"/>
              </w:rPr>
              <w:t>10188/17</w:t>
            </w:r>
            <w:r w:rsidRPr="006F34CD" w:rsidR="006C787D">
              <w:rPr>
                <w:rFonts w:eastAsia="Times New Roman"/>
              </w:rPr>
              <w:t>*</w:t>
            </w:r>
          </w:p>
        </w:tc>
        <w:tc>
          <w:tcPr>
            <w:tcW w:w="4313" w:type="dxa"/>
            <w:hideMark/>
          </w:tcPr>
          <w:p w:rsidRPr="006F34CD" w:rsidR="008C40B9" w:rsidP="006F34CD" w:rsidRDefault="008C40B9" w14:paraId="1718C146" w14:textId="440A8BCA">
            <w:pPr>
              <w:rPr>
                <w:rFonts w:eastAsia="Times New Roman"/>
                <w:i/>
                <w:iCs/>
              </w:rPr>
            </w:pPr>
            <w:r w:rsidRPr="006F34CD">
              <w:rPr>
                <w:rFonts w:eastAsia="Times New Roman"/>
                <w:i/>
                <w:iCs/>
              </w:rPr>
              <w:t>Administrative Centre of Jehovah</w:t>
            </w:r>
            <w:r w:rsidRPr="006F34CD" w:rsidR="006F34CD">
              <w:rPr>
                <w:rFonts w:eastAsia="Times New Roman"/>
                <w:i/>
                <w:iCs/>
              </w:rPr>
              <w:t>’</w:t>
            </w:r>
            <w:r w:rsidRPr="006F34CD">
              <w:rPr>
                <w:rFonts w:eastAsia="Times New Roman"/>
                <w:i/>
                <w:iCs/>
              </w:rPr>
              <w:t xml:space="preserve">s Witnesses </w:t>
            </w:r>
            <w:r w:rsidRPr="006F34CD" w:rsidR="00E23DD0">
              <w:rPr>
                <w:rFonts w:eastAsia="Times New Roman"/>
                <w:i/>
                <w:iCs/>
              </w:rPr>
              <w:t>in</w:t>
            </w:r>
            <w:r w:rsidRPr="006F34CD">
              <w:rPr>
                <w:rFonts w:eastAsia="Times New Roman"/>
                <w:i/>
                <w:iCs/>
              </w:rPr>
              <w:t xml:space="preserve"> Russia and Kalin</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2BBB4DE8" w14:textId="77777777">
            <w:pPr>
              <w:rPr>
                <w:rFonts w:eastAsia="Times New Roman"/>
              </w:rPr>
            </w:pPr>
            <w:r w:rsidRPr="006F34CD">
              <w:rPr>
                <w:rFonts w:eastAsia="Times New Roman"/>
              </w:rPr>
              <w:t>03/02/2017</w:t>
            </w:r>
          </w:p>
        </w:tc>
      </w:tr>
      <w:tr w:rsidRPr="006F34CD" w:rsidR="008C40B9" w:rsidTr="00396F9A" w14:paraId="79F223E6" w14:textId="77777777">
        <w:trPr>
          <w:divId w:val="2118981044"/>
        </w:trPr>
        <w:tc>
          <w:tcPr>
            <w:tcW w:w="0" w:type="auto"/>
            <w:hideMark/>
          </w:tcPr>
          <w:p w:rsidRPr="006F34CD" w:rsidR="008C40B9" w:rsidP="006F34CD" w:rsidRDefault="008C40B9" w14:paraId="1C810008" w14:textId="77777777">
            <w:pPr>
              <w:rPr>
                <w:rFonts w:eastAsia="Times New Roman"/>
              </w:rPr>
            </w:pPr>
            <w:r w:rsidRPr="006F34CD">
              <w:rPr>
                <w:rFonts w:eastAsia="Times New Roman"/>
              </w:rPr>
              <w:t>18.</w:t>
            </w:r>
          </w:p>
        </w:tc>
        <w:tc>
          <w:tcPr>
            <w:tcW w:w="1381" w:type="dxa"/>
            <w:hideMark/>
          </w:tcPr>
          <w:p w:rsidRPr="006F34CD" w:rsidR="008C40B9" w:rsidP="006F34CD" w:rsidRDefault="008C40B9" w14:paraId="1BEB0122" w14:textId="77777777">
            <w:pPr>
              <w:rPr>
                <w:rFonts w:eastAsia="Times New Roman"/>
              </w:rPr>
            </w:pPr>
            <w:r w:rsidRPr="006F34CD">
              <w:rPr>
                <w:rFonts w:eastAsia="Times New Roman"/>
              </w:rPr>
              <w:t>39417/17</w:t>
            </w:r>
            <w:r w:rsidRPr="006F34CD" w:rsidR="006C787D">
              <w:rPr>
                <w:rFonts w:eastAsia="Times New Roman"/>
              </w:rPr>
              <w:t>*</w:t>
            </w:r>
          </w:p>
        </w:tc>
        <w:tc>
          <w:tcPr>
            <w:tcW w:w="4313" w:type="dxa"/>
            <w:hideMark/>
          </w:tcPr>
          <w:p w:rsidRPr="006F34CD" w:rsidR="008C40B9" w:rsidP="006F34CD" w:rsidRDefault="008C40B9" w14:paraId="2197411B" w14:textId="77777777">
            <w:pPr>
              <w:rPr>
                <w:rFonts w:eastAsia="Times New Roman"/>
                <w:i/>
                <w:iCs/>
              </w:rPr>
            </w:pPr>
            <w:r w:rsidRPr="006F34CD">
              <w:rPr>
                <w:rFonts w:eastAsia="Times New Roman"/>
                <w:i/>
                <w:iCs/>
              </w:rPr>
              <w:t>Christensen</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42A974C9" w14:textId="77777777">
            <w:pPr>
              <w:rPr>
                <w:rFonts w:eastAsia="Times New Roman"/>
              </w:rPr>
            </w:pPr>
            <w:r w:rsidRPr="006F34CD">
              <w:rPr>
                <w:rFonts w:eastAsia="Times New Roman"/>
              </w:rPr>
              <w:t>02/06/2017</w:t>
            </w:r>
          </w:p>
        </w:tc>
      </w:tr>
      <w:tr w:rsidRPr="006F34CD" w:rsidR="008C40B9" w:rsidTr="00396F9A" w14:paraId="1EC6CDE2" w14:textId="77777777">
        <w:trPr>
          <w:divId w:val="2118981044"/>
        </w:trPr>
        <w:tc>
          <w:tcPr>
            <w:tcW w:w="0" w:type="auto"/>
            <w:hideMark/>
          </w:tcPr>
          <w:p w:rsidRPr="006F34CD" w:rsidR="008C40B9" w:rsidP="006F34CD" w:rsidRDefault="008C40B9" w14:paraId="59582970" w14:textId="77777777">
            <w:pPr>
              <w:rPr>
                <w:rFonts w:eastAsia="Times New Roman"/>
              </w:rPr>
            </w:pPr>
            <w:r w:rsidRPr="006F34CD">
              <w:rPr>
                <w:rFonts w:eastAsia="Times New Roman"/>
              </w:rPr>
              <w:t>19.</w:t>
            </w:r>
          </w:p>
        </w:tc>
        <w:tc>
          <w:tcPr>
            <w:tcW w:w="1381" w:type="dxa"/>
            <w:hideMark/>
          </w:tcPr>
          <w:p w:rsidRPr="006F34CD" w:rsidR="008C40B9" w:rsidP="006F34CD" w:rsidRDefault="008C40B9" w14:paraId="263A8355" w14:textId="77777777">
            <w:pPr>
              <w:rPr>
                <w:rFonts w:eastAsia="Times New Roman"/>
              </w:rPr>
            </w:pPr>
            <w:r w:rsidRPr="006F34CD">
              <w:rPr>
                <w:rFonts w:eastAsia="Times New Roman"/>
              </w:rPr>
              <w:t>3215/18</w:t>
            </w:r>
            <w:r w:rsidRPr="006F34CD" w:rsidR="006C787D">
              <w:rPr>
                <w:rFonts w:eastAsia="Times New Roman"/>
              </w:rPr>
              <w:t>*</w:t>
            </w:r>
          </w:p>
        </w:tc>
        <w:tc>
          <w:tcPr>
            <w:tcW w:w="4313" w:type="dxa"/>
            <w:hideMark/>
          </w:tcPr>
          <w:p w:rsidRPr="006F34CD" w:rsidR="008C40B9" w:rsidP="006F34CD" w:rsidRDefault="008C40B9" w14:paraId="2DCD1EF5" w14:textId="77777777">
            <w:pPr>
              <w:rPr>
                <w:rFonts w:eastAsia="Times New Roman"/>
                <w:i/>
                <w:iCs/>
              </w:rPr>
            </w:pPr>
            <w:r w:rsidRPr="006F34CD">
              <w:rPr>
                <w:rFonts w:eastAsia="Times New Roman"/>
                <w:i/>
                <w:iCs/>
              </w:rPr>
              <w:t>Glazov LRO and Others</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312976FE" w14:textId="77777777">
            <w:pPr>
              <w:rPr>
                <w:rFonts w:eastAsia="Times New Roman"/>
              </w:rPr>
            </w:pPr>
            <w:r w:rsidRPr="006F34CD">
              <w:rPr>
                <w:rFonts w:eastAsia="Times New Roman"/>
              </w:rPr>
              <w:t>15/01/2018</w:t>
            </w:r>
          </w:p>
        </w:tc>
      </w:tr>
      <w:tr w:rsidRPr="006F34CD" w:rsidR="008C40B9" w:rsidTr="00396F9A" w14:paraId="7DD0A3A5" w14:textId="77777777">
        <w:trPr>
          <w:divId w:val="2118981044"/>
        </w:trPr>
        <w:tc>
          <w:tcPr>
            <w:tcW w:w="0" w:type="auto"/>
            <w:hideMark/>
          </w:tcPr>
          <w:p w:rsidRPr="006F34CD" w:rsidR="008C40B9" w:rsidP="006F34CD" w:rsidRDefault="008C40B9" w14:paraId="4BD52840" w14:textId="77777777">
            <w:pPr>
              <w:rPr>
                <w:rFonts w:eastAsia="Times New Roman"/>
              </w:rPr>
            </w:pPr>
            <w:r w:rsidRPr="006F34CD">
              <w:rPr>
                <w:rFonts w:eastAsia="Times New Roman"/>
              </w:rPr>
              <w:t>20.</w:t>
            </w:r>
          </w:p>
        </w:tc>
        <w:tc>
          <w:tcPr>
            <w:tcW w:w="1381" w:type="dxa"/>
            <w:hideMark/>
          </w:tcPr>
          <w:p w:rsidRPr="006F34CD" w:rsidR="008C40B9" w:rsidP="006F34CD" w:rsidRDefault="008C40B9" w14:paraId="4B75EE39" w14:textId="77777777">
            <w:pPr>
              <w:rPr>
                <w:rFonts w:eastAsia="Times New Roman"/>
              </w:rPr>
            </w:pPr>
            <w:r w:rsidRPr="006F34CD">
              <w:rPr>
                <w:rFonts w:eastAsia="Times New Roman"/>
              </w:rPr>
              <w:t>44386/19</w:t>
            </w:r>
            <w:r w:rsidRPr="006F34CD" w:rsidR="006C787D">
              <w:rPr>
                <w:rFonts w:eastAsia="Times New Roman"/>
              </w:rPr>
              <w:t>*</w:t>
            </w:r>
          </w:p>
        </w:tc>
        <w:tc>
          <w:tcPr>
            <w:tcW w:w="4313" w:type="dxa"/>
            <w:hideMark/>
          </w:tcPr>
          <w:p w:rsidRPr="006F34CD" w:rsidR="008C40B9" w:rsidP="006F34CD" w:rsidRDefault="008C40B9" w14:paraId="0640EBC9" w14:textId="77777777">
            <w:pPr>
              <w:rPr>
                <w:rFonts w:eastAsia="Times New Roman"/>
                <w:i/>
                <w:iCs/>
              </w:rPr>
            </w:pPr>
            <w:r w:rsidRPr="006F34CD">
              <w:rPr>
                <w:rFonts w:eastAsia="Times New Roman"/>
                <w:i/>
                <w:iCs/>
              </w:rPr>
              <w:t>Christensen</w:t>
            </w:r>
            <w:r w:rsidRPr="006F34CD" w:rsidR="0011451F">
              <w:rPr>
                <w:rFonts w:eastAsia="Times New Roman"/>
                <w:i/>
                <w:iCs/>
              </w:rPr>
              <w:t xml:space="preserve"> v. R</w:t>
            </w:r>
            <w:r w:rsidRPr="006F34CD">
              <w:rPr>
                <w:rFonts w:eastAsia="Times New Roman"/>
                <w:i/>
                <w:iCs/>
              </w:rPr>
              <w:t>ussia</w:t>
            </w:r>
          </w:p>
        </w:tc>
        <w:tc>
          <w:tcPr>
            <w:tcW w:w="0" w:type="auto"/>
            <w:hideMark/>
          </w:tcPr>
          <w:p w:rsidRPr="006F34CD" w:rsidR="008C40B9" w:rsidP="006F34CD" w:rsidRDefault="008C40B9" w14:paraId="03A220CA" w14:textId="77777777">
            <w:pPr>
              <w:rPr>
                <w:rFonts w:eastAsia="Times New Roman"/>
              </w:rPr>
            </w:pPr>
            <w:r w:rsidRPr="006F34CD">
              <w:rPr>
                <w:rFonts w:eastAsia="Times New Roman"/>
              </w:rPr>
              <w:t>20/08/2019</w:t>
            </w:r>
          </w:p>
        </w:tc>
      </w:tr>
    </w:tbl>
    <w:p w:rsidRPr="006F34CD" w:rsidR="005678CB" w:rsidP="006F34CD" w:rsidRDefault="005678CB" w14:paraId="4822EEF8" w14:textId="77777777">
      <w:r w:rsidRPr="006F34CD">
        <w:br w:type="page"/>
      </w:r>
    </w:p>
    <w:p w:rsidRPr="006F34CD" w:rsidR="00F32593" w:rsidP="006F34CD" w:rsidRDefault="00F32593" w14:paraId="4C500DCD" w14:textId="77777777">
      <w:pPr>
        <w:keepNext/>
        <w:keepLines/>
        <w:spacing w:before="100" w:beforeAutospacing="1" w:after="240"/>
        <w:ind w:left="720"/>
        <w:jc w:val="both"/>
        <w:outlineLvl w:val="0"/>
        <w:rPr>
          <w:rFonts w:ascii="Times New Roman" w:hAnsi="Times New Roman" w:eastAsia="Times New Roman" w:cs="Times New Roman"/>
          <w:bCs/>
          <w:caps/>
          <w:sz w:val="28"/>
          <w:szCs w:val="28"/>
        </w:rPr>
      </w:pPr>
      <w:bookmarkStart w:name="_Toc97302012" w:id="250"/>
      <w:r w:rsidRPr="006F34CD">
        <w:rPr>
          <w:rFonts w:ascii="Times New Roman" w:hAnsi="Times New Roman" w:eastAsia="Times New Roman" w:cs="Times New Roman"/>
          <w:bCs/>
          <w:sz w:val="28"/>
          <w:szCs w:val="28"/>
        </w:rPr>
        <w:t>APPENDIX II: LIST OF APPLICANTS AND AWARDS UNDER ARTICLE 41 OF THE CONVENTION</w:t>
      </w:r>
      <w:bookmarkEnd w:id="250"/>
    </w:p>
    <w:p w:rsidRPr="006F34CD" w:rsidR="00F32593" w:rsidP="006F34CD" w:rsidRDefault="00F32593" w14:paraId="362E59A0" w14:textId="77777777">
      <w:pPr>
        <w:rPr>
          <w:rFonts w:ascii="Times New Roman" w:hAnsi="Times New Roman" w:eastAsia="Times New Roman" w:cs="Times New Roman"/>
        </w:rPr>
      </w:pPr>
    </w:p>
    <w:p w:rsidRPr="006F34CD" w:rsidR="00F32593" w:rsidP="006F34CD" w:rsidRDefault="00F32593" w14:paraId="2B311509" w14:textId="02EE1D03">
      <w:pPr>
        <w:jc w:val="both"/>
        <w:rPr>
          <w:rFonts w:ascii="Times New Roman" w:hAnsi="Times New Roman" w:eastAsia="Times New Roman" w:cs="Times New Roman"/>
        </w:rPr>
      </w:pPr>
      <w:r w:rsidRPr="006F34CD">
        <w:rPr>
          <w:rFonts w:ascii="Times New Roman" w:hAnsi="Times New Roman" w:eastAsia="Times New Roman" w:cs="Times New Roman"/>
        </w:rPr>
        <w:t>Note: in each application, applicant organisations are listed before individual applicants. Individual applicants are listed in alphabetical order.</w:t>
      </w:r>
    </w:p>
    <w:p w:rsidRPr="006F34CD" w:rsidR="00563DE6" w:rsidP="006F34CD" w:rsidRDefault="00563DE6" w14:paraId="512E2E5C" w14:textId="3005D9D6">
      <w:pPr>
        <w:rPr>
          <w:rFonts w:ascii="Times New Roman" w:hAnsi="Times New Roman" w:eastAsia="Times New Roman" w:cs="Times New Roman"/>
        </w:rPr>
      </w:pPr>
    </w:p>
    <w:tbl>
      <w:tblPr>
        <w:tblStyle w:val="TableGrid20"/>
        <w:tblW w:w="7508" w:type="dxa"/>
        <w:tblLayout w:type="fixed"/>
        <w:tblLook w:val="04A0" w:firstRow="1" w:lastRow="0" w:firstColumn="1" w:lastColumn="0" w:noHBand="0" w:noVBand="1"/>
      </w:tblPr>
      <w:tblGrid>
        <w:gridCol w:w="2249"/>
        <w:gridCol w:w="836"/>
        <w:gridCol w:w="1305"/>
        <w:gridCol w:w="1134"/>
        <w:gridCol w:w="992"/>
        <w:gridCol w:w="992"/>
      </w:tblGrid>
      <w:tr w:rsidRPr="006F34CD" w:rsidR="00515FE0" w:rsidTr="00EF028C" w14:paraId="0253BD66" w14:textId="77777777">
        <w:trPr>
          <w:cantSplit/>
          <w:tblHeader/>
        </w:trPr>
        <w:tc>
          <w:tcPr>
            <w:tcW w:w="2249" w:type="dxa"/>
            <w:vMerge w:val="restart"/>
            <w:shd w:val="clear" w:color="auto" w:fill="F3F3F3"/>
          </w:tcPr>
          <w:p w:rsidRPr="006F34CD" w:rsidR="00515FE0" w:rsidP="006F34CD" w:rsidRDefault="00515FE0" w14:paraId="6CA2761E" w14:textId="77777777">
            <w:pPr>
              <w:spacing w:before="120" w:after="120"/>
              <w:rPr>
                <w:rFonts w:ascii="Times New Roman" w:hAnsi="Times New Roman" w:cs="Times New Roman"/>
                <w:sz w:val="18"/>
                <w:szCs w:val="18"/>
              </w:rPr>
            </w:pPr>
            <w:bookmarkStart w:name="_Hlk103611921" w:id="251"/>
            <w:r w:rsidRPr="006F34CD">
              <w:rPr>
                <w:rFonts w:ascii="Times New Roman" w:hAnsi="Times New Roman" w:cs="Times New Roman"/>
                <w:sz w:val="18"/>
                <w:szCs w:val="18"/>
              </w:rPr>
              <w:t>Name of the applicant</w:t>
            </w:r>
          </w:p>
        </w:tc>
        <w:tc>
          <w:tcPr>
            <w:tcW w:w="836" w:type="dxa"/>
            <w:vMerge w:val="restart"/>
            <w:shd w:val="clear" w:color="auto" w:fill="F3F3F3"/>
          </w:tcPr>
          <w:p w:rsidRPr="006F34CD" w:rsidR="00515FE0" w:rsidP="006F34CD" w:rsidRDefault="00515FE0" w14:paraId="2F9A56A9" w14:textId="091D091E">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Year </w:t>
            </w:r>
            <w:r w:rsidRPr="006F34CD" w:rsidR="00824058">
              <w:rPr>
                <w:rFonts w:ascii="Times New Roman" w:hAnsi="Times New Roman" w:cs="Times New Roman"/>
                <w:sz w:val="18"/>
                <w:szCs w:val="18"/>
              </w:rPr>
              <w:t>born / founded</w:t>
            </w:r>
          </w:p>
        </w:tc>
        <w:tc>
          <w:tcPr>
            <w:tcW w:w="1305" w:type="dxa"/>
            <w:vMerge w:val="restart"/>
            <w:shd w:val="clear" w:color="auto" w:fill="F3F3F3"/>
          </w:tcPr>
          <w:p w:rsidRPr="006F34CD" w:rsidR="00515FE0" w:rsidP="006F34CD" w:rsidRDefault="00515FE0" w14:paraId="4EFB4B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Place of residence / incorporation</w:t>
            </w:r>
          </w:p>
        </w:tc>
        <w:tc>
          <w:tcPr>
            <w:tcW w:w="1134" w:type="dxa"/>
            <w:vMerge w:val="restart"/>
            <w:shd w:val="clear" w:color="auto" w:fill="F3F3F3"/>
          </w:tcPr>
          <w:p w:rsidRPr="006F34CD" w:rsidR="00515FE0" w:rsidP="006F34CD" w:rsidRDefault="00515FE0" w14:paraId="198525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Pecuniary damage awarded, EUR</w:t>
            </w:r>
          </w:p>
        </w:tc>
        <w:tc>
          <w:tcPr>
            <w:tcW w:w="1984" w:type="dxa"/>
            <w:gridSpan w:val="2"/>
            <w:shd w:val="clear" w:color="auto" w:fill="F3F3F3"/>
          </w:tcPr>
          <w:p w:rsidRPr="006F34CD" w:rsidR="00515FE0" w:rsidP="006F34CD" w:rsidRDefault="00515FE0" w14:paraId="23FED5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Non-pecuniary damage, EUR</w:t>
            </w:r>
          </w:p>
        </w:tc>
      </w:tr>
      <w:tr w:rsidRPr="006F34CD" w:rsidR="00515FE0" w:rsidTr="00EF028C" w14:paraId="2F9C6430" w14:textId="77777777">
        <w:trPr>
          <w:cantSplit/>
          <w:tblHeader/>
        </w:trPr>
        <w:tc>
          <w:tcPr>
            <w:tcW w:w="2249" w:type="dxa"/>
            <w:vMerge/>
          </w:tcPr>
          <w:p w:rsidRPr="006F34CD" w:rsidR="00515FE0" w:rsidP="006F34CD" w:rsidRDefault="00515FE0" w14:paraId="61959B7D" w14:textId="77777777">
            <w:pPr>
              <w:spacing w:before="120" w:after="120"/>
              <w:rPr>
                <w:rFonts w:ascii="Times New Roman" w:hAnsi="Times New Roman" w:cs="Times New Roman"/>
                <w:sz w:val="18"/>
                <w:szCs w:val="18"/>
              </w:rPr>
            </w:pPr>
          </w:p>
        </w:tc>
        <w:tc>
          <w:tcPr>
            <w:tcW w:w="836" w:type="dxa"/>
            <w:vMerge/>
          </w:tcPr>
          <w:p w:rsidRPr="006F34CD" w:rsidR="00515FE0" w:rsidP="006F34CD" w:rsidRDefault="00515FE0" w14:paraId="437AF569" w14:textId="77777777">
            <w:pPr>
              <w:spacing w:before="120" w:after="120"/>
              <w:rPr>
                <w:rFonts w:ascii="Times New Roman" w:hAnsi="Times New Roman" w:cs="Times New Roman"/>
                <w:sz w:val="18"/>
                <w:szCs w:val="18"/>
              </w:rPr>
            </w:pPr>
          </w:p>
        </w:tc>
        <w:tc>
          <w:tcPr>
            <w:tcW w:w="1305" w:type="dxa"/>
            <w:vMerge/>
          </w:tcPr>
          <w:p w:rsidRPr="006F34CD" w:rsidR="00515FE0" w:rsidP="006F34CD" w:rsidRDefault="00515FE0" w14:paraId="5F25964F" w14:textId="77777777">
            <w:pPr>
              <w:spacing w:before="120" w:after="120"/>
              <w:rPr>
                <w:rFonts w:ascii="Times New Roman" w:hAnsi="Times New Roman" w:cs="Times New Roman"/>
                <w:sz w:val="18"/>
                <w:szCs w:val="18"/>
              </w:rPr>
            </w:pPr>
          </w:p>
        </w:tc>
        <w:tc>
          <w:tcPr>
            <w:tcW w:w="1134" w:type="dxa"/>
            <w:vMerge/>
          </w:tcPr>
          <w:p w:rsidRPr="006F34CD" w:rsidR="00515FE0" w:rsidP="006F34CD" w:rsidRDefault="00515FE0" w14:paraId="40043462" w14:textId="77777777">
            <w:pPr>
              <w:spacing w:before="120" w:after="120"/>
              <w:jc w:val="center"/>
              <w:rPr>
                <w:rFonts w:ascii="Times New Roman" w:hAnsi="Times New Roman" w:cs="Times New Roman"/>
                <w:sz w:val="18"/>
                <w:szCs w:val="18"/>
              </w:rPr>
            </w:pPr>
          </w:p>
        </w:tc>
        <w:tc>
          <w:tcPr>
            <w:tcW w:w="992" w:type="dxa"/>
            <w:shd w:val="clear" w:color="auto" w:fill="F3F3F3"/>
          </w:tcPr>
          <w:p w:rsidRPr="006F34CD" w:rsidR="00515FE0" w:rsidP="006F34CD" w:rsidRDefault="00515FE0" w14:paraId="7C5A6BB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Claimed</w:t>
            </w:r>
          </w:p>
        </w:tc>
        <w:tc>
          <w:tcPr>
            <w:tcW w:w="992" w:type="dxa"/>
            <w:shd w:val="clear" w:color="auto" w:fill="F3F3F3"/>
          </w:tcPr>
          <w:p w:rsidRPr="006F34CD" w:rsidR="00515FE0" w:rsidP="006F34CD" w:rsidRDefault="00515FE0" w14:paraId="33E33C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Awarded</w:t>
            </w:r>
          </w:p>
        </w:tc>
      </w:tr>
      <w:tr w:rsidRPr="006F34CD" w:rsidR="00515FE0" w:rsidTr="00EF028C" w14:paraId="5CA32F5B" w14:textId="77777777">
        <w:trPr>
          <w:cantSplit/>
        </w:trPr>
        <w:tc>
          <w:tcPr>
            <w:tcW w:w="7508" w:type="dxa"/>
            <w:gridSpan w:val="6"/>
          </w:tcPr>
          <w:p w:rsidRPr="006F34CD" w:rsidR="00515FE0" w:rsidP="006F34CD" w:rsidRDefault="00515FE0" w14:paraId="1DBC52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32401/10, </w:t>
            </w:r>
            <w:r w:rsidRPr="006F34CD">
              <w:rPr>
                <w:rFonts w:ascii="Times New Roman" w:hAnsi="Times New Roman" w:cs="Times New Roman"/>
                <w:i/>
                <w:sz w:val="18"/>
                <w:szCs w:val="18"/>
              </w:rPr>
              <w:t>Taganrog LRO and Others v. Russia</w:t>
            </w:r>
          </w:p>
        </w:tc>
      </w:tr>
      <w:tr w:rsidRPr="006F34CD" w:rsidR="00515FE0" w:rsidTr="00EF028C" w14:paraId="78FE6D19" w14:textId="77777777">
        <w:trPr>
          <w:cantSplit/>
        </w:trPr>
        <w:tc>
          <w:tcPr>
            <w:tcW w:w="2249" w:type="dxa"/>
          </w:tcPr>
          <w:p w:rsidRPr="006F34CD" w:rsidR="00515FE0" w:rsidP="006F34CD" w:rsidRDefault="00515FE0" w14:paraId="7B5C8FF8" w14:textId="4A3CE282">
            <w:pPr>
              <w:spacing w:before="120" w:after="120"/>
              <w:rPr>
                <w:rFonts w:ascii="Times New Roman" w:hAnsi="Times New Roman" w:cs="Times New Roman"/>
                <w:sz w:val="18"/>
                <w:szCs w:val="18"/>
              </w:rPr>
            </w:pPr>
            <w:r w:rsidRPr="006F34CD">
              <w:rPr>
                <w:rFonts w:ascii="Times New Roman" w:hAnsi="Times New Roman" w:cs="Times New Roman"/>
                <w:sz w:val="18"/>
                <w:szCs w:val="18"/>
              </w:rPr>
              <w:t>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290C1C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09EC0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7548EB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7294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0BC0A8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3A92722" w14:textId="77777777">
        <w:trPr>
          <w:cantSplit/>
        </w:trPr>
        <w:tc>
          <w:tcPr>
            <w:tcW w:w="2249" w:type="dxa"/>
          </w:tcPr>
          <w:p w:rsidRPr="006F34CD" w:rsidR="00515FE0" w:rsidP="006F34CD" w:rsidRDefault="00515FE0" w14:paraId="53AC4EFE" w14:textId="77777777">
            <w:pPr>
              <w:spacing w:before="120" w:after="120"/>
              <w:rPr>
                <w:rFonts w:ascii="Times New Roman" w:hAnsi="Times New Roman" w:cs="Times New Roman"/>
                <w:sz w:val="18"/>
                <w:szCs w:val="18"/>
                <w:lang w:val="de-DE"/>
              </w:rPr>
            </w:pPr>
            <w:r w:rsidRPr="006F34CD">
              <w:rPr>
                <w:rFonts w:ascii="Times New Roman" w:hAnsi="Times New Roman" w:cs="Times New Roman"/>
                <w:sz w:val="18"/>
                <w:szCs w:val="18"/>
                <w:lang w:val="de-DE"/>
              </w:rPr>
              <w:t>Wachtturm Bibel- und Traktat-Gesellschaft der Zeugen Jehovas</w:t>
            </w:r>
          </w:p>
        </w:tc>
        <w:tc>
          <w:tcPr>
            <w:tcW w:w="836" w:type="dxa"/>
          </w:tcPr>
          <w:p w:rsidRPr="006F34CD" w:rsidR="00515FE0" w:rsidP="006F34CD" w:rsidRDefault="00515FE0" w14:paraId="145F4A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26B258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Selters, Germany</w:t>
            </w:r>
          </w:p>
        </w:tc>
        <w:tc>
          <w:tcPr>
            <w:tcW w:w="1134" w:type="dxa"/>
          </w:tcPr>
          <w:p w:rsidRPr="006F34CD" w:rsidR="00515FE0" w:rsidP="006F34CD" w:rsidRDefault="00515FE0" w14:paraId="22FE8DC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91BFB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6475BB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293A2541" w14:textId="77777777">
        <w:trPr>
          <w:cantSplit/>
        </w:trPr>
        <w:tc>
          <w:tcPr>
            <w:tcW w:w="2249" w:type="dxa"/>
          </w:tcPr>
          <w:p w:rsidRPr="006F34CD" w:rsidR="00515FE0" w:rsidP="006F34CD" w:rsidRDefault="00515FE0" w14:paraId="5B4EF0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Watchtower Bible and Tract Society of New York</w:t>
            </w:r>
          </w:p>
        </w:tc>
        <w:tc>
          <w:tcPr>
            <w:tcW w:w="836" w:type="dxa"/>
          </w:tcPr>
          <w:p w:rsidRPr="006F34CD" w:rsidR="00515FE0" w:rsidP="006F34CD" w:rsidRDefault="00515FE0" w14:paraId="7E5D405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1909</w:t>
            </w:r>
          </w:p>
        </w:tc>
        <w:tc>
          <w:tcPr>
            <w:tcW w:w="1305" w:type="dxa"/>
          </w:tcPr>
          <w:p w:rsidRPr="006F34CD" w:rsidR="00515FE0" w:rsidP="006F34CD" w:rsidRDefault="00515FE0" w14:paraId="5A79A3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New York, USA</w:t>
            </w:r>
          </w:p>
        </w:tc>
        <w:tc>
          <w:tcPr>
            <w:tcW w:w="1134" w:type="dxa"/>
          </w:tcPr>
          <w:p w:rsidRPr="006F34CD" w:rsidR="00515FE0" w:rsidP="006F34CD" w:rsidRDefault="00515FE0" w14:paraId="07757B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1246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75250B9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3047D2AC" w14:textId="77777777">
        <w:trPr>
          <w:cantSplit/>
        </w:trPr>
        <w:tc>
          <w:tcPr>
            <w:tcW w:w="2249" w:type="dxa"/>
          </w:tcPr>
          <w:p w:rsidRPr="006F34CD" w:rsidR="00515FE0" w:rsidP="006F34CD" w:rsidRDefault="00515FE0" w14:paraId="36B3E516" w14:textId="1DA08A8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"Taganrog"</w:t>
            </w:r>
          </w:p>
        </w:tc>
        <w:tc>
          <w:tcPr>
            <w:tcW w:w="836" w:type="dxa"/>
          </w:tcPr>
          <w:p w:rsidRPr="006F34CD" w:rsidR="00515FE0" w:rsidP="006F34CD" w:rsidRDefault="00515FE0" w14:paraId="2E6858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742597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13426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60,343</w:t>
            </w:r>
          </w:p>
        </w:tc>
        <w:tc>
          <w:tcPr>
            <w:tcW w:w="992" w:type="dxa"/>
          </w:tcPr>
          <w:p w:rsidRPr="006F34CD" w:rsidR="00515FE0" w:rsidP="006F34CD" w:rsidRDefault="00515FE0" w14:paraId="28A8CB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6E899C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516B31F" w14:textId="77777777">
        <w:trPr>
          <w:cantSplit/>
        </w:trPr>
        <w:tc>
          <w:tcPr>
            <w:tcW w:w="2249" w:type="dxa"/>
          </w:tcPr>
          <w:p w:rsidRPr="006F34CD" w:rsidR="00515FE0" w:rsidP="006F34CD" w:rsidRDefault="00515FE0" w14:paraId="4E69D74B" w14:textId="058508DF">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Matveyev-Kurgan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4D7524AC"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220CBE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E0113B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5E51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72759C" w14:textId="77777777">
            <w:pPr>
              <w:spacing w:before="120" w:after="120"/>
              <w:jc w:val="center"/>
              <w:rPr>
                <w:rFonts w:ascii="Times New Roman" w:hAnsi="Times New Roman" w:cs="Times New Roman"/>
                <w:sz w:val="18"/>
                <w:szCs w:val="18"/>
              </w:rPr>
            </w:pPr>
          </w:p>
        </w:tc>
      </w:tr>
      <w:tr w:rsidRPr="006F34CD" w:rsidR="00515FE0" w:rsidTr="00EF028C" w14:paraId="583C7C56" w14:textId="77777777">
        <w:trPr>
          <w:cantSplit/>
        </w:trPr>
        <w:tc>
          <w:tcPr>
            <w:tcW w:w="2249" w:type="dxa"/>
          </w:tcPr>
          <w:p w:rsidRPr="006F34CD" w:rsidR="00515FE0" w:rsidP="006F34CD" w:rsidRDefault="00515FE0" w14:paraId="72E270BE" w14:textId="58761228">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Armenian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740C29F9"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11B326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0D9C04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B1C58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F370D6" w14:textId="77777777">
            <w:pPr>
              <w:spacing w:before="120" w:after="120"/>
              <w:jc w:val="center"/>
              <w:rPr>
                <w:rFonts w:ascii="Times New Roman" w:hAnsi="Times New Roman" w:cs="Times New Roman"/>
                <w:sz w:val="18"/>
                <w:szCs w:val="18"/>
              </w:rPr>
            </w:pPr>
          </w:p>
        </w:tc>
      </w:tr>
      <w:tr w:rsidRPr="006F34CD" w:rsidR="00515FE0" w:rsidTr="00EF028C" w14:paraId="2DE61E91" w14:textId="77777777">
        <w:trPr>
          <w:cantSplit/>
        </w:trPr>
        <w:tc>
          <w:tcPr>
            <w:tcW w:w="2249" w:type="dxa"/>
          </w:tcPr>
          <w:p w:rsidRPr="006F34CD" w:rsidR="00515FE0" w:rsidP="006F34CD" w:rsidRDefault="00515FE0" w14:paraId="237ACABB" w14:textId="4E51A208">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Nikolayevskoye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38C03975"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416908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89757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6C6DF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C34977" w14:textId="77777777">
            <w:pPr>
              <w:spacing w:before="120" w:after="120"/>
              <w:jc w:val="center"/>
              <w:rPr>
                <w:rFonts w:ascii="Times New Roman" w:hAnsi="Times New Roman" w:cs="Times New Roman"/>
                <w:sz w:val="18"/>
                <w:szCs w:val="18"/>
              </w:rPr>
            </w:pPr>
          </w:p>
        </w:tc>
      </w:tr>
      <w:tr w:rsidRPr="006F34CD" w:rsidR="00515FE0" w:rsidTr="00EF028C" w14:paraId="7992D2B0" w14:textId="77777777">
        <w:trPr>
          <w:cantSplit/>
        </w:trPr>
        <w:tc>
          <w:tcPr>
            <w:tcW w:w="2249" w:type="dxa"/>
          </w:tcPr>
          <w:p w:rsidRPr="006F34CD" w:rsidR="00515FE0" w:rsidP="006F34CD" w:rsidRDefault="00515FE0" w14:paraId="702F6D53" w14:textId="2775CB46">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Polyakovskoye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66820262"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24A265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52C5C3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DB33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4BF215" w14:textId="77777777">
            <w:pPr>
              <w:spacing w:before="120" w:after="120"/>
              <w:jc w:val="center"/>
              <w:rPr>
                <w:rFonts w:ascii="Times New Roman" w:hAnsi="Times New Roman" w:cs="Times New Roman"/>
                <w:sz w:val="18"/>
                <w:szCs w:val="18"/>
              </w:rPr>
            </w:pPr>
          </w:p>
        </w:tc>
      </w:tr>
      <w:tr w:rsidRPr="006F34CD" w:rsidR="00515FE0" w:rsidTr="00EF028C" w14:paraId="0B388972" w14:textId="77777777">
        <w:trPr>
          <w:cantSplit/>
        </w:trPr>
        <w:tc>
          <w:tcPr>
            <w:tcW w:w="2249" w:type="dxa"/>
          </w:tcPr>
          <w:p w:rsidRPr="006F34CD" w:rsidR="00515FE0" w:rsidP="006F34CD" w:rsidRDefault="00515FE0" w14:paraId="10A99995" w14:textId="4E44E45A">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Primorskoye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5575B57B"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1FC00D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5C1454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8B65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D2D4C0" w14:textId="77777777">
            <w:pPr>
              <w:spacing w:before="120" w:after="120"/>
              <w:jc w:val="center"/>
              <w:rPr>
                <w:rFonts w:ascii="Times New Roman" w:hAnsi="Times New Roman" w:cs="Times New Roman"/>
                <w:sz w:val="18"/>
                <w:szCs w:val="18"/>
              </w:rPr>
            </w:pPr>
          </w:p>
        </w:tc>
      </w:tr>
      <w:tr w:rsidRPr="006F34CD" w:rsidR="00515FE0" w:rsidTr="00EF028C" w14:paraId="6E5B4CF0" w14:textId="77777777">
        <w:trPr>
          <w:cantSplit/>
        </w:trPr>
        <w:tc>
          <w:tcPr>
            <w:tcW w:w="2249" w:type="dxa"/>
          </w:tcPr>
          <w:p w:rsidRPr="006F34CD" w:rsidR="00515FE0" w:rsidP="006F34CD" w:rsidRDefault="00515FE0" w14:paraId="12FD8DAB" w14:textId="4C45B462">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Privokzalnoye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243095E4"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76F30B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502307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095BC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13D83C" w14:textId="77777777">
            <w:pPr>
              <w:spacing w:before="120" w:after="120"/>
              <w:jc w:val="center"/>
              <w:rPr>
                <w:rFonts w:ascii="Times New Roman" w:hAnsi="Times New Roman" w:cs="Times New Roman"/>
                <w:sz w:val="18"/>
                <w:szCs w:val="18"/>
              </w:rPr>
            </w:pPr>
          </w:p>
        </w:tc>
      </w:tr>
      <w:tr w:rsidRPr="006F34CD" w:rsidR="00515FE0" w:rsidTr="00EF028C" w14:paraId="0AB79795" w14:textId="77777777">
        <w:trPr>
          <w:cantSplit/>
        </w:trPr>
        <w:tc>
          <w:tcPr>
            <w:tcW w:w="2249" w:type="dxa"/>
          </w:tcPr>
          <w:p w:rsidRPr="006F34CD" w:rsidR="00515FE0" w:rsidP="006F34CD" w:rsidRDefault="00515FE0" w14:paraId="3FA3768B" w14:textId="3237B583">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Severnoye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7D0786F0"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24D09A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1B972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675A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04BC47" w14:textId="77777777">
            <w:pPr>
              <w:spacing w:before="120" w:after="120"/>
              <w:jc w:val="center"/>
              <w:rPr>
                <w:rFonts w:ascii="Times New Roman" w:hAnsi="Times New Roman" w:cs="Times New Roman"/>
                <w:sz w:val="18"/>
                <w:szCs w:val="18"/>
              </w:rPr>
            </w:pPr>
          </w:p>
        </w:tc>
      </w:tr>
      <w:tr w:rsidRPr="006F34CD" w:rsidR="00515FE0" w:rsidTr="00EF028C" w14:paraId="5F718028" w14:textId="77777777">
        <w:trPr>
          <w:cantSplit/>
        </w:trPr>
        <w:tc>
          <w:tcPr>
            <w:tcW w:w="2249" w:type="dxa"/>
          </w:tcPr>
          <w:p w:rsidRPr="006F34CD" w:rsidR="00515FE0" w:rsidP="006F34CD" w:rsidRDefault="00515FE0" w14:paraId="403EF3EA" w14:textId="6105DF94">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Tsentralnoye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4A203F19"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522190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CB53AB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9A3E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6F7F3F" w14:textId="77777777">
            <w:pPr>
              <w:spacing w:before="120" w:after="120"/>
              <w:jc w:val="center"/>
              <w:rPr>
                <w:rFonts w:ascii="Times New Roman" w:hAnsi="Times New Roman" w:cs="Times New Roman"/>
                <w:sz w:val="18"/>
                <w:szCs w:val="18"/>
              </w:rPr>
            </w:pPr>
          </w:p>
        </w:tc>
      </w:tr>
      <w:tr w:rsidRPr="006F34CD" w:rsidR="00515FE0" w:rsidTr="00EF028C" w14:paraId="7DC35F26" w14:textId="77777777">
        <w:trPr>
          <w:cantSplit/>
        </w:trPr>
        <w:tc>
          <w:tcPr>
            <w:tcW w:w="2249" w:type="dxa"/>
          </w:tcPr>
          <w:p w:rsidRPr="006F34CD" w:rsidR="00515FE0" w:rsidP="006F34CD" w:rsidRDefault="00515FE0" w14:paraId="204E6A6E" w14:textId="137EF06D">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Vostochnoye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7B55C703"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24C0C2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1E3AE7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A92CE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2D5931" w14:textId="77777777">
            <w:pPr>
              <w:spacing w:before="120" w:after="120"/>
              <w:jc w:val="center"/>
              <w:rPr>
                <w:rFonts w:ascii="Times New Roman" w:hAnsi="Times New Roman" w:cs="Times New Roman"/>
                <w:sz w:val="18"/>
                <w:szCs w:val="18"/>
              </w:rPr>
            </w:pPr>
          </w:p>
        </w:tc>
      </w:tr>
      <w:tr w:rsidRPr="006F34CD" w:rsidR="00515FE0" w:rsidTr="00EF028C" w14:paraId="532A80B3" w14:textId="77777777">
        <w:trPr>
          <w:cantSplit/>
        </w:trPr>
        <w:tc>
          <w:tcPr>
            <w:tcW w:w="2249" w:type="dxa"/>
          </w:tcPr>
          <w:p w:rsidRPr="006F34CD" w:rsidR="00515FE0" w:rsidP="006F34CD" w:rsidRDefault="00515FE0" w14:paraId="4B263768" w14:textId="58F7A925">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Yuzhnoye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14287244"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6EB45A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7F6D79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B87D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B20305" w14:textId="77777777">
            <w:pPr>
              <w:spacing w:before="120" w:after="120"/>
              <w:jc w:val="center"/>
              <w:rPr>
                <w:rFonts w:ascii="Times New Roman" w:hAnsi="Times New Roman" w:cs="Times New Roman"/>
                <w:sz w:val="18"/>
                <w:szCs w:val="18"/>
              </w:rPr>
            </w:pPr>
          </w:p>
        </w:tc>
      </w:tr>
      <w:tr w:rsidRPr="006F34CD" w:rsidR="00515FE0" w:rsidTr="00EF028C" w14:paraId="6DC43479" w14:textId="77777777">
        <w:trPr>
          <w:cantSplit/>
        </w:trPr>
        <w:tc>
          <w:tcPr>
            <w:tcW w:w="2249" w:type="dxa"/>
          </w:tcPr>
          <w:p w:rsidRPr="006F34CD" w:rsidR="00515FE0" w:rsidP="006F34CD" w:rsidRDefault="00515FE0" w14:paraId="20984179" w14:textId="74A101F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 Zapadnoye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0C148EC2"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0BB56D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A27B3B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259C6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EE65CC" w14:textId="77777777">
            <w:pPr>
              <w:spacing w:before="120" w:after="120"/>
              <w:jc w:val="center"/>
              <w:rPr>
                <w:rFonts w:ascii="Times New Roman" w:hAnsi="Times New Roman" w:cs="Times New Roman"/>
                <w:sz w:val="18"/>
                <w:szCs w:val="18"/>
              </w:rPr>
            </w:pPr>
          </w:p>
        </w:tc>
      </w:tr>
      <w:tr w:rsidRPr="006F34CD" w:rsidR="00515FE0" w:rsidTr="00EF028C" w14:paraId="07711126" w14:textId="77777777">
        <w:trPr>
          <w:cantSplit/>
        </w:trPr>
        <w:tc>
          <w:tcPr>
            <w:tcW w:w="2249" w:type="dxa"/>
          </w:tcPr>
          <w:p w:rsidRPr="006F34CD" w:rsidR="00515FE0" w:rsidP="006F34CD" w:rsidRDefault="00515FE0" w14:paraId="1B1DFF6B" w14:textId="14A76899">
            <w:pPr>
              <w:spacing w:before="120" w:after="120"/>
              <w:rPr>
                <w:rFonts w:ascii="Times New Roman" w:hAnsi="Times New Roman" w:cs="Times New Roman"/>
                <w:sz w:val="18"/>
                <w:szCs w:val="18"/>
              </w:rPr>
            </w:pPr>
            <w:r w:rsidRPr="006F34CD">
              <w:rPr>
                <w:rFonts w:ascii="Times New Roman" w:hAnsi="Times New Roman" w:cs="Times New Roman"/>
                <w:sz w:val="18"/>
                <w:szCs w:val="18"/>
              </w:rPr>
              <w:t>Vesyoloye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68DC7047"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6BCC4D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7D09A0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B26E3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03BF69F" w14:textId="77777777">
            <w:pPr>
              <w:spacing w:before="120" w:after="120"/>
              <w:jc w:val="center"/>
              <w:rPr>
                <w:rFonts w:ascii="Times New Roman" w:hAnsi="Times New Roman" w:cs="Times New Roman"/>
                <w:sz w:val="18"/>
                <w:szCs w:val="18"/>
              </w:rPr>
            </w:pPr>
          </w:p>
        </w:tc>
      </w:tr>
      <w:tr w:rsidRPr="006F34CD" w:rsidR="00515FE0" w:rsidTr="00EF028C" w14:paraId="0252A35A" w14:textId="77777777">
        <w:trPr>
          <w:cantSplit/>
        </w:trPr>
        <w:tc>
          <w:tcPr>
            <w:tcW w:w="2249" w:type="dxa"/>
          </w:tcPr>
          <w:p w:rsidRPr="006F34CD" w:rsidR="00515FE0" w:rsidP="006F34CD" w:rsidRDefault="00515FE0" w14:paraId="17AB9B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Valeryevna ACHILOVA</w:t>
            </w:r>
          </w:p>
        </w:tc>
        <w:tc>
          <w:tcPr>
            <w:tcW w:w="836" w:type="dxa"/>
          </w:tcPr>
          <w:p w:rsidRPr="006F34CD" w:rsidR="00515FE0" w:rsidP="006F34CD" w:rsidRDefault="00515FE0" w14:paraId="2D67F6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086FF4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A07FE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C421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24BD5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FFDAE7D" w14:textId="77777777">
        <w:trPr>
          <w:cantSplit/>
        </w:trPr>
        <w:tc>
          <w:tcPr>
            <w:tcW w:w="2249" w:type="dxa"/>
          </w:tcPr>
          <w:p w:rsidRPr="006F34CD" w:rsidR="00515FE0" w:rsidP="006F34CD" w:rsidRDefault="00515FE0" w14:paraId="37516D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Valeryevich ADONIN</w:t>
            </w:r>
          </w:p>
        </w:tc>
        <w:tc>
          <w:tcPr>
            <w:tcW w:w="836" w:type="dxa"/>
          </w:tcPr>
          <w:p w:rsidRPr="006F34CD" w:rsidR="00515FE0" w:rsidP="006F34CD" w:rsidRDefault="00515FE0" w14:paraId="49DB8A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064C0C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E86C86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C236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CAA65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20A302" w14:textId="77777777">
        <w:trPr>
          <w:cantSplit/>
        </w:trPr>
        <w:tc>
          <w:tcPr>
            <w:tcW w:w="2249" w:type="dxa"/>
          </w:tcPr>
          <w:p w:rsidRPr="006F34CD" w:rsidR="00515FE0" w:rsidP="006F34CD" w:rsidRDefault="00515FE0" w14:paraId="021BD7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Valeryevich ADONIN</w:t>
            </w:r>
          </w:p>
        </w:tc>
        <w:tc>
          <w:tcPr>
            <w:tcW w:w="836" w:type="dxa"/>
          </w:tcPr>
          <w:p w:rsidRPr="006F34CD" w:rsidR="00515FE0" w:rsidP="006F34CD" w:rsidRDefault="00515FE0" w14:paraId="0139D1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2237B3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DEF8D5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0D417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9955D1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DDFE9B3" w14:textId="77777777">
        <w:trPr>
          <w:cantSplit/>
        </w:trPr>
        <w:tc>
          <w:tcPr>
            <w:tcW w:w="2249" w:type="dxa"/>
          </w:tcPr>
          <w:p w:rsidRPr="006F34CD" w:rsidR="00515FE0" w:rsidP="006F34CD" w:rsidRDefault="00515FE0" w14:paraId="591A35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Alekseevna ADONINA</w:t>
            </w:r>
          </w:p>
        </w:tc>
        <w:tc>
          <w:tcPr>
            <w:tcW w:w="836" w:type="dxa"/>
          </w:tcPr>
          <w:p w:rsidRPr="006F34CD" w:rsidR="00515FE0" w:rsidP="006F34CD" w:rsidRDefault="00515FE0" w14:paraId="5D93B9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074A40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69B9C2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C2FE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5B8CE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41D9C90" w14:textId="77777777">
        <w:trPr>
          <w:cantSplit/>
        </w:trPr>
        <w:tc>
          <w:tcPr>
            <w:tcW w:w="2249" w:type="dxa"/>
          </w:tcPr>
          <w:p w:rsidRPr="006F34CD" w:rsidR="00515FE0" w:rsidP="006F34CD" w:rsidRDefault="00515FE0" w14:paraId="321544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Dmitriyevna ADONINA</w:t>
            </w:r>
          </w:p>
        </w:tc>
        <w:tc>
          <w:tcPr>
            <w:tcW w:w="836" w:type="dxa"/>
          </w:tcPr>
          <w:p w:rsidRPr="006F34CD" w:rsidR="00515FE0" w:rsidP="006F34CD" w:rsidRDefault="00515FE0" w14:paraId="750419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395594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341622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5EA3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FAD3D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1AEAF82" w14:textId="77777777">
        <w:trPr>
          <w:cantSplit/>
        </w:trPr>
        <w:tc>
          <w:tcPr>
            <w:tcW w:w="2249" w:type="dxa"/>
          </w:tcPr>
          <w:p w:rsidRPr="006F34CD" w:rsidR="00515FE0" w:rsidP="006F34CD" w:rsidRDefault="00515FE0" w14:paraId="1F0C0F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Nikolaevna ADONINA</w:t>
            </w:r>
          </w:p>
        </w:tc>
        <w:tc>
          <w:tcPr>
            <w:tcW w:w="836" w:type="dxa"/>
          </w:tcPr>
          <w:p w:rsidRPr="006F34CD" w:rsidR="00515FE0" w:rsidP="006F34CD" w:rsidRDefault="00515FE0" w14:paraId="2CB06E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07947C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67778C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6085A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1F4A6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5ED82D9" w14:textId="77777777">
        <w:trPr>
          <w:cantSplit/>
        </w:trPr>
        <w:tc>
          <w:tcPr>
            <w:tcW w:w="2249" w:type="dxa"/>
          </w:tcPr>
          <w:p w:rsidRPr="006F34CD" w:rsidR="00515FE0" w:rsidP="006F34CD" w:rsidRDefault="00515FE0" w14:paraId="258FBC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Yana Petrovna ADONINA</w:t>
            </w:r>
          </w:p>
        </w:tc>
        <w:tc>
          <w:tcPr>
            <w:tcW w:w="836" w:type="dxa"/>
          </w:tcPr>
          <w:p w:rsidRPr="006F34CD" w:rsidR="00515FE0" w:rsidP="006F34CD" w:rsidRDefault="00515FE0" w14:paraId="164C10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7F20BB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5BEBF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BB2C4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49D69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D5B0365" w14:textId="77777777">
        <w:trPr>
          <w:cantSplit/>
        </w:trPr>
        <w:tc>
          <w:tcPr>
            <w:tcW w:w="2249" w:type="dxa"/>
          </w:tcPr>
          <w:p w:rsidRPr="006F34CD" w:rsidR="00515FE0" w:rsidP="006F34CD" w:rsidRDefault="00515FE0" w14:paraId="43C191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Evgenyevna AFONICHEVA</w:t>
            </w:r>
          </w:p>
        </w:tc>
        <w:tc>
          <w:tcPr>
            <w:tcW w:w="836" w:type="dxa"/>
          </w:tcPr>
          <w:p w:rsidRPr="006F34CD" w:rsidR="00515FE0" w:rsidP="006F34CD" w:rsidRDefault="00515FE0" w14:paraId="74053B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07D8C3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1DF14A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2858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4CFA7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4C444D0" w14:textId="77777777">
        <w:trPr>
          <w:cantSplit/>
        </w:trPr>
        <w:tc>
          <w:tcPr>
            <w:tcW w:w="2249" w:type="dxa"/>
          </w:tcPr>
          <w:p w:rsidRPr="006F34CD" w:rsidR="00515FE0" w:rsidP="006F34CD" w:rsidRDefault="00515FE0" w14:paraId="679DFE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Narine Gegamovna AGEGEKYAN</w:t>
            </w:r>
          </w:p>
        </w:tc>
        <w:tc>
          <w:tcPr>
            <w:tcW w:w="836" w:type="dxa"/>
          </w:tcPr>
          <w:p w:rsidRPr="006F34CD" w:rsidR="00515FE0" w:rsidP="006F34CD" w:rsidRDefault="00515FE0" w14:paraId="332FBE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49B7D1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BF4E3A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CF0B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E09B0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A84F1CA" w14:textId="77777777">
        <w:trPr>
          <w:cantSplit/>
        </w:trPr>
        <w:tc>
          <w:tcPr>
            <w:tcW w:w="2249" w:type="dxa"/>
          </w:tcPr>
          <w:p w:rsidRPr="006F34CD" w:rsidR="00515FE0" w:rsidP="006F34CD" w:rsidRDefault="00515FE0" w14:paraId="6890A9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Marina Artyomovna AKHALADZE</w:t>
            </w:r>
          </w:p>
        </w:tc>
        <w:tc>
          <w:tcPr>
            <w:tcW w:w="836" w:type="dxa"/>
          </w:tcPr>
          <w:p w:rsidRPr="006F34CD" w:rsidR="00515FE0" w:rsidP="006F34CD" w:rsidRDefault="00515FE0" w14:paraId="10B5B2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258067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A0E569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1D8D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FD286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1EBFF2F" w14:textId="77777777">
        <w:trPr>
          <w:cantSplit/>
        </w:trPr>
        <w:tc>
          <w:tcPr>
            <w:tcW w:w="2249" w:type="dxa"/>
          </w:tcPr>
          <w:p w:rsidRPr="006F34CD" w:rsidR="00515FE0" w:rsidP="006F34CD" w:rsidRDefault="00515FE0" w14:paraId="293C97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Viktoria Alekseevna AKIMENKO</w:t>
            </w:r>
          </w:p>
        </w:tc>
        <w:tc>
          <w:tcPr>
            <w:tcW w:w="836" w:type="dxa"/>
          </w:tcPr>
          <w:p w:rsidRPr="006F34CD" w:rsidR="00515FE0" w:rsidP="006F34CD" w:rsidRDefault="00515FE0" w14:paraId="148E7C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393AB0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B9DA8C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5FA66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27F1F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E9B73B1" w14:textId="77777777">
        <w:trPr>
          <w:cantSplit/>
        </w:trPr>
        <w:tc>
          <w:tcPr>
            <w:tcW w:w="2249" w:type="dxa"/>
          </w:tcPr>
          <w:p w:rsidRPr="006F34CD" w:rsidR="00515FE0" w:rsidP="006F34CD" w:rsidRDefault="00515FE0" w14:paraId="45A976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Vladimirovna ALHUTOVA</w:t>
            </w:r>
          </w:p>
        </w:tc>
        <w:tc>
          <w:tcPr>
            <w:tcW w:w="836" w:type="dxa"/>
          </w:tcPr>
          <w:p w:rsidRPr="006F34CD" w:rsidR="00515FE0" w:rsidP="006F34CD" w:rsidRDefault="00515FE0" w14:paraId="112C6C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703AD1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Pokrovskoye</w:t>
            </w:r>
          </w:p>
        </w:tc>
        <w:tc>
          <w:tcPr>
            <w:tcW w:w="1134" w:type="dxa"/>
          </w:tcPr>
          <w:p w:rsidRPr="006F34CD" w:rsidR="00515FE0" w:rsidP="006F34CD" w:rsidRDefault="00515FE0" w14:paraId="1B7C138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05B71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04E15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A81B505" w14:textId="77777777">
        <w:trPr>
          <w:cantSplit/>
        </w:trPr>
        <w:tc>
          <w:tcPr>
            <w:tcW w:w="2249" w:type="dxa"/>
          </w:tcPr>
          <w:p w:rsidRPr="006F34CD" w:rsidR="00515FE0" w:rsidP="006F34CD" w:rsidRDefault="00515FE0" w14:paraId="6CB233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Vera Georgievna ALYOKHINA</w:t>
            </w:r>
          </w:p>
        </w:tc>
        <w:tc>
          <w:tcPr>
            <w:tcW w:w="836" w:type="dxa"/>
          </w:tcPr>
          <w:p w:rsidRPr="006F34CD" w:rsidR="00515FE0" w:rsidP="006F34CD" w:rsidRDefault="00515FE0" w14:paraId="0B7D0B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1945</w:t>
            </w:r>
          </w:p>
        </w:tc>
        <w:tc>
          <w:tcPr>
            <w:tcW w:w="1305" w:type="dxa"/>
          </w:tcPr>
          <w:p w:rsidRPr="006F34CD" w:rsidR="00515FE0" w:rsidP="006F34CD" w:rsidRDefault="00515FE0" w14:paraId="57392D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79561C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D4C3D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5690F6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D836D0A" w14:textId="77777777">
        <w:trPr>
          <w:cantSplit/>
        </w:trPr>
        <w:tc>
          <w:tcPr>
            <w:tcW w:w="2249" w:type="dxa"/>
          </w:tcPr>
          <w:p w:rsidRPr="006F34CD" w:rsidR="00515FE0" w:rsidP="006F34CD" w:rsidRDefault="00515FE0" w14:paraId="6D0A54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Mikhaylovna AMBARCUMYAN</w:t>
            </w:r>
          </w:p>
        </w:tc>
        <w:tc>
          <w:tcPr>
            <w:tcW w:w="836" w:type="dxa"/>
          </w:tcPr>
          <w:p w:rsidRPr="006F34CD" w:rsidR="00515FE0" w:rsidP="006F34CD" w:rsidRDefault="00515FE0" w14:paraId="40505B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65DA9A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E587F8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20D16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A0D5B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5533D41" w14:textId="77777777">
        <w:trPr>
          <w:cantSplit/>
        </w:trPr>
        <w:tc>
          <w:tcPr>
            <w:tcW w:w="2249" w:type="dxa"/>
          </w:tcPr>
          <w:p w:rsidRPr="006F34CD" w:rsidR="00515FE0" w:rsidP="006F34CD" w:rsidRDefault="00515FE0" w14:paraId="15FB0D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Alekseyevna ANDREEVA</w:t>
            </w:r>
          </w:p>
        </w:tc>
        <w:tc>
          <w:tcPr>
            <w:tcW w:w="836" w:type="dxa"/>
          </w:tcPr>
          <w:p w:rsidRPr="006F34CD" w:rsidR="00515FE0" w:rsidP="006F34CD" w:rsidRDefault="00515FE0" w14:paraId="5B3CCF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46E5C1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741F8C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F0F7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F651E9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C345D28" w14:textId="77777777">
        <w:trPr>
          <w:cantSplit/>
        </w:trPr>
        <w:tc>
          <w:tcPr>
            <w:tcW w:w="2249" w:type="dxa"/>
          </w:tcPr>
          <w:p w:rsidRPr="006F34CD" w:rsidR="00515FE0" w:rsidP="006F34CD" w:rsidRDefault="00515FE0" w14:paraId="5561BB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Petrovna ANDRUSCHENKO</w:t>
            </w:r>
          </w:p>
        </w:tc>
        <w:tc>
          <w:tcPr>
            <w:tcW w:w="836" w:type="dxa"/>
          </w:tcPr>
          <w:p w:rsidRPr="006F34CD" w:rsidR="00515FE0" w:rsidP="006F34CD" w:rsidRDefault="00515FE0" w14:paraId="21633C5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1931</w:t>
            </w:r>
          </w:p>
        </w:tc>
        <w:tc>
          <w:tcPr>
            <w:tcW w:w="1305" w:type="dxa"/>
          </w:tcPr>
          <w:p w:rsidRPr="006F34CD" w:rsidR="00515FE0" w:rsidP="006F34CD" w:rsidRDefault="00515FE0" w14:paraId="770EFF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Veselyy</w:t>
            </w:r>
          </w:p>
        </w:tc>
        <w:tc>
          <w:tcPr>
            <w:tcW w:w="1134" w:type="dxa"/>
          </w:tcPr>
          <w:p w:rsidRPr="006F34CD" w:rsidR="00515FE0" w:rsidP="006F34CD" w:rsidRDefault="00515FE0" w14:paraId="155FF07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9993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AB0D05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128EEB9" w14:textId="77777777">
        <w:trPr>
          <w:cantSplit/>
        </w:trPr>
        <w:tc>
          <w:tcPr>
            <w:tcW w:w="2249" w:type="dxa"/>
          </w:tcPr>
          <w:p w:rsidRPr="006F34CD" w:rsidR="00515FE0" w:rsidP="006F34CD" w:rsidRDefault="00515FE0" w14:paraId="7FE6CE66" w14:textId="6CD050A2">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Valentina </w:t>
            </w:r>
            <w:r w:rsidRPr="006F34CD" w:rsidR="00FD5CC3">
              <w:rPr>
                <w:rFonts w:ascii="Times New Roman" w:hAnsi="Times New Roman" w:cs="Times New Roman"/>
                <w:sz w:val="18"/>
                <w:szCs w:val="18"/>
              </w:rPr>
              <w:t>Vasilyevna</w:t>
            </w:r>
            <w:r w:rsidRPr="006F34CD">
              <w:rPr>
                <w:rFonts w:ascii="Times New Roman" w:hAnsi="Times New Roman" w:cs="Times New Roman"/>
                <w:sz w:val="18"/>
                <w:szCs w:val="18"/>
              </w:rPr>
              <w:t xml:space="preserve"> ANDRYUNINA</w:t>
            </w:r>
          </w:p>
        </w:tc>
        <w:tc>
          <w:tcPr>
            <w:tcW w:w="836" w:type="dxa"/>
          </w:tcPr>
          <w:p w:rsidRPr="006F34CD" w:rsidR="00515FE0" w:rsidP="006F34CD" w:rsidRDefault="00515FE0" w14:paraId="54891D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1933</w:t>
            </w:r>
          </w:p>
        </w:tc>
        <w:tc>
          <w:tcPr>
            <w:tcW w:w="1305" w:type="dxa"/>
          </w:tcPr>
          <w:p w:rsidRPr="006F34CD" w:rsidR="00515FE0" w:rsidP="006F34CD" w:rsidRDefault="00515FE0" w14:paraId="2B3BFB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738C43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7CB4C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D5280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F93812C" w14:textId="77777777">
        <w:trPr>
          <w:cantSplit/>
        </w:trPr>
        <w:tc>
          <w:tcPr>
            <w:tcW w:w="2249" w:type="dxa"/>
          </w:tcPr>
          <w:p w:rsidRPr="006F34CD" w:rsidR="00515FE0" w:rsidP="006F34CD" w:rsidRDefault="00515FE0" w14:paraId="6A5AF4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Yakovlevna ANTOKHINA</w:t>
            </w:r>
          </w:p>
        </w:tc>
        <w:tc>
          <w:tcPr>
            <w:tcW w:w="836" w:type="dxa"/>
          </w:tcPr>
          <w:p w:rsidRPr="006F34CD" w:rsidR="00515FE0" w:rsidP="006F34CD" w:rsidRDefault="00515FE0" w14:paraId="3E7485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1739A8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A05D27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690E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5621A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5746CEF" w14:textId="77777777">
        <w:trPr>
          <w:cantSplit/>
        </w:trPr>
        <w:tc>
          <w:tcPr>
            <w:tcW w:w="2249" w:type="dxa"/>
          </w:tcPr>
          <w:p w:rsidRPr="006F34CD" w:rsidR="00515FE0" w:rsidP="006F34CD" w:rsidRDefault="00515FE0" w14:paraId="08CF57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Alyona Sergeevna ARTEEVA</w:t>
            </w:r>
          </w:p>
        </w:tc>
        <w:tc>
          <w:tcPr>
            <w:tcW w:w="836" w:type="dxa"/>
          </w:tcPr>
          <w:p w:rsidRPr="006F34CD" w:rsidR="00515FE0" w:rsidP="006F34CD" w:rsidRDefault="00515FE0" w14:paraId="1565D7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7EF930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8BDB9A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874B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E628A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FF30A7F" w14:textId="77777777">
        <w:trPr>
          <w:cantSplit/>
        </w:trPr>
        <w:tc>
          <w:tcPr>
            <w:tcW w:w="2249" w:type="dxa"/>
          </w:tcPr>
          <w:p w:rsidRPr="006F34CD" w:rsidR="00515FE0" w:rsidP="006F34CD" w:rsidRDefault="00515FE0" w14:paraId="1E83F4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Anatolyevna ASOSOVA</w:t>
            </w:r>
          </w:p>
        </w:tc>
        <w:tc>
          <w:tcPr>
            <w:tcW w:w="836" w:type="dxa"/>
          </w:tcPr>
          <w:p w:rsidRPr="006F34CD" w:rsidR="00515FE0" w:rsidP="006F34CD" w:rsidRDefault="00515FE0" w14:paraId="473762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32C234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F6FA13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889C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BEA20A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323D40E" w14:textId="77777777">
        <w:trPr>
          <w:cantSplit/>
        </w:trPr>
        <w:tc>
          <w:tcPr>
            <w:tcW w:w="2249" w:type="dxa"/>
          </w:tcPr>
          <w:p w:rsidRPr="006F34CD" w:rsidR="00515FE0" w:rsidP="006F34CD" w:rsidRDefault="00515FE0" w14:paraId="19E678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Nelli Sergeyevna ASSELBERG</w:t>
            </w:r>
          </w:p>
        </w:tc>
        <w:tc>
          <w:tcPr>
            <w:tcW w:w="836" w:type="dxa"/>
          </w:tcPr>
          <w:p w:rsidRPr="006F34CD" w:rsidR="00515FE0" w:rsidP="006F34CD" w:rsidRDefault="00515FE0" w14:paraId="39ACF3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3AF8DE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88780A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5FC3B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1E401B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C852641" w14:textId="77777777">
        <w:trPr>
          <w:cantSplit/>
        </w:trPr>
        <w:tc>
          <w:tcPr>
            <w:tcW w:w="2249" w:type="dxa"/>
          </w:tcPr>
          <w:p w:rsidRPr="006F34CD" w:rsidR="00515FE0" w:rsidP="006F34CD" w:rsidRDefault="00515FE0" w14:paraId="008AEF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Ðšlavdiya Ilyinichna ASTAKHOVA</w:t>
            </w:r>
          </w:p>
        </w:tc>
        <w:tc>
          <w:tcPr>
            <w:tcW w:w="836" w:type="dxa"/>
          </w:tcPr>
          <w:p w:rsidRPr="006F34CD" w:rsidR="00515FE0" w:rsidP="006F34CD" w:rsidRDefault="00515FE0" w14:paraId="6D245F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1920</w:t>
            </w:r>
          </w:p>
        </w:tc>
        <w:tc>
          <w:tcPr>
            <w:tcW w:w="1305" w:type="dxa"/>
          </w:tcPr>
          <w:p w:rsidRPr="006F34CD" w:rsidR="00515FE0" w:rsidP="006F34CD" w:rsidRDefault="00515FE0" w14:paraId="277BEE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86B1EE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8DAFF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6A3FF4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9F390D9" w14:textId="77777777">
        <w:trPr>
          <w:cantSplit/>
        </w:trPr>
        <w:tc>
          <w:tcPr>
            <w:tcW w:w="2249" w:type="dxa"/>
          </w:tcPr>
          <w:p w:rsidRPr="006F34CD" w:rsidR="00515FE0" w:rsidP="006F34CD" w:rsidRDefault="00515FE0" w14:paraId="6B194E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Dmitrievna ASTAPCHIK</w:t>
            </w:r>
          </w:p>
        </w:tc>
        <w:tc>
          <w:tcPr>
            <w:tcW w:w="836" w:type="dxa"/>
          </w:tcPr>
          <w:p w:rsidRPr="006F34CD" w:rsidR="00515FE0" w:rsidP="006F34CD" w:rsidRDefault="00515FE0" w14:paraId="44F78B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67B3C1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62299C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723F7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1FA49F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1965FB5" w14:textId="77777777">
        <w:trPr>
          <w:cantSplit/>
        </w:trPr>
        <w:tc>
          <w:tcPr>
            <w:tcW w:w="2249" w:type="dxa"/>
          </w:tcPr>
          <w:p w:rsidRPr="006F34CD" w:rsidR="00515FE0" w:rsidP="006F34CD" w:rsidRDefault="00515FE0" w14:paraId="500896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Aleksandrovich BAKLUSHIN</w:t>
            </w:r>
          </w:p>
        </w:tc>
        <w:tc>
          <w:tcPr>
            <w:tcW w:w="836" w:type="dxa"/>
          </w:tcPr>
          <w:p w:rsidRPr="006F34CD" w:rsidR="00515FE0" w:rsidP="006F34CD" w:rsidRDefault="00515FE0" w14:paraId="7489F7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6BEA50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72EC42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27C6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909A1F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9B14D1F" w14:textId="77777777">
        <w:trPr>
          <w:cantSplit/>
        </w:trPr>
        <w:tc>
          <w:tcPr>
            <w:tcW w:w="2249" w:type="dxa"/>
          </w:tcPr>
          <w:p w:rsidRPr="006F34CD" w:rsidR="00515FE0" w:rsidP="006F34CD" w:rsidRDefault="00515FE0" w14:paraId="30E295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Vladimovna BAKLUSHINA</w:t>
            </w:r>
          </w:p>
        </w:tc>
        <w:tc>
          <w:tcPr>
            <w:tcW w:w="836" w:type="dxa"/>
          </w:tcPr>
          <w:p w:rsidRPr="006F34CD" w:rsidR="00515FE0" w:rsidP="006F34CD" w:rsidRDefault="00515FE0" w14:paraId="7F9599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2936E9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AA232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75638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178FD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9E6A1E0" w14:textId="77777777">
        <w:trPr>
          <w:cantSplit/>
        </w:trPr>
        <w:tc>
          <w:tcPr>
            <w:tcW w:w="2249" w:type="dxa"/>
          </w:tcPr>
          <w:p w:rsidRPr="006F34CD" w:rsidR="00515FE0" w:rsidP="006F34CD" w:rsidRDefault="00515FE0" w14:paraId="21E8A6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Vladimirovna BALEYEVA</w:t>
            </w:r>
          </w:p>
        </w:tc>
        <w:tc>
          <w:tcPr>
            <w:tcW w:w="836" w:type="dxa"/>
          </w:tcPr>
          <w:p w:rsidRPr="006F34CD" w:rsidR="00515FE0" w:rsidP="006F34CD" w:rsidRDefault="00515FE0" w14:paraId="75365F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42079A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8B5F08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DA46D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EDD46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D702FDE" w14:textId="77777777">
        <w:trPr>
          <w:cantSplit/>
        </w:trPr>
        <w:tc>
          <w:tcPr>
            <w:tcW w:w="2249" w:type="dxa"/>
          </w:tcPr>
          <w:p w:rsidRPr="006F34CD" w:rsidR="00515FE0" w:rsidP="006F34CD" w:rsidRDefault="00515FE0" w14:paraId="5FDCCE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Anatolyevna BAZALYUK</w:t>
            </w:r>
          </w:p>
        </w:tc>
        <w:tc>
          <w:tcPr>
            <w:tcW w:w="836" w:type="dxa"/>
          </w:tcPr>
          <w:p w:rsidRPr="006F34CD" w:rsidR="00515FE0" w:rsidP="006F34CD" w:rsidRDefault="00515FE0" w14:paraId="34DD04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1E0889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Dmitriadovka</w:t>
            </w:r>
          </w:p>
        </w:tc>
        <w:tc>
          <w:tcPr>
            <w:tcW w:w="1134" w:type="dxa"/>
          </w:tcPr>
          <w:p w:rsidRPr="006F34CD" w:rsidR="00515FE0" w:rsidP="006F34CD" w:rsidRDefault="00515FE0" w14:paraId="4880B61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D740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8C660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5A50CDD" w14:textId="77777777">
        <w:trPr>
          <w:cantSplit/>
        </w:trPr>
        <w:tc>
          <w:tcPr>
            <w:tcW w:w="2249" w:type="dxa"/>
          </w:tcPr>
          <w:p w:rsidRPr="006F34CD" w:rsidR="00515FE0" w:rsidP="006F34CD" w:rsidRDefault="00515FE0" w14:paraId="43E921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lvanovich BELIK</w:t>
            </w:r>
          </w:p>
        </w:tc>
        <w:tc>
          <w:tcPr>
            <w:tcW w:w="836" w:type="dxa"/>
          </w:tcPr>
          <w:p w:rsidRPr="006F34CD" w:rsidR="00515FE0" w:rsidP="006F34CD" w:rsidRDefault="00515FE0" w14:paraId="61BDD5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4AAF6A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685C0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2D7DE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0436C7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CA28812" w14:textId="77777777">
        <w:trPr>
          <w:cantSplit/>
        </w:trPr>
        <w:tc>
          <w:tcPr>
            <w:tcW w:w="2249" w:type="dxa"/>
          </w:tcPr>
          <w:p w:rsidRPr="006F34CD" w:rsidR="00515FE0" w:rsidP="006F34CD" w:rsidRDefault="00515FE0" w14:paraId="47EB48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Yuryevna BELIK</w:t>
            </w:r>
          </w:p>
        </w:tc>
        <w:tc>
          <w:tcPr>
            <w:tcW w:w="836" w:type="dxa"/>
          </w:tcPr>
          <w:p w:rsidRPr="006F34CD" w:rsidR="00515FE0" w:rsidP="006F34CD" w:rsidRDefault="00515FE0" w14:paraId="2857F4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51532E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F27E1C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0EAB7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5D522B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FFA5698" w14:textId="77777777">
        <w:trPr>
          <w:cantSplit/>
        </w:trPr>
        <w:tc>
          <w:tcPr>
            <w:tcW w:w="2249" w:type="dxa"/>
          </w:tcPr>
          <w:p w:rsidRPr="006F34CD" w:rsidR="00515FE0" w:rsidP="006F34CD" w:rsidRDefault="00515FE0" w14:paraId="024B0B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Vasilyevna BELIK</w:t>
            </w:r>
          </w:p>
        </w:tc>
        <w:tc>
          <w:tcPr>
            <w:tcW w:w="836" w:type="dxa"/>
          </w:tcPr>
          <w:p w:rsidRPr="006F34CD" w:rsidR="00515FE0" w:rsidP="006F34CD" w:rsidRDefault="00515FE0" w14:paraId="140357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5F3350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E99C8D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BABF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33FC1C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51A7A16" w14:textId="77777777">
        <w:trPr>
          <w:cantSplit/>
        </w:trPr>
        <w:tc>
          <w:tcPr>
            <w:tcW w:w="2249" w:type="dxa"/>
          </w:tcPr>
          <w:p w:rsidRPr="006F34CD" w:rsidR="00515FE0" w:rsidP="006F34CD" w:rsidRDefault="00515FE0" w14:paraId="21D8FA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Ivanovich BELIK</w:t>
            </w:r>
          </w:p>
        </w:tc>
        <w:tc>
          <w:tcPr>
            <w:tcW w:w="836" w:type="dxa"/>
          </w:tcPr>
          <w:p w:rsidRPr="006F34CD" w:rsidR="00515FE0" w:rsidP="006F34CD" w:rsidRDefault="00515FE0" w14:paraId="1C1C84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0D0638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2A28A1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9990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E5670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026C821" w14:textId="77777777">
        <w:trPr>
          <w:cantSplit/>
        </w:trPr>
        <w:tc>
          <w:tcPr>
            <w:tcW w:w="2249" w:type="dxa"/>
          </w:tcPr>
          <w:p w:rsidRPr="006F34CD" w:rsidR="00515FE0" w:rsidP="006F34CD" w:rsidRDefault="00515FE0" w14:paraId="43CA94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Viktorovna BELINSKAYA</w:t>
            </w:r>
          </w:p>
        </w:tc>
        <w:tc>
          <w:tcPr>
            <w:tcW w:w="836" w:type="dxa"/>
          </w:tcPr>
          <w:p w:rsidRPr="006F34CD" w:rsidR="00515FE0" w:rsidP="006F34CD" w:rsidRDefault="00515FE0" w14:paraId="4DC225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2C2ECB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A44D9A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5E192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AF6FB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5E504E6" w14:textId="77777777">
        <w:trPr>
          <w:cantSplit/>
        </w:trPr>
        <w:tc>
          <w:tcPr>
            <w:tcW w:w="2249" w:type="dxa"/>
          </w:tcPr>
          <w:p w:rsidRPr="006F34CD" w:rsidR="00515FE0" w:rsidP="006F34CD" w:rsidRDefault="00515FE0" w14:paraId="7AD87F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Denis Vladimirovich BELKIN</w:t>
            </w:r>
          </w:p>
        </w:tc>
        <w:tc>
          <w:tcPr>
            <w:tcW w:w="836" w:type="dxa"/>
          </w:tcPr>
          <w:p w:rsidRPr="006F34CD" w:rsidR="00515FE0" w:rsidP="006F34CD" w:rsidRDefault="00515FE0" w14:paraId="5EB208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1980</w:t>
            </w:r>
          </w:p>
        </w:tc>
        <w:tc>
          <w:tcPr>
            <w:tcW w:w="1305" w:type="dxa"/>
          </w:tcPr>
          <w:p w:rsidRPr="006F34CD" w:rsidR="00515FE0" w:rsidP="006F34CD" w:rsidRDefault="00515FE0" w14:paraId="6F0604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EBDF9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ED74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BA2F6D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008A58A" w14:textId="77777777">
        <w:trPr>
          <w:cantSplit/>
        </w:trPr>
        <w:tc>
          <w:tcPr>
            <w:tcW w:w="2249" w:type="dxa"/>
          </w:tcPr>
          <w:p w:rsidRPr="006F34CD" w:rsidR="00515FE0" w:rsidP="006F34CD" w:rsidRDefault="00515FE0" w14:paraId="1DF9E7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Vasilyevna BELYAEVA</w:t>
            </w:r>
          </w:p>
        </w:tc>
        <w:tc>
          <w:tcPr>
            <w:tcW w:w="836" w:type="dxa"/>
          </w:tcPr>
          <w:p w:rsidRPr="006F34CD" w:rsidR="00515FE0" w:rsidP="006F34CD" w:rsidRDefault="00515FE0" w14:paraId="17354A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7273B8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C72DB0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49B9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05B0C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91164DD" w14:textId="77777777">
        <w:trPr>
          <w:cantSplit/>
        </w:trPr>
        <w:tc>
          <w:tcPr>
            <w:tcW w:w="2249" w:type="dxa"/>
          </w:tcPr>
          <w:p w:rsidRPr="006F34CD" w:rsidR="00515FE0" w:rsidP="006F34CD" w:rsidRDefault="00515FE0" w14:paraId="76C38E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Vera Ivanovna BEREZHNAYA</w:t>
            </w:r>
          </w:p>
        </w:tc>
        <w:tc>
          <w:tcPr>
            <w:tcW w:w="836" w:type="dxa"/>
          </w:tcPr>
          <w:p w:rsidRPr="006F34CD" w:rsidR="00515FE0" w:rsidP="006F34CD" w:rsidRDefault="00515FE0" w14:paraId="474374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01E2E7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8E58AE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0FCC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E25BE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0D82EAA" w14:textId="77777777">
        <w:trPr>
          <w:cantSplit/>
        </w:trPr>
        <w:tc>
          <w:tcPr>
            <w:tcW w:w="2249" w:type="dxa"/>
          </w:tcPr>
          <w:p w:rsidRPr="006F34CD" w:rsidR="00515FE0" w:rsidP="006F34CD" w:rsidRDefault="00515FE0" w14:paraId="0B5766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Yuliya Vladimirovna BIKADOROVA</w:t>
            </w:r>
          </w:p>
        </w:tc>
        <w:tc>
          <w:tcPr>
            <w:tcW w:w="836" w:type="dxa"/>
          </w:tcPr>
          <w:p w:rsidRPr="006F34CD" w:rsidR="00515FE0" w:rsidP="006F34CD" w:rsidRDefault="00515FE0" w14:paraId="33154B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52EB06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D72E0D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2782E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5D67F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C85B348" w14:textId="77777777">
        <w:trPr>
          <w:cantSplit/>
        </w:trPr>
        <w:tc>
          <w:tcPr>
            <w:tcW w:w="2249" w:type="dxa"/>
          </w:tcPr>
          <w:p w:rsidRPr="006F34CD" w:rsidR="00515FE0" w:rsidP="006F34CD" w:rsidRDefault="00515FE0" w14:paraId="60831E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Aleksandrovna BOGATIRYOVA</w:t>
            </w:r>
          </w:p>
        </w:tc>
        <w:tc>
          <w:tcPr>
            <w:tcW w:w="836" w:type="dxa"/>
          </w:tcPr>
          <w:p w:rsidRPr="006F34CD" w:rsidR="00515FE0" w:rsidP="006F34CD" w:rsidRDefault="00515FE0" w14:paraId="213600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2FB172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5825C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166B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8291E8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2F5DBB3" w14:textId="77777777">
        <w:trPr>
          <w:cantSplit/>
        </w:trPr>
        <w:tc>
          <w:tcPr>
            <w:tcW w:w="2249" w:type="dxa"/>
          </w:tcPr>
          <w:p w:rsidRPr="006F34CD" w:rsidR="00515FE0" w:rsidP="006F34CD" w:rsidRDefault="00515FE0" w14:paraId="503BA3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Vasilievna BOGOSLOVSKAYA</w:t>
            </w:r>
          </w:p>
        </w:tc>
        <w:tc>
          <w:tcPr>
            <w:tcW w:w="836" w:type="dxa"/>
          </w:tcPr>
          <w:p w:rsidRPr="006F34CD" w:rsidR="00515FE0" w:rsidP="006F34CD" w:rsidRDefault="00515FE0" w14:paraId="1AFC57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5DABB5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F4C76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6360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68C64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C53D03" w14:textId="77777777">
        <w:trPr>
          <w:cantSplit/>
        </w:trPr>
        <w:tc>
          <w:tcPr>
            <w:tcW w:w="2249" w:type="dxa"/>
          </w:tcPr>
          <w:p w:rsidRPr="006F34CD" w:rsidR="00515FE0" w:rsidP="006F34CD" w:rsidRDefault="00515FE0" w14:paraId="5CFA59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Yuliya lgorevna BOGUSHEVA</w:t>
            </w:r>
          </w:p>
        </w:tc>
        <w:tc>
          <w:tcPr>
            <w:tcW w:w="836" w:type="dxa"/>
          </w:tcPr>
          <w:p w:rsidRPr="006F34CD" w:rsidR="00515FE0" w:rsidP="006F34CD" w:rsidRDefault="00515FE0" w14:paraId="0B35B3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26215B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8C5B5C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DCC37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744142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2E9366D" w14:textId="77777777">
        <w:trPr>
          <w:cantSplit/>
        </w:trPr>
        <w:tc>
          <w:tcPr>
            <w:tcW w:w="2249" w:type="dxa"/>
          </w:tcPr>
          <w:p w:rsidRPr="006F34CD" w:rsidR="00515FE0" w:rsidP="006F34CD" w:rsidRDefault="00515FE0" w14:paraId="3EC25B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Savelyevna BOKHENKO</w:t>
            </w:r>
          </w:p>
        </w:tc>
        <w:tc>
          <w:tcPr>
            <w:tcW w:w="836" w:type="dxa"/>
          </w:tcPr>
          <w:p w:rsidRPr="006F34CD" w:rsidR="00515FE0" w:rsidP="006F34CD" w:rsidRDefault="00515FE0" w14:paraId="4144EA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0BE115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EFD24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62E4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FF2711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2EB2D92" w14:textId="77777777">
        <w:trPr>
          <w:cantSplit/>
        </w:trPr>
        <w:tc>
          <w:tcPr>
            <w:tcW w:w="2249" w:type="dxa"/>
          </w:tcPr>
          <w:p w:rsidRPr="006F34CD" w:rsidR="00515FE0" w:rsidP="006F34CD" w:rsidRDefault="00515FE0" w14:paraId="77D9E0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Dmitriyevna BOLGOVA</w:t>
            </w:r>
          </w:p>
        </w:tc>
        <w:tc>
          <w:tcPr>
            <w:tcW w:w="836" w:type="dxa"/>
          </w:tcPr>
          <w:p w:rsidRPr="006F34CD" w:rsidR="00515FE0" w:rsidP="006F34CD" w:rsidRDefault="00515FE0" w14:paraId="7C9392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44556B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1C02970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68E5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5477F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0552FF6" w14:textId="77777777">
        <w:trPr>
          <w:cantSplit/>
        </w:trPr>
        <w:tc>
          <w:tcPr>
            <w:tcW w:w="2249" w:type="dxa"/>
          </w:tcPr>
          <w:p w:rsidRPr="006F34CD" w:rsidR="00515FE0" w:rsidP="006F34CD" w:rsidRDefault="00515FE0" w14:paraId="434025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Alekseyevich BONDARENKO</w:t>
            </w:r>
          </w:p>
        </w:tc>
        <w:tc>
          <w:tcPr>
            <w:tcW w:w="836" w:type="dxa"/>
          </w:tcPr>
          <w:p w:rsidRPr="006F34CD" w:rsidR="00515FE0" w:rsidP="006F34CD" w:rsidRDefault="00515FE0" w14:paraId="0EE252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1B831C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FD77FE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538E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58311F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FE4AA52" w14:textId="77777777">
        <w:trPr>
          <w:cantSplit/>
        </w:trPr>
        <w:tc>
          <w:tcPr>
            <w:tcW w:w="2249" w:type="dxa"/>
          </w:tcPr>
          <w:p w:rsidRPr="006F34CD" w:rsidR="00515FE0" w:rsidP="006F34CD" w:rsidRDefault="00515FE0" w14:paraId="1F1DB4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Fyodorovna BORDYUG</w:t>
            </w:r>
          </w:p>
        </w:tc>
        <w:tc>
          <w:tcPr>
            <w:tcW w:w="836" w:type="dxa"/>
          </w:tcPr>
          <w:p w:rsidRPr="006F34CD" w:rsidR="00515FE0" w:rsidP="006F34CD" w:rsidRDefault="00515FE0" w14:paraId="519BCA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60BBA9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A5F1B6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AC0F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CD0C3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D4EFBDB" w14:textId="77777777">
        <w:trPr>
          <w:cantSplit/>
        </w:trPr>
        <w:tc>
          <w:tcPr>
            <w:tcW w:w="2249" w:type="dxa"/>
          </w:tcPr>
          <w:p w:rsidRPr="006F34CD" w:rsidR="00515FE0" w:rsidP="006F34CD" w:rsidRDefault="00515FE0" w14:paraId="1266E1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lvanovna BORISENKO</w:t>
            </w:r>
          </w:p>
        </w:tc>
        <w:tc>
          <w:tcPr>
            <w:tcW w:w="836" w:type="dxa"/>
          </w:tcPr>
          <w:p w:rsidRPr="006F34CD" w:rsidR="00515FE0" w:rsidP="006F34CD" w:rsidRDefault="00515FE0" w14:paraId="0FDA8A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4E0B4D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2B203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47EB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C1D5B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99A6B39" w14:textId="77777777">
        <w:trPr>
          <w:cantSplit/>
        </w:trPr>
        <w:tc>
          <w:tcPr>
            <w:tcW w:w="2249" w:type="dxa"/>
          </w:tcPr>
          <w:p w:rsidRPr="006F34CD" w:rsidR="00515FE0" w:rsidP="006F34CD" w:rsidRDefault="00515FE0" w14:paraId="6A20D8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Sergeyevna BORKOVSKAYA</w:t>
            </w:r>
          </w:p>
        </w:tc>
        <w:tc>
          <w:tcPr>
            <w:tcW w:w="836" w:type="dxa"/>
          </w:tcPr>
          <w:p w:rsidRPr="006F34CD" w:rsidR="00515FE0" w:rsidP="006F34CD" w:rsidRDefault="00515FE0" w14:paraId="091110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6EB6EC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A91C98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EC69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86F60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8900BDA" w14:textId="77777777">
        <w:trPr>
          <w:cantSplit/>
        </w:trPr>
        <w:tc>
          <w:tcPr>
            <w:tcW w:w="2249" w:type="dxa"/>
          </w:tcPr>
          <w:p w:rsidRPr="006F34CD" w:rsidR="00515FE0" w:rsidP="006F34CD" w:rsidRDefault="00515FE0" w14:paraId="641058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Yakovlevich BOVKUNOV</w:t>
            </w:r>
          </w:p>
        </w:tc>
        <w:tc>
          <w:tcPr>
            <w:tcW w:w="836" w:type="dxa"/>
          </w:tcPr>
          <w:p w:rsidRPr="006F34CD" w:rsidR="00515FE0" w:rsidP="006F34CD" w:rsidRDefault="00515FE0" w14:paraId="621B3F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4A62EF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08705B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F2A8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639F5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1BC705" w14:textId="77777777">
        <w:trPr>
          <w:cantSplit/>
        </w:trPr>
        <w:tc>
          <w:tcPr>
            <w:tcW w:w="2249" w:type="dxa"/>
          </w:tcPr>
          <w:p w:rsidRPr="006F34CD" w:rsidR="00515FE0" w:rsidP="006F34CD" w:rsidRDefault="00515FE0" w14:paraId="4923B4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Ivanovna BUBASHVILI</w:t>
            </w:r>
          </w:p>
        </w:tc>
        <w:tc>
          <w:tcPr>
            <w:tcW w:w="836" w:type="dxa"/>
          </w:tcPr>
          <w:p w:rsidRPr="006F34CD" w:rsidR="00515FE0" w:rsidP="006F34CD" w:rsidRDefault="00515FE0" w14:paraId="79D0EB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EE43B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Varenovka</w:t>
            </w:r>
          </w:p>
        </w:tc>
        <w:tc>
          <w:tcPr>
            <w:tcW w:w="1134" w:type="dxa"/>
          </w:tcPr>
          <w:p w:rsidRPr="006F34CD" w:rsidR="00515FE0" w:rsidP="006F34CD" w:rsidRDefault="00515FE0" w14:paraId="74DC5EE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3168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39368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8453CD6" w14:textId="77777777">
        <w:trPr>
          <w:cantSplit/>
        </w:trPr>
        <w:tc>
          <w:tcPr>
            <w:tcW w:w="2249" w:type="dxa"/>
          </w:tcPr>
          <w:p w:rsidRPr="006F34CD" w:rsidR="00515FE0" w:rsidP="006F34CD" w:rsidRDefault="00515FE0" w14:paraId="59AED5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Petrovna BUDANOVA</w:t>
            </w:r>
          </w:p>
        </w:tc>
        <w:tc>
          <w:tcPr>
            <w:tcW w:w="836" w:type="dxa"/>
          </w:tcPr>
          <w:p w:rsidRPr="006F34CD" w:rsidR="00515FE0" w:rsidP="006F34CD" w:rsidRDefault="00515FE0" w14:paraId="2336AD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03A4E7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84A691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AF45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4172D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B5B256C" w14:textId="77777777">
        <w:trPr>
          <w:cantSplit/>
        </w:trPr>
        <w:tc>
          <w:tcPr>
            <w:tcW w:w="2249" w:type="dxa"/>
          </w:tcPr>
          <w:p w:rsidRPr="006F34CD" w:rsidR="00515FE0" w:rsidP="006F34CD" w:rsidRDefault="00515FE0" w14:paraId="033BA1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Margarita Vasileevna BUGAYOVA</w:t>
            </w:r>
          </w:p>
        </w:tc>
        <w:tc>
          <w:tcPr>
            <w:tcW w:w="836" w:type="dxa"/>
          </w:tcPr>
          <w:p w:rsidRPr="006F34CD" w:rsidR="00515FE0" w:rsidP="006F34CD" w:rsidRDefault="00515FE0" w14:paraId="219D67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2EA130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Novolakedemonovka</w:t>
            </w:r>
          </w:p>
        </w:tc>
        <w:tc>
          <w:tcPr>
            <w:tcW w:w="1134" w:type="dxa"/>
          </w:tcPr>
          <w:p w:rsidRPr="006F34CD" w:rsidR="00515FE0" w:rsidP="006F34CD" w:rsidRDefault="00515FE0" w14:paraId="78D9037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6760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0F0A7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CF39D8F" w14:textId="77777777">
        <w:trPr>
          <w:cantSplit/>
        </w:trPr>
        <w:tc>
          <w:tcPr>
            <w:tcW w:w="2249" w:type="dxa"/>
          </w:tcPr>
          <w:p w:rsidRPr="006F34CD" w:rsidR="00515FE0" w:rsidP="006F34CD" w:rsidRDefault="00515FE0" w14:paraId="52B795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Dmitrievich BURLACHENKO</w:t>
            </w:r>
          </w:p>
        </w:tc>
        <w:tc>
          <w:tcPr>
            <w:tcW w:w="836" w:type="dxa"/>
          </w:tcPr>
          <w:p w:rsidRPr="006F34CD" w:rsidR="00515FE0" w:rsidP="006F34CD" w:rsidRDefault="00515FE0" w14:paraId="68004C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6E824C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Russkiy Kolodets</w:t>
            </w:r>
          </w:p>
        </w:tc>
        <w:tc>
          <w:tcPr>
            <w:tcW w:w="1134" w:type="dxa"/>
          </w:tcPr>
          <w:p w:rsidRPr="006F34CD" w:rsidR="00515FE0" w:rsidP="006F34CD" w:rsidRDefault="00515FE0" w14:paraId="17AF016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D592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F6125C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1D2D577" w14:textId="77777777">
        <w:trPr>
          <w:cantSplit/>
        </w:trPr>
        <w:tc>
          <w:tcPr>
            <w:tcW w:w="2249" w:type="dxa"/>
          </w:tcPr>
          <w:p w:rsidRPr="006F34CD" w:rsidR="00515FE0" w:rsidP="006F34CD" w:rsidRDefault="00515FE0" w14:paraId="68F055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Fyodorovna BURLACHENKO</w:t>
            </w:r>
          </w:p>
        </w:tc>
        <w:tc>
          <w:tcPr>
            <w:tcW w:w="836" w:type="dxa"/>
          </w:tcPr>
          <w:p w:rsidRPr="006F34CD" w:rsidR="00515FE0" w:rsidP="006F34CD" w:rsidRDefault="00515FE0" w14:paraId="67077F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25A658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Russkiy Kolodets</w:t>
            </w:r>
          </w:p>
        </w:tc>
        <w:tc>
          <w:tcPr>
            <w:tcW w:w="1134" w:type="dxa"/>
          </w:tcPr>
          <w:p w:rsidRPr="006F34CD" w:rsidR="00515FE0" w:rsidP="006F34CD" w:rsidRDefault="00515FE0" w14:paraId="79A9BBE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9ADB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2D5094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4E2701A" w14:textId="77777777">
        <w:trPr>
          <w:cantSplit/>
        </w:trPr>
        <w:tc>
          <w:tcPr>
            <w:tcW w:w="2249" w:type="dxa"/>
          </w:tcPr>
          <w:p w:rsidRPr="006F34CD" w:rsidR="00515FE0" w:rsidP="006F34CD" w:rsidRDefault="00515FE0" w14:paraId="405438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Aleksandrovich BURLACHENKO</w:t>
            </w:r>
          </w:p>
        </w:tc>
        <w:tc>
          <w:tcPr>
            <w:tcW w:w="836" w:type="dxa"/>
          </w:tcPr>
          <w:p w:rsidRPr="006F34CD" w:rsidR="00515FE0" w:rsidP="006F34CD" w:rsidRDefault="00515FE0" w14:paraId="79FE0E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22910A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Russkiy Kolodets</w:t>
            </w:r>
          </w:p>
        </w:tc>
        <w:tc>
          <w:tcPr>
            <w:tcW w:w="1134" w:type="dxa"/>
          </w:tcPr>
          <w:p w:rsidRPr="006F34CD" w:rsidR="00515FE0" w:rsidP="006F34CD" w:rsidRDefault="00515FE0" w14:paraId="3143F2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C1A9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E81CE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07151FC" w14:textId="77777777">
        <w:trPr>
          <w:cantSplit/>
        </w:trPr>
        <w:tc>
          <w:tcPr>
            <w:tcW w:w="2249" w:type="dxa"/>
          </w:tcPr>
          <w:p w:rsidRPr="006F34CD" w:rsidR="00515FE0" w:rsidP="006F34CD" w:rsidRDefault="00515FE0" w14:paraId="2DF38A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Yevgeniya Vladimirovna BURLACHENKO</w:t>
            </w:r>
          </w:p>
        </w:tc>
        <w:tc>
          <w:tcPr>
            <w:tcW w:w="836" w:type="dxa"/>
          </w:tcPr>
          <w:p w:rsidRPr="006F34CD" w:rsidR="00515FE0" w:rsidP="006F34CD" w:rsidRDefault="00515FE0" w14:paraId="731766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63B842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Russkiy Kolodets</w:t>
            </w:r>
          </w:p>
        </w:tc>
        <w:tc>
          <w:tcPr>
            <w:tcW w:w="1134" w:type="dxa"/>
          </w:tcPr>
          <w:p w:rsidRPr="006F34CD" w:rsidR="00515FE0" w:rsidP="006F34CD" w:rsidRDefault="00515FE0" w14:paraId="2ED2E3E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B7CD2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EA664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5A42F17" w14:textId="77777777">
        <w:trPr>
          <w:cantSplit/>
        </w:trPr>
        <w:tc>
          <w:tcPr>
            <w:tcW w:w="2249" w:type="dxa"/>
          </w:tcPr>
          <w:p w:rsidRPr="006F34CD" w:rsidR="00515FE0" w:rsidP="006F34CD" w:rsidRDefault="00515FE0" w14:paraId="566304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Andreyevna CHAPLIGINA</w:t>
            </w:r>
          </w:p>
        </w:tc>
        <w:tc>
          <w:tcPr>
            <w:tcW w:w="836" w:type="dxa"/>
          </w:tcPr>
          <w:p w:rsidRPr="006F34CD" w:rsidR="00515FE0" w:rsidP="006F34CD" w:rsidRDefault="00515FE0" w14:paraId="2FA3B4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364B76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814C6B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17CA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BCF95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B69C276" w14:textId="77777777">
        <w:trPr>
          <w:cantSplit/>
        </w:trPr>
        <w:tc>
          <w:tcPr>
            <w:tcW w:w="2249" w:type="dxa"/>
          </w:tcPr>
          <w:p w:rsidRPr="006F34CD" w:rsidR="00515FE0" w:rsidP="006F34CD" w:rsidRDefault="00515FE0" w14:paraId="36AF83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Efimovna CHAYKINA</w:t>
            </w:r>
          </w:p>
        </w:tc>
        <w:tc>
          <w:tcPr>
            <w:tcW w:w="836" w:type="dxa"/>
          </w:tcPr>
          <w:p w:rsidRPr="006F34CD" w:rsidR="00515FE0" w:rsidP="006F34CD" w:rsidRDefault="00515FE0" w14:paraId="066453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51E5C3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68714D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36AF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7F8B5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EDDCB8D" w14:textId="77777777">
        <w:trPr>
          <w:cantSplit/>
        </w:trPr>
        <w:tc>
          <w:tcPr>
            <w:tcW w:w="2249" w:type="dxa"/>
          </w:tcPr>
          <w:p w:rsidRPr="006F34CD" w:rsidR="00515FE0" w:rsidP="006F34CD" w:rsidRDefault="00515FE0" w14:paraId="1355FA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Yevdokiya Ivanovna CHEREDNICHENKO</w:t>
            </w:r>
          </w:p>
        </w:tc>
        <w:tc>
          <w:tcPr>
            <w:tcW w:w="836" w:type="dxa"/>
          </w:tcPr>
          <w:p w:rsidRPr="006F34CD" w:rsidR="00515FE0" w:rsidP="006F34CD" w:rsidRDefault="00515FE0" w14:paraId="6481F9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1945</w:t>
            </w:r>
          </w:p>
        </w:tc>
        <w:tc>
          <w:tcPr>
            <w:tcW w:w="1305" w:type="dxa"/>
          </w:tcPr>
          <w:p w:rsidRPr="006F34CD" w:rsidR="00515FE0" w:rsidP="006F34CD" w:rsidRDefault="00515FE0" w14:paraId="693F75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28E7BA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2A2A5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FA7AE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0194D59" w14:textId="77777777">
        <w:trPr>
          <w:cantSplit/>
        </w:trPr>
        <w:tc>
          <w:tcPr>
            <w:tcW w:w="2249" w:type="dxa"/>
          </w:tcPr>
          <w:p w:rsidRPr="006F34CD" w:rsidR="00515FE0" w:rsidP="006F34CD" w:rsidRDefault="00515FE0" w14:paraId="3DD6A7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Petrovna CHEREVAKTENKO</w:t>
            </w:r>
          </w:p>
        </w:tc>
        <w:tc>
          <w:tcPr>
            <w:tcW w:w="836" w:type="dxa"/>
          </w:tcPr>
          <w:p w:rsidRPr="006F34CD" w:rsidR="00515FE0" w:rsidP="006F34CD" w:rsidRDefault="00515FE0" w14:paraId="6EE109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4A3D74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32B15B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0D2A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932E2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DAD297B" w14:textId="77777777">
        <w:trPr>
          <w:cantSplit/>
        </w:trPr>
        <w:tc>
          <w:tcPr>
            <w:tcW w:w="2249" w:type="dxa"/>
          </w:tcPr>
          <w:p w:rsidRPr="006F34CD" w:rsidR="00515FE0" w:rsidP="006F34CD" w:rsidRDefault="00515FE0" w14:paraId="45B92E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Aleksandrovich CHESNOKOV</w:t>
            </w:r>
          </w:p>
        </w:tc>
        <w:tc>
          <w:tcPr>
            <w:tcW w:w="836" w:type="dxa"/>
          </w:tcPr>
          <w:p w:rsidRPr="006F34CD" w:rsidR="00515FE0" w:rsidP="006F34CD" w:rsidRDefault="00515FE0" w14:paraId="6C47C4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1856CC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E138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526F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88DA98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6A3EF2C" w14:textId="77777777">
        <w:trPr>
          <w:cantSplit/>
        </w:trPr>
        <w:tc>
          <w:tcPr>
            <w:tcW w:w="2249" w:type="dxa"/>
          </w:tcPr>
          <w:p w:rsidRPr="006F34CD" w:rsidR="00515FE0" w:rsidP="006F34CD" w:rsidRDefault="00515FE0" w14:paraId="271D4F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Nikolaevna CHESNOKOVA</w:t>
            </w:r>
          </w:p>
        </w:tc>
        <w:tc>
          <w:tcPr>
            <w:tcW w:w="836" w:type="dxa"/>
          </w:tcPr>
          <w:p w:rsidRPr="006F34CD" w:rsidR="00515FE0" w:rsidP="006F34CD" w:rsidRDefault="00515FE0" w14:paraId="2A8704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18C2B7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0F7159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0353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4A986C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C9516DD" w14:textId="77777777">
        <w:trPr>
          <w:cantSplit/>
        </w:trPr>
        <w:tc>
          <w:tcPr>
            <w:tcW w:w="2249" w:type="dxa"/>
          </w:tcPr>
          <w:p w:rsidRPr="006F34CD" w:rsidR="00515FE0" w:rsidP="006F34CD" w:rsidRDefault="00515FE0" w14:paraId="7A1B44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Afanasyevna CHESNOKOVA</w:t>
            </w:r>
          </w:p>
        </w:tc>
        <w:tc>
          <w:tcPr>
            <w:tcW w:w="836" w:type="dxa"/>
          </w:tcPr>
          <w:p w:rsidRPr="006F34CD" w:rsidR="00515FE0" w:rsidP="006F34CD" w:rsidRDefault="00515FE0" w14:paraId="032664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72ED89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DCACB5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E6CC4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C3872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1398FB0" w14:textId="77777777">
        <w:trPr>
          <w:cantSplit/>
        </w:trPr>
        <w:tc>
          <w:tcPr>
            <w:tcW w:w="2249" w:type="dxa"/>
          </w:tcPr>
          <w:p w:rsidRPr="006F34CD" w:rsidR="00515FE0" w:rsidP="006F34CD" w:rsidRDefault="00515FE0" w14:paraId="5E9B14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ÐširilI Igorevich CHETVERIKOV</w:t>
            </w:r>
          </w:p>
        </w:tc>
        <w:tc>
          <w:tcPr>
            <w:tcW w:w="836" w:type="dxa"/>
          </w:tcPr>
          <w:p w:rsidRPr="006F34CD" w:rsidR="00515FE0" w:rsidP="006F34CD" w:rsidRDefault="00515FE0" w14:paraId="7E6767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5FEE1D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CFF4BF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1128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24CA3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A5637F1" w14:textId="77777777">
        <w:trPr>
          <w:cantSplit/>
        </w:trPr>
        <w:tc>
          <w:tcPr>
            <w:tcW w:w="2249" w:type="dxa"/>
          </w:tcPr>
          <w:p w:rsidRPr="006F34CD" w:rsidR="00515FE0" w:rsidP="006F34CD" w:rsidRDefault="00515FE0" w14:paraId="484A55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Yuryevna CHETVERIKOVA</w:t>
            </w:r>
          </w:p>
        </w:tc>
        <w:tc>
          <w:tcPr>
            <w:tcW w:w="836" w:type="dxa"/>
          </w:tcPr>
          <w:p w:rsidRPr="006F34CD" w:rsidR="00515FE0" w:rsidP="006F34CD" w:rsidRDefault="00515FE0" w14:paraId="66CEB8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239AB6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14892C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34CB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C7908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1FDDA10" w14:textId="77777777">
        <w:trPr>
          <w:cantSplit/>
        </w:trPr>
        <w:tc>
          <w:tcPr>
            <w:tcW w:w="2249" w:type="dxa"/>
          </w:tcPr>
          <w:p w:rsidRPr="006F34CD" w:rsidR="00515FE0" w:rsidP="006F34CD" w:rsidRDefault="00515FE0" w14:paraId="68ACE5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Petrovna CHIBISOVA</w:t>
            </w:r>
          </w:p>
        </w:tc>
        <w:tc>
          <w:tcPr>
            <w:tcW w:w="836" w:type="dxa"/>
          </w:tcPr>
          <w:p w:rsidRPr="006F34CD" w:rsidR="00515FE0" w:rsidP="006F34CD" w:rsidRDefault="00515FE0" w14:paraId="4BF8CD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22F933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D43757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FF18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855E34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1F2F921" w14:textId="77777777">
        <w:trPr>
          <w:cantSplit/>
        </w:trPr>
        <w:tc>
          <w:tcPr>
            <w:tcW w:w="2249" w:type="dxa"/>
          </w:tcPr>
          <w:p w:rsidRPr="006F34CD" w:rsidR="00515FE0" w:rsidP="006F34CD" w:rsidRDefault="00515FE0" w14:paraId="42A370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Petrovna DANILOVA</w:t>
            </w:r>
          </w:p>
        </w:tc>
        <w:tc>
          <w:tcPr>
            <w:tcW w:w="836" w:type="dxa"/>
          </w:tcPr>
          <w:p w:rsidRPr="006F34CD" w:rsidR="00515FE0" w:rsidP="006F34CD" w:rsidRDefault="00515FE0" w14:paraId="1320C7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6B89DF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35538D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771AA9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EA9C4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E4A3889" w14:textId="77777777">
        <w:trPr>
          <w:cantSplit/>
        </w:trPr>
        <w:tc>
          <w:tcPr>
            <w:tcW w:w="2249" w:type="dxa"/>
          </w:tcPr>
          <w:p w:rsidRPr="006F34CD" w:rsidR="00515FE0" w:rsidP="006F34CD" w:rsidRDefault="00515FE0" w14:paraId="714C37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Andreevna DANYUKOVA</w:t>
            </w:r>
          </w:p>
        </w:tc>
        <w:tc>
          <w:tcPr>
            <w:tcW w:w="836" w:type="dxa"/>
          </w:tcPr>
          <w:p w:rsidRPr="006F34CD" w:rsidR="00515FE0" w:rsidP="006F34CD" w:rsidRDefault="00515FE0" w14:paraId="13FB66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2EA0AD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51B065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CF09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B7E14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B6DD096" w14:textId="77777777">
        <w:trPr>
          <w:cantSplit/>
        </w:trPr>
        <w:tc>
          <w:tcPr>
            <w:tcW w:w="2249" w:type="dxa"/>
          </w:tcPr>
          <w:p w:rsidRPr="006F34CD" w:rsidR="00515FE0" w:rsidP="006F34CD" w:rsidRDefault="00515FE0" w14:paraId="4067AE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Tamara Maksimovna DAVIDCHENKO</w:t>
            </w:r>
          </w:p>
        </w:tc>
        <w:tc>
          <w:tcPr>
            <w:tcW w:w="836" w:type="dxa"/>
          </w:tcPr>
          <w:p w:rsidRPr="006F34CD" w:rsidR="00515FE0" w:rsidP="006F34CD" w:rsidRDefault="00515FE0" w14:paraId="64909B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1A9C2B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42DCC9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0FE3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89B5DE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35443B7" w14:textId="77777777">
        <w:trPr>
          <w:cantSplit/>
        </w:trPr>
        <w:tc>
          <w:tcPr>
            <w:tcW w:w="2249" w:type="dxa"/>
          </w:tcPr>
          <w:p w:rsidRPr="006F34CD" w:rsidR="00515FE0" w:rsidP="006F34CD" w:rsidRDefault="00515FE0" w14:paraId="6EE805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Ivanovna DEMYANENKO</w:t>
            </w:r>
          </w:p>
        </w:tc>
        <w:tc>
          <w:tcPr>
            <w:tcW w:w="836" w:type="dxa"/>
          </w:tcPr>
          <w:p w:rsidRPr="006F34CD" w:rsidR="00515FE0" w:rsidP="006F34CD" w:rsidRDefault="00515FE0" w14:paraId="563168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4093EF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6631D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6DDBC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8947B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59AA20A" w14:textId="77777777">
        <w:trPr>
          <w:cantSplit/>
        </w:trPr>
        <w:tc>
          <w:tcPr>
            <w:tcW w:w="2249" w:type="dxa"/>
          </w:tcPr>
          <w:p w:rsidRPr="006F34CD" w:rsidR="00515FE0" w:rsidP="006F34CD" w:rsidRDefault="00515FE0" w14:paraId="52B66A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Nikolaevna DENISKINA</w:t>
            </w:r>
          </w:p>
        </w:tc>
        <w:tc>
          <w:tcPr>
            <w:tcW w:w="836" w:type="dxa"/>
          </w:tcPr>
          <w:p w:rsidRPr="006F34CD" w:rsidR="00515FE0" w:rsidP="006F34CD" w:rsidRDefault="00515FE0" w14:paraId="3B12DC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5DAD2F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814DC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4920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75F7F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459430D" w14:textId="77777777">
        <w:trPr>
          <w:cantSplit/>
        </w:trPr>
        <w:tc>
          <w:tcPr>
            <w:tcW w:w="2249" w:type="dxa"/>
          </w:tcPr>
          <w:p w:rsidRPr="006F34CD" w:rsidR="00515FE0" w:rsidP="006F34CD" w:rsidRDefault="00515FE0" w14:paraId="584744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Ðœikhaylovna DEREVYANKO</w:t>
            </w:r>
          </w:p>
        </w:tc>
        <w:tc>
          <w:tcPr>
            <w:tcW w:w="836" w:type="dxa"/>
          </w:tcPr>
          <w:p w:rsidRPr="006F34CD" w:rsidR="00515FE0" w:rsidP="006F34CD" w:rsidRDefault="00515FE0" w14:paraId="412C3C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5919AC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48F7C43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42F08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B645D3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65009BE" w14:textId="77777777">
        <w:trPr>
          <w:cantSplit/>
        </w:trPr>
        <w:tc>
          <w:tcPr>
            <w:tcW w:w="2249" w:type="dxa"/>
          </w:tcPr>
          <w:p w:rsidRPr="006F34CD" w:rsidR="00515FE0" w:rsidP="006F34CD" w:rsidRDefault="00515FE0" w14:paraId="7F6E20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Olegovna DERKACHYOVA</w:t>
            </w:r>
          </w:p>
        </w:tc>
        <w:tc>
          <w:tcPr>
            <w:tcW w:w="836" w:type="dxa"/>
          </w:tcPr>
          <w:p w:rsidRPr="006F34CD" w:rsidR="00515FE0" w:rsidP="006F34CD" w:rsidRDefault="00515FE0" w14:paraId="3EE422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50FF3D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AE5A5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F974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AEECD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DC37109" w14:textId="77777777">
        <w:trPr>
          <w:cantSplit/>
        </w:trPr>
        <w:tc>
          <w:tcPr>
            <w:tcW w:w="2249" w:type="dxa"/>
          </w:tcPr>
          <w:p w:rsidRPr="006F34CD" w:rsidR="00515FE0" w:rsidP="006F34CD" w:rsidRDefault="00515FE0" w14:paraId="679272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Vasilyevna DERKACHYOVA</w:t>
            </w:r>
          </w:p>
        </w:tc>
        <w:tc>
          <w:tcPr>
            <w:tcW w:w="836" w:type="dxa"/>
          </w:tcPr>
          <w:p w:rsidRPr="006F34CD" w:rsidR="00515FE0" w:rsidP="006F34CD" w:rsidRDefault="00515FE0" w14:paraId="78528A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119B70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32BB7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212B7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68CAC8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7378D8F" w14:textId="77777777">
        <w:trPr>
          <w:cantSplit/>
        </w:trPr>
        <w:tc>
          <w:tcPr>
            <w:tcW w:w="2249" w:type="dxa"/>
          </w:tcPr>
          <w:p w:rsidRPr="006F34CD" w:rsidR="00515FE0" w:rsidP="006F34CD" w:rsidRDefault="00515FE0" w14:paraId="2DD456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Aleksandra Yeliseyevna DERYABOVA</w:t>
            </w:r>
          </w:p>
        </w:tc>
        <w:tc>
          <w:tcPr>
            <w:tcW w:w="836" w:type="dxa"/>
          </w:tcPr>
          <w:p w:rsidRPr="006F34CD" w:rsidR="00515FE0" w:rsidP="006F34CD" w:rsidRDefault="00515FE0" w14:paraId="46105C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1928</w:t>
            </w:r>
          </w:p>
        </w:tc>
        <w:tc>
          <w:tcPr>
            <w:tcW w:w="1305" w:type="dxa"/>
          </w:tcPr>
          <w:p w:rsidRPr="006F34CD" w:rsidR="00515FE0" w:rsidP="006F34CD" w:rsidRDefault="00515FE0" w14:paraId="7CC479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882F9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A5FB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1A08C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E379E86" w14:textId="77777777">
        <w:trPr>
          <w:cantSplit/>
        </w:trPr>
        <w:tc>
          <w:tcPr>
            <w:tcW w:w="2249" w:type="dxa"/>
          </w:tcPr>
          <w:p w:rsidRPr="006F34CD" w:rsidR="00515FE0" w:rsidP="006F34CD" w:rsidRDefault="00515FE0" w14:paraId="393E72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Vyacheslavovna DERYAGINA</w:t>
            </w:r>
          </w:p>
        </w:tc>
        <w:tc>
          <w:tcPr>
            <w:tcW w:w="836" w:type="dxa"/>
          </w:tcPr>
          <w:p w:rsidRPr="006F34CD" w:rsidR="00515FE0" w:rsidP="006F34CD" w:rsidRDefault="00515FE0" w14:paraId="2BC04F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0BB6A0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82A59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ADB8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29A22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5B36399" w14:textId="77777777">
        <w:trPr>
          <w:cantSplit/>
        </w:trPr>
        <w:tc>
          <w:tcPr>
            <w:tcW w:w="2249" w:type="dxa"/>
          </w:tcPr>
          <w:p w:rsidRPr="006F34CD" w:rsidR="00515FE0" w:rsidP="006F34CD" w:rsidRDefault="00515FE0" w14:paraId="06C93D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Pavlina Anatolyevna DERYAGINA</w:t>
            </w:r>
          </w:p>
        </w:tc>
        <w:tc>
          <w:tcPr>
            <w:tcW w:w="836" w:type="dxa"/>
          </w:tcPr>
          <w:p w:rsidRPr="006F34CD" w:rsidR="00515FE0" w:rsidP="006F34CD" w:rsidRDefault="00515FE0" w14:paraId="71412C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6C44E0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959AB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11E5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9AB24E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F0E33B0" w14:textId="77777777">
        <w:trPr>
          <w:cantSplit/>
        </w:trPr>
        <w:tc>
          <w:tcPr>
            <w:tcW w:w="2249" w:type="dxa"/>
          </w:tcPr>
          <w:p w:rsidRPr="006F34CD" w:rsidR="00515FE0" w:rsidP="006F34CD" w:rsidRDefault="00515FE0" w14:paraId="3E00A8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Antonovna DESNENKO</w:t>
            </w:r>
          </w:p>
        </w:tc>
        <w:tc>
          <w:tcPr>
            <w:tcW w:w="836" w:type="dxa"/>
          </w:tcPr>
          <w:p w:rsidRPr="006F34CD" w:rsidR="00515FE0" w:rsidP="006F34CD" w:rsidRDefault="00515FE0" w14:paraId="3A4EAC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7743039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0EDD88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97912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4A73E5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39B91BA" w14:textId="77777777">
        <w:trPr>
          <w:cantSplit/>
        </w:trPr>
        <w:tc>
          <w:tcPr>
            <w:tcW w:w="2249" w:type="dxa"/>
          </w:tcPr>
          <w:p w:rsidRPr="006F34CD" w:rsidR="00515FE0" w:rsidP="006F34CD" w:rsidRDefault="00515FE0" w14:paraId="0EE1E2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Pavlovna DIMKOVSKAYA</w:t>
            </w:r>
          </w:p>
        </w:tc>
        <w:tc>
          <w:tcPr>
            <w:tcW w:w="836" w:type="dxa"/>
          </w:tcPr>
          <w:p w:rsidRPr="006F34CD" w:rsidR="00515FE0" w:rsidP="006F34CD" w:rsidRDefault="00515FE0" w14:paraId="0AC389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0A7A349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D40635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2FDC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23F5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71C5326" w14:textId="77777777">
        <w:trPr>
          <w:cantSplit/>
        </w:trPr>
        <w:tc>
          <w:tcPr>
            <w:tcW w:w="2249" w:type="dxa"/>
          </w:tcPr>
          <w:p w:rsidRPr="006F34CD" w:rsidR="00515FE0" w:rsidP="006F34CD" w:rsidRDefault="00515FE0" w14:paraId="523244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Vladimirovna DORENKO</w:t>
            </w:r>
          </w:p>
        </w:tc>
        <w:tc>
          <w:tcPr>
            <w:tcW w:w="836" w:type="dxa"/>
          </w:tcPr>
          <w:p w:rsidRPr="006F34CD" w:rsidR="00515FE0" w:rsidP="006F34CD" w:rsidRDefault="00515FE0" w14:paraId="6D84F5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20D9C1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CDD989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346CB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23C87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77C8608" w14:textId="77777777">
        <w:trPr>
          <w:cantSplit/>
        </w:trPr>
        <w:tc>
          <w:tcPr>
            <w:tcW w:w="2249" w:type="dxa"/>
          </w:tcPr>
          <w:p w:rsidRPr="006F34CD" w:rsidR="00515FE0" w:rsidP="006F34CD" w:rsidRDefault="00515FE0" w14:paraId="04AEB0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Marina Ivanovna DOROFEYEVA</w:t>
            </w:r>
          </w:p>
        </w:tc>
        <w:tc>
          <w:tcPr>
            <w:tcW w:w="836" w:type="dxa"/>
          </w:tcPr>
          <w:p w:rsidRPr="006F34CD" w:rsidR="00515FE0" w:rsidP="006F34CD" w:rsidRDefault="00515FE0" w14:paraId="3CB7B9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6F4A0C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6CDDB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5CFC1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43F32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4EF6D46" w14:textId="77777777">
        <w:trPr>
          <w:cantSplit/>
        </w:trPr>
        <w:tc>
          <w:tcPr>
            <w:tcW w:w="2249" w:type="dxa"/>
          </w:tcPr>
          <w:p w:rsidRPr="006F34CD" w:rsidR="00515FE0" w:rsidP="006F34CD" w:rsidRDefault="00515FE0" w14:paraId="2F2ED6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Stepanovna DOROFEYEVA</w:t>
            </w:r>
          </w:p>
        </w:tc>
        <w:tc>
          <w:tcPr>
            <w:tcW w:w="836" w:type="dxa"/>
          </w:tcPr>
          <w:p w:rsidRPr="006F34CD" w:rsidR="00515FE0" w:rsidP="006F34CD" w:rsidRDefault="00515FE0" w14:paraId="32D833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2B4A29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737735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50AF5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36280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506C27" w14:textId="77777777">
        <w:trPr>
          <w:cantSplit/>
        </w:trPr>
        <w:tc>
          <w:tcPr>
            <w:tcW w:w="2249" w:type="dxa"/>
          </w:tcPr>
          <w:p w:rsidRPr="006F34CD" w:rsidR="00515FE0" w:rsidP="006F34CD" w:rsidRDefault="00515FE0" w14:paraId="203FFD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Alina Vitalyevna DROZDOVA</w:t>
            </w:r>
          </w:p>
        </w:tc>
        <w:tc>
          <w:tcPr>
            <w:tcW w:w="836" w:type="dxa"/>
          </w:tcPr>
          <w:p w:rsidRPr="006F34CD" w:rsidR="00515FE0" w:rsidP="006F34CD" w:rsidRDefault="00515FE0" w14:paraId="51DA02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33AB55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EF581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6E8EF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B6F565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6E46DF6" w14:textId="77777777">
        <w:trPr>
          <w:cantSplit/>
        </w:trPr>
        <w:tc>
          <w:tcPr>
            <w:tcW w:w="2249" w:type="dxa"/>
          </w:tcPr>
          <w:p w:rsidRPr="006F34CD" w:rsidR="00515FE0" w:rsidP="006F34CD" w:rsidRDefault="00515FE0" w14:paraId="3D51C3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Aleksandrovna DROZDOVA</w:t>
            </w:r>
          </w:p>
        </w:tc>
        <w:tc>
          <w:tcPr>
            <w:tcW w:w="836" w:type="dxa"/>
          </w:tcPr>
          <w:p w:rsidRPr="006F34CD" w:rsidR="00515FE0" w:rsidP="006F34CD" w:rsidRDefault="00515FE0" w14:paraId="04B85E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30094C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FDB3DA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D935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FDD46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800C77F" w14:textId="77777777">
        <w:trPr>
          <w:cantSplit/>
        </w:trPr>
        <w:tc>
          <w:tcPr>
            <w:tcW w:w="2249" w:type="dxa"/>
          </w:tcPr>
          <w:p w:rsidRPr="006F34CD" w:rsidR="00515FE0" w:rsidP="006F34CD" w:rsidRDefault="00515FE0" w14:paraId="345B5B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Valeriyevna DUROVA</w:t>
            </w:r>
          </w:p>
        </w:tc>
        <w:tc>
          <w:tcPr>
            <w:tcW w:w="836" w:type="dxa"/>
          </w:tcPr>
          <w:p w:rsidRPr="006F34CD" w:rsidR="00515FE0" w:rsidP="006F34CD" w:rsidRDefault="00515FE0" w14:paraId="2FCFFF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598D92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74B9CF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D09E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05E2D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07E919A" w14:textId="77777777">
        <w:trPr>
          <w:cantSplit/>
        </w:trPr>
        <w:tc>
          <w:tcPr>
            <w:tcW w:w="2249" w:type="dxa"/>
          </w:tcPr>
          <w:p w:rsidRPr="006F34CD" w:rsidR="00515FE0" w:rsidP="006F34CD" w:rsidRDefault="00515FE0" w14:paraId="60F22F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Taisiya Vasilyevna DVORECKAYA</w:t>
            </w:r>
          </w:p>
        </w:tc>
        <w:tc>
          <w:tcPr>
            <w:tcW w:w="836" w:type="dxa"/>
          </w:tcPr>
          <w:p w:rsidRPr="006F34CD" w:rsidR="00515FE0" w:rsidP="006F34CD" w:rsidRDefault="00515FE0" w14:paraId="461040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1945</w:t>
            </w:r>
          </w:p>
        </w:tc>
        <w:tc>
          <w:tcPr>
            <w:tcW w:w="1305" w:type="dxa"/>
          </w:tcPr>
          <w:p w:rsidRPr="006F34CD" w:rsidR="00515FE0" w:rsidP="006F34CD" w:rsidRDefault="00515FE0" w14:paraId="7881AB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Pokrovskoye</w:t>
            </w:r>
          </w:p>
        </w:tc>
        <w:tc>
          <w:tcPr>
            <w:tcW w:w="1134" w:type="dxa"/>
          </w:tcPr>
          <w:p w:rsidRPr="006F34CD" w:rsidR="00515FE0" w:rsidP="006F34CD" w:rsidRDefault="00515FE0" w14:paraId="21A372F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7E88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F4B8D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2EE1AFF" w14:textId="77777777">
        <w:trPr>
          <w:cantSplit/>
        </w:trPr>
        <w:tc>
          <w:tcPr>
            <w:tcW w:w="2249" w:type="dxa"/>
          </w:tcPr>
          <w:p w:rsidRPr="006F34CD" w:rsidR="00515FE0" w:rsidP="006F34CD" w:rsidRDefault="00515FE0" w14:paraId="72A4A1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Vitalyevich DYAKONOV</w:t>
            </w:r>
          </w:p>
        </w:tc>
        <w:tc>
          <w:tcPr>
            <w:tcW w:w="836" w:type="dxa"/>
          </w:tcPr>
          <w:p w:rsidRPr="006F34CD" w:rsidR="00515FE0" w:rsidP="006F34CD" w:rsidRDefault="00515FE0" w14:paraId="30D2B7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1ECA4A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1870B7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CED58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DE26FF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1ABA61F" w14:textId="77777777">
        <w:trPr>
          <w:cantSplit/>
        </w:trPr>
        <w:tc>
          <w:tcPr>
            <w:tcW w:w="2249" w:type="dxa"/>
          </w:tcPr>
          <w:p w:rsidRPr="006F34CD" w:rsidR="00515FE0" w:rsidP="006F34CD" w:rsidRDefault="00515FE0" w14:paraId="038E47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Vitalyevna DYAKONOVA</w:t>
            </w:r>
          </w:p>
        </w:tc>
        <w:tc>
          <w:tcPr>
            <w:tcW w:w="836" w:type="dxa"/>
          </w:tcPr>
          <w:p w:rsidRPr="006F34CD" w:rsidR="00515FE0" w:rsidP="006F34CD" w:rsidRDefault="00515FE0" w14:paraId="046B59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25421B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41485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630E5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D293A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F24C153" w14:textId="77777777">
        <w:trPr>
          <w:cantSplit/>
        </w:trPr>
        <w:tc>
          <w:tcPr>
            <w:tcW w:w="2249" w:type="dxa"/>
          </w:tcPr>
          <w:p w:rsidRPr="006F34CD" w:rsidR="00515FE0" w:rsidP="006F34CD" w:rsidRDefault="00515FE0" w14:paraId="6110F8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Nikolaevna DYAKONOVA</w:t>
            </w:r>
          </w:p>
        </w:tc>
        <w:tc>
          <w:tcPr>
            <w:tcW w:w="836" w:type="dxa"/>
          </w:tcPr>
          <w:p w:rsidRPr="006F34CD" w:rsidR="00515FE0" w:rsidP="006F34CD" w:rsidRDefault="00515FE0" w14:paraId="6316A5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76D5BC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0BF0C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43CA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FBBB5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5CAC906" w14:textId="77777777">
        <w:trPr>
          <w:cantSplit/>
        </w:trPr>
        <w:tc>
          <w:tcPr>
            <w:tcW w:w="2249" w:type="dxa"/>
          </w:tcPr>
          <w:p w:rsidRPr="006F34CD" w:rsidR="00515FE0" w:rsidP="006F34CD" w:rsidRDefault="00515FE0" w14:paraId="301950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Ðœaria Nikolaevna FEDORYENKO</w:t>
            </w:r>
          </w:p>
        </w:tc>
        <w:tc>
          <w:tcPr>
            <w:tcW w:w="836" w:type="dxa"/>
          </w:tcPr>
          <w:p w:rsidRPr="006F34CD" w:rsidR="00515FE0" w:rsidP="006F34CD" w:rsidRDefault="00515FE0" w14:paraId="563856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4A5AAC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13A752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06E21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41CF4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D135086" w14:textId="77777777">
        <w:trPr>
          <w:cantSplit/>
        </w:trPr>
        <w:tc>
          <w:tcPr>
            <w:tcW w:w="2249" w:type="dxa"/>
          </w:tcPr>
          <w:p w:rsidRPr="006F34CD" w:rsidR="00515FE0" w:rsidP="006F34CD" w:rsidRDefault="00515FE0" w14:paraId="6F8EB7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Yelisaveta Petrovna FEDOSOVA</w:t>
            </w:r>
          </w:p>
        </w:tc>
        <w:tc>
          <w:tcPr>
            <w:tcW w:w="836" w:type="dxa"/>
          </w:tcPr>
          <w:p w:rsidRPr="006F34CD" w:rsidR="00515FE0" w:rsidP="006F34CD" w:rsidRDefault="00515FE0" w14:paraId="51155A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3B3A69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4ADEE70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452F1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D03FD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9841502" w14:textId="77777777">
        <w:trPr>
          <w:cantSplit/>
        </w:trPr>
        <w:tc>
          <w:tcPr>
            <w:tcW w:w="2249" w:type="dxa"/>
          </w:tcPr>
          <w:p w:rsidRPr="006F34CD" w:rsidR="00515FE0" w:rsidP="006F34CD" w:rsidRDefault="00515FE0" w14:paraId="69052D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Mikhaylovna FILATOVA</w:t>
            </w:r>
          </w:p>
        </w:tc>
        <w:tc>
          <w:tcPr>
            <w:tcW w:w="836" w:type="dxa"/>
          </w:tcPr>
          <w:p w:rsidRPr="006F34CD" w:rsidR="00515FE0" w:rsidP="006F34CD" w:rsidRDefault="00515FE0" w14:paraId="06C094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24FF69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6F6C8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A424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A26B1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50B9FF7" w14:textId="77777777">
        <w:trPr>
          <w:cantSplit/>
        </w:trPr>
        <w:tc>
          <w:tcPr>
            <w:tcW w:w="2249" w:type="dxa"/>
          </w:tcPr>
          <w:p w:rsidRPr="006F34CD" w:rsidR="00515FE0" w:rsidP="006F34CD" w:rsidRDefault="00515FE0" w14:paraId="2B26AD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Larisa Aleksandrovna FILONOVA</w:t>
            </w:r>
          </w:p>
        </w:tc>
        <w:tc>
          <w:tcPr>
            <w:tcW w:w="836" w:type="dxa"/>
          </w:tcPr>
          <w:p w:rsidRPr="006F34CD" w:rsidR="00515FE0" w:rsidP="006F34CD" w:rsidRDefault="00515FE0" w14:paraId="05E044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07A12C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D37034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857D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628C4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BE47C66" w14:textId="77777777">
        <w:trPr>
          <w:cantSplit/>
        </w:trPr>
        <w:tc>
          <w:tcPr>
            <w:tcW w:w="2249" w:type="dxa"/>
          </w:tcPr>
          <w:p w:rsidRPr="006F34CD" w:rsidR="00515FE0" w:rsidP="006F34CD" w:rsidRDefault="00515FE0" w14:paraId="6A0493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Fyodorovna FOGEL</w:t>
            </w:r>
          </w:p>
        </w:tc>
        <w:tc>
          <w:tcPr>
            <w:tcW w:w="836" w:type="dxa"/>
          </w:tcPr>
          <w:p w:rsidRPr="006F34CD" w:rsidR="00515FE0" w:rsidP="006F34CD" w:rsidRDefault="00515FE0" w14:paraId="4CAB08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587481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8AB7C3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C7F6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349A8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0091ECB" w14:textId="77777777">
        <w:trPr>
          <w:cantSplit/>
        </w:trPr>
        <w:tc>
          <w:tcPr>
            <w:tcW w:w="2249" w:type="dxa"/>
          </w:tcPr>
          <w:p w:rsidRPr="006F34CD" w:rsidR="00515FE0" w:rsidP="006F34CD" w:rsidRDefault="00515FE0" w14:paraId="17853F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Nikolaevna FOMICHENKO</w:t>
            </w:r>
          </w:p>
        </w:tc>
        <w:tc>
          <w:tcPr>
            <w:tcW w:w="836" w:type="dxa"/>
          </w:tcPr>
          <w:p w:rsidRPr="006F34CD" w:rsidR="00515FE0" w:rsidP="006F34CD" w:rsidRDefault="00515FE0" w14:paraId="6DDD3C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5B636F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0BDFAC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49AF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CE6745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4F17965" w14:textId="77777777">
        <w:trPr>
          <w:cantSplit/>
        </w:trPr>
        <w:tc>
          <w:tcPr>
            <w:tcW w:w="2249" w:type="dxa"/>
          </w:tcPr>
          <w:p w:rsidRPr="006F34CD" w:rsidR="00515FE0" w:rsidP="006F34CD" w:rsidRDefault="00515FE0" w14:paraId="08EF23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Mikhaylovna FOMINA</w:t>
            </w:r>
          </w:p>
        </w:tc>
        <w:tc>
          <w:tcPr>
            <w:tcW w:w="836" w:type="dxa"/>
          </w:tcPr>
          <w:p w:rsidRPr="006F34CD" w:rsidR="00515FE0" w:rsidP="006F34CD" w:rsidRDefault="00515FE0" w14:paraId="593738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1930</w:t>
            </w:r>
          </w:p>
        </w:tc>
        <w:tc>
          <w:tcPr>
            <w:tcW w:w="1305" w:type="dxa"/>
          </w:tcPr>
          <w:p w:rsidRPr="006F34CD" w:rsidR="00515FE0" w:rsidP="006F34CD" w:rsidRDefault="00515FE0" w14:paraId="368DAB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3EF100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4711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265C2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78EEB98" w14:textId="77777777">
        <w:trPr>
          <w:cantSplit/>
        </w:trPr>
        <w:tc>
          <w:tcPr>
            <w:tcW w:w="2249" w:type="dxa"/>
          </w:tcPr>
          <w:p w:rsidRPr="006F34CD" w:rsidR="00515FE0" w:rsidP="006F34CD" w:rsidRDefault="00515FE0" w14:paraId="0ECADA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lvanovna GABRIEL</w:t>
            </w:r>
          </w:p>
        </w:tc>
        <w:tc>
          <w:tcPr>
            <w:tcW w:w="836" w:type="dxa"/>
          </w:tcPr>
          <w:p w:rsidRPr="006F34CD" w:rsidR="00515FE0" w:rsidP="006F34CD" w:rsidRDefault="00515FE0" w14:paraId="1736FE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33CA52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3BFF20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B5A4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48042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EAB77E9" w14:textId="77777777">
        <w:trPr>
          <w:cantSplit/>
        </w:trPr>
        <w:tc>
          <w:tcPr>
            <w:tcW w:w="2249" w:type="dxa"/>
          </w:tcPr>
          <w:p w:rsidRPr="006F34CD" w:rsidR="00515FE0" w:rsidP="006F34CD" w:rsidRDefault="00515FE0" w14:paraId="10F0E0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Viktorovna GALKINA</w:t>
            </w:r>
          </w:p>
        </w:tc>
        <w:tc>
          <w:tcPr>
            <w:tcW w:w="836" w:type="dxa"/>
          </w:tcPr>
          <w:p w:rsidRPr="006F34CD" w:rsidR="00515FE0" w:rsidP="006F34CD" w:rsidRDefault="00515FE0" w14:paraId="03D388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651D76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64D7D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D500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78AB0B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2791A18" w14:textId="77777777">
        <w:trPr>
          <w:cantSplit/>
        </w:trPr>
        <w:tc>
          <w:tcPr>
            <w:tcW w:w="2249" w:type="dxa"/>
          </w:tcPr>
          <w:p w:rsidRPr="006F34CD" w:rsidR="00515FE0" w:rsidP="006F34CD" w:rsidRDefault="00515FE0" w14:paraId="23240E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Zinaida Stepanovna GALUSHKINA</w:t>
            </w:r>
          </w:p>
        </w:tc>
        <w:tc>
          <w:tcPr>
            <w:tcW w:w="836" w:type="dxa"/>
          </w:tcPr>
          <w:p w:rsidRPr="006F34CD" w:rsidR="00515FE0" w:rsidP="006F34CD" w:rsidRDefault="00515FE0" w14:paraId="39490F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42F701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Novobessergenevka</w:t>
            </w:r>
          </w:p>
        </w:tc>
        <w:tc>
          <w:tcPr>
            <w:tcW w:w="1134" w:type="dxa"/>
          </w:tcPr>
          <w:p w:rsidRPr="006F34CD" w:rsidR="00515FE0" w:rsidP="006F34CD" w:rsidRDefault="00515FE0" w14:paraId="1900716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0A31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F148D2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8FB6486" w14:textId="77777777">
        <w:trPr>
          <w:cantSplit/>
        </w:trPr>
        <w:tc>
          <w:tcPr>
            <w:tcW w:w="2249" w:type="dxa"/>
          </w:tcPr>
          <w:p w:rsidRPr="006F34CD" w:rsidR="00515FE0" w:rsidP="006F34CD" w:rsidRDefault="00515FE0" w14:paraId="4AEAD2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Andreyevna GALUZA</w:t>
            </w:r>
          </w:p>
        </w:tc>
        <w:tc>
          <w:tcPr>
            <w:tcW w:w="836" w:type="dxa"/>
          </w:tcPr>
          <w:p w:rsidRPr="006F34CD" w:rsidR="00515FE0" w:rsidP="006F34CD" w:rsidRDefault="00515FE0" w14:paraId="2D91B3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4993A6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Petrushino</w:t>
            </w:r>
          </w:p>
        </w:tc>
        <w:tc>
          <w:tcPr>
            <w:tcW w:w="1134" w:type="dxa"/>
          </w:tcPr>
          <w:p w:rsidRPr="006F34CD" w:rsidR="00515FE0" w:rsidP="006F34CD" w:rsidRDefault="00515FE0" w14:paraId="4073F8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212A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F64CC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C564BBA" w14:textId="77777777">
        <w:trPr>
          <w:cantSplit/>
        </w:trPr>
        <w:tc>
          <w:tcPr>
            <w:tcW w:w="2249" w:type="dxa"/>
          </w:tcPr>
          <w:p w:rsidRPr="006F34CD" w:rsidR="00515FE0" w:rsidP="006F34CD" w:rsidRDefault="00515FE0" w14:paraId="1F4C3C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Alekseyevna GARKUSHA</w:t>
            </w:r>
          </w:p>
        </w:tc>
        <w:tc>
          <w:tcPr>
            <w:tcW w:w="836" w:type="dxa"/>
          </w:tcPr>
          <w:p w:rsidRPr="006F34CD" w:rsidR="00515FE0" w:rsidP="006F34CD" w:rsidRDefault="00515FE0" w14:paraId="4AC923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216AF2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EE5F0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65B07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D3F9C2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C17B055" w14:textId="77777777">
        <w:trPr>
          <w:cantSplit/>
        </w:trPr>
        <w:tc>
          <w:tcPr>
            <w:tcW w:w="2249" w:type="dxa"/>
          </w:tcPr>
          <w:p w:rsidRPr="006F34CD" w:rsidR="00515FE0" w:rsidP="006F34CD" w:rsidRDefault="00515FE0" w14:paraId="05A3E3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Petrovich GARKUSHA</w:t>
            </w:r>
          </w:p>
        </w:tc>
        <w:tc>
          <w:tcPr>
            <w:tcW w:w="836" w:type="dxa"/>
          </w:tcPr>
          <w:p w:rsidRPr="006F34CD" w:rsidR="00515FE0" w:rsidP="006F34CD" w:rsidRDefault="00515FE0" w14:paraId="7B6CE9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1C3830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29C964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3EAF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BE6B0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875603D" w14:textId="77777777">
        <w:trPr>
          <w:cantSplit/>
        </w:trPr>
        <w:tc>
          <w:tcPr>
            <w:tcW w:w="2249" w:type="dxa"/>
          </w:tcPr>
          <w:p w:rsidRPr="006F34CD" w:rsidR="00515FE0" w:rsidP="006F34CD" w:rsidRDefault="00515FE0" w14:paraId="63D48D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Sergeyevna GAVRILINA</w:t>
            </w:r>
          </w:p>
        </w:tc>
        <w:tc>
          <w:tcPr>
            <w:tcW w:w="836" w:type="dxa"/>
          </w:tcPr>
          <w:p w:rsidRPr="006F34CD" w:rsidR="00515FE0" w:rsidP="006F34CD" w:rsidRDefault="00515FE0" w14:paraId="6C3287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698DCA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F8C58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230D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9D76CC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55181EF" w14:textId="77777777">
        <w:trPr>
          <w:cantSplit/>
        </w:trPr>
        <w:tc>
          <w:tcPr>
            <w:tcW w:w="2249" w:type="dxa"/>
          </w:tcPr>
          <w:p w:rsidRPr="006F34CD" w:rsidR="00515FE0" w:rsidP="006F34CD" w:rsidRDefault="00515FE0" w14:paraId="79FA02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Alla Ivanovna GAVRILOVA</w:t>
            </w:r>
          </w:p>
        </w:tc>
        <w:tc>
          <w:tcPr>
            <w:tcW w:w="836" w:type="dxa"/>
          </w:tcPr>
          <w:p w:rsidRPr="006F34CD" w:rsidR="00515FE0" w:rsidP="006F34CD" w:rsidRDefault="00515FE0" w14:paraId="0746F8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48B089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79014F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80C78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0728B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4DA5585" w14:textId="77777777">
        <w:trPr>
          <w:cantSplit/>
        </w:trPr>
        <w:tc>
          <w:tcPr>
            <w:tcW w:w="2249" w:type="dxa"/>
          </w:tcPr>
          <w:p w:rsidRPr="006F34CD" w:rsidR="00515FE0" w:rsidP="006F34CD" w:rsidRDefault="00515FE0" w14:paraId="22F25F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lgnatyevna GAVRUTENKO</w:t>
            </w:r>
          </w:p>
        </w:tc>
        <w:tc>
          <w:tcPr>
            <w:tcW w:w="836" w:type="dxa"/>
          </w:tcPr>
          <w:p w:rsidRPr="006F34CD" w:rsidR="00515FE0" w:rsidP="006F34CD" w:rsidRDefault="00515FE0" w14:paraId="474F3B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45A51B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A21B5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4A0E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627184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C5334B2" w14:textId="77777777">
        <w:trPr>
          <w:cantSplit/>
        </w:trPr>
        <w:tc>
          <w:tcPr>
            <w:tcW w:w="2249" w:type="dxa"/>
          </w:tcPr>
          <w:p w:rsidRPr="006F34CD" w:rsidR="00515FE0" w:rsidP="006F34CD" w:rsidRDefault="00515FE0" w14:paraId="570FBC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Evgenyevna GENERALOVNA</w:t>
            </w:r>
          </w:p>
        </w:tc>
        <w:tc>
          <w:tcPr>
            <w:tcW w:w="836" w:type="dxa"/>
          </w:tcPr>
          <w:p w:rsidRPr="006F34CD" w:rsidR="00515FE0" w:rsidP="006F34CD" w:rsidRDefault="00515FE0" w14:paraId="11B914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0444C9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DEAFD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03DE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E87D71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06F8C7F" w14:textId="77777777">
        <w:trPr>
          <w:cantSplit/>
        </w:trPr>
        <w:tc>
          <w:tcPr>
            <w:tcW w:w="2249" w:type="dxa"/>
          </w:tcPr>
          <w:p w:rsidRPr="006F34CD" w:rsidR="00515FE0" w:rsidP="006F34CD" w:rsidRDefault="00515FE0" w14:paraId="5F1952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Yevgeniya Alekseyevna GENRALOVA</w:t>
            </w:r>
          </w:p>
        </w:tc>
        <w:tc>
          <w:tcPr>
            <w:tcW w:w="836" w:type="dxa"/>
          </w:tcPr>
          <w:p w:rsidRPr="006F34CD" w:rsidR="00515FE0" w:rsidP="006F34CD" w:rsidRDefault="00515FE0" w14:paraId="696E92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51FE90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E05F60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BBE6B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48F16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E4035B9" w14:textId="77777777">
        <w:trPr>
          <w:cantSplit/>
        </w:trPr>
        <w:tc>
          <w:tcPr>
            <w:tcW w:w="2249" w:type="dxa"/>
          </w:tcPr>
          <w:p w:rsidRPr="006F34CD" w:rsidR="00515FE0" w:rsidP="006F34CD" w:rsidRDefault="00515FE0" w14:paraId="526D84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Vladimirovna GERASIMOVA</w:t>
            </w:r>
          </w:p>
        </w:tc>
        <w:tc>
          <w:tcPr>
            <w:tcW w:w="836" w:type="dxa"/>
          </w:tcPr>
          <w:p w:rsidRPr="006F34CD" w:rsidR="00515FE0" w:rsidP="006F34CD" w:rsidRDefault="00515FE0" w14:paraId="4E6FF5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382896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814E0F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06F6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A3855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AC07E12" w14:textId="77777777">
        <w:trPr>
          <w:cantSplit/>
        </w:trPr>
        <w:tc>
          <w:tcPr>
            <w:tcW w:w="2249" w:type="dxa"/>
          </w:tcPr>
          <w:p w:rsidRPr="006F34CD" w:rsidR="00515FE0" w:rsidP="006F34CD" w:rsidRDefault="00515FE0" w14:paraId="2059C0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Givi Mikhaylovich GOGUA</w:t>
            </w:r>
          </w:p>
        </w:tc>
        <w:tc>
          <w:tcPr>
            <w:tcW w:w="836" w:type="dxa"/>
          </w:tcPr>
          <w:p w:rsidRPr="006F34CD" w:rsidR="00515FE0" w:rsidP="006F34CD" w:rsidRDefault="00515FE0" w14:paraId="2E2924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7B6C75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Varenovka</w:t>
            </w:r>
          </w:p>
        </w:tc>
        <w:tc>
          <w:tcPr>
            <w:tcW w:w="1134" w:type="dxa"/>
          </w:tcPr>
          <w:p w:rsidRPr="006F34CD" w:rsidR="00515FE0" w:rsidP="006F34CD" w:rsidRDefault="00515FE0" w14:paraId="0AE419B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BBAA1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1C12BF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57C95DE" w14:textId="77777777">
        <w:trPr>
          <w:cantSplit/>
        </w:trPr>
        <w:tc>
          <w:tcPr>
            <w:tcW w:w="2249" w:type="dxa"/>
          </w:tcPr>
          <w:p w:rsidRPr="006F34CD" w:rsidR="00515FE0" w:rsidP="006F34CD" w:rsidRDefault="00515FE0" w14:paraId="65B13C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Petrovna GOLOBURDA</w:t>
            </w:r>
          </w:p>
        </w:tc>
        <w:tc>
          <w:tcPr>
            <w:tcW w:w="836" w:type="dxa"/>
          </w:tcPr>
          <w:p w:rsidRPr="006F34CD" w:rsidR="00515FE0" w:rsidP="006F34CD" w:rsidRDefault="00515FE0" w14:paraId="5B5F4B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71D468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CB5E3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E491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3B518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417BEDD" w14:textId="77777777">
        <w:trPr>
          <w:cantSplit/>
        </w:trPr>
        <w:tc>
          <w:tcPr>
            <w:tcW w:w="2249" w:type="dxa"/>
          </w:tcPr>
          <w:p w:rsidRPr="006F34CD" w:rsidR="00515FE0" w:rsidP="006F34CD" w:rsidRDefault="00515FE0" w14:paraId="478E57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Borisovna GOLOSKO</w:t>
            </w:r>
          </w:p>
        </w:tc>
        <w:tc>
          <w:tcPr>
            <w:tcW w:w="836" w:type="dxa"/>
          </w:tcPr>
          <w:p w:rsidRPr="006F34CD" w:rsidR="00515FE0" w:rsidP="006F34CD" w:rsidRDefault="00515FE0" w14:paraId="3AAD07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1B0770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775EA9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B5E8D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AB16F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61F3F5A" w14:textId="77777777">
        <w:trPr>
          <w:cantSplit/>
        </w:trPr>
        <w:tc>
          <w:tcPr>
            <w:tcW w:w="2249" w:type="dxa"/>
          </w:tcPr>
          <w:p w:rsidRPr="006F34CD" w:rsidR="00515FE0" w:rsidP="006F34CD" w:rsidRDefault="00515FE0" w14:paraId="6E01CF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Klavdiya Ivanovna GOLOSKOKOVA</w:t>
            </w:r>
          </w:p>
        </w:tc>
        <w:tc>
          <w:tcPr>
            <w:tcW w:w="836" w:type="dxa"/>
          </w:tcPr>
          <w:p w:rsidRPr="006F34CD" w:rsidR="00515FE0" w:rsidP="006F34CD" w:rsidRDefault="00515FE0" w14:paraId="5688B3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555A3F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253B44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036E1D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4824F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369311F" w14:textId="77777777">
        <w:trPr>
          <w:cantSplit/>
        </w:trPr>
        <w:tc>
          <w:tcPr>
            <w:tcW w:w="2249" w:type="dxa"/>
          </w:tcPr>
          <w:p w:rsidRPr="006F34CD" w:rsidR="00515FE0" w:rsidP="006F34CD" w:rsidRDefault="00515FE0" w14:paraId="77CE17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Stanislavovna GOLOSOVSKAYA</w:t>
            </w:r>
          </w:p>
        </w:tc>
        <w:tc>
          <w:tcPr>
            <w:tcW w:w="836" w:type="dxa"/>
          </w:tcPr>
          <w:p w:rsidRPr="006F34CD" w:rsidR="00515FE0" w:rsidP="006F34CD" w:rsidRDefault="00515FE0" w14:paraId="387488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69AABB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5ED680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BCD2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9E438F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25C676C" w14:textId="77777777">
        <w:trPr>
          <w:cantSplit/>
        </w:trPr>
        <w:tc>
          <w:tcPr>
            <w:tcW w:w="2249" w:type="dxa"/>
          </w:tcPr>
          <w:p w:rsidRPr="006F34CD" w:rsidR="00515FE0" w:rsidP="006F34CD" w:rsidRDefault="00515FE0" w14:paraId="158E35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Petrovich GOLUBENKO</w:t>
            </w:r>
          </w:p>
        </w:tc>
        <w:tc>
          <w:tcPr>
            <w:tcW w:w="836" w:type="dxa"/>
          </w:tcPr>
          <w:p w:rsidRPr="006F34CD" w:rsidR="00515FE0" w:rsidP="006F34CD" w:rsidRDefault="00515FE0" w14:paraId="0B9D9A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383F56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0EB7A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BE4E6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3D1CA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5932892" w14:textId="77777777">
        <w:trPr>
          <w:cantSplit/>
        </w:trPr>
        <w:tc>
          <w:tcPr>
            <w:tcW w:w="2249" w:type="dxa"/>
          </w:tcPr>
          <w:p w:rsidRPr="006F34CD" w:rsidR="00515FE0" w:rsidP="006F34CD" w:rsidRDefault="00515FE0" w14:paraId="2DF83F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Leonidovna GOLUBENKO</w:t>
            </w:r>
          </w:p>
        </w:tc>
        <w:tc>
          <w:tcPr>
            <w:tcW w:w="836" w:type="dxa"/>
          </w:tcPr>
          <w:p w:rsidRPr="006F34CD" w:rsidR="00515FE0" w:rsidP="006F34CD" w:rsidRDefault="00515FE0" w14:paraId="27B368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28CA16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BBF22B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A47C1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73920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377FB19" w14:textId="77777777">
        <w:trPr>
          <w:cantSplit/>
        </w:trPr>
        <w:tc>
          <w:tcPr>
            <w:tcW w:w="2249" w:type="dxa"/>
          </w:tcPr>
          <w:p w:rsidRPr="006F34CD" w:rsidR="00515FE0" w:rsidP="006F34CD" w:rsidRDefault="00515FE0" w14:paraId="09884F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Alla Pavlovna GOLUBENKO</w:t>
            </w:r>
          </w:p>
        </w:tc>
        <w:tc>
          <w:tcPr>
            <w:tcW w:w="836" w:type="dxa"/>
          </w:tcPr>
          <w:p w:rsidRPr="006F34CD" w:rsidR="00515FE0" w:rsidP="006F34CD" w:rsidRDefault="00515FE0" w14:paraId="4D6EAC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29EC25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367D54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6DD1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D0E950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A053F0D" w14:textId="77777777">
        <w:trPr>
          <w:cantSplit/>
        </w:trPr>
        <w:tc>
          <w:tcPr>
            <w:tcW w:w="2249" w:type="dxa"/>
          </w:tcPr>
          <w:p w:rsidRPr="006F34CD" w:rsidR="00515FE0" w:rsidP="006F34CD" w:rsidRDefault="00515FE0" w14:paraId="2CE8A1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Leonidovna GOLUBINA</w:t>
            </w:r>
          </w:p>
        </w:tc>
        <w:tc>
          <w:tcPr>
            <w:tcW w:w="836" w:type="dxa"/>
          </w:tcPr>
          <w:p w:rsidRPr="006F34CD" w:rsidR="00515FE0" w:rsidP="006F34CD" w:rsidRDefault="00515FE0" w14:paraId="7387DC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3E2C8F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E80CB3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FFE61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D2A47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95AD8A1" w14:textId="77777777">
        <w:trPr>
          <w:cantSplit/>
        </w:trPr>
        <w:tc>
          <w:tcPr>
            <w:tcW w:w="2249" w:type="dxa"/>
          </w:tcPr>
          <w:p w:rsidRPr="006F34CD" w:rsidR="00515FE0" w:rsidP="006F34CD" w:rsidRDefault="00515FE0" w14:paraId="3650E2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Nikolayevich GOLYASHOV</w:t>
            </w:r>
          </w:p>
        </w:tc>
        <w:tc>
          <w:tcPr>
            <w:tcW w:w="836" w:type="dxa"/>
          </w:tcPr>
          <w:p w:rsidRPr="006F34CD" w:rsidR="00515FE0" w:rsidP="006F34CD" w:rsidRDefault="00515FE0" w14:paraId="580321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0B2E32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06635C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DB98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F85C1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1A95607" w14:textId="77777777">
        <w:trPr>
          <w:cantSplit/>
        </w:trPr>
        <w:tc>
          <w:tcPr>
            <w:tcW w:w="2249" w:type="dxa"/>
          </w:tcPr>
          <w:p w:rsidRPr="006F34CD" w:rsidR="00515FE0" w:rsidP="006F34CD" w:rsidRDefault="00515FE0" w14:paraId="3D3564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Viktorovich GONCHAROV</w:t>
            </w:r>
          </w:p>
        </w:tc>
        <w:tc>
          <w:tcPr>
            <w:tcW w:w="836" w:type="dxa"/>
          </w:tcPr>
          <w:p w:rsidRPr="006F34CD" w:rsidR="00515FE0" w:rsidP="006F34CD" w:rsidRDefault="00515FE0" w14:paraId="445EE9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084338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5EC71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DBA56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76465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7616ED4" w14:textId="77777777">
        <w:trPr>
          <w:cantSplit/>
        </w:trPr>
        <w:tc>
          <w:tcPr>
            <w:tcW w:w="2249" w:type="dxa"/>
          </w:tcPr>
          <w:p w:rsidRPr="006F34CD" w:rsidR="00515FE0" w:rsidP="006F34CD" w:rsidRDefault="00515FE0" w14:paraId="085630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Nikolaevna GONCHAROVA</w:t>
            </w:r>
          </w:p>
        </w:tc>
        <w:tc>
          <w:tcPr>
            <w:tcW w:w="836" w:type="dxa"/>
          </w:tcPr>
          <w:p w:rsidRPr="006F34CD" w:rsidR="00515FE0" w:rsidP="006F34CD" w:rsidRDefault="00515FE0" w14:paraId="6D8D60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63BA10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40CF2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B8A2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94C83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79456E" w14:textId="77777777">
        <w:trPr>
          <w:cantSplit/>
        </w:trPr>
        <w:tc>
          <w:tcPr>
            <w:tcW w:w="2249" w:type="dxa"/>
          </w:tcPr>
          <w:p w:rsidRPr="006F34CD" w:rsidR="00515FE0" w:rsidP="006F34CD" w:rsidRDefault="00515FE0" w14:paraId="1FE5AA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Ivanovna GONCHAROVA</w:t>
            </w:r>
          </w:p>
        </w:tc>
        <w:tc>
          <w:tcPr>
            <w:tcW w:w="836" w:type="dxa"/>
          </w:tcPr>
          <w:p w:rsidRPr="006F34CD" w:rsidR="00515FE0" w:rsidP="006F34CD" w:rsidRDefault="00515FE0" w14:paraId="48CE01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222510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2E816A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BAEB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9E962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0C1D00D" w14:textId="77777777">
        <w:trPr>
          <w:cantSplit/>
        </w:trPr>
        <w:tc>
          <w:tcPr>
            <w:tcW w:w="2249" w:type="dxa"/>
          </w:tcPr>
          <w:p w:rsidRPr="006F34CD" w:rsidR="00515FE0" w:rsidP="006F34CD" w:rsidRDefault="00515FE0" w14:paraId="5C6954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Viktorovna GORBACH</w:t>
            </w:r>
          </w:p>
        </w:tc>
        <w:tc>
          <w:tcPr>
            <w:tcW w:w="836" w:type="dxa"/>
          </w:tcPr>
          <w:p w:rsidRPr="006F34CD" w:rsidR="00515FE0" w:rsidP="006F34CD" w:rsidRDefault="00515FE0" w14:paraId="4FD677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71C4DB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82E53B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4EC2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C86218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AB3C1C8" w14:textId="77777777">
        <w:trPr>
          <w:cantSplit/>
        </w:trPr>
        <w:tc>
          <w:tcPr>
            <w:tcW w:w="2249" w:type="dxa"/>
          </w:tcPr>
          <w:p w:rsidRPr="006F34CD" w:rsidR="00515FE0" w:rsidP="006F34CD" w:rsidRDefault="00515FE0" w14:paraId="165754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Nikitichna GORBATENKO</w:t>
            </w:r>
          </w:p>
        </w:tc>
        <w:tc>
          <w:tcPr>
            <w:tcW w:w="836" w:type="dxa"/>
          </w:tcPr>
          <w:p w:rsidRPr="006F34CD" w:rsidR="00515FE0" w:rsidP="006F34CD" w:rsidRDefault="00515FE0" w14:paraId="2F533F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1926</w:t>
            </w:r>
          </w:p>
        </w:tc>
        <w:tc>
          <w:tcPr>
            <w:tcW w:w="1305" w:type="dxa"/>
          </w:tcPr>
          <w:p w:rsidRPr="006F34CD" w:rsidR="00515FE0" w:rsidP="006F34CD" w:rsidRDefault="00515FE0" w14:paraId="27C447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Russkaya Slobodka</w:t>
            </w:r>
          </w:p>
        </w:tc>
        <w:tc>
          <w:tcPr>
            <w:tcW w:w="1134" w:type="dxa"/>
          </w:tcPr>
          <w:p w:rsidRPr="006F34CD" w:rsidR="00515FE0" w:rsidP="006F34CD" w:rsidRDefault="00515FE0" w14:paraId="2FFD04B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AACBC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B586F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25B79AB" w14:textId="77777777">
        <w:trPr>
          <w:cantSplit/>
        </w:trPr>
        <w:tc>
          <w:tcPr>
            <w:tcW w:w="2249" w:type="dxa"/>
          </w:tcPr>
          <w:p w:rsidRPr="006F34CD" w:rsidR="00515FE0" w:rsidP="006F34CD" w:rsidRDefault="00515FE0" w14:paraId="1D1DEE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Aleksandrovna GORBUNOVA</w:t>
            </w:r>
          </w:p>
        </w:tc>
        <w:tc>
          <w:tcPr>
            <w:tcW w:w="836" w:type="dxa"/>
          </w:tcPr>
          <w:p w:rsidRPr="006F34CD" w:rsidR="00515FE0" w:rsidP="006F34CD" w:rsidRDefault="00515FE0" w14:paraId="20572E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4B9A63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CF75EA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F6D5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07ACE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B8B2F5D" w14:textId="77777777">
        <w:trPr>
          <w:cantSplit/>
        </w:trPr>
        <w:tc>
          <w:tcPr>
            <w:tcW w:w="2249" w:type="dxa"/>
          </w:tcPr>
          <w:p w:rsidRPr="006F34CD" w:rsidR="00515FE0" w:rsidP="006F34CD" w:rsidRDefault="00515FE0" w14:paraId="7A5752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Ðšseniya Aleksandrovna GORBUNOVA</w:t>
            </w:r>
          </w:p>
        </w:tc>
        <w:tc>
          <w:tcPr>
            <w:tcW w:w="836" w:type="dxa"/>
          </w:tcPr>
          <w:p w:rsidRPr="006F34CD" w:rsidR="00515FE0" w:rsidP="006F34CD" w:rsidRDefault="00515FE0" w14:paraId="030FD5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1184C3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D4489E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6B779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AD72AA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E8BC7EA" w14:textId="77777777">
        <w:trPr>
          <w:cantSplit/>
        </w:trPr>
        <w:tc>
          <w:tcPr>
            <w:tcW w:w="2249" w:type="dxa"/>
          </w:tcPr>
          <w:p w:rsidRPr="006F34CD" w:rsidR="00515FE0" w:rsidP="006F34CD" w:rsidRDefault="00515FE0" w14:paraId="05A4EA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Mikhaylovna GRIGORYEVA</w:t>
            </w:r>
          </w:p>
        </w:tc>
        <w:tc>
          <w:tcPr>
            <w:tcW w:w="836" w:type="dxa"/>
          </w:tcPr>
          <w:p w:rsidRPr="006F34CD" w:rsidR="00515FE0" w:rsidP="006F34CD" w:rsidRDefault="00515FE0" w14:paraId="22CD1F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323DA9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2AD70D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CEF6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8DAD7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D5F6613" w14:textId="77777777">
        <w:trPr>
          <w:cantSplit/>
        </w:trPr>
        <w:tc>
          <w:tcPr>
            <w:tcW w:w="2249" w:type="dxa"/>
          </w:tcPr>
          <w:p w:rsidRPr="006F34CD" w:rsidR="00515FE0" w:rsidP="006F34CD" w:rsidRDefault="00515FE0" w14:paraId="43811C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Alekseyevna GRISHINA</w:t>
            </w:r>
          </w:p>
        </w:tc>
        <w:tc>
          <w:tcPr>
            <w:tcW w:w="836" w:type="dxa"/>
          </w:tcPr>
          <w:p w:rsidRPr="006F34CD" w:rsidR="00515FE0" w:rsidP="006F34CD" w:rsidRDefault="00515FE0" w14:paraId="4B2A43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2F6B66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6454BE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B7D8A6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A334E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6B041CF" w14:textId="77777777">
        <w:trPr>
          <w:cantSplit/>
        </w:trPr>
        <w:tc>
          <w:tcPr>
            <w:tcW w:w="2249" w:type="dxa"/>
          </w:tcPr>
          <w:p w:rsidRPr="006F34CD" w:rsidR="00515FE0" w:rsidP="006F34CD" w:rsidRDefault="00515FE0" w14:paraId="3FDBA5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Petrovna GUDA</w:t>
            </w:r>
          </w:p>
        </w:tc>
        <w:tc>
          <w:tcPr>
            <w:tcW w:w="836" w:type="dxa"/>
          </w:tcPr>
          <w:p w:rsidRPr="006F34CD" w:rsidR="00515FE0" w:rsidP="006F34CD" w:rsidRDefault="00515FE0" w14:paraId="68595A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46EE86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7A6D47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32AC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1167C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175364F" w14:textId="77777777">
        <w:trPr>
          <w:cantSplit/>
        </w:trPr>
        <w:tc>
          <w:tcPr>
            <w:tcW w:w="2249" w:type="dxa"/>
          </w:tcPr>
          <w:p w:rsidRPr="006F34CD" w:rsidR="00515FE0" w:rsidP="006F34CD" w:rsidRDefault="00515FE0" w14:paraId="02D95E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Bronislavovna GUDKOVA</w:t>
            </w:r>
          </w:p>
        </w:tc>
        <w:tc>
          <w:tcPr>
            <w:tcW w:w="836" w:type="dxa"/>
          </w:tcPr>
          <w:p w:rsidRPr="006F34CD" w:rsidR="00515FE0" w:rsidP="006F34CD" w:rsidRDefault="00515FE0" w14:paraId="680610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4BB486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7867E8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AFEB0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0D89FB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34DA73E" w14:textId="77777777">
        <w:trPr>
          <w:cantSplit/>
        </w:trPr>
        <w:tc>
          <w:tcPr>
            <w:tcW w:w="2249" w:type="dxa"/>
          </w:tcPr>
          <w:p w:rsidRPr="006F34CD" w:rsidR="00515FE0" w:rsidP="006F34CD" w:rsidRDefault="00515FE0" w14:paraId="28B138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Valentinovna GULEVSKAYA</w:t>
            </w:r>
          </w:p>
        </w:tc>
        <w:tc>
          <w:tcPr>
            <w:tcW w:w="836" w:type="dxa"/>
          </w:tcPr>
          <w:p w:rsidRPr="006F34CD" w:rsidR="00515FE0" w:rsidP="006F34CD" w:rsidRDefault="00515FE0" w14:paraId="31E2FB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6BC5F8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Botsmanovo</w:t>
            </w:r>
          </w:p>
        </w:tc>
        <w:tc>
          <w:tcPr>
            <w:tcW w:w="1134" w:type="dxa"/>
          </w:tcPr>
          <w:p w:rsidRPr="006F34CD" w:rsidR="00515FE0" w:rsidP="006F34CD" w:rsidRDefault="00515FE0" w14:paraId="24E359E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0FCA91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7EFBDB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9299363" w14:textId="77777777">
        <w:trPr>
          <w:cantSplit/>
        </w:trPr>
        <w:tc>
          <w:tcPr>
            <w:tcW w:w="2249" w:type="dxa"/>
          </w:tcPr>
          <w:p w:rsidRPr="006F34CD" w:rsidR="00515FE0" w:rsidP="006F34CD" w:rsidRDefault="00515FE0" w14:paraId="5515AA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Yuliya Evgenyevna GUSEVA</w:t>
            </w:r>
          </w:p>
        </w:tc>
        <w:tc>
          <w:tcPr>
            <w:tcW w:w="836" w:type="dxa"/>
          </w:tcPr>
          <w:p w:rsidRPr="006F34CD" w:rsidR="00515FE0" w:rsidP="006F34CD" w:rsidRDefault="00515FE0" w14:paraId="3B4913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7D7BAC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C87D5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284C5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F0620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50D99CD" w14:textId="77777777">
        <w:trPr>
          <w:cantSplit/>
        </w:trPr>
        <w:tc>
          <w:tcPr>
            <w:tcW w:w="2249" w:type="dxa"/>
          </w:tcPr>
          <w:p w:rsidRPr="006F34CD" w:rsidR="00515FE0" w:rsidP="006F34CD" w:rsidRDefault="00515FE0" w14:paraId="2B0829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Vera Nikolaevna HIMCHENKO</w:t>
            </w:r>
          </w:p>
        </w:tc>
        <w:tc>
          <w:tcPr>
            <w:tcW w:w="836" w:type="dxa"/>
          </w:tcPr>
          <w:p w:rsidRPr="006F34CD" w:rsidR="00515FE0" w:rsidP="006F34CD" w:rsidRDefault="00515FE0" w14:paraId="7339CD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0B939A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8A831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745E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65925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9DADAFD" w14:textId="77777777">
        <w:trPr>
          <w:cantSplit/>
        </w:trPr>
        <w:tc>
          <w:tcPr>
            <w:tcW w:w="2249" w:type="dxa"/>
          </w:tcPr>
          <w:p w:rsidRPr="006F34CD" w:rsidR="00515FE0" w:rsidP="006F34CD" w:rsidRDefault="00515FE0" w14:paraId="45D208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Olegovna HIMCHENKO</w:t>
            </w:r>
          </w:p>
        </w:tc>
        <w:tc>
          <w:tcPr>
            <w:tcW w:w="836" w:type="dxa"/>
          </w:tcPr>
          <w:p w:rsidRPr="006F34CD" w:rsidR="00515FE0" w:rsidP="006F34CD" w:rsidRDefault="00515FE0" w14:paraId="258F2F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011F68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CEC2BD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599D8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7FC6C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BB2518C" w14:textId="77777777">
        <w:trPr>
          <w:cantSplit/>
        </w:trPr>
        <w:tc>
          <w:tcPr>
            <w:tcW w:w="2249" w:type="dxa"/>
          </w:tcPr>
          <w:p w:rsidRPr="006F34CD" w:rsidR="00515FE0" w:rsidP="006F34CD" w:rsidRDefault="00515FE0" w14:paraId="0C1005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Alyona Viktorovna ISMAILOVA</w:t>
            </w:r>
          </w:p>
        </w:tc>
        <w:tc>
          <w:tcPr>
            <w:tcW w:w="836" w:type="dxa"/>
          </w:tcPr>
          <w:p w:rsidRPr="006F34CD" w:rsidR="00515FE0" w:rsidP="006F34CD" w:rsidRDefault="00515FE0" w14:paraId="5DA0DD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7F6E0C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BD741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08A7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301EB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5750DCB" w14:textId="77777777">
        <w:trPr>
          <w:cantSplit/>
        </w:trPr>
        <w:tc>
          <w:tcPr>
            <w:tcW w:w="2249" w:type="dxa"/>
          </w:tcPr>
          <w:p w:rsidRPr="006F34CD" w:rsidR="00515FE0" w:rsidP="006F34CD" w:rsidRDefault="00515FE0" w14:paraId="02EF5F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Viktoria Valeryevna IVANKOVA</w:t>
            </w:r>
          </w:p>
        </w:tc>
        <w:tc>
          <w:tcPr>
            <w:tcW w:w="836" w:type="dxa"/>
          </w:tcPr>
          <w:p w:rsidRPr="006F34CD" w:rsidR="00515FE0" w:rsidP="006F34CD" w:rsidRDefault="00515FE0" w14:paraId="343345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2DF1AB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B5EDA5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EA99C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31B9D7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2B403CE" w14:textId="77777777">
        <w:trPr>
          <w:cantSplit/>
        </w:trPr>
        <w:tc>
          <w:tcPr>
            <w:tcW w:w="2249" w:type="dxa"/>
          </w:tcPr>
          <w:p w:rsidRPr="006F34CD" w:rsidR="00515FE0" w:rsidP="006F34CD" w:rsidRDefault="00515FE0" w14:paraId="769EC8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Viktorovna IVANKOVA</w:t>
            </w:r>
          </w:p>
        </w:tc>
        <w:tc>
          <w:tcPr>
            <w:tcW w:w="836" w:type="dxa"/>
          </w:tcPr>
          <w:p w:rsidRPr="006F34CD" w:rsidR="00515FE0" w:rsidP="006F34CD" w:rsidRDefault="00515FE0" w14:paraId="44786F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5B65B5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802517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FC3DC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6DB36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3CC9170" w14:textId="77777777">
        <w:trPr>
          <w:cantSplit/>
        </w:trPr>
        <w:tc>
          <w:tcPr>
            <w:tcW w:w="2249" w:type="dxa"/>
          </w:tcPr>
          <w:p w:rsidRPr="006F34CD" w:rsidR="00515FE0" w:rsidP="006F34CD" w:rsidRDefault="00515FE0" w14:paraId="3F02D3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Pavlovna IVANOVA</w:t>
            </w:r>
          </w:p>
        </w:tc>
        <w:tc>
          <w:tcPr>
            <w:tcW w:w="836" w:type="dxa"/>
          </w:tcPr>
          <w:p w:rsidRPr="006F34CD" w:rsidR="00515FE0" w:rsidP="006F34CD" w:rsidRDefault="00515FE0" w14:paraId="6A6D0B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745CC5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Krasnyi Desant</w:t>
            </w:r>
          </w:p>
        </w:tc>
        <w:tc>
          <w:tcPr>
            <w:tcW w:w="1134" w:type="dxa"/>
          </w:tcPr>
          <w:p w:rsidRPr="006F34CD" w:rsidR="00515FE0" w:rsidP="006F34CD" w:rsidRDefault="00515FE0" w14:paraId="26142B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D6005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2D86CA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6E9F0CA" w14:textId="77777777">
        <w:trPr>
          <w:cantSplit/>
        </w:trPr>
        <w:tc>
          <w:tcPr>
            <w:tcW w:w="2249" w:type="dxa"/>
          </w:tcPr>
          <w:p w:rsidRPr="006F34CD" w:rsidR="00515FE0" w:rsidP="006F34CD" w:rsidRDefault="00515FE0" w14:paraId="39F468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Raisa Karpovna IVANOVA</w:t>
            </w:r>
          </w:p>
        </w:tc>
        <w:tc>
          <w:tcPr>
            <w:tcW w:w="836" w:type="dxa"/>
          </w:tcPr>
          <w:p w:rsidRPr="006F34CD" w:rsidR="00515FE0" w:rsidP="006F34CD" w:rsidRDefault="00515FE0" w14:paraId="706A33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3554E1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46775F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025BF0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31D524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64B29D2" w14:textId="77777777">
        <w:trPr>
          <w:cantSplit/>
        </w:trPr>
        <w:tc>
          <w:tcPr>
            <w:tcW w:w="2249" w:type="dxa"/>
          </w:tcPr>
          <w:p w:rsidRPr="006F34CD" w:rsidR="00515FE0" w:rsidP="006F34CD" w:rsidRDefault="00515FE0" w14:paraId="47C759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Andreyevna IVANOVA</w:t>
            </w:r>
          </w:p>
        </w:tc>
        <w:tc>
          <w:tcPr>
            <w:tcW w:w="836" w:type="dxa"/>
          </w:tcPr>
          <w:p w:rsidRPr="006F34CD" w:rsidR="00515FE0" w:rsidP="006F34CD" w:rsidRDefault="00515FE0" w14:paraId="45BDFD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24BE16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B7BEB4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FE55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71FB4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1A98E4B" w14:textId="77777777">
        <w:trPr>
          <w:cantSplit/>
        </w:trPr>
        <w:tc>
          <w:tcPr>
            <w:tcW w:w="2249" w:type="dxa"/>
          </w:tcPr>
          <w:p w:rsidRPr="006F34CD" w:rsidR="00515FE0" w:rsidP="006F34CD" w:rsidRDefault="00515FE0" w14:paraId="5C9021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Dmitriyevna IVASHENENKOVA</w:t>
            </w:r>
          </w:p>
        </w:tc>
        <w:tc>
          <w:tcPr>
            <w:tcW w:w="836" w:type="dxa"/>
          </w:tcPr>
          <w:p w:rsidRPr="006F34CD" w:rsidR="00515FE0" w:rsidP="006F34CD" w:rsidRDefault="00515FE0" w14:paraId="2069A3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0FB7E6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D017D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2EFC1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E8A7B5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B695C6C" w14:textId="77777777">
        <w:trPr>
          <w:cantSplit/>
        </w:trPr>
        <w:tc>
          <w:tcPr>
            <w:tcW w:w="2249" w:type="dxa"/>
          </w:tcPr>
          <w:p w:rsidRPr="006F34CD" w:rsidR="00515FE0" w:rsidP="006F34CD" w:rsidRDefault="00515FE0" w14:paraId="70C4B2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Anatolyevna IVASHINA</w:t>
            </w:r>
          </w:p>
        </w:tc>
        <w:tc>
          <w:tcPr>
            <w:tcW w:w="836" w:type="dxa"/>
          </w:tcPr>
          <w:p w:rsidRPr="006F34CD" w:rsidR="00515FE0" w:rsidP="006F34CD" w:rsidRDefault="00515FE0" w14:paraId="44F46D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7027D1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2AADA8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8F80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F4880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7A8380D" w14:textId="77777777">
        <w:trPr>
          <w:cantSplit/>
        </w:trPr>
        <w:tc>
          <w:tcPr>
            <w:tcW w:w="2249" w:type="dxa"/>
          </w:tcPr>
          <w:p w:rsidRPr="006F34CD" w:rsidR="00515FE0" w:rsidP="006F34CD" w:rsidRDefault="00515FE0" w14:paraId="640B3F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Gavrilovna IZVEKOVA</w:t>
            </w:r>
          </w:p>
        </w:tc>
        <w:tc>
          <w:tcPr>
            <w:tcW w:w="836" w:type="dxa"/>
          </w:tcPr>
          <w:p w:rsidRPr="006F34CD" w:rsidR="00515FE0" w:rsidP="006F34CD" w:rsidRDefault="00515FE0" w14:paraId="1E8468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58AC18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D311B2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ECA5E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4A561D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8AE4156" w14:textId="77777777">
        <w:trPr>
          <w:cantSplit/>
        </w:trPr>
        <w:tc>
          <w:tcPr>
            <w:tcW w:w="2249" w:type="dxa"/>
          </w:tcPr>
          <w:p w:rsidRPr="006F34CD" w:rsidR="00515FE0" w:rsidP="006F34CD" w:rsidRDefault="00515FE0" w14:paraId="5B7AF9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Vladimirovich KALASHNIKOV</w:t>
            </w:r>
          </w:p>
        </w:tc>
        <w:tc>
          <w:tcPr>
            <w:tcW w:w="836" w:type="dxa"/>
          </w:tcPr>
          <w:p w:rsidRPr="006F34CD" w:rsidR="00515FE0" w:rsidP="006F34CD" w:rsidRDefault="00515FE0" w14:paraId="17BEC4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0C8450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Zolotaya Kosa</w:t>
            </w:r>
          </w:p>
        </w:tc>
        <w:tc>
          <w:tcPr>
            <w:tcW w:w="1134" w:type="dxa"/>
          </w:tcPr>
          <w:p w:rsidRPr="006F34CD" w:rsidR="00515FE0" w:rsidP="006F34CD" w:rsidRDefault="00515FE0" w14:paraId="4B20FD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AE83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10004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30E45BC" w14:textId="77777777">
        <w:trPr>
          <w:cantSplit/>
        </w:trPr>
        <w:tc>
          <w:tcPr>
            <w:tcW w:w="2249" w:type="dxa"/>
          </w:tcPr>
          <w:p w:rsidRPr="006F34CD" w:rsidR="00515FE0" w:rsidP="006F34CD" w:rsidRDefault="00515FE0" w14:paraId="500D89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Nikolaevna KALASHNIKOVA</w:t>
            </w:r>
          </w:p>
        </w:tc>
        <w:tc>
          <w:tcPr>
            <w:tcW w:w="836" w:type="dxa"/>
          </w:tcPr>
          <w:p w:rsidRPr="006F34CD" w:rsidR="00515FE0" w:rsidP="006F34CD" w:rsidRDefault="00515FE0" w14:paraId="326142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85349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Zolotaya Kosa</w:t>
            </w:r>
          </w:p>
        </w:tc>
        <w:tc>
          <w:tcPr>
            <w:tcW w:w="1134" w:type="dxa"/>
          </w:tcPr>
          <w:p w:rsidRPr="006F34CD" w:rsidR="00515FE0" w:rsidP="006F34CD" w:rsidRDefault="00515FE0" w14:paraId="0E2D698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3614A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8C2C5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3847CAB" w14:textId="77777777">
        <w:trPr>
          <w:cantSplit/>
        </w:trPr>
        <w:tc>
          <w:tcPr>
            <w:tcW w:w="2249" w:type="dxa"/>
          </w:tcPr>
          <w:p w:rsidRPr="006F34CD" w:rsidR="00515FE0" w:rsidP="006F34CD" w:rsidRDefault="00515FE0" w14:paraId="159618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Grigoryevna KAMININA</w:t>
            </w:r>
          </w:p>
        </w:tc>
        <w:tc>
          <w:tcPr>
            <w:tcW w:w="836" w:type="dxa"/>
          </w:tcPr>
          <w:p w:rsidRPr="006F34CD" w:rsidR="00515FE0" w:rsidP="006F34CD" w:rsidRDefault="00515FE0" w14:paraId="3A27C9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2371EE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4E819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3737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C487A3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9BFA3E2" w14:textId="77777777">
        <w:trPr>
          <w:cantSplit/>
        </w:trPr>
        <w:tc>
          <w:tcPr>
            <w:tcW w:w="2249" w:type="dxa"/>
          </w:tcPr>
          <w:p w:rsidRPr="006F34CD" w:rsidR="00515FE0" w:rsidP="006F34CD" w:rsidRDefault="00515FE0" w14:paraId="6CAFA8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Nikolaevich KAPUZA</w:t>
            </w:r>
          </w:p>
        </w:tc>
        <w:tc>
          <w:tcPr>
            <w:tcW w:w="836" w:type="dxa"/>
          </w:tcPr>
          <w:p w:rsidRPr="006F34CD" w:rsidR="00515FE0" w:rsidP="006F34CD" w:rsidRDefault="00515FE0" w14:paraId="29D784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4C0ECA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E8C864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07F5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C6354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DF00954" w14:textId="77777777">
        <w:trPr>
          <w:cantSplit/>
        </w:trPr>
        <w:tc>
          <w:tcPr>
            <w:tcW w:w="2249" w:type="dxa"/>
          </w:tcPr>
          <w:p w:rsidRPr="006F34CD" w:rsidR="00515FE0" w:rsidP="006F34CD" w:rsidRDefault="00515FE0" w14:paraId="07FEDD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Vladimirovna KARPENKO</w:t>
            </w:r>
          </w:p>
        </w:tc>
        <w:tc>
          <w:tcPr>
            <w:tcW w:w="836" w:type="dxa"/>
          </w:tcPr>
          <w:p w:rsidRPr="006F34CD" w:rsidR="00515FE0" w:rsidP="006F34CD" w:rsidRDefault="00515FE0" w14:paraId="577B03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254B76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B1D3E7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F1CD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660783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DE17C80" w14:textId="77777777">
        <w:trPr>
          <w:cantSplit/>
        </w:trPr>
        <w:tc>
          <w:tcPr>
            <w:tcW w:w="2249" w:type="dxa"/>
          </w:tcPr>
          <w:p w:rsidRPr="006F34CD" w:rsidR="00515FE0" w:rsidP="006F34CD" w:rsidRDefault="00515FE0" w14:paraId="0CA2BC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Aleksandrovna KARPENKO</w:t>
            </w:r>
          </w:p>
        </w:tc>
        <w:tc>
          <w:tcPr>
            <w:tcW w:w="836" w:type="dxa"/>
          </w:tcPr>
          <w:p w:rsidRPr="006F34CD" w:rsidR="00515FE0" w:rsidP="006F34CD" w:rsidRDefault="00515FE0" w14:paraId="5A1F89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06F298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3C4013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7038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92CFC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67ED36E" w14:textId="77777777">
        <w:trPr>
          <w:cantSplit/>
        </w:trPr>
        <w:tc>
          <w:tcPr>
            <w:tcW w:w="2249" w:type="dxa"/>
          </w:tcPr>
          <w:p w:rsidRPr="006F34CD" w:rsidR="00515FE0" w:rsidP="006F34CD" w:rsidRDefault="00515FE0" w14:paraId="1E71F4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Liliya Fyodorovna KARUNA</w:t>
            </w:r>
          </w:p>
        </w:tc>
        <w:tc>
          <w:tcPr>
            <w:tcW w:w="836" w:type="dxa"/>
          </w:tcPr>
          <w:p w:rsidRPr="006F34CD" w:rsidR="00515FE0" w:rsidP="006F34CD" w:rsidRDefault="00515FE0" w14:paraId="14C615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0E41325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63463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E2E50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578631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0E76BA1" w14:textId="77777777">
        <w:trPr>
          <w:cantSplit/>
        </w:trPr>
        <w:tc>
          <w:tcPr>
            <w:tcW w:w="2249" w:type="dxa"/>
          </w:tcPr>
          <w:p w:rsidRPr="006F34CD" w:rsidR="00515FE0" w:rsidP="006F34CD" w:rsidRDefault="00515FE0" w14:paraId="5A820D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Viktoria Viktorovna KASHIROVA</w:t>
            </w:r>
          </w:p>
        </w:tc>
        <w:tc>
          <w:tcPr>
            <w:tcW w:w="836" w:type="dxa"/>
          </w:tcPr>
          <w:p w:rsidRPr="006F34CD" w:rsidR="00515FE0" w:rsidP="006F34CD" w:rsidRDefault="00515FE0" w14:paraId="4A5B78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3230B1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125C1D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89FD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8C321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780A951" w14:textId="77777777">
        <w:trPr>
          <w:cantSplit/>
        </w:trPr>
        <w:tc>
          <w:tcPr>
            <w:tcW w:w="2249" w:type="dxa"/>
          </w:tcPr>
          <w:p w:rsidRPr="006F34CD" w:rsidR="00515FE0" w:rsidP="006F34CD" w:rsidRDefault="00515FE0" w14:paraId="7918EF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Alekseyevna KATAEVA</w:t>
            </w:r>
          </w:p>
        </w:tc>
        <w:tc>
          <w:tcPr>
            <w:tcW w:w="836" w:type="dxa"/>
          </w:tcPr>
          <w:p w:rsidRPr="006F34CD" w:rsidR="00515FE0" w:rsidP="006F34CD" w:rsidRDefault="00515FE0" w14:paraId="4CA916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0DE383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C35200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1A479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4395BB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C6FB1EF" w14:textId="77777777">
        <w:trPr>
          <w:cantSplit/>
        </w:trPr>
        <w:tc>
          <w:tcPr>
            <w:tcW w:w="2249" w:type="dxa"/>
          </w:tcPr>
          <w:p w:rsidRPr="006F34CD" w:rsidR="00515FE0" w:rsidP="006F34CD" w:rsidRDefault="00515FE0" w14:paraId="0DEC4B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Vladimirovich KAZACHENKO</w:t>
            </w:r>
          </w:p>
        </w:tc>
        <w:tc>
          <w:tcPr>
            <w:tcW w:w="836" w:type="dxa"/>
          </w:tcPr>
          <w:p w:rsidRPr="006F34CD" w:rsidR="00515FE0" w:rsidP="006F34CD" w:rsidRDefault="00515FE0" w14:paraId="3D18C3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7A1829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BFD09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5A240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E256A6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237A7F8" w14:textId="77777777">
        <w:trPr>
          <w:cantSplit/>
        </w:trPr>
        <w:tc>
          <w:tcPr>
            <w:tcW w:w="2249" w:type="dxa"/>
          </w:tcPr>
          <w:p w:rsidRPr="006F34CD" w:rsidR="00515FE0" w:rsidP="006F34CD" w:rsidRDefault="00515FE0" w14:paraId="5409E0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Nikolaevna KAZACHENKO</w:t>
            </w:r>
          </w:p>
        </w:tc>
        <w:tc>
          <w:tcPr>
            <w:tcW w:w="836" w:type="dxa"/>
          </w:tcPr>
          <w:p w:rsidRPr="006F34CD" w:rsidR="00515FE0" w:rsidP="006F34CD" w:rsidRDefault="00515FE0" w14:paraId="19F3EE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3E1249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E90C31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981A1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02E10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D612176" w14:textId="77777777">
        <w:trPr>
          <w:cantSplit/>
        </w:trPr>
        <w:tc>
          <w:tcPr>
            <w:tcW w:w="2249" w:type="dxa"/>
          </w:tcPr>
          <w:p w:rsidRPr="006F34CD" w:rsidR="00515FE0" w:rsidP="006F34CD" w:rsidRDefault="00515FE0" w14:paraId="7C338E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Dina Aleksandrovna KHALIMAN</w:t>
            </w:r>
          </w:p>
        </w:tc>
        <w:tc>
          <w:tcPr>
            <w:tcW w:w="836" w:type="dxa"/>
          </w:tcPr>
          <w:p w:rsidRPr="006F34CD" w:rsidR="00515FE0" w:rsidP="006F34CD" w:rsidRDefault="00515FE0" w14:paraId="60E2B1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73AD97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595558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FF0E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FDA865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66E8FF6" w14:textId="77777777">
        <w:trPr>
          <w:cantSplit/>
        </w:trPr>
        <w:tc>
          <w:tcPr>
            <w:tcW w:w="2249" w:type="dxa"/>
          </w:tcPr>
          <w:p w:rsidRPr="006F34CD" w:rsidR="00515FE0" w:rsidP="006F34CD" w:rsidRDefault="00515FE0" w14:paraId="624D5B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Grachya Konstantinovich KHANDOYAN</w:t>
            </w:r>
          </w:p>
        </w:tc>
        <w:tc>
          <w:tcPr>
            <w:tcW w:w="836" w:type="dxa"/>
          </w:tcPr>
          <w:p w:rsidRPr="006F34CD" w:rsidR="00515FE0" w:rsidP="006F34CD" w:rsidRDefault="00515FE0" w14:paraId="4CBCEB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069948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180DDF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D0A5B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A7285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4C09D03" w14:textId="77777777">
        <w:trPr>
          <w:cantSplit/>
        </w:trPr>
        <w:tc>
          <w:tcPr>
            <w:tcW w:w="2249" w:type="dxa"/>
          </w:tcPr>
          <w:p w:rsidRPr="006F34CD" w:rsidR="00515FE0" w:rsidP="006F34CD" w:rsidRDefault="00515FE0" w14:paraId="1A95B4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Nikolaevna KHARCHYOVA</w:t>
            </w:r>
          </w:p>
        </w:tc>
        <w:tc>
          <w:tcPr>
            <w:tcW w:w="836" w:type="dxa"/>
          </w:tcPr>
          <w:p w:rsidRPr="006F34CD" w:rsidR="00515FE0" w:rsidP="006F34CD" w:rsidRDefault="00515FE0" w14:paraId="7C3C33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1931</w:t>
            </w:r>
          </w:p>
        </w:tc>
        <w:tc>
          <w:tcPr>
            <w:tcW w:w="1305" w:type="dxa"/>
          </w:tcPr>
          <w:p w:rsidRPr="006F34CD" w:rsidR="00515FE0" w:rsidP="006F34CD" w:rsidRDefault="00515FE0" w14:paraId="2C8066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E532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D68F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D55EF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9FA7CFC" w14:textId="77777777">
        <w:trPr>
          <w:cantSplit/>
        </w:trPr>
        <w:tc>
          <w:tcPr>
            <w:tcW w:w="2249" w:type="dxa"/>
          </w:tcPr>
          <w:p w:rsidRPr="006F34CD" w:rsidR="00515FE0" w:rsidP="006F34CD" w:rsidRDefault="00515FE0" w14:paraId="4C546D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Igorevich KHAVIN</w:t>
            </w:r>
          </w:p>
        </w:tc>
        <w:tc>
          <w:tcPr>
            <w:tcW w:w="836" w:type="dxa"/>
          </w:tcPr>
          <w:p w:rsidRPr="006F34CD" w:rsidR="00515FE0" w:rsidP="006F34CD" w:rsidRDefault="00515FE0" w14:paraId="5DF7F4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0C6C9C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DB938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C961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BC5AF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1A23D45" w14:textId="77777777">
        <w:trPr>
          <w:cantSplit/>
        </w:trPr>
        <w:tc>
          <w:tcPr>
            <w:tcW w:w="2249" w:type="dxa"/>
          </w:tcPr>
          <w:p w:rsidRPr="006F34CD" w:rsidR="00515FE0" w:rsidP="006F34CD" w:rsidRDefault="00515FE0" w14:paraId="4999C5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Aleksandrovna KHAVINA</w:t>
            </w:r>
          </w:p>
        </w:tc>
        <w:tc>
          <w:tcPr>
            <w:tcW w:w="836" w:type="dxa"/>
          </w:tcPr>
          <w:p w:rsidRPr="006F34CD" w:rsidR="00515FE0" w:rsidP="006F34CD" w:rsidRDefault="00515FE0" w14:paraId="2B457B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23A467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169F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ED46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CB187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43885DC" w14:textId="77777777">
        <w:trPr>
          <w:cantSplit/>
        </w:trPr>
        <w:tc>
          <w:tcPr>
            <w:tcW w:w="2249" w:type="dxa"/>
          </w:tcPr>
          <w:p w:rsidRPr="006F34CD" w:rsidR="00515FE0" w:rsidP="006F34CD" w:rsidRDefault="00515FE0" w14:paraId="581555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Ella Yuryevna KHAVINA</w:t>
            </w:r>
          </w:p>
        </w:tc>
        <w:tc>
          <w:tcPr>
            <w:tcW w:w="836" w:type="dxa"/>
          </w:tcPr>
          <w:p w:rsidRPr="006F34CD" w:rsidR="00515FE0" w:rsidP="006F34CD" w:rsidRDefault="00515FE0" w14:paraId="456C13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E2F89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0ACDF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185E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8DF93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F118053" w14:textId="77777777">
        <w:trPr>
          <w:cantSplit/>
        </w:trPr>
        <w:tc>
          <w:tcPr>
            <w:tcW w:w="2249" w:type="dxa"/>
          </w:tcPr>
          <w:p w:rsidRPr="006F34CD" w:rsidR="00515FE0" w:rsidP="006F34CD" w:rsidRDefault="00515FE0" w14:paraId="37743D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Vasilyevna KHILKO</w:t>
            </w:r>
          </w:p>
        </w:tc>
        <w:tc>
          <w:tcPr>
            <w:tcW w:w="836" w:type="dxa"/>
          </w:tcPr>
          <w:p w:rsidRPr="006F34CD" w:rsidR="00515FE0" w:rsidP="006F34CD" w:rsidRDefault="00515FE0" w14:paraId="0165B6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1944</w:t>
            </w:r>
          </w:p>
        </w:tc>
        <w:tc>
          <w:tcPr>
            <w:tcW w:w="1305" w:type="dxa"/>
          </w:tcPr>
          <w:p w:rsidRPr="006F34CD" w:rsidR="00515FE0" w:rsidP="006F34CD" w:rsidRDefault="00515FE0" w14:paraId="3618EF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B9337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F8FF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77F05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9181A05" w14:textId="77777777">
        <w:trPr>
          <w:cantSplit/>
        </w:trPr>
        <w:tc>
          <w:tcPr>
            <w:tcW w:w="2249" w:type="dxa"/>
          </w:tcPr>
          <w:p w:rsidRPr="006F34CD" w:rsidR="00515FE0" w:rsidP="006F34CD" w:rsidRDefault="00515FE0" w14:paraId="1D74C6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Ivanovna KHILKOVSKAYA</w:t>
            </w:r>
          </w:p>
        </w:tc>
        <w:tc>
          <w:tcPr>
            <w:tcW w:w="836" w:type="dxa"/>
          </w:tcPr>
          <w:p w:rsidRPr="006F34CD" w:rsidR="00515FE0" w:rsidP="006F34CD" w:rsidRDefault="00515FE0" w14:paraId="23E06D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73DC28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01D530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006A9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AAFE60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7181657" w14:textId="77777777">
        <w:trPr>
          <w:cantSplit/>
        </w:trPr>
        <w:tc>
          <w:tcPr>
            <w:tcW w:w="2249" w:type="dxa"/>
          </w:tcPr>
          <w:p w:rsidRPr="006F34CD" w:rsidR="00515FE0" w:rsidP="006F34CD" w:rsidRDefault="00515FE0" w14:paraId="3CAB01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Sergeyevich KHUDYAEV</w:t>
            </w:r>
          </w:p>
        </w:tc>
        <w:tc>
          <w:tcPr>
            <w:tcW w:w="836" w:type="dxa"/>
          </w:tcPr>
          <w:p w:rsidRPr="006F34CD" w:rsidR="00515FE0" w:rsidP="006F34CD" w:rsidRDefault="00515FE0" w14:paraId="075E4F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1990</w:t>
            </w:r>
          </w:p>
        </w:tc>
        <w:tc>
          <w:tcPr>
            <w:tcW w:w="1305" w:type="dxa"/>
          </w:tcPr>
          <w:p w:rsidRPr="006F34CD" w:rsidR="00515FE0" w:rsidP="006F34CD" w:rsidRDefault="00515FE0" w14:paraId="481EA6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AF479E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F551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1550E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C036CF2" w14:textId="77777777">
        <w:trPr>
          <w:cantSplit/>
        </w:trPr>
        <w:tc>
          <w:tcPr>
            <w:tcW w:w="2249" w:type="dxa"/>
          </w:tcPr>
          <w:p w:rsidRPr="006F34CD" w:rsidR="00515FE0" w:rsidP="006F34CD" w:rsidRDefault="00515FE0" w14:paraId="621DC2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Gerasimovna KIKHTEEVA</w:t>
            </w:r>
          </w:p>
        </w:tc>
        <w:tc>
          <w:tcPr>
            <w:tcW w:w="836" w:type="dxa"/>
          </w:tcPr>
          <w:p w:rsidRPr="006F34CD" w:rsidR="00515FE0" w:rsidP="006F34CD" w:rsidRDefault="00515FE0" w14:paraId="2AC6F8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2E4A8C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CED8FE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0B624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6B07EF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1133970" w14:textId="77777777">
        <w:trPr>
          <w:cantSplit/>
        </w:trPr>
        <w:tc>
          <w:tcPr>
            <w:tcW w:w="2249" w:type="dxa"/>
          </w:tcPr>
          <w:p w:rsidRPr="006F34CD" w:rsidR="00515FE0" w:rsidP="006F34CD" w:rsidRDefault="00515FE0" w14:paraId="0A7767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Yevgeniya Grigoryevna KIPCHATOVA</w:t>
            </w:r>
          </w:p>
        </w:tc>
        <w:tc>
          <w:tcPr>
            <w:tcW w:w="836" w:type="dxa"/>
          </w:tcPr>
          <w:p w:rsidRPr="006F34CD" w:rsidR="00515FE0" w:rsidP="006F34CD" w:rsidRDefault="00515FE0" w14:paraId="21DD3A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1926</w:t>
            </w:r>
          </w:p>
        </w:tc>
        <w:tc>
          <w:tcPr>
            <w:tcW w:w="1305" w:type="dxa"/>
          </w:tcPr>
          <w:p w:rsidRPr="006F34CD" w:rsidR="00515FE0" w:rsidP="006F34CD" w:rsidRDefault="00515FE0" w14:paraId="3F0F19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1574AE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E114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1D770E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2B5BB3B" w14:textId="77777777">
        <w:trPr>
          <w:cantSplit/>
        </w:trPr>
        <w:tc>
          <w:tcPr>
            <w:tcW w:w="2249" w:type="dxa"/>
          </w:tcPr>
          <w:p w:rsidRPr="006F34CD" w:rsidR="00515FE0" w:rsidP="006F34CD" w:rsidRDefault="00515FE0" w14:paraId="098F70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Vasilyevna KLEMENTYEVA</w:t>
            </w:r>
          </w:p>
        </w:tc>
        <w:tc>
          <w:tcPr>
            <w:tcW w:w="836" w:type="dxa"/>
          </w:tcPr>
          <w:p w:rsidRPr="006F34CD" w:rsidR="00515FE0" w:rsidP="006F34CD" w:rsidRDefault="00515FE0" w14:paraId="5EE37C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5825CC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Fedorovka</w:t>
            </w:r>
          </w:p>
        </w:tc>
        <w:tc>
          <w:tcPr>
            <w:tcW w:w="1134" w:type="dxa"/>
          </w:tcPr>
          <w:p w:rsidRPr="006F34CD" w:rsidR="00515FE0" w:rsidP="006F34CD" w:rsidRDefault="00515FE0" w14:paraId="3D1017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5911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CF1C8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B0D88AA" w14:textId="77777777">
        <w:trPr>
          <w:cantSplit/>
        </w:trPr>
        <w:tc>
          <w:tcPr>
            <w:tcW w:w="2249" w:type="dxa"/>
          </w:tcPr>
          <w:p w:rsidRPr="006F34CD" w:rsidR="00515FE0" w:rsidP="006F34CD" w:rsidRDefault="00515FE0" w14:paraId="40DCBA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Aleksandra Viktorovna KLIMENKO</w:t>
            </w:r>
          </w:p>
        </w:tc>
        <w:tc>
          <w:tcPr>
            <w:tcW w:w="836" w:type="dxa"/>
          </w:tcPr>
          <w:p w:rsidRPr="006F34CD" w:rsidR="00515FE0" w:rsidP="006F34CD" w:rsidRDefault="00515FE0" w14:paraId="6EF701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14FD5F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7325EA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26572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8ED1A0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BE6AC09" w14:textId="77777777">
        <w:trPr>
          <w:cantSplit/>
        </w:trPr>
        <w:tc>
          <w:tcPr>
            <w:tcW w:w="2249" w:type="dxa"/>
          </w:tcPr>
          <w:p w:rsidRPr="006F34CD" w:rsidR="00515FE0" w:rsidP="006F34CD" w:rsidRDefault="00515FE0" w14:paraId="6140CC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Vladimirovna KOCHANOVA</w:t>
            </w:r>
          </w:p>
        </w:tc>
        <w:tc>
          <w:tcPr>
            <w:tcW w:w="836" w:type="dxa"/>
          </w:tcPr>
          <w:p w:rsidRPr="006F34CD" w:rsidR="00515FE0" w:rsidP="006F34CD" w:rsidRDefault="00515FE0" w14:paraId="0DE211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34D1CC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FB05A3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811A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2ED7D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D2DDBCE" w14:textId="77777777">
        <w:trPr>
          <w:cantSplit/>
        </w:trPr>
        <w:tc>
          <w:tcPr>
            <w:tcW w:w="2249" w:type="dxa"/>
          </w:tcPr>
          <w:p w:rsidRPr="006F34CD" w:rsidR="00515FE0" w:rsidP="006F34CD" w:rsidRDefault="00515FE0" w14:paraId="0B62CC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Aykui Aramaisovna KOCHINYAN</w:t>
            </w:r>
          </w:p>
        </w:tc>
        <w:tc>
          <w:tcPr>
            <w:tcW w:w="836" w:type="dxa"/>
          </w:tcPr>
          <w:p w:rsidRPr="006F34CD" w:rsidR="00515FE0" w:rsidP="006F34CD" w:rsidRDefault="00515FE0" w14:paraId="685CBA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4866CE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B12344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6C8B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336ECF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93B7397" w14:textId="77777777">
        <w:trPr>
          <w:cantSplit/>
        </w:trPr>
        <w:tc>
          <w:tcPr>
            <w:tcW w:w="2249" w:type="dxa"/>
          </w:tcPr>
          <w:p w:rsidRPr="006F34CD" w:rsidR="00515FE0" w:rsidP="006F34CD" w:rsidRDefault="00515FE0" w14:paraId="135655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Ermine Aramaisovna KOCHINYAN</w:t>
            </w:r>
          </w:p>
        </w:tc>
        <w:tc>
          <w:tcPr>
            <w:tcW w:w="836" w:type="dxa"/>
          </w:tcPr>
          <w:p w:rsidRPr="006F34CD" w:rsidR="00515FE0" w:rsidP="006F34CD" w:rsidRDefault="00515FE0" w14:paraId="7216A8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6A5B96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6B7856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85E0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0124D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EF3AC35" w14:textId="77777777">
        <w:trPr>
          <w:cantSplit/>
        </w:trPr>
        <w:tc>
          <w:tcPr>
            <w:tcW w:w="2249" w:type="dxa"/>
          </w:tcPr>
          <w:p w:rsidRPr="006F34CD" w:rsidR="00515FE0" w:rsidP="006F34CD" w:rsidRDefault="00515FE0" w14:paraId="58CE3E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Aramais Gurgenovich KOCHINYAN</w:t>
            </w:r>
          </w:p>
        </w:tc>
        <w:tc>
          <w:tcPr>
            <w:tcW w:w="836" w:type="dxa"/>
          </w:tcPr>
          <w:p w:rsidRPr="006F34CD" w:rsidR="00515FE0" w:rsidP="006F34CD" w:rsidRDefault="00515FE0" w14:paraId="7B312F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28EBD9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 Lomakin</w:t>
            </w:r>
          </w:p>
        </w:tc>
        <w:tc>
          <w:tcPr>
            <w:tcW w:w="1134" w:type="dxa"/>
          </w:tcPr>
          <w:p w:rsidRPr="006F34CD" w:rsidR="00515FE0" w:rsidP="006F34CD" w:rsidRDefault="00515FE0" w14:paraId="7AFDD2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68212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6FC7A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4650D24" w14:textId="77777777">
        <w:trPr>
          <w:cantSplit/>
        </w:trPr>
        <w:tc>
          <w:tcPr>
            <w:tcW w:w="2249" w:type="dxa"/>
          </w:tcPr>
          <w:p w:rsidRPr="006F34CD" w:rsidR="00515FE0" w:rsidP="006F34CD" w:rsidRDefault="00515FE0" w14:paraId="752239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Efimovna KOLCHANOVA</w:t>
            </w:r>
          </w:p>
        </w:tc>
        <w:tc>
          <w:tcPr>
            <w:tcW w:w="836" w:type="dxa"/>
          </w:tcPr>
          <w:p w:rsidRPr="006F34CD" w:rsidR="00515FE0" w:rsidP="006F34CD" w:rsidRDefault="00515FE0" w14:paraId="3D144C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4EBA4A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BB9FB1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E3C42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4E807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C8120F4" w14:textId="77777777">
        <w:trPr>
          <w:cantSplit/>
        </w:trPr>
        <w:tc>
          <w:tcPr>
            <w:tcW w:w="2249" w:type="dxa"/>
          </w:tcPr>
          <w:p w:rsidRPr="006F34CD" w:rsidR="00515FE0" w:rsidP="006F34CD" w:rsidRDefault="00515FE0" w14:paraId="63B60D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Raisa Mikhaylovna KOLESNIKOVA</w:t>
            </w:r>
          </w:p>
        </w:tc>
        <w:tc>
          <w:tcPr>
            <w:tcW w:w="836" w:type="dxa"/>
          </w:tcPr>
          <w:p w:rsidRPr="006F34CD" w:rsidR="00515FE0" w:rsidP="006F34CD" w:rsidRDefault="00515FE0" w14:paraId="5A393E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6121D1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967A9F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F0B35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51CCA1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DE89D76" w14:textId="77777777">
        <w:trPr>
          <w:cantSplit/>
        </w:trPr>
        <w:tc>
          <w:tcPr>
            <w:tcW w:w="2249" w:type="dxa"/>
          </w:tcPr>
          <w:p w:rsidRPr="006F34CD" w:rsidR="00515FE0" w:rsidP="006F34CD" w:rsidRDefault="00515FE0" w14:paraId="10DA19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Nikolaevna KOLESNIKOVA</w:t>
            </w:r>
          </w:p>
        </w:tc>
        <w:tc>
          <w:tcPr>
            <w:tcW w:w="836" w:type="dxa"/>
          </w:tcPr>
          <w:p w:rsidRPr="006F34CD" w:rsidR="00515FE0" w:rsidP="006F34CD" w:rsidRDefault="00515FE0" w14:paraId="1A1588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471824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437D0F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584A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234C7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5064F6D" w14:textId="77777777">
        <w:trPr>
          <w:cantSplit/>
        </w:trPr>
        <w:tc>
          <w:tcPr>
            <w:tcW w:w="2249" w:type="dxa"/>
          </w:tcPr>
          <w:p w:rsidRPr="006F34CD" w:rsidR="00515FE0" w:rsidP="006F34CD" w:rsidRDefault="00515FE0" w14:paraId="2FED70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Anatolyevna KOLOMEYCEVA</w:t>
            </w:r>
          </w:p>
        </w:tc>
        <w:tc>
          <w:tcPr>
            <w:tcW w:w="836" w:type="dxa"/>
          </w:tcPr>
          <w:p w:rsidRPr="006F34CD" w:rsidR="00515FE0" w:rsidP="006F34CD" w:rsidRDefault="00515FE0" w14:paraId="431376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5CC6D2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290938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7872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AC28F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0660C24" w14:textId="77777777">
        <w:trPr>
          <w:cantSplit/>
        </w:trPr>
        <w:tc>
          <w:tcPr>
            <w:tcW w:w="2249" w:type="dxa"/>
          </w:tcPr>
          <w:p w:rsidRPr="006F34CD" w:rsidR="00515FE0" w:rsidP="006F34CD" w:rsidRDefault="00515FE0" w14:paraId="4E21CC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Nikolaevna KOLOMIYCEVA</w:t>
            </w:r>
          </w:p>
        </w:tc>
        <w:tc>
          <w:tcPr>
            <w:tcW w:w="836" w:type="dxa"/>
          </w:tcPr>
          <w:p w:rsidRPr="006F34CD" w:rsidR="00515FE0" w:rsidP="006F34CD" w:rsidRDefault="00515FE0" w14:paraId="01BCD9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44F4E6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233ED6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2708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D8C09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53D4222" w14:textId="77777777">
        <w:trPr>
          <w:cantSplit/>
        </w:trPr>
        <w:tc>
          <w:tcPr>
            <w:tcW w:w="2249" w:type="dxa"/>
          </w:tcPr>
          <w:p w:rsidRPr="006F34CD" w:rsidR="00515FE0" w:rsidP="006F34CD" w:rsidRDefault="00515FE0" w14:paraId="65EC6D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Georgievna KOLTUNOVA</w:t>
            </w:r>
          </w:p>
        </w:tc>
        <w:tc>
          <w:tcPr>
            <w:tcW w:w="836" w:type="dxa"/>
          </w:tcPr>
          <w:p w:rsidRPr="006F34CD" w:rsidR="00515FE0" w:rsidP="006F34CD" w:rsidRDefault="00515FE0" w14:paraId="3A2C49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50133F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D6E461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8340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84334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33CA97A" w14:textId="77777777">
        <w:trPr>
          <w:cantSplit/>
        </w:trPr>
        <w:tc>
          <w:tcPr>
            <w:tcW w:w="2249" w:type="dxa"/>
          </w:tcPr>
          <w:p w:rsidRPr="006F34CD" w:rsidR="00515FE0" w:rsidP="006F34CD" w:rsidRDefault="00515FE0" w14:paraId="5A1EE4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Taisiya Ivanovna KOMPANIETS</w:t>
            </w:r>
          </w:p>
        </w:tc>
        <w:tc>
          <w:tcPr>
            <w:tcW w:w="836" w:type="dxa"/>
          </w:tcPr>
          <w:p w:rsidRPr="006F34CD" w:rsidR="00515FE0" w:rsidP="006F34CD" w:rsidRDefault="00515FE0" w14:paraId="6E32B2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29FCFB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9492B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27E9F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1465B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15DB996" w14:textId="77777777">
        <w:trPr>
          <w:cantSplit/>
        </w:trPr>
        <w:tc>
          <w:tcPr>
            <w:tcW w:w="2249" w:type="dxa"/>
          </w:tcPr>
          <w:p w:rsidRPr="006F34CD" w:rsidR="00515FE0" w:rsidP="006F34CD" w:rsidRDefault="00515FE0" w14:paraId="593E9D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Abramovna KONONOVA</w:t>
            </w:r>
          </w:p>
        </w:tc>
        <w:tc>
          <w:tcPr>
            <w:tcW w:w="836" w:type="dxa"/>
          </w:tcPr>
          <w:p w:rsidRPr="006F34CD" w:rsidR="00515FE0" w:rsidP="006F34CD" w:rsidRDefault="00515FE0" w14:paraId="52325A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1931</w:t>
            </w:r>
          </w:p>
        </w:tc>
        <w:tc>
          <w:tcPr>
            <w:tcW w:w="1305" w:type="dxa"/>
          </w:tcPr>
          <w:p w:rsidRPr="006F34CD" w:rsidR="00515FE0" w:rsidP="006F34CD" w:rsidRDefault="00515FE0" w14:paraId="70D108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E36E4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DE88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63599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99F4EAE" w14:textId="77777777">
        <w:trPr>
          <w:cantSplit/>
        </w:trPr>
        <w:tc>
          <w:tcPr>
            <w:tcW w:w="2249" w:type="dxa"/>
          </w:tcPr>
          <w:p w:rsidRPr="006F34CD" w:rsidR="00515FE0" w:rsidP="006F34CD" w:rsidRDefault="00515FE0" w14:paraId="13A58F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Alekseyevna KONSTANTINOVA</w:t>
            </w:r>
          </w:p>
        </w:tc>
        <w:tc>
          <w:tcPr>
            <w:tcW w:w="836" w:type="dxa"/>
          </w:tcPr>
          <w:p w:rsidRPr="006F34CD" w:rsidR="00515FE0" w:rsidP="006F34CD" w:rsidRDefault="00515FE0" w14:paraId="5186A8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35FD4A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118F37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4222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530BBB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04C4963" w14:textId="77777777">
        <w:trPr>
          <w:cantSplit/>
        </w:trPr>
        <w:tc>
          <w:tcPr>
            <w:tcW w:w="2249" w:type="dxa"/>
          </w:tcPr>
          <w:p w:rsidRPr="006F34CD" w:rsidR="00515FE0" w:rsidP="006F34CD" w:rsidRDefault="00515FE0" w14:paraId="3F9A16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Aleksandrovna KOPIL</w:t>
            </w:r>
          </w:p>
        </w:tc>
        <w:tc>
          <w:tcPr>
            <w:tcW w:w="836" w:type="dxa"/>
          </w:tcPr>
          <w:p w:rsidRPr="006F34CD" w:rsidR="00515FE0" w:rsidP="006F34CD" w:rsidRDefault="00515FE0" w14:paraId="156B27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4ADEBF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E68DB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AEEB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C9161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227B5A4" w14:textId="77777777">
        <w:trPr>
          <w:cantSplit/>
        </w:trPr>
        <w:tc>
          <w:tcPr>
            <w:tcW w:w="2249" w:type="dxa"/>
          </w:tcPr>
          <w:p w:rsidRPr="006F34CD" w:rsidR="00515FE0" w:rsidP="006F34CD" w:rsidRDefault="00515FE0" w14:paraId="49A827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Nikolaevna KOPIL</w:t>
            </w:r>
          </w:p>
        </w:tc>
        <w:tc>
          <w:tcPr>
            <w:tcW w:w="836" w:type="dxa"/>
          </w:tcPr>
          <w:p w:rsidRPr="006F34CD" w:rsidR="00515FE0" w:rsidP="006F34CD" w:rsidRDefault="00515FE0" w14:paraId="530D4A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3FFE89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2EF008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F4C20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9C4E8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822AFFA" w14:textId="77777777">
        <w:trPr>
          <w:cantSplit/>
        </w:trPr>
        <w:tc>
          <w:tcPr>
            <w:tcW w:w="2249" w:type="dxa"/>
          </w:tcPr>
          <w:p w:rsidRPr="006F34CD" w:rsidR="00515FE0" w:rsidP="006F34CD" w:rsidRDefault="00515FE0" w14:paraId="787038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Aleksandra Igorevna KOROBCHENKO</w:t>
            </w:r>
          </w:p>
        </w:tc>
        <w:tc>
          <w:tcPr>
            <w:tcW w:w="836" w:type="dxa"/>
          </w:tcPr>
          <w:p w:rsidRPr="006F34CD" w:rsidR="00515FE0" w:rsidP="006F34CD" w:rsidRDefault="00515FE0" w14:paraId="04387F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066E1E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9A6A1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7C65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74834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DFA900B" w14:textId="77777777">
        <w:trPr>
          <w:cantSplit/>
        </w:trPr>
        <w:tc>
          <w:tcPr>
            <w:tcW w:w="2249" w:type="dxa"/>
          </w:tcPr>
          <w:p w:rsidRPr="006F34CD" w:rsidR="00515FE0" w:rsidP="006F34CD" w:rsidRDefault="00515FE0" w14:paraId="55C5E1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Georgievna KORZHANENKO</w:t>
            </w:r>
          </w:p>
        </w:tc>
        <w:tc>
          <w:tcPr>
            <w:tcW w:w="836" w:type="dxa"/>
          </w:tcPr>
          <w:p w:rsidRPr="006F34CD" w:rsidR="00515FE0" w:rsidP="006F34CD" w:rsidRDefault="00515FE0" w14:paraId="23769F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18C524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Beglitsa</w:t>
            </w:r>
          </w:p>
        </w:tc>
        <w:tc>
          <w:tcPr>
            <w:tcW w:w="1134" w:type="dxa"/>
          </w:tcPr>
          <w:p w:rsidRPr="006F34CD" w:rsidR="00515FE0" w:rsidP="006F34CD" w:rsidRDefault="00515FE0" w14:paraId="5E0A310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07F9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5078E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340AA92" w14:textId="77777777">
        <w:trPr>
          <w:cantSplit/>
        </w:trPr>
        <w:tc>
          <w:tcPr>
            <w:tcW w:w="2249" w:type="dxa"/>
          </w:tcPr>
          <w:p w:rsidRPr="006F34CD" w:rsidR="00515FE0" w:rsidP="006F34CD" w:rsidRDefault="00515FE0" w14:paraId="5074CB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Vladimirovna KOSHKINA</w:t>
            </w:r>
          </w:p>
        </w:tc>
        <w:tc>
          <w:tcPr>
            <w:tcW w:w="836" w:type="dxa"/>
          </w:tcPr>
          <w:p w:rsidRPr="006F34CD" w:rsidR="00515FE0" w:rsidP="006F34CD" w:rsidRDefault="00515FE0" w14:paraId="2BA3DE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489914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3BB0E3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1CED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2D151E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EF1428F" w14:textId="77777777">
        <w:trPr>
          <w:cantSplit/>
        </w:trPr>
        <w:tc>
          <w:tcPr>
            <w:tcW w:w="2249" w:type="dxa"/>
          </w:tcPr>
          <w:p w:rsidRPr="006F34CD" w:rsidR="00515FE0" w:rsidP="006F34CD" w:rsidRDefault="00515FE0" w14:paraId="02DC62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Alla Stepanovna KOSHKINA</w:t>
            </w:r>
          </w:p>
        </w:tc>
        <w:tc>
          <w:tcPr>
            <w:tcW w:w="836" w:type="dxa"/>
          </w:tcPr>
          <w:p w:rsidRPr="006F34CD" w:rsidR="00515FE0" w:rsidP="006F34CD" w:rsidRDefault="00515FE0" w14:paraId="5BC462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18055A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07534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61A5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C2693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DFE1C75" w14:textId="77777777">
        <w:trPr>
          <w:cantSplit/>
        </w:trPr>
        <w:tc>
          <w:tcPr>
            <w:tcW w:w="2249" w:type="dxa"/>
          </w:tcPr>
          <w:p w:rsidRPr="006F34CD" w:rsidR="00515FE0" w:rsidP="006F34CD" w:rsidRDefault="00515FE0" w14:paraId="389363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Viktorovna KOSTYUCHENKO</w:t>
            </w:r>
          </w:p>
        </w:tc>
        <w:tc>
          <w:tcPr>
            <w:tcW w:w="836" w:type="dxa"/>
          </w:tcPr>
          <w:p w:rsidRPr="006F34CD" w:rsidR="00515FE0" w:rsidP="006F34CD" w:rsidRDefault="00515FE0" w14:paraId="094BFA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42DDDD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92D87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8722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B4916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F195897" w14:textId="77777777">
        <w:trPr>
          <w:cantSplit/>
        </w:trPr>
        <w:tc>
          <w:tcPr>
            <w:tcW w:w="2249" w:type="dxa"/>
          </w:tcPr>
          <w:p w:rsidRPr="006F34CD" w:rsidR="00515FE0" w:rsidP="006F34CD" w:rsidRDefault="00515FE0" w14:paraId="589693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Porfiryevna KOVALENKO</w:t>
            </w:r>
          </w:p>
        </w:tc>
        <w:tc>
          <w:tcPr>
            <w:tcW w:w="836" w:type="dxa"/>
          </w:tcPr>
          <w:p w:rsidRPr="006F34CD" w:rsidR="00515FE0" w:rsidP="006F34CD" w:rsidRDefault="00515FE0" w14:paraId="23978F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1944</w:t>
            </w:r>
          </w:p>
        </w:tc>
        <w:tc>
          <w:tcPr>
            <w:tcW w:w="1305" w:type="dxa"/>
          </w:tcPr>
          <w:p w:rsidRPr="006F34CD" w:rsidR="00515FE0" w:rsidP="006F34CD" w:rsidRDefault="00515FE0" w14:paraId="0863C0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EED04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B9C4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2A716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3510B95" w14:textId="77777777">
        <w:trPr>
          <w:cantSplit/>
        </w:trPr>
        <w:tc>
          <w:tcPr>
            <w:tcW w:w="2249" w:type="dxa"/>
          </w:tcPr>
          <w:p w:rsidRPr="006F34CD" w:rsidR="00515FE0" w:rsidP="006F34CD" w:rsidRDefault="00515FE0" w14:paraId="0A68A7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Alekseyevich KOVALEV</w:t>
            </w:r>
          </w:p>
        </w:tc>
        <w:tc>
          <w:tcPr>
            <w:tcW w:w="836" w:type="dxa"/>
          </w:tcPr>
          <w:p w:rsidRPr="006F34CD" w:rsidR="00515FE0" w:rsidP="006F34CD" w:rsidRDefault="00515FE0" w14:paraId="6BF24D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4984EB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B4422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DDD2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BEA371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FFBE1F5" w14:textId="77777777">
        <w:trPr>
          <w:cantSplit/>
        </w:trPr>
        <w:tc>
          <w:tcPr>
            <w:tcW w:w="2249" w:type="dxa"/>
          </w:tcPr>
          <w:p w:rsidRPr="006F34CD" w:rsidR="00515FE0" w:rsidP="006F34CD" w:rsidRDefault="00515FE0" w14:paraId="473627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Olegovich KOVALYOV</w:t>
            </w:r>
          </w:p>
        </w:tc>
        <w:tc>
          <w:tcPr>
            <w:tcW w:w="836" w:type="dxa"/>
          </w:tcPr>
          <w:p w:rsidRPr="006F34CD" w:rsidR="00515FE0" w:rsidP="006F34CD" w:rsidRDefault="00515FE0" w14:paraId="03A480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58E4D3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D808EA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ED98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0EFF0F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570A107" w14:textId="77777777">
        <w:trPr>
          <w:cantSplit/>
        </w:trPr>
        <w:tc>
          <w:tcPr>
            <w:tcW w:w="2249" w:type="dxa"/>
          </w:tcPr>
          <w:p w:rsidRPr="006F34CD" w:rsidR="00515FE0" w:rsidP="006F34CD" w:rsidRDefault="00515FE0" w14:paraId="2D1876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Olegovich KOVALYOV</w:t>
            </w:r>
          </w:p>
        </w:tc>
        <w:tc>
          <w:tcPr>
            <w:tcW w:w="836" w:type="dxa"/>
          </w:tcPr>
          <w:p w:rsidRPr="006F34CD" w:rsidR="00515FE0" w:rsidP="006F34CD" w:rsidRDefault="00515FE0" w14:paraId="1E9942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788B39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02780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6BA1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A2701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BAA5450" w14:textId="77777777">
        <w:trPr>
          <w:cantSplit/>
        </w:trPr>
        <w:tc>
          <w:tcPr>
            <w:tcW w:w="2249" w:type="dxa"/>
          </w:tcPr>
          <w:p w:rsidRPr="006F34CD" w:rsidR="00515FE0" w:rsidP="006F34CD" w:rsidRDefault="00515FE0" w14:paraId="0CDE5F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Kseniya Gennadyevna KOVALYOVA</w:t>
            </w:r>
          </w:p>
        </w:tc>
        <w:tc>
          <w:tcPr>
            <w:tcW w:w="836" w:type="dxa"/>
          </w:tcPr>
          <w:p w:rsidRPr="006F34CD" w:rsidR="00515FE0" w:rsidP="006F34CD" w:rsidRDefault="00515FE0" w14:paraId="49F67F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1086C4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D3E31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F0C30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0774B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075F40F" w14:textId="77777777">
        <w:trPr>
          <w:cantSplit/>
        </w:trPr>
        <w:tc>
          <w:tcPr>
            <w:tcW w:w="2249" w:type="dxa"/>
          </w:tcPr>
          <w:p w:rsidRPr="006F34CD" w:rsidR="00515FE0" w:rsidP="006F34CD" w:rsidRDefault="00515FE0" w14:paraId="00717E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Ivanovna KOVALYOVA</w:t>
            </w:r>
          </w:p>
        </w:tc>
        <w:tc>
          <w:tcPr>
            <w:tcW w:w="836" w:type="dxa"/>
          </w:tcPr>
          <w:p w:rsidRPr="006F34CD" w:rsidR="00515FE0" w:rsidP="006F34CD" w:rsidRDefault="00515FE0" w14:paraId="1D0E84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50F6B1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2F329B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93EF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74A824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F0E01BA" w14:textId="77777777">
        <w:trPr>
          <w:cantSplit/>
        </w:trPr>
        <w:tc>
          <w:tcPr>
            <w:tcW w:w="2249" w:type="dxa"/>
          </w:tcPr>
          <w:p w:rsidRPr="006F34CD" w:rsidR="00515FE0" w:rsidP="006F34CD" w:rsidRDefault="00515FE0" w14:paraId="482091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Gennadyevna KOVALYOVA</w:t>
            </w:r>
          </w:p>
        </w:tc>
        <w:tc>
          <w:tcPr>
            <w:tcW w:w="836" w:type="dxa"/>
          </w:tcPr>
          <w:p w:rsidRPr="006F34CD" w:rsidR="00515FE0" w:rsidP="006F34CD" w:rsidRDefault="00515FE0" w14:paraId="247BDD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3EDD49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A5193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A197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04CD8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471535D" w14:textId="77777777">
        <w:trPr>
          <w:cantSplit/>
        </w:trPr>
        <w:tc>
          <w:tcPr>
            <w:tcW w:w="2249" w:type="dxa"/>
          </w:tcPr>
          <w:p w:rsidRPr="006F34CD" w:rsidR="00515FE0" w:rsidP="006F34CD" w:rsidRDefault="00515FE0" w14:paraId="67650C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Tamara Timofeyevna KOVALYOVA</w:t>
            </w:r>
          </w:p>
        </w:tc>
        <w:tc>
          <w:tcPr>
            <w:tcW w:w="836" w:type="dxa"/>
          </w:tcPr>
          <w:p w:rsidRPr="006F34CD" w:rsidR="00515FE0" w:rsidP="006F34CD" w:rsidRDefault="00515FE0" w14:paraId="2A929D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55AD69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Veselyy</w:t>
            </w:r>
          </w:p>
        </w:tc>
        <w:tc>
          <w:tcPr>
            <w:tcW w:w="1134" w:type="dxa"/>
          </w:tcPr>
          <w:p w:rsidRPr="006F34CD" w:rsidR="00515FE0" w:rsidP="006F34CD" w:rsidRDefault="00515FE0" w14:paraId="78A918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0D6F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07145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09715C7" w14:textId="77777777">
        <w:trPr>
          <w:cantSplit/>
        </w:trPr>
        <w:tc>
          <w:tcPr>
            <w:tcW w:w="2249" w:type="dxa"/>
          </w:tcPr>
          <w:p w:rsidRPr="006F34CD" w:rsidR="00515FE0" w:rsidP="006F34CD" w:rsidRDefault="00515FE0" w14:paraId="1A97F7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Mikhailovna KOVALYOVA</w:t>
            </w:r>
          </w:p>
        </w:tc>
        <w:tc>
          <w:tcPr>
            <w:tcW w:w="836" w:type="dxa"/>
          </w:tcPr>
          <w:p w:rsidRPr="006F34CD" w:rsidR="00515FE0" w:rsidP="006F34CD" w:rsidRDefault="00515FE0" w14:paraId="52F9B0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4FE7D4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Petrushino</w:t>
            </w:r>
          </w:p>
        </w:tc>
        <w:tc>
          <w:tcPr>
            <w:tcW w:w="1134" w:type="dxa"/>
          </w:tcPr>
          <w:p w:rsidRPr="006F34CD" w:rsidR="00515FE0" w:rsidP="006F34CD" w:rsidRDefault="00515FE0" w14:paraId="0BD620F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0BBD8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16EBE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5066FA9" w14:textId="77777777">
        <w:trPr>
          <w:cantSplit/>
        </w:trPr>
        <w:tc>
          <w:tcPr>
            <w:tcW w:w="2249" w:type="dxa"/>
          </w:tcPr>
          <w:p w:rsidRPr="006F34CD" w:rsidR="00515FE0" w:rsidP="006F34CD" w:rsidRDefault="00515FE0" w14:paraId="3F2B15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Viktorovich KOZHUKHOV</w:t>
            </w:r>
          </w:p>
        </w:tc>
        <w:tc>
          <w:tcPr>
            <w:tcW w:w="836" w:type="dxa"/>
          </w:tcPr>
          <w:p w:rsidRPr="006F34CD" w:rsidR="00515FE0" w:rsidP="006F34CD" w:rsidRDefault="00515FE0" w14:paraId="72E8E2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6B53C1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721F3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7FBA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B18E4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D9BEDBF" w14:textId="77777777">
        <w:trPr>
          <w:cantSplit/>
        </w:trPr>
        <w:tc>
          <w:tcPr>
            <w:tcW w:w="2249" w:type="dxa"/>
          </w:tcPr>
          <w:p w:rsidRPr="006F34CD" w:rsidR="00515FE0" w:rsidP="006F34CD" w:rsidRDefault="00515FE0" w14:paraId="72F69B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Ivanovna KOZHUKHOVA</w:t>
            </w:r>
          </w:p>
        </w:tc>
        <w:tc>
          <w:tcPr>
            <w:tcW w:w="836" w:type="dxa"/>
          </w:tcPr>
          <w:p w:rsidRPr="006F34CD" w:rsidR="00515FE0" w:rsidP="006F34CD" w:rsidRDefault="00515FE0" w14:paraId="79B5C0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4CA7AE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7D9365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05D0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11855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EB4E055" w14:textId="77777777">
        <w:trPr>
          <w:cantSplit/>
        </w:trPr>
        <w:tc>
          <w:tcPr>
            <w:tcW w:w="2249" w:type="dxa"/>
          </w:tcPr>
          <w:p w:rsidRPr="006F34CD" w:rsidR="00515FE0" w:rsidP="006F34CD" w:rsidRDefault="00515FE0" w14:paraId="51FC83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Nikolayevich KOZIKOV</w:t>
            </w:r>
          </w:p>
        </w:tc>
        <w:tc>
          <w:tcPr>
            <w:tcW w:w="836" w:type="dxa"/>
          </w:tcPr>
          <w:p w:rsidRPr="006F34CD" w:rsidR="00515FE0" w:rsidP="006F34CD" w:rsidRDefault="00515FE0" w14:paraId="5F54E5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5701EF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0529F6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B9D0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F7F38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6428EEA" w14:textId="77777777">
        <w:trPr>
          <w:cantSplit/>
        </w:trPr>
        <w:tc>
          <w:tcPr>
            <w:tcW w:w="2249" w:type="dxa"/>
          </w:tcPr>
          <w:p w:rsidRPr="006F34CD" w:rsidR="00515FE0" w:rsidP="006F34CD" w:rsidRDefault="00515FE0" w14:paraId="0C0EEE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Inna Vladimirovna KOZIKOVA</w:t>
            </w:r>
          </w:p>
        </w:tc>
        <w:tc>
          <w:tcPr>
            <w:tcW w:w="836" w:type="dxa"/>
          </w:tcPr>
          <w:p w:rsidRPr="006F34CD" w:rsidR="00515FE0" w:rsidP="006F34CD" w:rsidRDefault="00515FE0" w14:paraId="33D9D1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4633C7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B7CB67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71899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0B837D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31199F7" w14:textId="77777777">
        <w:trPr>
          <w:cantSplit/>
        </w:trPr>
        <w:tc>
          <w:tcPr>
            <w:tcW w:w="2249" w:type="dxa"/>
          </w:tcPr>
          <w:p w:rsidRPr="006F34CD" w:rsidR="00515FE0" w:rsidP="006F34CD" w:rsidRDefault="00515FE0" w14:paraId="72718B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Yakovlevna KRAVCOVA</w:t>
            </w:r>
          </w:p>
        </w:tc>
        <w:tc>
          <w:tcPr>
            <w:tcW w:w="836" w:type="dxa"/>
          </w:tcPr>
          <w:p w:rsidRPr="006F34CD" w:rsidR="00515FE0" w:rsidP="006F34CD" w:rsidRDefault="00515FE0" w14:paraId="08F2A4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5FA897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1C3137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3CF7A4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93B8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CE7A575" w14:textId="77777777">
        <w:trPr>
          <w:cantSplit/>
        </w:trPr>
        <w:tc>
          <w:tcPr>
            <w:tcW w:w="2249" w:type="dxa"/>
          </w:tcPr>
          <w:p w:rsidRPr="006F34CD" w:rsidR="00515FE0" w:rsidP="006F34CD" w:rsidRDefault="00515FE0" w14:paraId="654C83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Vera Vladimirovna KRETOVA</w:t>
            </w:r>
          </w:p>
        </w:tc>
        <w:tc>
          <w:tcPr>
            <w:tcW w:w="836" w:type="dxa"/>
          </w:tcPr>
          <w:p w:rsidRPr="006F34CD" w:rsidR="00515FE0" w:rsidP="006F34CD" w:rsidRDefault="00515FE0" w14:paraId="43609F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6CCE30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D2EA67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B58E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D3171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13412D2" w14:textId="77777777">
        <w:trPr>
          <w:cantSplit/>
        </w:trPr>
        <w:tc>
          <w:tcPr>
            <w:tcW w:w="2249" w:type="dxa"/>
          </w:tcPr>
          <w:p w:rsidRPr="006F34CD" w:rsidR="00515FE0" w:rsidP="006F34CD" w:rsidRDefault="00515FE0" w14:paraId="7DC347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Leonidovna KRETOVA</w:t>
            </w:r>
          </w:p>
        </w:tc>
        <w:tc>
          <w:tcPr>
            <w:tcW w:w="836" w:type="dxa"/>
          </w:tcPr>
          <w:p w:rsidRPr="006F34CD" w:rsidR="00515FE0" w:rsidP="006F34CD" w:rsidRDefault="00515FE0" w14:paraId="478F7D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66D1F2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F57DB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8B77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97E66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C5F1946" w14:textId="77777777">
        <w:trPr>
          <w:cantSplit/>
        </w:trPr>
        <w:tc>
          <w:tcPr>
            <w:tcW w:w="2249" w:type="dxa"/>
          </w:tcPr>
          <w:p w:rsidRPr="006F34CD" w:rsidR="00515FE0" w:rsidP="006F34CD" w:rsidRDefault="00515FE0" w14:paraId="35C2BE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Pavlovna KRETOVA</w:t>
            </w:r>
          </w:p>
        </w:tc>
        <w:tc>
          <w:tcPr>
            <w:tcW w:w="836" w:type="dxa"/>
          </w:tcPr>
          <w:p w:rsidRPr="006F34CD" w:rsidR="00515FE0" w:rsidP="006F34CD" w:rsidRDefault="00515FE0" w14:paraId="0B0303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0DAAE1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F9EAE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A9F1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3A92E3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CE41333" w14:textId="77777777">
        <w:trPr>
          <w:cantSplit/>
        </w:trPr>
        <w:tc>
          <w:tcPr>
            <w:tcW w:w="2249" w:type="dxa"/>
          </w:tcPr>
          <w:p w:rsidRPr="006F34CD" w:rsidR="00515FE0" w:rsidP="006F34CD" w:rsidRDefault="00515FE0" w14:paraId="075960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Nikolaevna KRIKUNOVA</w:t>
            </w:r>
          </w:p>
        </w:tc>
        <w:tc>
          <w:tcPr>
            <w:tcW w:w="836" w:type="dxa"/>
          </w:tcPr>
          <w:p w:rsidRPr="006F34CD" w:rsidR="00515FE0" w:rsidP="006F34CD" w:rsidRDefault="00515FE0" w14:paraId="0AE0B8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1929</w:t>
            </w:r>
          </w:p>
        </w:tc>
        <w:tc>
          <w:tcPr>
            <w:tcW w:w="1305" w:type="dxa"/>
          </w:tcPr>
          <w:p w:rsidRPr="006F34CD" w:rsidR="00515FE0" w:rsidP="006F34CD" w:rsidRDefault="00515FE0" w14:paraId="6A18CC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7901B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43E73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5099D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477E2BB" w14:textId="77777777">
        <w:trPr>
          <w:cantSplit/>
        </w:trPr>
        <w:tc>
          <w:tcPr>
            <w:tcW w:w="2249" w:type="dxa"/>
          </w:tcPr>
          <w:p w:rsidRPr="006F34CD" w:rsidR="00515FE0" w:rsidP="006F34CD" w:rsidRDefault="00515FE0" w14:paraId="14C153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Yevgenia Dmitriyevna KRUGLOVA</w:t>
            </w:r>
          </w:p>
        </w:tc>
        <w:tc>
          <w:tcPr>
            <w:tcW w:w="836" w:type="dxa"/>
          </w:tcPr>
          <w:p w:rsidRPr="006F34CD" w:rsidR="00515FE0" w:rsidP="006F34CD" w:rsidRDefault="00515FE0" w14:paraId="57BCD6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028F29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Ryasnoye</w:t>
            </w:r>
          </w:p>
        </w:tc>
        <w:tc>
          <w:tcPr>
            <w:tcW w:w="1134" w:type="dxa"/>
          </w:tcPr>
          <w:p w:rsidRPr="006F34CD" w:rsidR="00515FE0" w:rsidP="006F34CD" w:rsidRDefault="00515FE0" w14:paraId="492AA73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5CDD7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9A906D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9746DF2" w14:textId="77777777">
        <w:trPr>
          <w:cantSplit/>
        </w:trPr>
        <w:tc>
          <w:tcPr>
            <w:tcW w:w="2249" w:type="dxa"/>
          </w:tcPr>
          <w:p w:rsidRPr="006F34CD" w:rsidR="00515FE0" w:rsidP="006F34CD" w:rsidRDefault="00515FE0" w14:paraId="664219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Nikolaevna KUCIKH</w:t>
            </w:r>
          </w:p>
        </w:tc>
        <w:tc>
          <w:tcPr>
            <w:tcW w:w="836" w:type="dxa"/>
          </w:tcPr>
          <w:p w:rsidRPr="006F34CD" w:rsidR="00515FE0" w:rsidP="006F34CD" w:rsidRDefault="00515FE0" w14:paraId="10DABB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326238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Botsmanovo</w:t>
            </w:r>
          </w:p>
        </w:tc>
        <w:tc>
          <w:tcPr>
            <w:tcW w:w="1134" w:type="dxa"/>
          </w:tcPr>
          <w:p w:rsidRPr="006F34CD" w:rsidR="00515FE0" w:rsidP="006F34CD" w:rsidRDefault="00515FE0" w14:paraId="7D30A27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D497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FD069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F2B27F4" w14:textId="77777777">
        <w:trPr>
          <w:cantSplit/>
        </w:trPr>
        <w:tc>
          <w:tcPr>
            <w:tcW w:w="2249" w:type="dxa"/>
          </w:tcPr>
          <w:p w:rsidRPr="006F34CD" w:rsidR="00515FE0" w:rsidP="006F34CD" w:rsidRDefault="00515FE0" w14:paraId="72AA96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Tamara Nikolaevna KUDRYASHOVA</w:t>
            </w:r>
          </w:p>
        </w:tc>
        <w:tc>
          <w:tcPr>
            <w:tcW w:w="836" w:type="dxa"/>
          </w:tcPr>
          <w:p w:rsidRPr="006F34CD" w:rsidR="00515FE0" w:rsidP="006F34CD" w:rsidRDefault="00515FE0" w14:paraId="154C94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1944</w:t>
            </w:r>
          </w:p>
        </w:tc>
        <w:tc>
          <w:tcPr>
            <w:tcW w:w="1305" w:type="dxa"/>
          </w:tcPr>
          <w:p w:rsidRPr="006F34CD" w:rsidR="00515FE0" w:rsidP="006F34CD" w:rsidRDefault="00515FE0" w14:paraId="35DD2F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169BCB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79302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4398E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C4127E6" w14:textId="77777777">
        <w:trPr>
          <w:cantSplit/>
        </w:trPr>
        <w:tc>
          <w:tcPr>
            <w:tcW w:w="2249" w:type="dxa"/>
          </w:tcPr>
          <w:p w:rsidRPr="006F34CD" w:rsidR="00515FE0" w:rsidP="006F34CD" w:rsidRDefault="00515FE0" w14:paraId="75A889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Larisa Vladimirovna KUDRYAVCEVA</w:t>
            </w:r>
          </w:p>
        </w:tc>
        <w:tc>
          <w:tcPr>
            <w:tcW w:w="836" w:type="dxa"/>
          </w:tcPr>
          <w:p w:rsidRPr="006F34CD" w:rsidR="00515FE0" w:rsidP="006F34CD" w:rsidRDefault="00515FE0" w14:paraId="5DBAF5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686A32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D261F1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846B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51686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48F9CD8" w14:textId="77777777">
        <w:trPr>
          <w:cantSplit/>
        </w:trPr>
        <w:tc>
          <w:tcPr>
            <w:tcW w:w="2249" w:type="dxa"/>
          </w:tcPr>
          <w:p w:rsidRPr="006F34CD" w:rsidR="00515FE0" w:rsidP="006F34CD" w:rsidRDefault="00515FE0" w14:paraId="4AA48B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Valeriy Glebovich KUKOVENKO</w:t>
            </w:r>
          </w:p>
        </w:tc>
        <w:tc>
          <w:tcPr>
            <w:tcW w:w="836" w:type="dxa"/>
          </w:tcPr>
          <w:p w:rsidRPr="006F34CD" w:rsidR="00515FE0" w:rsidP="006F34CD" w:rsidRDefault="00515FE0" w14:paraId="258106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61E819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023E9E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D1EA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C214C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DEF5C18" w14:textId="77777777">
        <w:trPr>
          <w:cantSplit/>
        </w:trPr>
        <w:tc>
          <w:tcPr>
            <w:tcW w:w="2249" w:type="dxa"/>
          </w:tcPr>
          <w:p w:rsidRPr="006F34CD" w:rsidR="00515FE0" w:rsidP="006F34CD" w:rsidRDefault="00515FE0" w14:paraId="7480F8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Nikolaevna KULAGINA</w:t>
            </w:r>
          </w:p>
        </w:tc>
        <w:tc>
          <w:tcPr>
            <w:tcW w:w="836" w:type="dxa"/>
          </w:tcPr>
          <w:p w:rsidRPr="006F34CD" w:rsidR="00515FE0" w:rsidP="006F34CD" w:rsidRDefault="00515FE0" w14:paraId="12C5D9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4B3DFC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4161F3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B8C6D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EB2017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EBFE2E9" w14:textId="77777777">
        <w:trPr>
          <w:cantSplit/>
        </w:trPr>
        <w:tc>
          <w:tcPr>
            <w:tcW w:w="2249" w:type="dxa"/>
          </w:tcPr>
          <w:p w:rsidRPr="006F34CD" w:rsidR="00515FE0" w:rsidP="006F34CD" w:rsidRDefault="00515FE0" w14:paraId="22ACD6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Aleksandrovna KULISHOVA</w:t>
            </w:r>
          </w:p>
        </w:tc>
        <w:tc>
          <w:tcPr>
            <w:tcW w:w="836" w:type="dxa"/>
          </w:tcPr>
          <w:p w:rsidRPr="006F34CD" w:rsidR="00515FE0" w:rsidP="006F34CD" w:rsidRDefault="00515FE0" w14:paraId="5BA0F4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48C18A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3E735A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0351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24BBD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2245784" w14:textId="77777777">
        <w:trPr>
          <w:cantSplit/>
        </w:trPr>
        <w:tc>
          <w:tcPr>
            <w:tcW w:w="2249" w:type="dxa"/>
          </w:tcPr>
          <w:p w:rsidRPr="006F34CD" w:rsidR="00515FE0" w:rsidP="006F34CD" w:rsidRDefault="00515FE0" w14:paraId="6270E8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Ivan Ivanovich KUMSHTATSKIY</w:t>
            </w:r>
          </w:p>
        </w:tc>
        <w:tc>
          <w:tcPr>
            <w:tcW w:w="836" w:type="dxa"/>
          </w:tcPr>
          <w:p w:rsidRPr="006F34CD" w:rsidR="00515FE0" w:rsidP="006F34CD" w:rsidRDefault="00515FE0" w14:paraId="209DDB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1930</w:t>
            </w:r>
          </w:p>
        </w:tc>
        <w:tc>
          <w:tcPr>
            <w:tcW w:w="1305" w:type="dxa"/>
          </w:tcPr>
          <w:p w:rsidRPr="006F34CD" w:rsidR="00515FE0" w:rsidP="006F34CD" w:rsidRDefault="00515FE0" w14:paraId="62E773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643D5FC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9117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63ECB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E86209E" w14:textId="77777777">
        <w:trPr>
          <w:cantSplit/>
        </w:trPr>
        <w:tc>
          <w:tcPr>
            <w:tcW w:w="2249" w:type="dxa"/>
          </w:tcPr>
          <w:p w:rsidRPr="006F34CD" w:rsidR="00515FE0" w:rsidP="006F34CD" w:rsidRDefault="00515FE0" w14:paraId="073E3C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Vladimirovna KURILO</w:t>
            </w:r>
          </w:p>
        </w:tc>
        <w:tc>
          <w:tcPr>
            <w:tcW w:w="836" w:type="dxa"/>
          </w:tcPr>
          <w:p w:rsidRPr="006F34CD" w:rsidR="00515FE0" w:rsidP="006F34CD" w:rsidRDefault="00515FE0" w14:paraId="79924A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7C49045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838E1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3413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DE3FDA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06FB44A" w14:textId="77777777">
        <w:trPr>
          <w:cantSplit/>
        </w:trPr>
        <w:tc>
          <w:tcPr>
            <w:tcW w:w="2249" w:type="dxa"/>
          </w:tcPr>
          <w:p w:rsidRPr="006F34CD" w:rsidR="00515FE0" w:rsidP="006F34CD" w:rsidRDefault="00515FE0" w14:paraId="2A9E35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Grigoryevich KURILOV</w:t>
            </w:r>
          </w:p>
        </w:tc>
        <w:tc>
          <w:tcPr>
            <w:tcW w:w="836" w:type="dxa"/>
          </w:tcPr>
          <w:p w:rsidRPr="006F34CD" w:rsidR="00515FE0" w:rsidP="006F34CD" w:rsidRDefault="00515FE0" w14:paraId="127368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707892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Veselyy</w:t>
            </w:r>
          </w:p>
        </w:tc>
        <w:tc>
          <w:tcPr>
            <w:tcW w:w="1134" w:type="dxa"/>
          </w:tcPr>
          <w:p w:rsidRPr="006F34CD" w:rsidR="00515FE0" w:rsidP="006F34CD" w:rsidRDefault="00515FE0" w14:paraId="5C89DE1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01AE3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28F59A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9CE7055" w14:textId="77777777">
        <w:trPr>
          <w:cantSplit/>
        </w:trPr>
        <w:tc>
          <w:tcPr>
            <w:tcW w:w="2249" w:type="dxa"/>
          </w:tcPr>
          <w:p w:rsidRPr="006F34CD" w:rsidR="00515FE0" w:rsidP="006F34CD" w:rsidRDefault="00515FE0" w14:paraId="786433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Yuryevna KURILOVA</w:t>
            </w:r>
          </w:p>
        </w:tc>
        <w:tc>
          <w:tcPr>
            <w:tcW w:w="836" w:type="dxa"/>
          </w:tcPr>
          <w:p w:rsidRPr="006F34CD" w:rsidR="00515FE0" w:rsidP="006F34CD" w:rsidRDefault="00515FE0" w14:paraId="370868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58AEEE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Veselyy</w:t>
            </w:r>
          </w:p>
        </w:tc>
        <w:tc>
          <w:tcPr>
            <w:tcW w:w="1134" w:type="dxa"/>
          </w:tcPr>
          <w:p w:rsidRPr="006F34CD" w:rsidR="00515FE0" w:rsidP="006F34CD" w:rsidRDefault="00515FE0" w14:paraId="49F8A0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2095F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72537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E50017D" w14:textId="77777777">
        <w:trPr>
          <w:cantSplit/>
        </w:trPr>
        <w:tc>
          <w:tcPr>
            <w:tcW w:w="2249" w:type="dxa"/>
          </w:tcPr>
          <w:p w:rsidRPr="006F34CD" w:rsidR="00515FE0" w:rsidP="006F34CD" w:rsidRDefault="00515FE0" w14:paraId="4FB830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Vladimirovna KURILOVA</w:t>
            </w:r>
          </w:p>
        </w:tc>
        <w:tc>
          <w:tcPr>
            <w:tcW w:w="836" w:type="dxa"/>
          </w:tcPr>
          <w:p w:rsidRPr="006F34CD" w:rsidR="00515FE0" w:rsidP="006F34CD" w:rsidRDefault="00515FE0" w14:paraId="6816D9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1991</w:t>
            </w:r>
          </w:p>
        </w:tc>
        <w:tc>
          <w:tcPr>
            <w:tcW w:w="1305" w:type="dxa"/>
          </w:tcPr>
          <w:p w:rsidRPr="006F34CD" w:rsidR="00515FE0" w:rsidP="006F34CD" w:rsidRDefault="00515FE0" w14:paraId="4FAA96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Veselyy</w:t>
            </w:r>
          </w:p>
        </w:tc>
        <w:tc>
          <w:tcPr>
            <w:tcW w:w="1134" w:type="dxa"/>
          </w:tcPr>
          <w:p w:rsidRPr="006F34CD" w:rsidR="00515FE0" w:rsidP="006F34CD" w:rsidRDefault="00515FE0" w14:paraId="5E5B6FC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DB2A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6EB5C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E84F60C" w14:textId="77777777">
        <w:trPr>
          <w:cantSplit/>
        </w:trPr>
        <w:tc>
          <w:tcPr>
            <w:tcW w:w="2249" w:type="dxa"/>
          </w:tcPr>
          <w:p w:rsidRPr="006F34CD" w:rsidR="00515FE0" w:rsidP="006F34CD" w:rsidRDefault="00515FE0" w14:paraId="3E55F6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Anatolyevna KURYACHAYA</w:t>
            </w:r>
          </w:p>
        </w:tc>
        <w:tc>
          <w:tcPr>
            <w:tcW w:w="836" w:type="dxa"/>
          </w:tcPr>
          <w:p w:rsidRPr="006F34CD" w:rsidR="00515FE0" w:rsidP="006F34CD" w:rsidRDefault="00515FE0" w14:paraId="02E4EB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232368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07372D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088EB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B581E0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EF2C0B0" w14:textId="77777777">
        <w:trPr>
          <w:cantSplit/>
        </w:trPr>
        <w:tc>
          <w:tcPr>
            <w:tcW w:w="2249" w:type="dxa"/>
          </w:tcPr>
          <w:p w:rsidRPr="006F34CD" w:rsidR="00515FE0" w:rsidP="006F34CD" w:rsidRDefault="00515FE0" w14:paraId="1DDFD5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Maksimovna KURYUCHKINA</w:t>
            </w:r>
          </w:p>
        </w:tc>
        <w:tc>
          <w:tcPr>
            <w:tcW w:w="836" w:type="dxa"/>
          </w:tcPr>
          <w:p w:rsidRPr="006F34CD" w:rsidR="00515FE0" w:rsidP="006F34CD" w:rsidRDefault="00515FE0" w14:paraId="2F095B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14F5FA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B8E59D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1A73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4D5F3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2E42410" w14:textId="77777777">
        <w:trPr>
          <w:cantSplit/>
        </w:trPr>
        <w:tc>
          <w:tcPr>
            <w:tcW w:w="2249" w:type="dxa"/>
          </w:tcPr>
          <w:p w:rsidRPr="006F34CD" w:rsidR="00515FE0" w:rsidP="006F34CD" w:rsidRDefault="00515FE0" w14:paraId="71D715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Aleksandrovna KUTLYANCEVA</w:t>
            </w:r>
          </w:p>
        </w:tc>
        <w:tc>
          <w:tcPr>
            <w:tcW w:w="836" w:type="dxa"/>
          </w:tcPr>
          <w:p w:rsidRPr="006F34CD" w:rsidR="00515FE0" w:rsidP="006F34CD" w:rsidRDefault="00515FE0" w14:paraId="636668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6AD454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EB669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00FA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B9D76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6268E7F" w14:textId="77777777">
        <w:trPr>
          <w:cantSplit/>
        </w:trPr>
        <w:tc>
          <w:tcPr>
            <w:tcW w:w="2249" w:type="dxa"/>
          </w:tcPr>
          <w:p w:rsidRPr="006F34CD" w:rsidR="00515FE0" w:rsidP="006F34CD" w:rsidRDefault="00515FE0" w14:paraId="154868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Tamara Yakovlevna KUZNECOVA</w:t>
            </w:r>
          </w:p>
        </w:tc>
        <w:tc>
          <w:tcPr>
            <w:tcW w:w="836" w:type="dxa"/>
          </w:tcPr>
          <w:p w:rsidRPr="006F34CD" w:rsidR="00515FE0" w:rsidP="006F34CD" w:rsidRDefault="00515FE0" w14:paraId="15DD1B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5E7083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D756E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12AB9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04EB2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1D492EE" w14:textId="77777777">
        <w:trPr>
          <w:cantSplit/>
        </w:trPr>
        <w:tc>
          <w:tcPr>
            <w:tcW w:w="2249" w:type="dxa"/>
          </w:tcPr>
          <w:p w:rsidRPr="006F34CD" w:rsidR="00515FE0" w:rsidP="006F34CD" w:rsidRDefault="00515FE0" w14:paraId="00355B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Vladimirovna KVASHINA</w:t>
            </w:r>
          </w:p>
        </w:tc>
        <w:tc>
          <w:tcPr>
            <w:tcW w:w="836" w:type="dxa"/>
          </w:tcPr>
          <w:p w:rsidRPr="006F34CD" w:rsidR="00515FE0" w:rsidP="006F34CD" w:rsidRDefault="00515FE0" w14:paraId="1A0CD4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793761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C9FD56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CADC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389A03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30DB1F1" w14:textId="77777777">
        <w:trPr>
          <w:cantSplit/>
        </w:trPr>
        <w:tc>
          <w:tcPr>
            <w:tcW w:w="2249" w:type="dxa"/>
          </w:tcPr>
          <w:p w:rsidRPr="006F34CD" w:rsidR="00515FE0" w:rsidP="006F34CD" w:rsidRDefault="00515FE0" w14:paraId="3315A7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Vladimirovna LEBED</w:t>
            </w:r>
          </w:p>
        </w:tc>
        <w:tc>
          <w:tcPr>
            <w:tcW w:w="836" w:type="dxa"/>
          </w:tcPr>
          <w:p w:rsidRPr="006F34CD" w:rsidR="00515FE0" w:rsidP="006F34CD" w:rsidRDefault="00515FE0" w14:paraId="60CF65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0F8159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04A5FD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4BA8A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191D7B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7EE7982" w14:textId="77777777">
        <w:trPr>
          <w:cantSplit/>
        </w:trPr>
        <w:tc>
          <w:tcPr>
            <w:tcW w:w="2249" w:type="dxa"/>
          </w:tcPr>
          <w:p w:rsidRPr="006F34CD" w:rsidR="00515FE0" w:rsidP="006F34CD" w:rsidRDefault="00515FE0" w14:paraId="6F704D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Gennady Nikolayevich LENIN</w:t>
            </w:r>
          </w:p>
        </w:tc>
        <w:tc>
          <w:tcPr>
            <w:tcW w:w="836" w:type="dxa"/>
          </w:tcPr>
          <w:p w:rsidRPr="006F34CD" w:rsidR="00515FE0" w:rsidP="006F34CD" w:rsidRDefault="00515FE0" w14:paraId="425292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74D50C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C41AD5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A387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2998E2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C1EFBD8" w14:textId="77777777">
        <w:trPr>
          <w:cantSplit/>
        </w:trPr>
        <w:tc>
          <w:tcPr>
            <w:tcW w:w="2249" w:type="dxa"/>
          </w:tcPr>
          <w:p w:rsidRPr="006F34CD" w:rsidR="00515FE0" w:rsidP="006F34CD" w:rsidRDefault="00515FE0" w14:paraId="02B82A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Gennadyevich LENIN</w:t>
            </w:r>
          </w:p>
        </w:tc>
        <w:tc>
          <w:tcPr>
            <w:tcW w:w="836" w:type="dxa"/>
          </w:tcPr>
          <w:p w:rsidRPr="006F34CD" w:rsidR="00515FE0" w:rsidP="006F34CD" w:rsidRDefault="00515FE0" w14:paraId="6E4F95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7E31C4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65868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AC24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F124C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FED76A8" w14:textId="77777777">
        <w:trPr>
          <w:cantSplit/>
        </w:trPr>
        <w:tc>
          <w:tcPr>
            <w:tcW w:w="2249" w:type="dxa"/>
          </w:tcPr>
          <w:p w:rsidRPr="006F34CD" w:rsidR="00515FE0" w:rsidP="006F34CD" w:rsidRDefault="00515FE0" w14:paraId="6BB040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Yuryevna LENINA</w:t>
            </w:r>
          </w:p>
        </w:tc>
        <w:tc>
          <w:tcPr>
            <w:tcW w:w="836" w:type="dxa"/>
          </w:tcPr>
          <w:p w:rsidRPr="006F34CD" w:rsidR="00515FE0" w:rsidP="006F34CD" w:rsidRDefault="00515FE0" w14:paraId="63AFB5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66E4F7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8EF7F9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FE96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FCF54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64EC21A" w14:textId="77777777">
        <w:trPr>
          <w:cantSplit/>
        </w:trPr>
        <w:tc>
          <w:tcPr>
            <w:tcW w:w="2249" w:type="dxa"/>
          </w:tcPr>
          <w:p w:rsidRPr="006F34CD" w:rsidR="00515FE0" w:rsidP="006F34CD" w:rsidRDefault="00515FE0" w14:paraId="23EDD54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Gennadyevna LENINA</w:t>
            </w:r>
          </w:p>
        </w:tc>
        <w:tc>
          <w:tcPr>
            <w:tcW w:w="836" w:type="dxa"/>
          </w:tcPr>
          <w:p w:rsidRPr="006F34CD" w:rsidR="00515FE0" w:rsidP="006F34CD" w:rsidRDefault="00515FE0" w14:paraId="761C2B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1989</w:t>
            </w:r>
          </w:p>
        </w:tc>
        <w:tc>
          <w:tcPr>
            <w:tcW w:w="1305" w:type="dxa"/>
          </w:tcPr>
          <w:p w:rsidRPr="006F34CD" w:rsidR="00515FE0" w:rsidP="006F34CD" w:rsidRDefault="00515FE0" w14:paraId="31C0D9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E6CC1D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55C4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E6EA8C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61207EA" w14:textId="77777777">
        <w:trPr>
          <w:cantSplit/>
        </w:trPr>
        <w:tc>
          <w:tcPr>
            <w:tcW w:w="2249" w:type="dxa"/>
          </w:tcPr>
          <w:p w:rsidRPr="006F34CD" w:rsidR="00515FE0" w:rsidP="006F34CD" w:rsidRDefault="00515FE0" w14:paraId="66791C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Dora Savelyevna LEVINA</w:t>
            </w:r>
          </w:p>
        </w:tc>
        <w:tc>
          <w:tcPr>
            <w:tcW w:w="836" w:type="dxa"/>
          </w:tcPr>
          <w:p w:rsidRPr="006F34CD" w:rsidR="00515FE0" w:rsidP="006F34CD" w:rsidRDefault="00515FE0" w14:paraId="4F3669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1934</w:t>
            </w:r>
          </w:p>
        </w:tc>
        <w:tc>
          <w:tcPr>
            <w:tcW w:w="1305" w:type="dxa"/>
          </w:tcPr>
          <w:p w:rsidRPr="006F34CD" w:rsidR="00515FE0" w:rsidP="006F34CD" w:rsidRDefault="00515FE0" w14:paraId="757F1A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83532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F058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E816B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FE4E377" w14:textId="77777777">
        <w:trPr>
          <w:cantSplit/>
        </w:trPr>
        <w:tc>
          <w:tcPr>
            <w:tcW w:w="2249" w:type="dxa"/>
          </w:tcPr>
          <w:p w:rsidRPr="006F34CD" w:rsidR="00515FE0" w:rsidP="006F34CD" w:rsidRDefault="00515FE0" w14:paraId="2CC697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Alekseyevna LEVSHINA</w:t>
            </w:r>
          </w:p>
        </w:tc>
        <w:tc>
          <w:tcPr>
            <w:tcW w:w="836" w:type="dxa"/>
          </w:tcPr>
          <w:p w:rsidRPr="006F34CD" w:rsidR="00515FE0" w:rsidP="006F34CD" w:rsidRDefault="00515FE0" w14:paraId="59BCDC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3D71F3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796B6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EF15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E1BE9C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AB0CCEC" w14:textId="77777777">
        <w:trPr>
          <w:cantSplit/>
        </w:trPr>
        <w:tc>
          <w:tcPr>
            <w:tcW w:w="2249" w:type="dxa"/>
          </w:tcPr>
          <w:p w:rsidRPr="006F34CD" w:rsidR="00515FE0" w:rsidP="006F34CD" w:rsidRDefault="00515FE0" w14:paraId="0AF73A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Pavlovna LEVSHINA</w:t>
            </w:r>
          </w:p>
        </w:tc>
        <w:tc>
          <w:tcPr>
            <w:tcW w:w="836" w:type="dxa"/>
          </w:tcPr>
          <w:p w:rsidRPr="006F34CD" w:rsidR="00515FE0" w:rsidP="006F34CD" w:rsidRDefault="00515FE0" w14:paraId="498A2F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553E1D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AF0AAF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DCC5F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9A359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F917721" w14:textId="77777777">
        <w:trPr>
          <w:cantSplit/>
        </w:trPr>
        <w:tc>
          <w:tcPr>
            <w:tcW w:w="2249" w:type="dxa"/>
          </w:tcPr>
          <w:p w:rsidRPr="006F34CD" w:rsidR="00515FE0" w:rsidP="006F34CD" w:rsidRDefault="00515FE0" w14:paraId="2BB256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Valentinovna LIKHONOS</w:t>
            </w:r>
          </w:p>
        </w:tc>
        <w:tc>
          <w:tcPr>
            <w:tcW w:w="836" w:type="dxa"/>
          </w:tcPr>
          <w:p w:rsidRPr="006F34CD" w:rsidR="00515FE0" w:rsidP="006F34CD" w:rsidRDefault="00515FE0" w14:paraId="739EBB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2B92C2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83F5C7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CA292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39894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A658E71" w14:textId="77777777">
        <w:trPr>
          <w:cantSplit/>
        </w:trPr>
        <w:tc>
          <w:tcPr>
            <w:tcW w:w="2249" w:type="dxa"/>
          </w:tcPr>
          <w:p w:rsidRPr="006F34CD" w:rsidR="00515FE0" w:rsidP="006F34CD" w:rsidRDefault="00515FE0" w14:paraId="4A9414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Viktorovna LIKOVA</w:t>
            </w:r>
          </w:p>
        </w:tc>
        <w:tc>
          <w:tcPr>
            <w:tcW w:w="836" w:type="dxa"/>
          </w:tcPr>
          <w:p w:rsidRPr="006F34CD" w:rsidR="00515FE0" w:rsidP="006F34CD" w:rsidRDefault="00515FE0" w14:paraId="2DD66D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163A0D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C32C1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42ED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C9C7C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75E997C" w14:textId="77777777">
        <w:trPr>
          <w:cantSplit/>
        </w:trPr>
        <w:tc>
          <w:tcPr>
            <w:tcW w:w="2249" w:type="dxa"/>
          </w:tcPr>
          <w:p w:rsidRPr="006F34CD" w:rsidR="00515FE0" w:rsidP="006F34CD" w:rsidRDefault="00515FE0" w14:paraId="351665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Taisiya Porfiryevna LISENKO</w:t>
            </w:r>
          </w:p>
        </w:tc>
        <w:tc>
          <w:tcPr>
            <w:tcW w:w="836" w:type="dxa"/>
          </w:tcPr>
          <w:p w:rsidRPr="006F34CD" w:rsidR="00515FE0" w:rsidP="006F34CD" w:rsidRDefault="00515FE0" w14:paraId="373497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1934</w:t>
            </w:r>
          </w:p>
        </w:tc>
        <w:tc>
          <w:tcPr>
            <w:tcW w:w="1305" w:type="dxa"/>
          </w:tcPr>
          <w:p w:rsidRPr="006F34CD" w:rsidR="00515FE0" w:rsidP="006F34CD" w:rsidRDefault="00515FE0" w14:paraId="77AA20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B5871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0C2DD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54732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39FB1AB" w14:textId="77777777">
        <w:trPr>
          <w:cantSplit/>
        </w:trPr>
        <w:tc>
          <w:tcPr>
            <w:tcW w:w="2249" w:type="dxa"/>
          </w:tcPr>
          <w:p w:rsidRPr="006F34CD" w:rsidR="00515FE0" w:rsidP="006F34CD" w:rsidRDefault="00515FE0" w14:paraId="33330F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Yuliya Fyodorovna LIVINCEVA</w:t>
            </w:r>
          </w:p>
        </w:tc>
        <w:tc>
          <w:tcPr>
            <w:tcW w:w="836" w:type="dxa"/>
          </w:tcPr>
          <w:p w:rsidRPr="006F34CD" w:rsidR="00515FE0" w:rsidP="006F34CD" w:rsidRDefault="00515FE0" w14:paraId="48EC38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294D21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0F1BD6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0EE4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8724A7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DBAC7A2" w14:textId="77777777">
        <w:trPr>
          <w:cantSplit/>
        </w:trPr>
        <w:tc>
          <w:tcPr>
            <w:tcW w:w="2249" w:type="dxa"/>
          </w:tcPr>
          <w:p w:rsidRPr="006F34CD" w:rsidR="00515FE0" w:rsidP="006F34CD" w:rsidRDefault="00515FE0" w14:paraId="206F98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Vladimirovich LOBKOV</w:t>
            </w:r>
          </w:p>
        </w:tc>
        <w:tc>
          <w:tcPr>
            <w:tcW w:w="836" w:type="dxa"/>
          </w:tcPr>
          <w:p w:rsidRPr="006F34CD" w:rsidR="00515FE0" w:rsidP="006F34CD" w:rsidRDefault="00515FE0" w14:paraId="744BAC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162369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785F1F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A10A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529C0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850DB13" w14:textId="77777777">
        <w:trPr>
          <w:cantSplit/>
        </w:trPr>
        <w:tc>
          <w:tcPr>
            <w:tcW w:w="2249" w:type="dxa"/>
          </w:tcPr>
          <w:p w:rsidRPr="006F34CD" w:rsidR="00515FE0" w:rsidP="006F34CD" w:rsidRDefault="00515FE0" w14:paraId="618982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Ivanovna LOBKOVA</w:t>
            </w:r>
          </w:p>
        </w:tc>
        <w:tc>
          <w:tcPr>
            <w:tcW w:w="836" w:type="dxa"/>
          </w:tcPr>
          <w:p w:rsidRPr="006F34CD" w:rsidR="00515FE0" w:rsidP="006F34CD" w:rsidRDefault="00515FE0" w14:paraId="735390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67CEDF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64F9AF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F8B3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E1575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ACE89E9" w14:textId="77777777">
        <w:trPr>
          <w:cantSplit/>
        </w:trPr>
        <w:tc>
          <w:tcPr>
            <w:tcW w:w="2249" w:type="dxa"/>
          </w:tcPr>
          <w:p w:rsidRPr="006F34CD" w:rsidR="00515FE0" w:rsidP="006F34CD" w:rsidRDefault="00515FE0" w14:paraId="70F11E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Valeryanovich LOGVINOV</w:t>
            </w:r>
          </w:p>
        </w:tc>
        <w:tc>
          <w:tcPr>
            <w:tcW w:w="836" w:type="dxa"/>
          </w:tcPr>
          <w:p w:rsidRPr="006F34CD" w:rsidR="00515FE0" w:rsidP="006F34CD" w:rsidRDefault="00515FE0" w14:paraId="6D2724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11B934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92BD4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810A4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E75085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2BC2159" w14:textId="77777777">
        <w:trPr>
          <w:cantSplit/>
        </w:trPr>
        <w:tc>
          <w:tcPr>
            <w:tcW w:w="2249" w:type="dxa"/>
          </w:tcPr>
          <w:p w:rsidRPr="006F34CD" w:rsidR="00515FE0" w:rsidP="006F34CD" w:rsidRDefault="00515FE0" w14:paraId="108D9D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Marina Dmitrievna LOMEY</w:t>
            </w:r>
          </w:p>
        </w:tc>
        <w:tc>
          <w:tcPr>
            <w:tcW w:w="836" w:type="dxa"/>
          </w:tcPr>
          <w:p w:rsidRPr="006F34CD" w:rsidR="00515FE0" w:rsidP="006F34CD" w:rsidRDefault="00515FE0" w14:paraId="23DCC9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6826F2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91F8AD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1E89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085A94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8CBD212" w14:textId="77777777">
        <w:trPr>
          <w:cantSplit/>
        </w:trPr>
        <w:tc>
          <w:tcPr>
            <w:tcW w:w="2249" w:type="dxa"/>
          </w:tcPr>
          <w:p w:rsidRPr="006F34CD" w:rsidR="00515FE0" w:rsidP="006F34CD" w:rsidRDefault="00515FE0" w14:paraId="765826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Dmitriyevna LOMEY</w:t>
            </w:r>
          </w:p>
        </w:tc>
        <w:tc>
          <w:tcPr>
            <w:tcW w:w="836" w:type="dxa"/>
          </w:tcPr>
          <w:p w:rsidRPr="006F34CD" w:rsidR="00515FE0" w:rsidP="006F34CD" w:rsidRDefault="00515FE0" w14:paraId="2EC14E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48EF72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50D6A8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BD51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FEAAB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D03060" w14:textId="77777777">
        <w:trPr>
          <w:cantSplit/>
        </w:trPr>
        <w:tc>
          <w:tcPr>
            <w:tcW w:w="2249" w:type="dxa"/>
          </w:tcPr>
          <w:p w:rsidRPr="006F34CD" w:rsidR="00515FE0" w:rsidP="006F34CD" w:rsidRDefault="00515FE0" w14:paraId="7E46D6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Vladimirovna LOVYAGINA</w:t>
            </w:r>
          </w:p>
        </w:tc>
        <w:tc>
          <w:tcPr>
            <w:tcW w:w="836" w:type="dxa"/>
          </w:tcPr>
          <w:p w:rsidRPr="006F34CD" w:rsidR="00515FE0" w:rsidP="006F34CD" w:rsidRDefault="00515FE0" w14:paraId="7EAF38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230461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A1744D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B9883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DAC37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119A874" w14:textId="77777777">
        <w:trPr>
          <w:cantSplit/>
        </w:trPr>
        <w:tc>
          <w:tcPr>
            <w:tcW w:w="2249" w:type="dxa"/>
          </w:tcPr>
          <w:p w:rsidRPr="006F34CD" w:rsidR="00515FE0" w:rsidP="006F34CD" w:rsidRDefault="00515FE0" w14:paraId="27DC87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Vladimirovich LUKYANCHENKO</w:t>
            </w:r>
          </w:p>
        </w:tc>
        <w:tc>
          <w:tcPr>
            <w:tcW w:w="836" w:type="dxa"/>
          </w:tcPr>
          <w:p w:rsidRPr="006F34CD" w:rsidR="00515FE0" w:rsidP="006F34CD" w:rsidRDefault="00515FE0" w14:paraId="5237BB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3F109E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B9B4D6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F49D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6590B7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B2E3986" w14:textId="77777777">
        <w:trPr>
          <w:cantSplit/>
        </w:trPr>
        <w:tc>
          <w:tcPr>
            <w:tcW w:w="2249" w:type="dxa"/>
          </w:tcPr>
          <w:p w:rsidRPr="006F34CD" w:rsidR="00515FE0" w:rsidP="006F34CD" w:rsidRDefault="00515FE0" w14:paraId="206023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Valentinovna LUKYANCHENKOVA</w:t>
            </w:r>
          </w:p>
        </w:tc>
        <w:tc>
          <w:tcPr>
            <w:tcW w:w="836" w:type="dxa"/>
          </w:tcPr>
          <w:p w:rsidRPr="006F34CD" w:rsidR="00515FE0" w:rsidP="006F34CD" w:rsidRDefault="00515FE0" w14:paraId="234E7D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152632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7590B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3DB9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D095C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03ED137" w14:textId="77777777">
        <w:trPr>
          <w:cantSplit/>
        </w:trPr>
        <w:tc>
          <w:tcPr>
            <w:tcW w:w="2249" w:type="dxa"/>
          </w:tcPr>
          <w:p w:rsidRPr="006F34CD" w:rsidR="00515FE0" w:rsidP="006F34CD" w:rsidRDefault="00515FE0" w14:paraId="576184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Aleksandrovich LUTS</w:t>
            </w:r>
          </w:p>
        </w:tc>
        <w:tc>
          <w:tcPr>
            <w:tcW w:w="836" w:type="dxa"/>
          </w:tcPr>
          <w:p w:rsidRPr="006F34CD" w:rsidR="00515FE0" w:rsidP="006F34CD" w:rsidRDefault="00515FE0" w14:paraId="53362B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60395D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3D482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9E12B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D41614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F56AAF2" w14:textId="77777777">
        <w:trPr>
          <w:cantSplit/>
        </w:trPr>
        <w:tc>
          <w:tcPr>
            <w:tcW w:w="2249" w:type="dxa"/>
          </w:tcPr>
          <w:p w:rsidRPr="006F34CD" w:rsidR="00515FE0" w:rsidP="006F34CD" w:rsidRDefault="00515FE0" w14:paraId="14ED09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Stanislavovna LUTS</w:t>
            </w:r>
          </w:p>
        </w:tc>
        <w:tc>
          <w:tcPr>
            <w:tcW w:w="836" w:type="dxa"/>
          </w:tcPr>
          <w:p w:rsidRPr="006F34CD" w:rsidR="00515FE0" w:rsidP="006F34CD" w:rsidRDefault="00515FE0" w14:paraId="649C75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6151AC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555111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7D42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F6CE3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47F88EE" w14:textId="77777777">
        <w:trPr>
          <w:cantSplit/>
        </w:trPr>
        <w:tc>
          <w:tcPr>
            <w:tcW w:w="2249" w:type="dxa"/>
          </w:tcPr>
          <w:p w:rsidRPr="006F34CD" w:rsidR="00515FE0" w:rsidP="006F34CD" w:rsidRDefault="00515FE0" w14:paraId="1AE8F5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Kira Igoryevna LYAGOVICH</w:t>
            </w:r>
          </w:p>
        </w:tc>
        <w:tc>
          <w:tcPr>
            <w:tcW w:w="836" w:type="dxa"/>
          </w:tcPr>
          <w:p w:rsidRPr="006F34CD" w:rsidR="00515FE0" w:rsidP="006F34CD" w:rsidRDefault="00515FE0" w14:paraId="76213B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73E716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35A8D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EE72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DB3C4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C378416" w14:textId="77777777">
        <w:trPr>
          <w:cantSplit/>
        </w:trPr>
        <w:tc>
          <w:tcPr>
            <w:tcW w:w="2249" w:type="dxa"/>
          </w:tcPr>
          <w:p w:rsidRPr="006F34CD" w:rsidR="00515FE0" w:rsidP="006F34CD" w:rsidRDefault="00515FE0" w14:paraId="0BB4F8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Viktorovich LYAGOVICH</w:t>
            </w:r>
          </w:p>
        </w:tc>
        <w:tc>
          <w:tcPr>
            <w:tcW w:w="836" w:type="dxa"/>
          </w:tcPr>
          <w:p w:rsidRPr="006F34CD" w:rsidR="00515FE0" w:rsidP="006F34CD" w:rsidRDefault="00515FE0" w14:paraId="389D63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08F8DF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E9630F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E049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1704C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BA8B18D" w14:textId="77777777">
        <w:trPr>
          <w:cantSplit/>
        </w:trPr>
        <w:tc>
          <w:tcPr>
            <w:tcW w:w="2249" w:type="dxa"/>
          </w:tcPr>
          <w:p w:rsidRPr="006F34CD" w:rsidR="00515FE0" w:rsidP="006F34CD" w:rsidRDefault="00515FE0" w14:paraId="28D33F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Mikhaylovna LYAGOVICH</w:t>
            </w:r>
          </w:p>
        </w:tc>
        <w:tc>
          <w:tcPr>
            <w:tcW w:w="836" w:type="dxa"/>
          </w:tcPr>
          <w:p w:rsidRPr="006F34CD" w:rsidR="00515FE0" w:rsidP="006F34CD" w:rsidRDefault="00515FE0" w14:paraId="4B38B1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58F0E4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C888E8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D0E3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1B86F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560616A" w14:textId="77777777">
        <w:trPr>
          <w:cantSplit/>
        </w:trPr>
        <w:tc>
          <w:tcPr>
            <w:tcW w:w="2249" w:type="dxa"/>
          </w:tcPr>
          <w:p w:rsidRPr="006F34CD" w:rsidR="00515FE0" w:rsidP="006F34CD" w:rsidRDefault="00515FE0" w14:paraId="51B04B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Raisa Petrovna LYAGOVICH</w:t>
            </w:r>
          </w:p>
        </w:tc>
        <w:tc>
          <w:tcPr>
            <w:tcW w:w="836" w:type="dxa"/>
          </w:tcPr>
          <w:p w:rsidRPr="006F34CD" w:rsidR="00515FE0" w:rsidP="006F34CD" w:rsidRDefault="00515FE0" w14:paraId="734D99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0307F8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3D18D5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2726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E00F2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672989B" w14:textId="77777777">
        <w:trPr>
          <w:cantSplit/>
        </w:trPr>
        <w:tc>
          <w:tcPr>
            <w:tcW w:w="2249" w:type="dxa"/>
          </w:tcPr>
          <w:p w:rsidRPr="006F34CD" w:rsidR="00515FE0" w:rsidP="006F34CD" w:rsidRDefault="00515FE0" w14:paraId="4D85ED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Vladimirovna MAKAROVA</w:t>
            </w:r>
          </w:p>
        </w:tc>
        <w:tc>
          <w:tcPr>
            <w:tcW w:w="836" w:type="dxa"/>
          </w:tcPr>
          <w:p w:rsidRPr="006F34CD" w:rsidR="00515FE0" w:rsidP="006F34CD" w:rsidRDefault="00515FE0" w14:paraId="25E432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3E6732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810411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29DB6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77C4BB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35C229D" w14:textId="77777777">
        <w:trPr>
          <w:cantSplit/>
        </w:trPr>
        <w:tc>
          <w:tcPr>
            <w:tcW w:w="2249" w:type="dxa"/>
          </w:tcPr>
          <w:p w:rsidRPr="006F34CD" w:rsidR="00515FE0" w:rsidP="006F34CD" w:rsidRDefault="00515FE0" w14:paraId="655551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Assol Genrikhovna MAKHANKO</w:t>
            </w:r>
          </w:p>
        </w:tc>
        <w:tc>
          <w:tcPr>
            <w:tcW w:w="836" w:type="dxa"/>
          </w:tcPr>
          <w:p w:rsidRPr="006F34CD" w:rsidR="00515FE0" w:rsidP="006F34CD" w:rsidRDefault="00515FE0" w14:paraId="151D76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2659EF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339065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B4D02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CA364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874D741" w14:textId="77777777">
        <w:trPr>
          <w:cantSplit/>
        </w:trPr>
        <w:tc>
          <w:tcPr>
            <w:tcW w:w="2249" w:type="dxa"/>
          </w:tcPr>
          <w:p w:rsidRPr="006F34CD" w:rsidR="00515FE0" w:rsidP="006F34CD" w:rsidRDefault="00515FE0" w14:paraId="60A8C2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Alekseyevich MAKHANKO</w:t>
            </w:r>
          </w:p>
        </w:tc>
        <w:tc>
          <w:tcPr>
            <w:tcW w:w="836" w:type="dxa"/>
          </w:tcPr>
          <w:p w:rsidRPr="006F34CD" w:rsidR="00515FE0" w:rsidP="006F34CD" w:rsidRDefault="00515FE0" w14:paraId="452FA8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505B30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54E95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2D771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E3313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8EC8482" w14:textId="77777777">
        <w:trPr>
          <w:cantSplit/>
        </w:trPr>
        <w:tc>
          <w:tcPr>
            <w:tcW w:w="2249" w:type="dxa"/>
          </w:tcPr>
          <w:p w:rsidRPr="006F34CD" w:rsidR="00515FE0" w:rsidP="006F34CD" w:rsidRDefault="00515FE0" w14:paraId="6572D4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Alekseyevna MAKHOVIKOVA</w:t>
            </w:r>
          </w:p>
        </w:tc>
        <w:tc>
          <w:tcPr>
            <w:tcW w:w="836" w:type="dxa"/>
          </w:tcPr>
          <w:p w:rsidRPr="006F34CD" w:rsidR="00515FE0" w:rsidP="006F34CD" w:rsidRDefault="00515FE0" w14:paraId="014543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593ADA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1E2A35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EA022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05005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FD52830" w14:textId="77777777">
        <w:trPr>
          <w:cantSplit/>
        </w:trPr>
        <w:tc>
          <w:tcPr>
            <w:tcW w:w="2249" w:type="dxa"/>
          </w:tcPr>
          <w:p w:rsidRPr="006F34CD" w:rsidR="00515FE0" w:rsidP="006F34CD" w:rsidRDefault="00515FE0" w14:paraId="14A430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Eduard Vladimirovich MAKSIMENKO</w:t>
            </w:r>
          </w:p>
        </w:tc>
        <w:tc>
          <w:tcPr>
            <w:tcW w:w="836" w:type="dxa"/>
          </w:tcPr>
          <w:p w:rsidRPr="006F34CD" w:rsidR="00515FE0" w:rsidP="006F34CD" w:rsidRDefault="00515FE0" w14:paraId="79DC6D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18678E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7CF3DF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8915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9FE67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661A969" w14:textId="77777777">
        <w:trPr>
          <w:cantSplit/>
        </w:trPr>
        <w:tc>
          <w:tcPr>
            <w:tcW w:w="2249" w:type="dxa"/>
          </w:tcPr>
          <w:p w:rsidRPr="006F34CD" w:rsidR="00515FE0" w:rsidP="006F34CD" w:rsidRDefault="00515FE0" w14:paraId="7F7383F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Leonidovna MAKSIMENKO</w:t>
            </w:r>
          </w:p>
        </w:tc>
        <w:tc>
          <w:tcPr>
            <w:tcW w:w="836" w:type="dxa"/>
          </w:tcPr>
          <w:p w:rsidRPr="006F34CD" w:rsidR="00515FE0" w:rsidP="006F34CD" w:rsidRDefault="00515FE0" w14:paraId="0D9B76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202B39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5396A5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6B2512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1E0C1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5831CB8" w14:textId="77777777">
        <w:trPr>
          <w:cantSplit/>
        </w:trPr>
        <w:tc>
          <w:tcPr>
            <w:tcW w:w="2249" w:type="dxa"/>
          </w:tcPr>
          <w:p w:rsidRPr="006F34CD" w:rsidR="00515FE0" w:rsidP="006F34CD" w:rsidRDefault="00515FE0" w14:paraId="3BACE4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Viktorovna MAKSIMENKO</w:t>
            </w:r>
          </w:p>
        </w:tc>
        <w:tc>
          <w:tcPr>
            <w:tcW w:w="836" w:type="dxa"/>
          </w:tcPr>
          <w:p w:rsidRPr="006F34CD" w:rsidR="00515FE0" w:rsidP="006F34CD" w:rsidRDefault="00515FE0" w14:paraId="72CFAD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2444CF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ECDF64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E6EBD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975C1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9D5308A" w14:textId="77777777">
        <w:trPr>
          <w:cantSplit/>
        </w:trPr>
        <w:tc>
          <w:tcPr>
            <w:tcW w:w="2249" w:type="dxa"/>
          </w:tcPr>
          <w:p w:rsidRPr="006F34CD" w:rsidR="00515FE0" w:rsidP="006F34CD" w:rsidRDefault="00515FE0" w14:paraId="41F1BD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Aleksandrovna MAKSIMENKO</w:t>
            </w:r>
          </w:p>
        </w:tc>
        <w:tc>
          <w:tcPr>
            <w:tcW w:w="836" w:type="dxa"/>
          </w:tcPr>
          <w:p w:rsidRPr="006F34CD" w:rsidR="00515FE0" w:rsidP="006F34CD" w:rsidRDefault="00515FE0" w14:paraId="720743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1BB2D7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6F41D1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0C47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80EC6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ECA5D65" w14:textId="77777777">
        <w:trPr>
          <w:cantSplit/>
        </w:trPr>
        <w:tc>
          <w:tcPr>
            <w:tcW w:w="2249" w:type="dxa"/>
          </w:tcPr>
          <w:p w:rsidRPr="006F34CD" w:rsidR="00515FE0" w:rsidP="006F34CD" w:rsidRDefault="00515FE0" w14:paraId="02B424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Fyodorovna MALEVA</w:t>
            </w:r>
          </w:p>
        </w:tc>
        <w:tc>
          <w:tcPr>
            <w:tcW w:w="836" w:type="dxa"/>
          </w:tcPr>
          <w:p w:rsidRPr="006F34CD" w:rsidR="00515FE0" w:rsidP="006F34CD" w:rsidRDefault="00515FE0" w14:paraId="53F98F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280722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4C9160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5E7D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11006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E375E2B" w14:textId="77777777">
        <w:trPr>
          <w:cantSplit/>
        </w:trPr>
        <w:tc>
          <w:tcPr>
            <w:tcW w:w="2249" w:type="dxa"/>
          </w:tcPr>
          <w:p w:rsidRPr="006F34CD" w:rsidR="00515FE0" w:rsidP="006F34CD" w:rsidRDefault="00515FE0" w14:paraId="546DAC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Fillipovna MALOFEEVA</w:t>
            </w:r>
          </w:p>
        </w:tc>
        <w:tc>
          <w:tcPr>
            <w:tcW w:w="836" w:type="dxa"/>
          </w:tcPr>
          <w:p w:rsidRPr="006F34CD" w:rsidR="00515FE0" w:rsidP="006F34CD" w:rsidRDefault="00515FE0" w14:paraId="0E714F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2C13D3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Aleksandrova Kosa</w:t>
            </w:r>
          </w:p>
        </w:tc>
        <w:tc>
          <w:tcPr>
            <w:tcW w:w="1134" w:type="dxa"/>
          </w:tcPr>
          <w:p w:rsidRPr="006F34CD" w:rsidR="00515FE0" w:rsidP="006F34CD" w:rsidRDefault="00515FE0" w14:paraId="0FAE228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66F18A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F111A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5751D5" w14:textId="77777777">
        <w:trPr>
          <w:cantSplit/>
        </w:trPr>
        <w:tc>
          <w:tcPr>
            <w:tcW w:w="2249" w:type="dxa"/>
          </w:tcPr>
          <w:p w:rsidRPr="006F34CD" w:rsidR="00515FE0" w:rsidP="006F34CD" w:rsidRDefault="00515FE0" w14:paraId="4D245C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Vera Stefanovna MARCHENKO</w:t>
            </w:r>
          </w:p>
        </w:tc>
        <w:tc>
          <w:tcPr>
            <w:tcW w:w="836" w:type="dxa"/>
          </w:tcPr>
          <w:p w:rsidRPr="006F34CD" w:rsidR="00515FE0" w:rsidP="006F34CD" w:rsidRDefault="00515FE0" w14:paraId="070271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03C8C2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7EA8A8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D189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092FF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A33CB2C" w14:textId="77777777">
        <w:trPr>
          <w:cantSplit/>
        </w:trPr>
        <w:tc>
          <w:tcPr>
            <w:tcW w:w="2249" w:type="dxa"/>
          </w:tcPr>
          <w:p w:rsidRPr="006F34CD" w:rsidR="00515FE0" w:rsidP="006F34CD" w:rsidRDefault="00515FE0" w14:paraId="0AEB1D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Albertovna MARTINOVA</w:t>
            </w:r>
          </w:p>
        </w:tc>
        <w:tc>
          <w:tcPr>
            <w:tcW w:w="836" w:type="dxa"/>
          </w:tcPr>
          <w:p w:rsidRPr="006F34CD" w:rsidR="00515FE0" w:rsidP="006F34CD" w:rsidRDefault="00515FE0" w14:paraId="78D62F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4BE2FB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DCEACC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C754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5F885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CA579AA" w14:textId="77777777">
        <w:trPr>
          <w:cantSplit/>
        </w:trPr>
        <w:tc>
          <w:tcPr>
            <w:tcW w:w="2249" w:type="dxa"/>
          </w:tcPr>
          <w:p w:rsidRPr="006F34CD" w:rsidR="00515FE0" w:rsidP="006F34CD" w:rsidRDefault="00515FE0" w14:paraId="00061B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Siranush Vladimirovna MARTIROSYAN</w:t>
            </w:r>
          </w:p>
        </w:tc>
        <w:tc>
          <w:tcPr>
            <w:tcW w:w="836" w:type="dxa"/>
          </w:tcPr>
          <w:p w:rsidRPr="006F34CD" w:rsidR="00515FE0" w:rsidP="006F34CD" w:rsidRDefault="00515FE0" w14:paraId="056144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7F9904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C49BC3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C5B2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259733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D1F6AF7" w14:textId="77777777">
        <w:trPr>
          <w:cantSplit/>
        </w:trPr>
        <w:tc>
          <w:tcPr>
            <w:tcW w:w="2249" w:type="dxa"/>
          </w:tcPr>
          <w:p w:rsidRPr="006F34CD" w:rsidR="00515FE0" w:rsidP="006F34CD" w:rsidRDefault="00515FE0" w14:paraId="23395E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Lianna Aslanovna MARTIROSYAN</w:t>
            </w:r>
          </w:p>
        </w:tc>
        <w:tc>
          <w:tcPr>
            <w:tcW w:w="836" w:type="dxa"/>
          </w:tcPr>
          <w:p w:rsidRPr="006F34CD" w:rsidR="00515FE0" w:rsidP="006F34CD" w:rsidRDefault="00515FE0" w14:paraId="6AF001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146EFD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108B41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F1C94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7C434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863F996" w14:textId="77777777">
        <w:trPr>
          <w:cantSplit/>
        </w:trPr>
        <w:tc>
          <w:tcPr>
            <w:tcW w:w="2249" w:type="dxa"/>
          </w:tcPr>
          <w:p w:rsidRPr="006F34CD" w:rsidR="00515FE0" w:rsidP="006F34CD" w:rsidRDefault="00515FE0" w14:paraId="69577C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Vladimirovna MARTIROSYAN</w:t>
            </w:r>
          </w:p>
        </w:tc>
        <w:tc>
          <w:tcPr>
            <w:tcW w:w="836" w:type="dxa"/>
          </w:tcPr>
          <w:p w:rsidRPr="006F34CD" w:rsidR="00515FE0" w:rsidP="006F34CD" w:rsidRDefault="00515FE0" w14:paraId="5C5863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45EA47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7D8085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C455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80E51C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8869D8C" w14:textId="77777777">
        <w:trPr>
          <w:cantSplit/>
        </w:trPr>
        <w:tc>
          <w:tcPr>
            <w:tcW w:w="2249" w:type="dxa"/>
          </w:tcPr>
          <w:p w:rsidRPr="006F34CD" w:rsidR="00515FE0" w:rsidP="006F34CD" w:rsidRDefault="00515FE0" w14:paraId="2E6AD5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Genri Ðšhachaturovich MARTIROSYAN</w:t>
            </w:r>
          </w:p>
        </w:tc>
        <w:tc>
          <w:tcPr>
            <w:tcW w:w="836" w:type="dxa"/>
          </w:tcPr>
          <w:p w:rsidRPr="006F34CD" w:rsidR="00515FE0" w:rsidP="006F34CD" w:rsidRDefault="00515FE0" w14:paraId="538C3E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464D43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D2DBD0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B87A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62FF2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FE18F5" w14:textId="77777777">
        <w:trPr>
          <w:cantSplit/>
        </w:trPr>
        <w:tc>
          <w:tcPr>
            <w:tcW w:w="2249" w:type="dxa"/>
          </w:tcPr>
          <w:p w:rsidRPr="006F34CD" w:rsidR="00515FE0" w:rsidP="006F34CD" w:rsidRDefault="00515FE0" w14:paraId="5F56F9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Melanya Levonovna MARTIROSYAN</w:t>
            </w:r>
          </w:p>
        </w:tc>
        <w:tc>
          <w:tcPr>
            <w:tcW w:w="836" w:type="dxa"/>
          </w:tcPr>
          <w:p w:rsidRPr="006F34CD" w:rsidR="00515FE0" w:rsidP="006F34CD" w:rsidRDefault="00515FE0" w14:paraId="26BF9C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1FF4B6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9FE848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2F7C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CD92F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C86176F" w14:textId="77777777">
        <w:trPr>
          <w:cantSplit/>
        </w:trPr>
        <w:tc>
          <w:tcPr>
            <w:tcW w:w="2249" w:type="dxa"/>
          </w:tcPr>
          <w:p w:rsidRPr="006F34CD" w:rsidR="00515FE0" w:rsidP="006F34CD" w:rsidRDefault="00515FE0" w14:paraId="091042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Anatolyevna MASHTALYAR</w:t>
            </w:r>
          </w:p>
        </w:tc>
        <w:tc>
          <w:tcPr>
            <w:tcW w:w="836" w:type="dxa"/>
          </w:tcPr>
          <w:p w:rsidRPr="006F34CD" w:rsidR="00515FE0" w:rsidP="006F34CD" w:rsidRDefault="00515FE0" w14:paraId="4FC4A3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45CBFC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D9B35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62F7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DCA7F6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6DB4DAE" w14:textId="77777777">
        <w:trPr>
          <w:cantSplit/>
        </w:trPr>
        <w:tc>
          <w:tcPr>
            <w:tcW w:w="2249" w:type="dxa"/>
          </w:tcPr>
          <w:p w:rsidRPr="006F34CD" w:rsidR="00515FE0" w:rsidP="006F34CD" w:rsidRDefault="00515FE0" w14:paraId="3F3E04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Timofeyevna MASLOVA</w:t>
            </w:r>
          </w:p>
        </w:tc>
        <w:tc>
          <w:tcPr>
            <w:tcW w:w="836" w:type="dxa"/>
          </w:tcPr>
          <w:p w:rsidRPr="006F34CD" w:rsidR="00515FE0" w:rsidP="006F34CD" w:rsidRDefault="00515FE0" w14:paraId="492E0A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065A03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635BCA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936C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0B33A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EDE91AD" w14:textId="77777777">
        <w:trPr>
          <w:cantSplit/>
        </w:trPr>
        <w:tc>
          <w:tcPr>
            <w:tcW w:w="2249" w:type="dxa"/>
          </w:tcPr>
          <w:p w:rsidRPr="006F34CD" w:rsidR="00515FE0" w:rsidP="006F34CD" w:rsidRDefault="00515FE0" w14:paraId="063FE7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Mikhailovna MATVIENKO</w:t>
            </w:r>
          </w:p>
        </w:tc>
        <w:tc>
          <w:tcPr>
            <w:tcW w:w="836" w:type="dxa"/>
          </w:tcPr>
          <w:p w:rsidRPr="006F34CD" w:rsidR="00515FE0" w:rsidP="006F34CD" w:rsidRDefault="00515FE0" w14:paraId="5C9190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576490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80A44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FA21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2E323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D620C5" w14:textId="77777777">
        <w:trPr>
          <w:cantSplit/>
        </w:trPr>
        <w:tc>
          <w:tcPr>
            <w:tcW w:w="2249" w:type="dxa"/>
          </w:tcPr>
          <w:p w:rsidRPr="006F34CD" w:rsidR="00515FE0" w:rsidP="006F34CD" w:rsidRDefault="00515FE0" w14:paraId="4B8784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Vasilyevich MATVIENKO</w:t>
            </w:r>
          </w:p>
        </w:tc>
        <w:tc>
          <w:tcPr>
            <w:tcW w:w="836" w:type="dxa"/>
          </w:tcPr>
          <w:p w:rsidRPr="006F34CD" w:rsidR="00515FE0" w:rsidP="006F34CD" w:rsidRDefault="00515FE0" w14:paraId="28EEFB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1980</w:t>
            </w:r>
          </w:p>
        </w:tc>
        <w:tc>
          <w:tcPr>
            <w:tcW w:w="1305" w:type="dxa"/>
          </w:tcPr>
          <w:p w:rsidRPr="006F34CD" w:rsidR="00515FE0" w:rsidP="006F34CD" w:rsidRDefault="00515FE0" w14:paraId="733D8F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BBDDB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912CB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56E76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7CD1D8D" w14:textId="77777777">
        <w:trPr>
          <w:cantSplit/>
        </w:trPr>
        <w:tc>
          <w:tcPr>
            <w:tcW w:w="2249" w:type="dxa"/>
          </w:tcPr>
          <w:p w:rsidRPr="006F34CD" w:rsidR="00515FE0" w:rsidP="006F34CD" w:rsidRDefault="00515FE0" w14:paraId="46B3EC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Yuryevna MAYEVSKAYA</w:t>
            </w:r>
          </w:p>
        </w:tc>
        <w:tc>
          <w:tcPr>
            <w:tcW w:w="836" w:type="dxa"/>
          </w:tcPr>
          <w:p w:rsidRPr="006F34CD" w:rsidR="00515FE0" w:rsidP="006F34CD" w:rsidRDefault="00515FE0" w14:paraId="7F940A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6D5FB2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B5116B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0E09E4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424EE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5116335" w14:textId="77777777">
        <w:trPr>
          <w:cantSplit/>
        </w:trPr>
        <w:tc>
          <w:tcPr>
            <w:tcW w:w="2249" w:type="dxa"/>
          </w:tcPr>
          <w:p w:rsidRPr="006F34CD" w:rsidR="00515FE0" w:rsidP="006F34CD" w:rsidRDefault="00515FE0" w14:paraId="32F35F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Ivanovna MAYOROVA</w:t>
            </w:r>
          </w:p>
        </w:tc>
        <w:tc>
          <w:tcPr>
            <w:tcW w:w="836" w:type="dxa"/>
          </w:tcPr>
          <w:p w:rsidRPr="006F34CD" w:rsidR="00515FE0" w:rsidP="006F34CD" w:rsidRDefault="00515FE0" w14:paraId="3DB1C9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689D44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Botsmanovo</w:t>
            </w:r>
          </w:p>
        </w:tc>
        <w:tc>
          <w:tcPr>
            <w:tcW w:w="1134" w:type="dxa"/>
          </w:tcPr>
          <w:p w:rsidRPr="006F34CD" w:rsidR="00515FE0" w:rsidP="006F34CD" w:rsidRDefault="00515FE0" w14:paraId="744FFDF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CF38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7B8BC0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CABD911" w14:textId="77777777">
        <w:trPr>
          <w:cantSplit/>
        </w:trPr>
        <w:tc>
          <w:tcPr>
            <w:tcW w:w="2249" w:type="dxa"/>
          </w:tcPr>
          <w:p w:rsidRPr="006F34CD" w:rsidR="00515FE0" w:rsidP="006F34CD" w:rsidRDefault="00515FE0" w14:paraId="2717B0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lvanovich MEDVEDEV</w:t>
            </w:r>
          </w:p>
        </w:tc>
        <w:tc>
          <w:tcPr>
            <w:tcW w:w="836" w:type="dxa"/>
          </w:tcPr>
          <w:p w:rsidRPr="006F34CD" w:rsidR="00515FE0" w:rsidP="006F34CD" w:rsidRDefault="00515FE0" w14:paraId="52E8C2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466C86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C7EB76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4FED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95428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1AFDE89" w14:textId="77777777">
        <w:trPr>
          <w:cantSplit/>
        </w:trPr>
        <w:tc>
          <w:tcPr>
            <w:tcW w:w="2249" w:type="dxa"/>
          </w:tcPr>
          <w:p w:rsidRPr="006F34CD" w:rsidR="00515FE0" w:rsidP="006F34CD" w:rsidRDefault="00515FE0" w14:paraId="57B325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Rayisa Porfirovna MEDVEDEVA</w:t>
            </w:r>
          </w:p>
        </w:tc>
        <w:tc>
          <w:tcPr>
            <w:tcW w:w="836" w:type="dxa"/>
          </w:tcPr>
          <w:p w:rsidRPr="006F34CD" w:rsidR="00515FE0" w:rsidP="006F34CD" w:rsidRDefault="00515FE0" w14:paraId="0EA47F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57CB0E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40907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7071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9B4370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2973D72" w14:textId="77777777">
        <w:trPr>
          <w:cantSplit/>
        </w:trPr>
        <w:tc>
          <w:tcPr>
            <w:tcW w:w="2249" w:type="dxa"/>
          </w:tcPr>
          <w:p w:rsidRPr="006F34CD" w:rsidR="00515FE0" w:rsidP="006F34CD" w:rsidRDefault="00515FE0" w14:paraId="62F903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Melanush Melkonovna MELKONYAN</w:t>
            </w:r>
          </w:p>
        </w:tc>
        <w:tc>
          <w:tcPr>
            <w:tcW w:w="836" w:type="dxa"/>
          </w:tcPr>
          <w:p w:rsidRPr="006F34CD" w:rsidR="00515FE0" w:rsidP="006F34CD" w:rsidRDefault="00515FE0" w14:paraId="05FC24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35234A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5F9C5B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21A6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7F524F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AD3F166" w14:textId="77777777">
        <w:trPr>
          <w:cantSplit/>
        </w:trPr>
        <w:tc>
          <w:tcPr>
            <w:tcW w:w="2249" w:type="dxa"/>
          </w:tcPr>
          <w:p w:rsidRPr="006F34CD" w:rsidR="00515FE0" w:rsidP="006F34CD" w:rsidRDefault="00515FE0" w14:paraId="4F1CF6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Klavdiya Mikhaylovna MELNICHENKO</w:t>
            </w:r>
          </w:p>
        </w:tc>
        <w:tc>
          <w:tcPr>
            <w:tcW w:w="836" w:type="dxa"/>
          </w:tcPr>
          <w:p w:rsidRPr="006F34CD" w:rsidR="00515FE0" w:rsidP="006F34CD" w:rsidRDefault="00515FE0" w14:paraId="253081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1931</w:t>
            </w:r>
          </w:p>
        </w:tc>
        <w:tc>
          <w:tcPr>
            <w:tcW w:w="1305" w:type="dxa"/>
          </w:tcPr>
          <w:p w:rsidRPr="006F34CD" w:rsidR="00515FE0" w:rsidP="006F34CD" w:rsidRDefault="00515FE0" w14:paraId="50DA45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0B822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FE5D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3540F1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9F6B45B" w14:textId="77777777">
        <w:trPr>
          <w:cantSplit/>
        </w:trPr>
        <w:tc>
          <w:tcPr>
            <w:tcW w:w="2249" w:type="dxa"/>
          </w:tcPr>
          <w:p w:rsidRPr="006F34CD" w:rsidR="00515FE0" w:rsidP="006F34CD" w:rsidRDefault="00515FE0" w14:paraId="7FE09C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lvanovna MENYAYLOVA</w:t>
            </w:r>
          </w:p>
        </w:tc>
        <w:tc>
          <w:tcPr>
            <w:tcW w:w="836" w:type="dxa"/>
          </w:tcPr>
          <w:p w:rsidRPr="006F34CD" w:rsidR="00515FE0" w:rsidP="006F34CD" w:rsidRDefault="00515FE0" w14:paraId="66D4B7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099EEF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1570D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B233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66E8B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E55F903" w14:textId="77777777">
        <w:trPr>
          <w:cantSplit/>
        </w:trPr>
        <w:tc>
          <w:tcPr>
            <w:tcW w:w="2249" w:type="dxa"/>
          </w:tcPr>
          <w:p w:rsidRPr="006F34CD" w:rsidR="00515FE0" w:rsidP="006F34CD" w:rsidRDefault="00515FE0" w14:paraId="7871E2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Evgenyevna MIKHAYLICHENKO</w:t>
            </w:r>
          </w:p>
        </w:tc>
        <w:tc>
          <w:tcPr>
            <w:tcW w:w="836" w:type="dxa"/>
          </w:tcPr>
          <w:p w:rsidRPr="006F34CD" w:rsidR="00515FE0" w:rsidP="006F34CD" w:rsidRDefault="00515FE0" w14:paraId="440446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731BCB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C5923D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BFDA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52959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E3B2762" w14:textId="77777777">
        <w:trPr>
          <w:cantSplit/>
        </w:trPr>
        <w:tc>
          <w:tcPr>
            <w:tcW w:w="2249" w:type="dxa"/>
          </w:tcPr>
          <w:p w:rsidRPr="006F34CD" w:rsidR="00515FE0" w:rsidP="006F34CD" w:rsidRDefault="00515FE0" w14:paraId="033EB2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Anatolyevna MIKHAYLINA</w:t>
            </w:r>
          </w:p>
        </w:tc>
        <w:tc>
          <w:tcPr>
            <w:tcW w:w="836" w:type="dxa"/>
          </w:tcPr>
          <w:p w:rsidRPr="006F34CD" w:rsidR="00515FE0" w:rsidP="006F34CD" w:rsidRDefault="00515FE0" w14:paraId="175B13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1C038E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F8F731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3F146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7FE34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4E3B6B7" w14:textId="77777777">
        <w:trPr>
          <w:cantSplit/>
        </w:trPr>
        <w:tc>
          <w:tcPr>
            <w:tcW w:w="2249" w:type="dxa"/>
          </w:tcPr>
          <w:p w:rsidRPr="006F34CD" w:rsidR="00515FE0" w:rsidP="006F34CD" w:rsidRDefault="00515FE0" w14:paraId="7E62AE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Aleksandrovich MILOKHIN</w:t>
            </w:r>
          </w:p>
        </w:tc>
        <w:tc>
          <w:tcPr>
            <w:tcW w:w="836" w:type="dxa"/>
          </w:tcPr>
          <w:p w:rsidRPr="006F34CD" w:rsidR="00515FE0" w:rsidP="006F34CD" w:rsidRDefault="00515FE0" w14:paraId="2AD98E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7739A0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8DD6A7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4A67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E6A73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FE5A8EC" w14:textId="77777777">
        <w:trPr>
          <w:cantSplit/>
        </w:trPr>
        <w:tc>
          <w:tcPr>
            <w:tcW w:w="2249" w:type="dxa"/>
          </w:tcPr>
          <w:p w:rsidRPr="006F34CD" w:rsidR="00515FE0" w:rsidP="006F34CD" w:rsidRDefault="00515FE0" w14:paraId="3EE57D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Sofya Vladimirovna MILOKHINA</w:t>
            </w:r>
          </w:p>
        </w:tc>
        <w:tc>
          <w:tcPr>
            <w:tcW w:w="836" w:type="dxa"/>
          </w:tcPr>
          <w:p w:rsidRPr="006F34CD" w:rsidR="00515FE0" w:rsidP="006F34CD" w:rsidRDefault="00515FE0" w14:paraId="0517C3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7BB37E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FF8C6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D63D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6F2E9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B4AABF5" w14:textId="77777777">
        <w:trPr>
          <w:cantSplit/>
        </w:trPr>
        <w:tc>
          <w:tcPr>
            <w:tcW w:w="2249" w:type="dxa"/>
          </w:tcPr>
          <w:p w:rsidRPr="006F34CD" w:rsidR="00515FE0" w:rsidP="006F34CD" w:rsidRDefault="00515FE0" w14:paraId="488E1F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Petrovna MINAEVA</w:t>
            </w:r>
          </w:p>
        </w:tc>
        <w:tc>
          <w:tcPr>
            <w:tcW w:w="836" w:type="dxa"/>
          </w:tcPr>
          <w:p w:rsidRPr="006F34CD" w:rsidR="00515FE0" w:rsidP="006F34CD" w:rsidRDefault="00515FE0" w14:paraId="0F6413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0D3B32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3172B4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E4CE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6E1B0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28BAEC7" w14:textId="77777777">
        <w:trPr>
          <w:cantSplit/>
        </w:trPr>
        <w:tc>
          <w:tcPr>
            <w:tcW w:w="2249" w:type="dxa"/>
          </w:tcPr>
          <w:p w:rsidRPr="006F34CD" w:rsidR="00515FE0" w:rsidP="006F34CD" w:rsidRDefault="00515FE0" w14:paraId="6AB3AD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Sergeyevna MINAEVA</w:t>
            </w:r>
          </w:p>
        </w:tc>
        <w:tc>
          <w:tcPr>
            <w:tcW w:w="836" w:type="dxa"/>
          </w:tcPr>
          <w:p w:rsidRPr="006F34CD" w:rsidR="00515FE0" w:rsidP="006F34CD" w:rsidRDefault="00515FE0" w14:paraId="0A0647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2DFD31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55D23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287C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946F75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A16784D" w14:textId="77777777">
        <w:trPr>
          <w:cantSplit/>
        </w:trPr>
        <w:tc>
          <w:tcPr>
            <w:tcW w:w="2249" w:type="dxa"/>
          </w:tcPr>
          <w:p w:rsidRPr="006F34CD" w:rsidR="00515FE0" w:rsidP="006F34CD" w:rsidRDefault="00515FE0" w14:paraId="03BCF0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Alla Gevorkovna MINASYAN</w:t>
            </w:r>
          </w:p>
        </w:tc>
        <w:tc>
          <w:tcPr>
            <w:tcW w:w="836" w:type="dxa"/>
          </w:tcPr>
          <w:p w:rsidRPr="006F34CD" w:rsidR="00515FE0" w:rsidP="006F34CD" w:rsidRDefault="00515FE0" w14:paraId="02724A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75A2B0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D47EE3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8A6D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88A3B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F11BEAA" w14:textId="77777777">
        <w:trPr>
          <w:cantSplit/>
        </w:trPr>
        <w:tc>
          <w:tcPr>
            <w:tcW w:w="2249" w:type="dxa"/>
          </w:tcPr>
          <w:p w:rsidRPr="006F34CD" w:rsidR="00515FE0" w:rsidP="006F34CD" w:rsidRDefault="00515FE0" w14:paraId="1B11E2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Yuryevich MIRONOV</w:t>
            </w:r>
          </w:p>
        </w:tc>
        <w:tc>
          <w:tcPr>
            <w:tcW w:w="836" w:type="dxa"/>
          </w:tcPr>
          <w:p w:rsidRPr="006F34CD" w:rsidR="00515FE0" w:rsidP="006F34CD" w:rsidRDefault="00515FE0" w14:paraId="181F18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7BFA5C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EBE815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73DB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0B7324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5DCEF25" w14:textId="77777777">
        <w:trPr>
          <w:cantSplit/>
        </w:trPr>
        <w:tc>
          <w:tcPr>
            <w:tcW w:w="2249" w:type="dxa"/>
          </w:tcPr>
          <w:p w:rsidRPr="006F34CD" w:rsidR="00515FE0" w:rsidP="006F34CD" w:rsidRDefault="00515FE0" w14:paraId="16CC61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Fyodorovna MIROSHNICHENKO</w:t>
            </w:r>
          </w:p>
        </w:tc>
        <w:tc>
          <w:tcPr>
            <w:tcW w:w="836" w:type="dxa"/>
          </w:tcPr>
          <w:p w:rsidRPr="006F34CD" w:rsidR="00515FE0" w:rsidP="006F34CD" w:rsidRDefault="00515FE0" w14:paraId="39D526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1943</w:t>
            </w:r>
          </w:p>
        </w:tc>
        <w:tc>
          <w:tcPr>
            <w:tcW w:w="1305" w:type="dxa"/>
          </w:tcPr>
          <w:p w:rsidRPr="006F34CD" w:rsidR="00515FE0" w:rsidP="006F34CD" w:rsidRDefault="00515FE0" w14:paraId="412184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3DE91DE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2C05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AEDF50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93B5BFC" w14:textId="77777777">
        <w:trPr>
          <w:cantSplit/>
        </w:trPr>
        <w:tc>
          <w:tcPr>
            <w:tcW w:w="2249" w:type="dxa"/>
          </w:tcPr>
          <w:p w:rsidRPr="006F34CD" w:rsidR="00515FE0" w:rsidP="006F34CD" w:rsidRDefault="00515FE0" w14:paraId="17CF38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Vfsilyevna MIROZIZOVA</w:t>
            </w:r>
          </w:p>
        </w:tc>
        <w:tc>
          <w:tcPr>
            <w:tcW w:w="836" w:type="dxa"/>
          </w:tcPr>
          <w:p w:rsidRPr="006F34CD" w:rsidR="00515FE0" w:rsidP="006F34CD" w:rsidRDefault="00515FE0" w14:paraId="03C033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7F7360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0853763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EB45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0E340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F4C1807" w14:textId="77777777">
        <w:trPr>
          <w:cantSplit/>
        </w:trPr>
        <w:tc>
          <w:tcPr>
            <w:tcW w:w="2249" w:type="dxa"/>
          </w:tcPr>
          <w:p w:rsidRPr="006F34CD" w:rsidR="00515FE0" w:rsidP="006F34CD" w:rsidRDefault="00515FE0" w14:paraId="3544B14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Aleksandrovna MIRSKAYA</w:t>
            </w:r>
          </w:p>
        </w:tc>
        <w:tc>
          <w:tcPr>
            <w:tcW w:w="836" w:type="dxa"/>
          </w:tcPr>
          <w:p w:rsidRPr="006F34CD" w:rsidR="00515FE0" w:rsidP="006F34CD" w:rsidRDefault="00515FE0" w14:paraId="2750FB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68C2E0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Pokrovskoye</w:t>
            </w:r>
          </w:p>
        </w:tc>
        <w:tc>
          <w:tcPr>
            <w:tcW w:w="1134" w:type="dxa"/>
          </w:tcPr>
          <w:p w:rsidRPr="006F34CD" w:rsidR="00515FE0" w:rsidP="006F34CD" w:rsidRDefault="00515FE0" w14:paraId="172B4EB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778F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CC93D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A03016" w14:textId="77777777">
        <w:trPr>
          <w:cantSplit/>
        </w:trPr>
        <w:tc>
          <w:tcPr>
            <w:tcW w:w="2249" w:type="dxa"/>
          </w:tcPr>
          <w:p w:rsidRPr="006F34CD" w:rsidR="00515FE0" w:rsidP="006F34CD" w:rsidRDefault="00515FE0" w14:paraId="0542A6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Artush Albertovich MKRTCHYAN</w:t>
            </w:r>
          </w:p>
        </w:tc>
        <w:tc>
          <w:tcPr>
            <w:tcW w:w="836" w:type="dxa"/>
          </w:tcPr>
          <w:p w:rsidRPr="006F34CD" w:rsidR="00515FE0" w:rsidP="006F34CD" w:rsidRDefault="00515FE0" w14:paraId="68F679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529D84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FE2693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EB0F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3B284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EE14455" w14:textId="77777777">
        <w:trPr>
          <w:cantSplit/>
        </w:trPr>
        <w:tc>
          <w:tcPr>
            <w:tcW w:w="2249" w:type="dxa"/>
          </w:tcPr>
          <w:p w:rsidRPr="006F34CD" w:rsidR="00515FE0" w:rsidP="006F34CD" w:rsidRDefault="00515FE0" w14:paraId="766184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Anaida Lernikova MKRTCHYAN</w:t>
            </w:r>
          </w:p>
        </w:tc>
        <w:tc>
          <w:tcPr>
            <w:tcW w:w="836" w:type="dxa"/>
          </w:tcPr>
          <w:p w:rsidRPr="006F34CD" w:rsidR="00515FE0" w:rsidP="006F34CD" w:rsidRDefault="00515FE0" w14:paraId="16177C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1E12D4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35E60A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AE9D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3D509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74C1CC9" w14:textId="77777777">
        <w:trPr>
          <w:cantSplit/>
        </w:trPr>
        <w:tc>
          <w:tcPr>
            <w:tcW w:w="2249" w:type="dxa"/>
          </w:tcPr>
          <w:p w:rsidRPr="006F34CD" w:rsidR="00515FE0" w:rsidP="006F34CD" w:rsidRDefault="00515FE0" w14:paraId="13074E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Covinar Artushevna MKRTCHYAN</w:t>
            </w:r>
          </w:p>
        </w:tc>
        <w:tc>
          <w:tcPr>
            <w:tcW w:w="836" w:type="dxa"/>
          </w:tcPr>
          <w:p w:rsidRPr="006F34CD" w:rsidR="00515FE0" w:rsidP="006F34CD" w:rsidRDefault="00515FE0" w14:paraId="1A685F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3120CF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2BEAC5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E69C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503A1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EAB71F7" w14:textId="77777777">
        <w:trPr>
          <w:cantSplit/>
        </w:trPr>
        <w:tc>
          <w:tcPr>
            <w:tcW w:w="2249" w:type="dxa"/>
          </w:tcPr>
          <w:p w:rsidRPr="006F34CD" w:rsidR="00515FE0" w:rsidP="006F34CD" w:rsidRDefault="00515FE0" w14:paraId="1DF91D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Covinar Vasilyevna MKRTCHYAN</w:t>
            </w:r>
          </w:p>
        </w:tc>
        <w:tc>
          <w:tcPr>
            <w:tcW w:w="836" w:type="dxa"/>
          </w:tcPr>
          <w:p w:rsidRPr="006F34CD" w:rsidR="00515FE0" w:rsidP="006F34CD" w:rsidRDefault="00515FE0" w14:paraId="78DFCA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3C784E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E768F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5F030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9048D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D8B8DCC" w14:textId="77777777">
        <w:trPr>
          <w:cantSplit/>
        </w:trPr>
        <w:tc>
          <w:tcPr>
            <w:tcW w:w="2249" w:type="dxa"/>
          </w:tcPr>
          <w:p w:rsidRPr="006F34CD" w:rsidR="00515FE0" w:rsidP="006F34CD" w:rsidRDefault="00515FE0" w14:paraId="124006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Pavlovich MOISEYENKO</w:t>
            </w:r>
          </w:p>
        </w:tc>
        <w:tc>
          <w:tcPr>
            <w:tcW w:w="836" w:type="dxa"/>
          </w:tcPr>
          <w:p w:rsidRPr="006F34CD" w:rsidR="00515FE0" w:rsidP="006F34CD" w:rsidRDefault="00515FE0" w14:paraId="3D5543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0B1ABE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BF9B6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EDDF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1A6F82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4A965CB" w14:textId="77777777">
        <w:trPr>
          <w:cantSplit/>
        </w:trPr>
        <w:tc>
          <w:tcPr>
            <w:tcW w:w="2249" w:type="dxa"/>
          </w:tcPr>
          <w:p w:rsidRPr="006F34CD" w:rsidR="00515FE0" w:rsidP="006F34CD" w:rsidRDefault="00515FE0" w14:paraId="0DCB8E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Albina Vasilyevna MOISEYEVA</w:t>
            </w:r>
          </w:p>
        </w:tc>
        <w:tc>
          <w:tcPr>
            <w:tcW w:w="836" w:type="dxa"/>
          </w:tcPr>
          <w:p w:rsidRPr="006F34CD" w:rsidR="00515FE0" w:rsidP="006F34CD" w:rsidRDefault="00515FE0" w14:paraId="552576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19495F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EE04F8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575B6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859B60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2C1E77B" w14:textId="77777777">
        <w:trPr>
          <w:cantSplit/>
        </w:trPr>
        <w:tc>
          <w:tcPr>
            <w:tcW w:w="2249" w:type="dxa"/>
          </w:tcPr>
          <w:p w:rsidRPr="006F34CD" w:rsidR="00515FE0" w:rsidP="006F34CD" w:rsidRDefault="00515FE0" w14:paraId="41B2CD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Vasilyevich MOLCHANOV</w:t>
            </w:r>
          </w:p>
        </w:tc>
        <w:tc>
          <w:tcPr>
            <w:tcW w:w="836" w:type="dxa"/>
          </w:tcPr>
          <w:p w:rsidRPr="006F34CD" w:rsidR="00515FE0" w:rsidP="006F34CD" w:rsidRDefault="00515FE0" w14:paraId="037511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3D3429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519FC6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F4BE1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82DDE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6093D53" w14:textId="77777777">
        <w:trPr>
          <w:cantSplit/>
        </w:trPr>
        <w:tc>
          <w:tcPr>
            <w:tcW w:w="2249" w:type="dxa"/>
          </w:tcPr>
          <w:p w:rsidRPr="006F34CD" w:rsidR="00515FE0" w:rsidP="006F34CD" w:rsidRDefault="00515FE0" w14:paraId="23DA27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Vyacheslavovna MOLCHANOVA</w:t>
            </w:r>
          </w:p>
        </w:tc>
        <w:tc>
          <w:tcPr>
            <w:tcW w:w="836" w:type="dxa"/>
          </w:tcPr>
          <w:p w:rsidRPr="006F34CD" w:rsidR="00515FE0" w:rsidP="006F34CD" w:rsidRDefault="00515FE0" w14:paraId="032002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7E0F19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43F8B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E967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93A8B9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506E298" w14:textId="77777777">
        <w:trPr>
          <w:cantSplit/>
        </w:trPr>
        <w:tc>
          <w:tcPr>
            <w:tcW w:w="2249" w:type="dxa"/>
          </w:tcPr>
          <w:p w:rsidRPr="006F34CD" w:rsidR="00515FE0" w:rsidP="006F34CD" w:rsidRDefault="00515FE0" w14:paraId="3B8278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Alekseevna MONCHENKO</w:t>
            </w:r>
          </w:p>
        </w:tc>
        <w:tc>
          <w:tcPr>
            <w:tcW w:w="836" w:type="dxa"/>
          </w:tcPr>
          <w:p w:rsidRPr="006F34CD" w:rsidR="00515FE0" w:rsidP="006F34CD" w:rsidRDefault="00515FE0" w14:paraId="175702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0002F8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0CF919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56A3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5C6571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7F74007" w14:textId="77777777">
        <w:trPr>
          <w:cantSplit/>
        </w:trPr>
        <w:tc>
          <w:tcPr>
            <w:tcW w:w="2249" w:type="dxa"/>
          </w:tcPr>
          <w:p w:rsidRPr="006F34CD" w:rsidR="00515FE0" w:rsidP="006F34CD" w:rsidRDefault="00515FE0" w14:paraId="642FBC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llyinichna MUKHORTOVA</w:t>
            </w:r>
          </w:p>
        </w:tc>
        <w:tc>
          <w:tcPr>
            <w:tcW w:w="836" w:type="dxa"/>
          </w:tcPr>
          <w:p w:rsidRPr="006F34CD" w:rsidR="00515FE0" w:rsidP="006F34CD" w:rsidRDefault="00515FE0" w14:paraId="16645D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23602E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BDF2F2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20B9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E80A2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57CEE03" w14:textId="77777777">
        <w:trPr>
          <w:cantSplit/>
        </w:trPr>
        <w:tc>
          <w:tcPr>
            <w:tcW w:w="2249" w:type="dxa"/>
          </w:tcPr>
          <w:p w:rsidRPr="006F34CD" w:rsidR="00515FE0" w:rsidP="006F34CD" w:rsidRDefault="00515FE0" w14:paraId="636035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Nikolaevna MURATOVA</w:t>
            </w:r>
          </w:p>
        </w:tc>
        <w:tc>
          <w:tcPr>
            <w:tcW w:w="836" w:type="dxa"/>
          </w:tcPr>
          <w:p w:rsidRPr="006F34CD" w:rsidR="00515FE0" w:rsidP="006F34CD" w:rsidRDefault="00515FE0" w14:paraId="7D0054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10BC68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71239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3198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6AA11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324E782" w14:textId="77777777">
        <w:trPr>
          <w:cantSplit/>
        </w:trPr>
        <w:tc>
          <w:tcPr>
            <w:tcW w:w="2249" w:type="dxa"/>
          </w:tcPr>
          <w:p w:rsidRPr="006F34CD" w:rsidR="00515FE0" w:rsidP="006F34CD" w:rsidRDefault="00515FE0" w14:paraId="44C39F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Zagiddin Sharafiddinovich MURTUZALIEV</w:t>
            </w:r>
          </w:p>
        </w:tc>
        <w:tc>
          <w:tcPr>
            <w:tcW w:w="836" w:type="dxa"/>
          </w:tcPr>
          <w:p w:rsidRPr="006F34CD" w:rsidR="00515FE0" w:rsidP="006F34CD" w:rsidRDefault="00515FE0" w14:paraId="1FB914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1A442E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4A9E9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613B4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E2B03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B75080E" w14:textId="77777777">
        <w:trPr>
          <w:cantSplit/>
        </w:trPr>
        <w:tc>
          <w:tcPr>
            <w:tcW w:w="2249" w:type="dxa"/>
          </w:tcPr>
          <w:p w:rsidRPr="006F34CD" w:rsidR="00515FE0" w:rsidP="006F34CD" w:rsidRDefault="00515FE0" w14:paraId="09D20E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Andreevna MURUGOVA</w:t>
            </w:r>
          </w:p>
        </w:tc>
        <w:tc>
          <w:tcPr>
            <w:tcW w:w="836" w:type="dxa"/>
          </w:tcPr>
          <w:p w:rsidRPr="006F34CD" w:rsidR="00515FE0" w:rsidP="006F34CD" w:rsidRDefault="00515FE0" w14:paraId="5A8D32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75E83B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9329E8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F7E2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1C988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366B0E5" w14:textId="77777777">
        <w:trPr>
          <w:cantSplit/>
        </w:trPr>
        <w:tc>
          <w:tcPr>
            <w:tcW w:w="2249" w:type="dxa"/>
          </w:tcPr>
          <w:p w:rsidRPr="006F34CD" w:rsidR="00515FE0" w:rsidP="006F34CD" w:rsidRDefault="00515FE0" w14:paraId="63C2D6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Vasilyevna MUZIKA</w:t>
            </w:r>
          </w:p>
        </w:tc>
        <w:tc>
          <w:tcPr>
            <w:tcW w:w="836" w:type="dxa"/>
          </w:tcPr>
          <w:p w:rsidRPr="006F34CD" w:rsidR="00515FE0" w:rsidP="006F34CD" w:rsidRDefault="00515FE0" w14:paraId="44B76E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4C25A9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BF66F1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101FE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DA44E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FA9B45E" w14:textId="77777777">
        <w:trPr>
          <w:cantSplit/>
        </w:trPr>
        <w:tc>
          <w:tcPr>
            <w:tcW w:w="2249" w:type="dxa"/>
          </w:tcPr>
          <w:p w:rsidRPr="006F34CD" w:rsidR="00515FE0" w:rsidP="006F34CD" w:rsidRDefault="00515FE0" w14:paraId="759D1F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Leonidovna MUZIKA</w:t>
            </w:r>
          </w:p>
        </w:tc>
        <w:tc>
          <w:tcPr>
            <w:tcW w:w="836" w:type="dxa"/>
          </w:tcPr>
          <w:p w:rsidRPr="006F34CD" w:rsidR="00515FE0" w:rsidP="006F34CD" w:rsidRDefault="00515FE0" w14:paraId="27BE0C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40F604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90DEDB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65062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CA9F85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68411FB" w14:textId="77777777">
        <w:trPr>
          <w:cantSplit/>
        </w:trPr>
        <w:tc>
          <w:tcPr>
            <w:tcW w:w="2249" w:type="dxa"/>
          </w:tcPr>
          <w:p w:rsidRPr="006F34CD" w:rsidR="00515FE0" w:rsidP="006F34CD" w:rsidRDefault="00515FE0" w14:paraId="1C7956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Semyonovna NADOLINSKAYA</w:t>
            </w:r>
          </w:p>
        </w:tc>
        <w:tc>
          <w:tcPr>
            <w:tcW w:w="836" w:type="dxa"/>
          </w:tcPr>
          <w:p w:rsidRPr="006F34CD" w:rsidR="00515FE0" w:rsidP="006F34CD" w:rsidRDefault="00515FE0" w14:paraId="7607FD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2B9669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450BF7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CD7AA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DE6B39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5889AA8" w14:textId="77777777">
        <w:trPr>
          <w:cantSplit/>
        </w:trPr>
        <w:tc>
          <w:tcPr>
            <w:tcW w:w="2249" w:type="dxa"/>
          </w:tcPr>
          <w:p w:rsidRPr="006F34CD" w:rsidR="00515FE0" w:rsidP="006F34CD" w:rsidRDefault="00515FE0" w14:paraId="13B27C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Vyacheslav Georgievich NADOLINSKIY</w:t>
            </w:r>
          </w:p>
        </w:tc>
        <w:tc>
          <w:tcPr>
            <w:tcW w:w="836" w:type="dxa"/>
          </w:tcPr>
          <w:p w:rsidRPr="006F34CD" w:rsidR="00515FE0" w:rsidP="006F34CD" w:rsidRDefault="00515FE0" w14:paraId="415210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0455B5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72A73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AB11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7C32C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BE8985A" w14:textId="77777777">
        <w:trPr>
          <w:cantSplit/>
        </w:trPr>
        <w:tc>
          <w:tcPr>
            <w:tcW w:w="2249" w:type="dxa"/>
          </w:tcPr>
          <w:p w:rsidRPr="006F34CD" w:rsidR="00515FE0" w:rsidP="006F34CD" w:rsidRDefault="00515FE0" w14:paraId="14A220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Sergeyevna NADZGAIDZE</w:t>
            </w:r>
          </w:p>
        </w:tc>
        <w:tc>
          <w:tcPr>
            <w:tcW w:w="836" w:type="dxa"/>
          </w:tcPr>
          <w:p w:rsidRPr="006F34CD" w:rsidR="00515FE0" w:rsidP="006F34CD" w:rsidRDefault="00515FE0" w14:paraId="2AD16F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3FB90E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9754C0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F29D6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D8E6C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F9388FB" w14:textId="77777777">
        <w:trPr>
          <w:cantSplit/>
        </w:trPr>
        <w:tc>
          <w:tcPr>
            <w:tcW w:w="2249" w:type="dxa"/>
          </w:tcPr>
          <w:p w:rsidRPr="006F34CD" w:rsidR="00515FE0" w:rsidP="006F34CD" w:rsidRDefault="00515FE0" w14:paraId="752970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Vasilyevna NAZARENKO</w:t>
            </w:r>
          </w:p>
        </w:tc>
        <w:tc>
          <w:tcPr>
            <w:tcW w:w="836" w:type="dxa"/>
          </w:tcPr>
          <w:p w:rsidRPr="006F34CD" w:rsidR="00515FE0" w:rsidP="006F34CD" w:rsidRDefault="00515FE0" w14:paraId="51DBA2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71FBCE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43CBBB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FA795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C0E67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03604A0" w14:textId="77777777">
        <w:trPr>
          <w:cantSplit/>
        </w:trPr>
        <w:tc>
          <w:tcPr>
            <w:tcW w:w="2249" w:type="dxa"/>
          </w:tcPr>
          <w:p w:rsidRPr="006F34CD" w:rsidR="00515FE0" w:rsidP="006F34CD" w:rsidRDefault="00515FE0" w14:paraId="79FACE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Vladimirovna NECHIPORUK</w:t>
            </w:r>
          </w:p>
        </w:tc>
        <w:tc>
          <w:tcPr>
            <w:tcW w:w="836" w:type="dxa"/>
          </w:tcPr>
          <w:p w:rsidRPr="006F34CD" w:rsidR="00515FE0" w:rsidP="006F34CD" w:rsidRDefault="00515FE0" w14:paraId="25C9B7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4698D9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0CB495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CA9B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4B0DD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54FCC57" w14:textId="77777777">
        <w:trPr>
          <w:cantSplit/>
        </w:trPr>
        <w:tc>
          <w:tcPr>
            <w:tcW w:w="2249" w:type="dxa"/>
          </w:tcPr>
          <w:p w:rsidRPr="006F34CD" w:rsidR="00515FE0" w:rsidP="006F34CD" w:rsidRDefault="00515FE0" w14:paraId="135C5D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Mikhaylovna NEDOSTOEVA</w:t>
            </w:r>
          </w:p>
        </w:tc>
        <w:tc>
          <w:tcPr>
            <w:tcW w:w="836" w:type="dxa"/>
          </w:tcPr>
          <w:p w:rsidRPr="006F34CD" w:rsidR="00515FE0" w:rsidP="006F34CD" w:rsidRDefault="00515FE0" w14:paraId="5988FA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770430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6D416A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7518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42A496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5CFE73E" w14:textId="77777777">
        <w:trPr>
          <w:cantSplit/>
        </w:trPr>
        <w:tc>
          <w:tcPr>
            <w:tcW w:w="2249" w:type="dxa"/>
          </w:tcPr>
          <w:p w:rsidRPr="006F34CD" w:rsidR="00515FE0" w:rsidP="006F34CD" w:rsidRDefault="00515FE0" w14:paraId="015EF5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Sergeevna NEFYEDOVA</w:t>
            </w:r>
          </w:p>
        </w:tc>
        <w:tc>
          <w:tcPr>
            <w:tcW w:w="836" w:type="dxa"/>
          </w:tcPr>
          <w:p w:rsidRPr="006F34CD" w:rsidR="00515FE0" w:rsidP="006F34CD" w:rsidRDefault="00515FE0" w14:paraId="32EDDB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6A1B32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06C185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EEDBF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F7926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790A0AB" w14:textId="77777777">
        <w:trPr>
          <w:cantSplit/>
        </w:trPr>
        <w:tc>
          <w:tcPr>
            <w:tcW w:w="2249" w:type="dxa"/>
          </w:tcPr>
          <w:p w:rsidRPr="006F34CD" w:rsidR="00515FE0" w:rsidP="006F34CD" w:rsidRDefault="00515FE0" w14:paraId="03E713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Ilya Vladimirovich NEFYODOV</w:t>
            </w:r>
          </w:p>
        </w:tc>
        <w:tc>
          <w:tcPr>
            <w:tcW w:w="836" w:type="dxa"/>
          </w:tcPr>
          <w:p w:rsidRPr="006F34CD" w:rsidR="00515FE0" w:rsidP="006F34CD" w:rsidRDefault="00515FE0" w14:paraId="52E06D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06D49B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5711B5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33B28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D5597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5F5F773" w14:textId="77777777">
        <w:trPr>
          <w:cantSplit/>
        </w:trPr>
        <w:tc>
          <w:tcPr>
            <w:tcW w:w="2249" w:type="dxa"/>
          </w:tcPr>
          <w:p w:rsidRPr="006F34CD" w:rsidR="00515FE0" w:rsidP="006F34CD" w:rsidRDefault="00515FE0" w14:paraId="62709C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Aleftina Nikolaevna NEGARA</w:t>
            </w:r>
          </w:p>
        </w:tc>
        <w:tc>
          <w:tcPr>
            <w:tcW w:w="836" w:type="dxa"/>
          </w:tcPr>
          <w:p w:rsidRPr="006F34CD" w:rsidR="00515FE0" w:rsidP="006F34CD" w:rsidRDefault="00515FE0" w14:paraId="15423E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1934</w:t>
            </w:r>
          </w:p>
        </w:tc>
        <w:tc>
          <w:tcPr>
            <w:tcW w:w="1305" w:type="dxa"/>
          </w:tcPr>
          <w:p w:rsidRPr="006F34CD" w:rsidR="00515FE0" w:rsidP="006F34CD" w:rsidRDefault="00515FE0" w14:paraId="297298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C56F5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15A14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BD99A0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7BD17B3" w14:textId="77777777">
        <w:trPr>
          <w:cantSplit/>
        </w:trPr>
        <w:tc>
          <w:tcPr>
            <w:tcW w:w="2249" w:type="dxa"/>
          </w:tcPr>
          <w:p w:rsidRPr="006F34CD" w:rsidR="00515FE0" w:rsidP="006F34CD" w:rsidRDefault="00515FE0" w14:paraId="4822BD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Vitalyevich NESCHIMENKO</w:t>
            </w:r>
          </w:p>
        </w:tc>
        <w:tc>
          <w:tcPr>
            <w:tcW w:w="836" w:type="dxa"/>
          </w:tcPr>
          <w:p w:rsidRPr="006F34CD" w:rsidR="00515FE0" w:rsidP="006F34CD" w:rsidRDefault="00515FE0" w14:paraId="77CD10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10ED84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030CDB2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3F6A5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EDF4D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13F1B5D" w14:textId="77777777">
        <w:trPr>
          <w:cantSplit/>
        </w:trPr>
        <w:tc>
          <w:tcPr>
            <w:tcW w:w="2249" w:type="dxa"/>
          </w:tcPr>
          <w:p w:rsidRPr="006F34CD" w:rsidR="00515FE0" w:rsidP="006F34CD" w:rsidRDefault="00515FE0" w14:paraId="6C42F4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Larisa Ivanovna NESCHIMENKO</w:t>
            </w:r>
          </w:p>
        </w:tc>
        <w:tc>
          <w:tcPr>
            <w:tcW w:w="836" w:type="dxa"/>
          </w:tcPr>
          <w:p w:rsidRPr="006F34CD" w:rsidR="00515FE0" w:rsidP="006F34CD" w:rsidRDefault="00515FE0" w14:paraId="5F97E3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610303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4B9FAD1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BF86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86538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3F4D3E3" w14:textId="77777777">
        <w:trPr>
          <w:cantSplit/>
        </w:trPr>
        <w:tc>
          <w:tcPr>
            <w:tcW w:w="2249" w:type="dxa"/>
          </w:tcPr>
          <w:p w:rsidRPr="006F34CD" w:rsidR="00515FE0" w:rsidP="006F34CD" w:rsidRDefault="00515FE0" w14:paraId="7D0996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Sergeyevich NESHIMENKO</w:t>
            </w:r>
          </w:p>
        </w:tc>
        <w:tc>
          <w:tcPr>
            <w:tcW w:w="836" w:type="dxa"/>
          </w:tcPr>
          <w:p w:rsidRPr="006F34CD" w:rsidR="00515FE0" w:rsidP="006F34CD" w:rsidRDefault="00515FE0" w14:paraId="73EEE6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2F17FF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46A1E2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6839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87678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3E3EE3F" w14:textId="77777777">
        <w:trPr>
          <w:cantSplit/>
        </w:trPr>
        <w:tc>
          <w:tcPr>
            <w:tcW w:w="2249" w:type="dxa"/>
          </w:tcPr>
          <w:p w:rsidRPr="006F34CD" w:rsidR="00515FE0" w:rsidP="006F34CD" w:rsidRDefault="00515FE0" w14:paraId="1271A3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lvanovna NIKANOROVA</w:t>
            </w:r>
          </w:p>
        </w:tc>
        <w:tc>
          <w:tcPr>
            <w:tcW w:w="836" w:type="dxa"/>
          </w:tcPr>
          <w:p w:rsidRPr="006F34CD" w:rsidR="00515FE0" w:rsidP="006F34CD" w:rsidRDefault="00515FE0" w14:paraId="2C9D1E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22B4C8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C88C1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84B6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F6013C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BCE8E95" w14:textId="77777777">
        <w:trPr>
          <w:cantSplit/>
        </w:trPr>
        <w:tc>
          <w:tcPr>
            <w:tcW w:w="2249" w:type="dxa"/>
          </w:tcPr>
          <w:p w:rsidRPr="006F34CD" w:rsidR="00515FE0" w:rsidP="006F34CD" w:rsidRDefault="00515FE0" w14:paraId="7A37B3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Alevtina Sergeyevna NOVIKOVA</w:t>
            </w:r>
          </w:p>
        </w:tc>
        <w:tc>
          <w:tcPr>
            <w:tcW w:w="836" w:type="dxa"/>
          </w:tcPr>
          <w:p w:rsidRPr="006F34CD" w:rsidR="00515FE0" w:rsidP="006F34CD" w:rsidRDefault="00515FE0" w14:paraId="45FB07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4A5B0B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1E32C1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1F9C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ED1A5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11CD64F" w14:textId="77777777">
        <w:trPr>
          <w:cantSplit/>
        </w:trPr>
        <w:tc>
          <w:tcPr>
            <w:tcW w:w="2249" w:type="dxa"/>
          </w:tcPr>
          <w:p w:rsidRPr="006F34CD" w:rsidR="00515FE0" w:rsidP="006F34CD" w:rsidRDefault="00515FE0" w14:paraId="5E40B9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Nelya Evgenyevna OLEYNIK</w:t>
            </w:r>
          </w:p>
        </w:tc>
        <w:tc>
          <w:tcPr>
            <w:tcW w:w="836" w:type="dxa"/>
          </w:tcPr>
          <w:p w:rsidRPr="006F34CD" w:rsidR="00515FE0" w:rsidP="006F34CD" w:rsidRDefault="00515FE0" w14:paraId="742104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1944</w:t>
            </w:r>
          </w:p>
        </w:tc>
        <w:tc>
          <w:tcPr>
            <w:tcW w:w="1305" w:type="dxa"/>
          </w:tcPr>
          <w:p w:rsidRPr="006F34CD" w:rsidR="00515FE0" w:rsidP="006F34CD" w:rsidRDefault="00515FE0" w14:paraId="31B5D7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81BE3A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F9D2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B11B3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0DEE074" w14:textId="77777777">
        <w:trPr>
          <w:cantSplit/>
        </w:trPr>
        <w:tc>
          <w:tcPr>
            <w:tcW w:w="2249" w:type="dxa"/>
          </w:tcPr>
          <w:p w:rsidRPr="006F34CD" w:rsidR="00515FE0" w:rsidP="006F34CD" w:rsidRDefault="00515FE0" w14:paraId="1A563E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Nikolaevna OLEYNIKOVA</w:t>
            </w:r>
          </w:p>
        </w:tc>
        <w:tc>
          <w:tcPr>
            <w:tcW w:w="836" w:type="dxa"/>
          </w:tcPr>
          <w:p w:rsidRPr="006F34CD" w:rsidR="00515FE0" w:rsidP="006F34CD" w:rsidRDefault="00515FE0" w14:paraId="79A049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1520D7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Veselyy</w:t>
            </w:r>
          </w:p>
        </w:tc>
        <w:tc>
          <w:tcPr>
            <w:tcW w:w="1134" w:type="dxa"/>
          </w:tcPr>
          <w:p w:rsidRPr="006F34CD" w:rsidR="00515FE0" w:rsidP="006F34CD" w:rsidRDefault="00515FE0" w14:paraId="27FD71C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0329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15FBC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A12CFDF" w14:textId="77777777">
        <w:trPr>
          <w:cantSplit/>
        </w:trPr>
        <w:tc>
          <w:tcPr>
            <w:tcW w:w="2249" w:type="dxa"/>
          </w:tcPr>
          <w:p w:rsidRPr="006F34CD" w:rsidR="00515FE0" w:rsidP="006F34CD" w:rsidRDefault="00515FE0" w14:paraId="4155A9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Romanovich ORLOV</w:t>
            </w:r>
          </w:p>
        </w:tc>
        <w:tc>
          <w:tcPr>
            <w:tcW w:w="836" w:type="dxa"/>
          </w:tcPr>
          <w:p w:rsidRPr="006F34CD" w:rsidR="00515FE0" w:rsidP="006F34CD" w:rsidRDefault="00515FE0" w14:paraId="0E58E6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03889C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AD7646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33C0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077415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614A78D" w14:textId="77777777">
        <w:trPr>
          <w:cantSplit/>
        </w:trPr>
        <w:tc>
          <w:tcPr>
            <w:tcW w:w="2249" w:type="dxa"/>
          </w:tcPr>
          <w:p w:rsidRPr="006F34CD" w:rsidR="00515FE0" w:rsidP="006F34CD" w:rsidRDefault="00515FE0" w14:paraId="2EBD5E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Nikolaevna ORLOVA</w:t>
            </w:r>
          </w:p>
        </w:tc>
        <w:tc>
          <w:tcPr>
            <w:tcW w:w="836" w:type="dxa"/>
          </w:tcPr>
          <w:p w:rsidRPr="006F34CD" w:rsidR="00515FE0" w:rsidP="006F34CD" w:rsidRDefault="00515FE0" w14:paraId="31CEE4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691B4E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7A51D1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5A76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D8A1A0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8BAF2F7" w14:textId="77777777">
        <w:trPr>
          <w:cantSplit/>
        </w:trPr>
        <w:tc>
          <w:tcPr>
            <w:tcW w:w="2249" w:type="dxa"/>
          </w:tcPr>
          <w:p w:rsidRPr="006F34CD" w:rsidR="00515FE0" w:rsidP="006F34CD" w:rsidRDefault="00515FE0" w14:paraId="216CAA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Tikhonova OSTROVSKAYA</w:t>
            </w:r>
          </w:p>
        </w:tc>
        <w:tc>
          <w:tcPr>
            <w:tcW w:w="836" w:type="dxa"/>
          </w:tcPr>
          <w:p w:rsidRPr="006F34CD" w:rsidR="00515FE0" w:rsidP="006F34CD" w:rsidRDefault="00515FE0" w14:paraId="60D51D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1926</w:t>
            </w:r>
          </w:p>
        </w:tc>
        <w:tc>
          <w:tcPr>
            <w:tcW w:w="1305" w:type="dxa"/>
          </w:tcPr>
          <w:p w:rsidRPr="006F34CD" w:rsidR="00515FE0" w:rsidP="006F34CD" w:rsidRDefault="00515FE0" w14:paraId="6AE726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0CF75E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E9F4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759BD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67D22A1" w14:textId="77777777">
        <w:trPr>
          <w:cantSplit/>
        </w:trPr>
        <w:tc>
          <w:tcPr>
            <w:tcW w:w="2249" w:type="dxa"/>
          </w:tcPr>
          <w:p w:rsidRPr="006F34CD" w:rsidR="00515FE0" w:rsidP="006F34CD" w:rsidRDefault="00515FE0" w14:paraId="0707A7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Eudokiya Petrovna OVCHAROVA</w:t>
            </w:r>
          </w:p>
        </w:tc>
        <w:tc>
          <w:tcPr>
            <w:tcW w:w="836" w:type="dxa"/>
          </w:tcPr>
          <w:p w:rsidRPr="006F34CD" w:rsidR="00515FE0" w:rsidP="006F34CD" w:rsidRDefault="00515FE0" w14:paraId="4BA355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1945</w:t>
            </w:r>
          </w:p>
        </w:tc>
        <w:tc>
          <w:tcPr>
            <w:tcW w:w="1305" w:type="dxa"/>
          </w:tcPr>
          <w:p w:rsidRPr="006F34CD" w:rsidR="00515FE0" w:rsidP="006F34CD" w:rsidRDefault="00515FE0" w14:paraId="541BED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Pokrovskoye</w:t>
            </w:r>
          </w:p>
        </w:tc>
        <w:tc>
          <w:tcPr>
            <w:tcW w:w="1134" w:type="dxa"/>
          </w:tcPr>
          <w:p w:rsidRPr="006F34CD" w:rsidR="00515FE0" w:rsidP="006F34CD" w:rsidRDefault="00515FE0" w14:paraId="4E8089A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2DB4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863C4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3301602" w14:textId="77777777">
        <w:trPr>
          <w:cantSplit/>
        </w:trPr>
        <w:tc>
          <w:tcPr>
            <w:tcW w:w="2249" w:type="dxa"/>
          </w:tcPr>
          <w:p w:rsidRPr="006F34CD" w:rsidR="00515FE0" w:rsidP="006F34CD" w:rsidRDefault="00515FE0" w14:paraId="09A61E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Nikolaevna PANEZHINA</w:t>
            </w:r>
          </w:p>
        </w:tc>
        <w:tc>
          <w:tcPr>
            <w:tcW w:w="836" w:type="dxa"/>
          </w:tcPr>
          <w:p w:rsidRPr="006F34CD" w:rsidR="00515FE0" w:rsidP="006F34CD" w:rsidRDefault="00515FE0" w14:paraId="44F3C8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576A9D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01A301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B297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5A95C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3DE0905" w14:textId="77777777">
        <w:trPr>
          <w:cantSplit/>
        </w:trPr>
        <w:tc>
          <w:tcPr>
            <w:tcW w:w="2249" w:type="dxa"/>
          </w:tcPr>
          <w:p w:rsidRPr="006F34CD" w:rsidR="00515FE0" w:rsidP="006F34CD" w:rsidRDefault="00515FE0" w14:paraId="26C91F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Vasilyevich PANOV</w:t>
            </w:r>
          </w:p>
        </w:tc>
        <w:tc>
          <w:tcPr>
            <w:tcW w:w="836" w:type="dxa"/>
          </w:tcPr>
          <w:p w:rsidRPr="006F34CD" w:rsidR="00515FE0" w:rsidP="006F34CD" w:rsidRDefault="00515FE0" w14:paraId="0CBAC9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74DC1D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B6C5BA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04163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2D516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48C60E4" w14:textId="77777777">
        <w:trPr>
          <w:cantSplit/>
        </w:trPr>
        <w:tc>
          <w:tcPr>
            <w:tcW w:w="2249" w:type="dxa"/>
          </w:tcPr>
          <w:p w:rsidRPr="006F34CD" w:rsidR="00515FE0" w:rsidP="006F34CD" w:rsidRDefault="00515FE0" w14:paraId="380CED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Nataliya Vasilyevna PANOVA</w:t>
            </w:r>
          </w:p>
        </w:tc>
        <w:tc>
          <w:tcPr>
            <w:tcW w:w="836" w:type="dxa"/>
          </w:tcPr>
          <w:p w:rsidRPr="006F34CD" w:rsidR="00515FE0" w:rsidP="006F34CD" w:rsidRDefault="00515FE0" w14:paraId="62F182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6631B3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BD2487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323A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AF42DC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927B984" w14:textId="77777777">
        <w:trPr>
          <w:cantSplit/>
        </w:trPr>
        <w:tc>
          <w:tcPr>
            <w:tcW w:w="2249" w:type="dxa"/>
          </w:tcPr>
          <w:p w:rsidRPr="006F34CD" w:rsidR="00515FE0" w:rsidP="006F34CD" w:rsidRDefault="00515FE0" w14:paraId="586DD6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Ivanovna PAPCHENKO</w:t>
            </w:r>
          </w:p>
        </w:tc>
        <w:tc>
          <w:tcPr>
            <w:tcW w:w="836" w:type="dxa"/>
          </w:tcPr>
          <w:p w:rsidRPr="006F34CD" w:rsidR="00515FE0" w:rsidP="006F34CD" w:rsidRDefault="00515FE0" w14:paraId="08CAFE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6E8828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789214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72DCAA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2C3B5F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8044B74" w14:textId="77777777">
        <w:trPr>
          <w:cantSplit/>
        </w:trPr>
        <w:tc>
          <w:tcPr>
            <w:tcW w:w="2249" w:type="dxa"/>
          </w:tcPr>
          <w:p w:rsidRPr="006F34CD" w:rsidR="00515FE0" w:rsidP="006F34CD" w:rsidRDefault="00515FE0" w14:paraId="4404C4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Nikolaevna PARAMONOVA</w:t>
            </w:r>
          </w:p>
        </w:tc>
        <w:tc>
          <w:tcPr>
            <w:tcW w:w="836" w:type="dxa"/>
          </w:tcPr>
          <w:p w:rsidRPr="006F34CD" w:rsidR="00515FE0" w:rsidP="006F34CD" w:rsidRDefault="00515FE0" w14:paraId="05E25B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57E6A89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6DEB2E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81052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8B08C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19E6ADE" w14:textId="77777777">
        <w:trPr>
          <w:cantSplit/>
        </w:trPr>
        <w:tc>
          <w:tcPr>
            <w:tcW w:w="2249" w:type="dxa"/>
          </w:tcPr>
          <w:p w:rsidRPr="006F34CD" w:rsidR="00515FE0" w:rsidP="006F34CD" w:rsidRDefault="00515FE0" w14:paraId="07CF92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Sergeyevna PARAMONOVA</w:t>
            </w:r>
          </w:p>
        </w:tc>
        <w:tc>
          <w:tcPr>
            <w:tcW w:w="836" w:type="dxa"/>
          </w:tcPr>
          <w:p w:rsidRPr="006F34CD" w:rsidR="00515FE0" w:rsidP="006F34CD" w:rsidRDefault="00515FE0" w14:paraId="412BB8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45570E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7E5299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7856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C966B4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3261C17" w14:textId="77777777">
        <w:trPr>
          <w:cantSplit/>
        </w:trPr>
        <w:tc>
          <w:tcPr>
            <w:tcW w:w="2249" w:type="dxa"/>
          </w:tcPr>
          <w:p w:rsidRPr="006F34CD" w:rsidR="00515FE0" w:rsidP="006F34CD" w:rsidRDefault="00515FE0" w14:paraId="6576AB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Pavlovna PAVLOVA</w:t>
            </w:r>
          </w:p>
        </w:tc>
        <w:tc>
          <w:tcPr>
            <w:tcW w:w="836" w:type="dxa"/>
          </w:tcPr>
          <w:p w:rsidRPr="006F34CD" w:rsidR="00515FE0" w:rsidP="006F34CD" w:rsidRDefault="00515FE0" w14:paraId="14AF79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2ACD21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A82F51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0057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11E51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43CBCDB" w14:textId="77777777">
        <w:trPr>
          <w:cantSplit/>
        </w:trPr>
        <w:tc>
          <w:tcPr>
            <w:tcW w:w="2249" w:type="dxa"/>
          </w:tcPr>
          <w:p w:rsidRPr="006F34CD" w:rsidR="00515FE0" w:rsidP="006F34CD" w:rsidRDefault="00515FE0" w14:paraId="681043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Yelisaveta Illarionovna PAZONOVA</w:t>
            </w:r>
          </w:p>
        </w:tc>
        <w:tc>
          <w:tcPr>
            <w:tcW w:w="836" w:type="dxa"/>
          </w:tcPr>
          <w:p w:rsidRPr="006F34CD" w:rsidR="00515FE0" w:rsidP="006F34CD" w:rsidRDefault="00515FE0" w14:paraId="53098D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1929</w:t>
            </w:r>
          </w:p>
        </w:tc>
        <w:tc>
          <w:tcPr>
            <w:tcW w:w="1305" w:type="dxa"/>
          </w:tcPr>
          <w:p w:rsidRPr="006F34CD" w:rsidR="00515FE0" w:rsidP="006F34CD" w:rsidRDefault="00515FE0" w14:paraId="308A43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3516CE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CBA5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09CA39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8E3346B" w14:textId="77777777">
        <w:trPr>
          <w:cantSplit/>
        </w:trPr>
        <w:tc>
          <w:tcPr>
            <w:tcW w:w="2249" w:type="dxa"/>
          </w:tcPr>
          <w:p w:rsidRPr="006F34CD" w:rsidR="00515FE0" w:rsidP="006F34CD" w:rsidRDefault="00515FE0" w14:paraId="092618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Radionovna PERMYAKOVA</w:t>
            </w:r>
          </w:p>
        </w:tc>
        <w:tc>
          <w:tcPr>
            <w:tcW w:w="836" w:type="dxa"/>
          </w:tcPr>
          <w:p w:rsidRPr="006F34CD" w:rsidR="00515FE0" w:rsidP="006F34CD" w:rsidRDefault="00515FE0" w14:paraId="15761D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6F5072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C3D58F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8C1FD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2AED9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E830DE0" w14:textId="77777777">
        <w:trPr>
          <w:cantSplit/>
        </w:trPr>
        <w:tc>
          <w:tcPr>
            <w:tcW w:w="2249" w:type="dxa"/>
          </w:tcPr>
          <w:p w:rsidRPr="006F34CD" w:rsidR="00515FE0" w:rsidP="006F34CD" w:rsidRDefault="00515FE0" w14:paraId="1F5EDF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Igorevich PETROV</w:t>
            </w:r>
          </w:p>
        </w:tc>
        <w:tc>
          <w:tcPr>
            <w:tcW w:w="836" w:type="dxa"/>
          </w:tcPr>
          <w:p w:rsidRPr="006F34CD" w:rsidR="00515FE0" w:rsidP="006F34CD" w:rsidRDefault="00515FE0" w14:paraId="15A31B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1991</w:t>
            </w:r>
          </w:p>
        </w:tc>
        <w:tc>
          <w:tcPr>
            <w:tcW w:w="1305" w:type="dxa"/>
          </w:tcPr>
          <w:p w:rsidRPr="006F34CD" w:rsidR="00515FE0" w:rsidP="006F34CD" w:rsidRDefault="00515FE0" w14:paraId="2D67C8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1756F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3A059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9F4C6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7EE0336" w14:textId="77777777">
        <w:trPr>
          <w:cantSplit/>
        </w:trPr>
        <w:tc>
          <w:tcPr>
            <w:tcW w:w="2249" w:type="dxa"/>
          </w:tcPr>
          <w:p w:rsidRPr="006F34CD" w:rsidR="00515FE0" w:rsidP="006F34CD" w:rsidRDefault="00515FE0" w14:paraId="44B815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Nikolaevna PETROVA</w:t>
            </w:r>
          </w:p>
        </w:tc>
        <w:tc>
          <w:tcPr>
            <w:tcW w:w="836" w:type="dxa"/>
          </w:tcPr>
          <w:p w:rsidRPr="006F34CD" w:rsidR="00515FE0" w:rsidP="006F34CD" w:rsidRDefault="00515FE0" w14:paraId="651EBD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674584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0F880E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771C4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C84A6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3F78412" w14:textId="77777777">
        <w:trPr>
          <w:cantSplit/>
        </w:trPr>
        <w:tc>
          <w:tcPr>
            <w:tcW w:w="2249" w:type="dxa"/>
          </w:tcPr>
          <w:p w:rsidRPr="006F34CD" w:rsidR="00515FE0" w:rsidP="006F34CD" w:rsidRDefault="00515FE0" w14:paraId="30FE23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Aleftina Afanasyevna PETROVA</w:t>
            </w:r>
          </w:p>
        </w:tc>
        <w:tc>
          <w:tcPr>
            <w:tcW w:w="836" w:type="dxa"/>
          </w:tcPr>
          <w:p w:rsidRPr="006F34CD" w:rsidR="00515FE0" w:rsidP="006F34CD" w:rsidRDefault="00515FE0" w14:paraId="20B352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1A7DF5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Sambek</w:t>
            </w:r>
          </w:p>
        </w:tc>
        <w:tc>
          <w:tcPr>
            <w:tcW w:w="1134" w:type="dxa"/>
          </w:tcPr>
          <w:p w:rsidRPr="006F34CD" w:rsidR="00515FE0" w:rsidP="006F34CD" w:rsidRDefault="00515FE0" w14:paraId="6D4878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34324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D795D2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52F97CA" w14:textId="77777777">
        <w:trPr>
          <w:cantSplit/>
        </w:trPr>
        <w:tc>
          <w:tcPr>
            <w:tcW w:w="2249" w:type="dxa"/>
          </w:tcPr>
          <w:p w:rsidRPr="006F34CD" w:rsidR="00515FE0" w:rsidP="006F34CD" w:rsidRDefault="00515FE0" w14:paraId="79929D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Sofya Ivanovna PETROVA</w:t>
            </w:r>
          </w:p>
        </w:tc>
        <w:tc>
          <w:tcPr>
            <w:tcW w:w="836" w:type="dxa"/>
          </w:tcPr>
          <w:p w:rsidRPr="006F34CD" w:rsidR="00515FE0" w:rsidP="006F34CD" w:rsidRDefault="00515FE0" w14:paraId="08BAA8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7BD6FB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Novaya Nadezhda</w:t>
            </w:r>
          </w:p>
        </w:tc>
        <w:tc>
          <w:tcPr>
            <w:tcW w:w="1134" w:type="dxa"/>
          </w:tcPr>
          <w:p w:rsidRPr="006F34CD" w:rsidR="00515FE0" w:rsidP="006F34CD" w:rsidRDefault="00515FE0" w14:paraId="016C9EB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12A7C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9BB65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0E10D6D" w14:textId="77777777">
        <w:trPr>
          <w:cantSplit/>
        </w:trPr>
        <w:tc>
          <w:tcPr>
            <w:tcW w:w="2249" w:type="dxa"/>
          </w:tcPr>
          <w:p w:rsidRPr="006F34CD" w:rsidR="00515FE0" w:rsidP="006F34CD" w:rsidRDefault="00515FE0" w14:paraId="7DDEDD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Tamara Vasilyevna PETROVSKAYA</w:t>
            </w:r>
          </w:p>
        </w:tc>
        <w:tc>
          <w:tcPr>
            <w:tcW w:w="836" w:type="dxa"/>
          </w:tcPr>
          <w:p w:rsidRPr="006F34CD" w:rsidR="00515FE0" w:rsidP="006F34CD" w:rsidRDefault="00515FE0" w14:paraId="69F39F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4231BD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9513A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2D84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94AAD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EB61772" w14:textId="77777777">
        <w:trPr>
          <w:cantSplit/>
        </w:trPr>
        <w:tc>
          <w:tcPr>
            <w:tcW w:w="2249" w:type="dxa"/>
          </w:tcPr>
          <w:p w:rsidRPr="006F34CD" w:rsidR="00515FE0" w:rsidP="006F34CD" w:rsidRDefault="00515FE0" w14:paraId="64CCF6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Grigoryevna PETRUNKO</w:t>
            </w:r>
          </w:p>
        </w:tc>
        <w:tc>
          <w:tcPr>
            <w:tcW w:w="836" w:type="dxa"/>
          </w:tcPr>
          <w:p w:rsidRPr="006F34CD" w:rsidR="00515FE0" w:rsidP="006F34CD" w:rsidRDefault="00515FE0" w14:paraId="260BEA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32376E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3A29AE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01D16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6FB389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66B74FA" w14:textId="77777777">
        <w:trPr>
          <w:cantSplit/>
        </w:trPr>
        <w:tc>
          <w:tcPr>
            <w:tcW w:w="2249" w:type="dxa"/>
          </w:tcPr>
          <w:p w:rsidRPr="006F34CD" w:rsidR="00515FE0" w:rsidP="006F34CD" w:rsidRDefault="00515FE0" w14:paraId="2AAE6B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Yuliya Viktorovna PLAKHOTINA</w:t>
            </w:r>
          </w:p>
        </w:tc>
        <w:tc>
          <w:tcPr>
            <w:tcW w:w="836" w:type="dxa"/>
          </w:tcPr>
          <w:p w:rsidRPr="006F34CD" w:rsidR="00515FE0" w:rsidP="006F34CD" w:rsidRDefault="00515FE0" w14:paraId="005FB7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73205E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BCBFAC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60FB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29418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502BD5E" w14:textId="77777777">
        <w:trPr>
          <w:cantSplit/>
        </w:trPr>
        <w:tc>
          <w:tcPr>
            <w:tcW w:w="2249" w:type="dxa"/>
          </w:tcPr>
          <w:p w:rsidRPr="006F34CD" w:rsidR="00515FE0" w:rsidP="006F34CD" w:rsidRDefault="00515FE0" w14:paraId="537374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Anatolyevich PODOPRIGORIN</w:t>
            </w:r>
          </w:p>
        </w:tc>
        <w:tc>
          <w:tcPr>
            <w:tcW w:w="836" w:type="dxa"/>
          </w:tcPr>
          <w:p w:rsidRPr="006F34CD" w:rsidR="00515FE0" w:rsidP="006F34CD" w:rsidRDefault="00515FE0" w14:paraId="0F5AC8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28CC92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B0ECBB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A9E9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E621D1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07D4AF7" w14:textId="77777777">
        <w:trPr>
          <w:cantSplit/>
        </w:trPr>
        <w:tc>
          <w:tcPr>
            <w:tcW w:w="2249" w:type="dxa"/>
          </w:tcPr>
          <w:p w:rsidRPr="006F34CD" w:rsidR="00515FE0" w:rsidP="006F34CD" w:rsidRDefault="00515FE0" w14:paraId="652799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Viktorovna POGOSYAN</w:t>
            </w:r>
          </w:p>
        </w:tc>
        <w:tc>
          <w:tcPr>
            <w:tcW w:w="836" w:type="dxa"/>
          </w:tcPr>
          <w:p w:rsidRPr="006F34CD" w:rsidR="00515FE0" w:rsidP="006F34CD" w:rsidRDefault="00515FE0" w14:paraId="3B4A51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2D34D5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EDFF32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80F00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D85C90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6F80664" w14:textId="77777777">
        <w:trPr>
          <w:cantSplit/>
        </w:trPr>
        <w:tc>
          <w:tcPr>
            <w:tcW w:w="2249" w:type="dxa"/>
          </w:tcPr>
          <w:p w:rsidRPr="006F34CD" w:rsidR="00515FE0" w:rsidP="006F34CD" w:rsidRDefault="00515FE0" w14:paraId="31B195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Ðœikhaylovna POKUSOVA</w:t>
            </w:r>
          </w:p>
        </w:tc>
        <w:tc>
          <w:tcPr>
            <w:tcW w:w="836" w:type="dxa"/>
          </w:tcPr>
          <w:p w:rsidRPr="006F34CD" w:rsidR="00515FE0" w:rsidP="006F34CD" w:rsidRDefault="00515FE0" w14:paraId="04B9DE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699F76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58557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6AF6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D8A1FF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FD30AF9" w14:textId="77777777">
        <w:trPr>
          <w:cantSplit/>
        </w:trPr>
        <w:tc>
          <w:tcPr>
            <w:tcW w:w="2249" w:type="dxa"/>
          </w:tcPr>
          <w:p w:rsidRPr="006F34CD" w:rsidR="00515FE0" w:rsidP="006F34CD" w:rsidRDefault="00515FE0" w14:paraId="1419F9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Alla Leonidovna POLKOVNICHENKO</w:t>
            </w:r>
          </w:p>
        </w:tc>
        <w:tc>
          <w:tcPr>
            <w:tcW w:w="836" w:type="dxa"/>
          </w:tcPr>
          <w:p w:rsidRPr="006F34CD" w:rsidR="00515FE0" w:rsidP="006F34CD" w:rsidRDefault="00515FE0" w14:paraId="438F29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662F12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6F25C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CA128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53510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0AAC014" w14:textId="77777777">
        <w:trPr>
          <w:cantSplit/>
        </w:trPr>
        <w:tc>
          <w:tcPr>
            <w:tcW w:w="2249" w:type="dxa"/>
          </w:tcPr>
          <w:p w:rsidRPr="006F34CD" w:rsidR="00515FE0" w:rsidP="006F34CD" w:rsidRDefault="00515FE0" w14:paraId="3E58E5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Vyacheslav Valeryevich PONOMARENKO</w:t>
            </w:r>
          </w:p>
        </w:tc>
        <w:tc>
          <w:tcPr>
            <w:tcW w:w="836" w:type="dxa"/>
          </w:tcPr>
          <w:p w:rsidRPr="006F34CD" w:rsidR="00515FE0" w:rsidP="006F34CD" w:rsidRDefault="00515FE0" w14:paraId="736DE5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5A0CDF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AEA7DB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E4E75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88BA7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BD0CED7" w14:textId="77777777">
        <w:trPr>
          <w:cantSplit/>
        </w:trPr>
        <w:tc>
          <w:tcPr>
            <w:tcW w:w="2249" w:type="dxa"/>
          </w:tcPr>
          <w:p w:rsidRPr="006F34CD" w:rsidR="00515FE0" w:rsidP="006F34CD" w:rsidRDefault="00515FE0" w14:paraId="51978B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Leonidovna POPOVA</w:t>
            </w:r>
          </w:p>
        </w:tc>
        <w:tc>
          <w:tcPr>
            <w:tcW w:w="836" w:type="dxa"/>
          </w:tcPr>
          <w:p w:rsidRPr="006F34CD" w:rsidR="00515FE0" w:rsidP="006F34CD" w:rsidRDefault="00515FE0" w14:paraId="3DBD0A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1853EE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6F66B0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7401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B6564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6746CEB" w14:textId="77777777">
        <w:trPr>
          <w:cantSplit/>
        </w:trPr>
        <w:tc>
          <w:tcPr>
            <w:tcW w:w="2249" w:type="dxa"/>
          </w:tcPr>
          <w:p w:rsidRPr="006F34CD" w:rsidR="00515FE0" w:rsidP="006F34CD" w:rsidRDefault="00515FE0" w14:paraId="149C14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Fyodorovna POPOVA</w:t>
            </w:r>
          </w:p>
        </w:tc>
        <w:tc>
          <w:tcPr>
            <w:tcW w:w="836" w:type="dxa"/>
          </w:tcPr>
          <w:p w:rsidRPr="006F34CD" w:rsidR="00515FE0" w:rsidP="006F34CD" w:rsidRDefault="00515FE0" w14:paraId="42BDF4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0C543F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Bolshe-Kirsanovo</w:t>
            </w:r>
          </w:p>
        </w:tc>
        <w:tc>
          <w:tcPr>
            <w:tcW w:w="1134" w:type="dxa"/>
          </w:tcPr>
          <w:p w:rsidRPr="006F34CD" w:rsidR="00515FE0" w:rsidP="006F34CD" w:rsidRDefault="00515FE0" w14:paraId="170B14D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2BB5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AD272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27C0BF5" w14:textId="77777777">
        <w:trPr>
          <w:cantSplit/>
        </w:trPr>
        <w:tc>
          <w:tcPr>
            <w:tcW w:w="2249" w:type="dxa"/>
          </w:tcPr>
          <w:p w:rsidRPr="006F34CD" w:rsidR="00515FE0" w:rsidP="006F34CD" w:rsidRDefault="00515FE0" w14:paraId="5B832B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Viktorovna POVALYUHINA</w:t>
            </w:r>
          </w:p>
        </w:tc>
        <w:tc>
          <w:tcPr>
            <w:tcW w:w="836" w:type="dxa"/>
          </w:tcPr>
          <w:p w:rsidRPr="006F34CD" w:rsidR="00515FE0" w:rsidP="006F34CD" w:rsidRDefault="00515FE0" w14:paraId="52171D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5BCA6C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FA3113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D771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D2AEA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541F839" w14:textId="77777777">
        <w:trPr>
          <w:cantSplit/>
        </w:trPr>
        <w:tc>
          <w:tcPr>
            <w:tcW w:w="2249" w:type="dxa"/>
          </w:tcPr>
          <w:p w:rsidRPr="006F34CD" w:rsidR="00515FE0" w:rsidP="006F34CD" w:rsidRDefault="00515FE0" w14:paraId="5BE391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Stepanovna POVIDAYLOVA</w:t>
            </w:r>
          </w:p>
        </w:tc>
        <w:tc>
          <w:tcPr>
            <w:tcW w:w="836" w:type="dxa"/>
          </w:tcPr>
          <w:p w:rsidRPr="006F34CD" w:rsidR="00515FE0" w:rsidP="006F34CD" w:rsidRDefault="00515FE0" w14:paraId="445CDF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1944</w:t>
            </w:r>
          </w:p>
        </w:tc>
        <w:tc>
          <w:tcPr>
            <w:tcW w:w="1305" w:type="dxa"/>
          </w:tcPr>
          <w:p w:rsidRPr="006F34CD" w:rsidR="00515FE0" w:rsidP="006F34CD" w:rsidRDefault="00515FE0" w14:paraId="3A01B6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EC7F01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5285A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3DD8B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75432F1" w14:textId="77777777">
        <w:trPr>
          <w:cantSplit/>
        </w:trPr>
        <w:tc>
          <w:tcPr>
            <w:tcW w:w="2249" w:type="dxa"/>
          </w:tcPr>
          <w:p w:rsidRPr="006F34CD" w:rsidR="00515FE0" w:rsidP="006F34CD" w:rsidRDefault="00515FE0" w14:paraId="2EDC9C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Aleksandrovna PRIMACHENKO</w:t>
            </w:r>
          </w:p>
        </w:tc>
        <w:tc>
          <w:tcPr>
            <w:tcW w:w="836" w:type="dxa"/>
          </w:tcPr>
          <w:p w:rsidRPr="006F34CD" w:rsidR="00515FE0" w:rsidP="006F34CD" w:rsidRDefault="00515FE0" w14:paraId="605A22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7CDF6C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2609F8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D3A7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5DFD75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F1F9F9C" w14:textId="77777777">
        <w:trPr>
          <w:cantSplit/>
        </w:trPr>
        <w:tc>
          <w:tcPr>
            <w:tcW w:w="2249" w:type="dxa"/>
          </w:tcPr>
          <w:p w:rsidRPr="006F34CD" w:rsidR="00515FE0" w:rsidP="006F34CD" w:rsidRDefault="00515FE0" w14:paraId="14330C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Ivanovna PRUCKOVA</w:t>
            </w:r>
          </w:p>
        </w:tc>
        <w:tc>
          <w:tcPr>
            <w:tcW w:w="836" w:type="dxa"/>
          </w:tcPr>
          <w:p w:rsidRPr="006F34CD" w:rsidR="00515FE0" w:rsidP="006F34CD" w:rsidRDefault="00515FE0" w14:paraId="056D0F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43F25D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3EAF99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7566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AEFDD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8D30CEF" w14:textId="77777777">
        <w:trPr>
          <w:cantSplit/>
        </w:trPr>
        <w:tc>
          <w:tcPr>
            <w:tcW w:w="2249" w:type="dxa"/>
          </w:tcPr>
          <w:p w:rsidRPr="006F34CD" w:rsidR="00515FE0" w:rsidP="006F34CD" w:rsidRDefault="00515FE0" w14:paraId="1B3AF7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Nikolaevna PUCHKOVA</w:t>
            </w:r>
          </w:p>
        </w:tc>
        <w:tc>
          <w:tcPr>
            <w:tcW w:w="836" w:type="dxa"/>
          </w:tcPr>
          <w:p w:rsidRPr="006F34CD" w:rsidR="00515FE0" w:rsidP="006F34CD" w:rsidRDefault="00515FE0" w14:paraId="402AE7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48F190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65136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9650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5A0E7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80F140D" w14:textId="77777777">
        <w:trPr>
          <w:cantSplit/>
        </w:trPr>
        <w:tc>
          <w:tcPr>
            <w:tcW w:w="2249" w:type="dxa"/>
          </w:tcPr>
          <w:p w:rsidRPr="006F34CD" w:rsidR="00515FE0" w:rsidP="006F34CD" w:rsidRDefault="00515FE0" w14:paraId="53A412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Vera Ivanovna PUGACH</w:t>
            </w:r>
          </w:p>
        </w:tc>
        <w:tc>
          <w:tcPr>
            <w:tcW w:w="836" w:type="dxa"/>
          </w:tcPr>
          <w:p w:rsidRPr="006F34CD" w:rsidR="00515FE0" w:rsidP="006F34CD" w:rsidRDefault="00515FE0" w14:paraId="5866A5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74D784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B1416D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BD62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867FA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3D036E5" w14:textId="77777777">
        <w:trPr>
          <w:cantSplit/>
        </w:trPr>
        <w:tc>
          <w:tcPr>
            <w:tcW w:w="2249" w:type="dxa"/>
          </w:tcPr>
          <w:p w:rsidRPr="006F34CD" w:rsidR="00515FE0" w:rsidP="006F34CD" w:rsidRDefault="00515FE0" w14:paraId="3580F9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Viktoria Anatolyevna PUSHKARYOVA</w:t>
            </w:r>
          </w:p>
        </w:tc>
        <w:tc>
          <w:tcPr>
            <w:tcW w:w="836" w:type="dxa"/>
          </w:tcPr>
          <w:p w:rsidRPr="006F34CD" w:rsidR="00515FE0" w:rsidP="006F34CD" w:rsidRDefault="00515FE0" w14:paraId="2FF2BD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0E63E1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8CEE0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7A7D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D3FCE0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08698ED" w14:textId="77777777">
        <w:trPr>
          <w:cantSplit/>
        </w:trPr>
        <w:tc>
          <w:tcPr>
            <w:tcW w:w="2249" w:type="dxa"/>
          </w:tcPr>
          <w:p w:rsidRPr="006F34CD" w:rsidR="00515FE0" w:rsidP="006F34CD" w:rsidRDefault="00515FE0" w14:paraId="65D699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Pavlovna PUTEYEVA</w:t>
            </w:r>
          </w:p>
        </w:tc>
        <w:tc>
          <w:tcPr>
            <w:tcW w:w="836" w:type="dxa"/>
          </w:tcPr>
          <w:p w:rsidRPr="006F34CD" w:rsidR="00515FE0" w:rsidP="006F34CD" w:rsidRDefault="00515FE0" w14:paraId="74D81B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2192B5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438091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C183A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EE3B4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16580B" w14:textId="77777777">
        <w:trPr>
          <w:cantSplit/>
        </w:trPr>
        <w:tc>
          <w:tcPr>
            <w:tcW w:w="2249" w:type="dxa"/>
          </w:tcPr>
          <w:p w:rsidRPr="006F34CD" w:rsidR="00515FE0" w:rsidP="006F34CD" w:rsidRDefault="00515FE0" w14:paraId="16A56C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Nikolaevna PYATAKOVA</w:t>
            </w:r>
          </w:p>
        </w:tc>
        <w:tc>
          <w:tcPr>
            <w:tcW w:w="836" w:type="dxa"/>
          </w:tcPr>
          <w:p w:rsidRPr="006F34CD" w:rsidR="00515FE0" w:rsidP="006F34CD" w:rsidRDefault="00515FE0" w14:paraId="634EB0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5CDECA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A00FA2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28A41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CFCCB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256D75D" w14:textId="77777777">
        <w:trPr>
          <w:cantSplit/>
        </w:trPr>
        <w:tc>
          <w:tcPr>
            <w:tcW w:w="2249" w:type="dxa"/>
          </w:tcPr>
          <w:p w:rsidRPr="006F34CD" w:rsidR="00515FE0" w:rsidP="006F34CD" w:rsidRDefault="00515FE0" w14:paraId="093C60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Genrietta Aleksandrovna RAKOVA</w:t>
            </w:r>
          </w:p>
        </w:tc>
        <w:tc>
          <w:tcPr>
            <w:tcW w:w="836" w:type="dxa"/>
          </w:tcPr>
          <w:p w:rsidRPr="006F34CD" w:rsidR="00515FE0" w:rsidP="006F34CD" w:rsidRDefault="00515FE0" w14:paraId="6C44A7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20CD56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076131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C5FC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2848E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E61D0A5" w14:textId="77777777">
        <w:trPr>
          <w:cantSplit/>
        </w:trPr>
        <w:tc>
          <w:tcPr>
            <w:tcW w:w="2249" w:type="dxa"/>
          </w:tcPr>
          <w:p w:rsidRPr="006F34CD" w:rsidR="00515FE0" w:rsidP="006F34CD" w:rsidRDefault="00515FE0" w14:paraId="2890C0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Aleksandrovna RAZVALOVA</w:t>
            </w:r>
          </w:p>
        </w:tc>
        <w:tc>
          <w:tcPr>
            <w:tcW w:w="836" w:type="dxa"/>
          </w:tcPr>
          <w:p w:rsidRPr="006F34CD" w:rsidR="00515FE0" w:rsidP="006F34CD" w:rsidRDefault="00515FE0" w14:paraId="5427BE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13CEBD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D521FF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A1A0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D9BD5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2A23759" w14:textId="77777777">
        <w:trPr>
          <w:cantSplit/>
        </w:trPr>
        <w:tc>
          <w:tcPr>
            <w:tcW w:w="2249" w:type="dxa"/>
          </w:tcPr>
          <w:p w:rsidRPr="006F34CD" w:rsidR="00515FE0" w:rsidP="006F34CD" w:rsidRDefault="00515FE0" w14:paraId="098E58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Vasilyevna REDKOKASHA</w:t>
            </w:r>
          </w:p>
        </w:tc>
        <w:tc>
          <w:tcPr>
            <w:tcW w:w="836" w:type="dxa"/>
          </w:tcPr>
          <w:p w:rsidRPr="006F34CD" w:rsidR="00515FE0" w:rsidP="006F34CD" w:rsidRDefault="00515FE0" w14:paraId="34F865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385DDB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Novobessergenevka</w:t>
            </w:r>
          </w:p>
        </w:tc>
        <w:tc>
          <w:tcPr>
            <w:tcW w:w="1134" w:type="dxa"/>
          </w:tcPr>
          <w:p w:rsidRPr="006F34CD" w:rsidR="00515FE0" w:rsidP="006F34CD" w:rsidRDefault="00515FE0" w14:paraId="03AD085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269D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4685C1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6F50204" w14:textId="77777777">
        <w:trPr>
          <w:cantSplit/>
        </w:trPr>
        <w:tc>
          <w:tcPr>
            <w:tcW w:w="2249" w:type="dxa"/>
          </w:tcPr>
          <w:p w:rsidRPr="006F34CD" w:rsidR="00515FE0" w:rsidP="006F34CD" w:rsidRDefault="00515FE0" w14:paraId="14322C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Gennadyevich REPIN</w:t>
            </w:r>
          </w:p>
        </w:tc>
        <w:tc>
          <w:tcPr>
            <w:tcW w:w="836" w:type="dxa"/>
          </w:tcPr>
          <w:p w:rsidRPr="006F34CD" w:rsidR="00515FE0" w:rsidP="006F34CD" w:rsidRDefault="00515FE0" w14:paraId="63DD06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31528C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6EB76B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35B7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1CE6B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F8DBE93" w14:textId="77777777">
        <w:trPr>
          <w:cantSplit/>
        </w:trPr>
        <w:tc>
          <w:tcPr>
            <w:tcW w:w="2249" w:type="dxa"/>
          </w:tcPr>
          <w:p w:rsidRPr="006F34CD" w:rsidR="00515FE0" w:rsidP="006F34CD" w:rsidRDefault="00515FE0" w14:paraId="505B1A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Ivanovna REPINA</w:t>
            </w:r>
          </w:p>
        </w:tc>
        <w:tc>
          <w:tcPr>
            <w:tcW w:w="836" w:type="dxa"/>
          </w:tcPr>
          <w:p w:rsidRPr="006F34CD" w:rsidR="00515FE0" w:rsidP="006F34CD" w:rsidRDefault="00515FE0" w14:paraId="522247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0826BA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0D3A42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4E812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8BDAC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54EEB63" w14:textId="77777777">
        <w:trPr>
          <w:cantSplit/>
        </w:trPr>
        <w:tc>
          <w:tcPr>
            <w:tcW w:w="2249" w:type="dxa"/>
          </w:tcPr>
          <w:p w:rsidRPr="006F34CD" w:rsidR="00515FE0" w:rsidP="006F34CD" w:rsidRDefault="00515FE0" w14:paraId="1BD4DE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Sergeyevna REZNIKOVA</w:t>
            </w:r>
          </w:p>
        </w:tc>
        <w:tc>
          <w:tcPr>
            <w:tcW w:w="836" w:type="dxa"/>
          </w:tcPr>
          <w:p w:rsidRPr="006F34CD" w:rsidR="00515FE0" w:rsidP="006F34CD" w:rsidRDefault="00515FE0" w14:paraId="506A96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2410E7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783D8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0D73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715404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0C6F3F3" w14:textId="77777777">
        <w:trPr>
          <w:cantSplit/>
        </w:trPr>
        <w:tc>
          <w:tcPr>
            <w:tcW w:w="2249" w:type="dxa"/>
          </w:tcPr>
          <w:p w:rsidRPr="006F34CD" w:rsidR="00515FE0" w:rsidP="006F34CD" w:rsidRDefault="00515FE0" w14:paraId="5FA8EC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Alekseyevna RIKBERG</w:t>
            </w:r>
          </w:p>
        </w:tc>
        <w:tc>
          <w:tcPr>
            <w:tcW w:w="836" w:type="dxa"/>
          </w:tcPr>
          <w:p w:rsidRPr="006F34CD" w:rsidR="00515FE0" w:rsidP="006F34CD" w:rsidRDefault="00515FE0" w14:paraId="6E8261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1AF166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A01A8B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B1E0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EF4CF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B250D11" w14:textId="77777777">
        <w:trPr>
          <w:cantSplit/>
        </w:trPr>
        <w:tc>
          <w:tcPr>
            <w:tcW w:w="2249" w:type="dxa"/>
          </w:tcPr>
          <w:p w:rsidRPr="006F34CD" w:rsidR="00515FE0" w:rsidP="006F34CD" w:rsidRDefault="00515FE0" w14:paraId="3B8979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Tamara Pavlovna ROMANENKO</w:t>
            </w:r>
          </w:p>
        </w:tc>
        <w:tc>
          <w:tcPr>
            <w:tcW w:w="836" w:type="dxa"/>
          </w:tcPr>
          <w:p w:rsidRPr="006F34CD" w:rsidR="00515FE0" w:rsidP="006F34CD" w:rsidRDefault="00515FE0" w14:paraId="23FEAE5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7C737B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53D2E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CFBA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B3353D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ED4D090" w14:textId="77777777">
        <w:trPr>
          <w:cantSplit/>
        </w:trPr>
        <w:tc>
          <w:tcPr>
            <w:tcW w:w="2249" w:type="dxa"/>
          </w:tcPr>
          <w:p w:rsidRPr="006F34CD" w:rsidR="00515FE0" w:rsidP="006F34CD" w:rsidRDefault="00515FE0" w14:paraId="37731F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Ðšlavdiya Dmitrievna ROMANOVA</w:t>
            </w:r>
          </w:p>
        </w:tc>
        <w:tc>
          <w:tcPr>
            <w:tcW w:w="836" w:type="dxa"/>
          </w:tcPr>
          <w:p w:rsidRPr="006F34CD" w:rsidR="00515FE0" w:rsidP="006F34CD" w:rsidRDefault="00515FE0" w14:paraId="568AED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2AC056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Russkaya Slobodka</w:t>
            </w:r>
          </w:p>
        </w:tc>
        <w:tc>
          <w:tcPr>
            <w:tcW w:w="1134" w:type="dxa"/>
          </w:tcPr>
          <w:p w:rsidRPr="006F34CD" w:rsidR="00515FE0" w:rsidP="006F34CD" w:rsidRDefault="00515FE0" w14:paraId="2FBDD7E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1049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8D42D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D533C71" w14:textId="77777777">
        <w:trPr>
          <w:cantSplit/>
        </w:trPr>
        <w:tc>
          <w:tcPr>
            <w:tcW w:w="2249" w:type="dxa"/>
          </w:tcPr>
          <w:p w:rsidRPr="006F34CD" w:rsidR="00515FE0" w:rsidP="006F34CD" w:rsidRDefault="00515FE0" w14:paraId="555202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Gerasimovich RUDYASHKO</w:t>
            </w:r>
          </w:p>
        </w:tc>
        <w:tc>
          <w:tcPr>
            <w:tcW w:w="836" w:type="dxa"/>
          </w:tcPr>
          <w:p w:rsidRPr="006F34CD" w:rsidR="00515FE0" w:rsidP="006F34CD" w:rsidRDefault="00515FE0" w14:paraId="462E08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6F11A4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2DFE5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274C2E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46622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6457502" w14:textId="77777777">
        <w:trPr>
          <w:cantSplit/>
        </w:trPr>
        <w:tc>
          <w:tcPr>
            <w:tcW w:w="2249" w:type="dxa"/>
          </w:tcPr>
          <w:p w:rsidRPr="006F34CD" w:rsidR="00515FE0" w:rsidP="006F34CD" w:rsidRDefault="00515FE0" w14:paraId="1D4286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Viktorovna RUDYASHKO</w:t>
            </w:r>
          </w:p>
        </w:tc>
        <w:tc>
          <w:tcPr>
            <w:tcW w:w="836" w:type="dxa"/>
          </w:tcPr>
          <w:p w:rsidRPr="006F34CD" w:rsidR="00515FE0" w:rsidP="006F34CD" w:rsidRDefault="00515FE0" w14:paraId="1C31B9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3A9AC6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EC86D5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16E95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C0350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DA05F6B" w14:textId="77777777">
        <w:trPr>
          <w:cantSplit/>
        </w:trPr>
        <w:tc>
          <w:tcPr>
            <w:tcW w:w="2249" w:type="dxa"/>
          </w:tcPr>
          <w:p w:rsidRPr="006F34CD" w:rsidR="00515FE0" w:rsidP="006F34CD" w:rsidRDefault="00515FE0" w14:paraId="41A6BB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Pavlovna RYABOKON</w:t>
            </w:r>
          </w:p>
        </w:tc>
        <w:tc>
          <w:tcPr>
            <w:tcW w:w="836" w:type="dxa"/>
          </w:tcPr>
          <w:p w:rsidRPr="006F34CD" w:rsidR="00515FE0" w:rsidP="006F34CD" w:rsidRDefault="00515FE0" w14:paraId="348514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7063AC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AF0009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5347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9E8A8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CC8438E" w14:textId="77777777">
        <w:trPr>
          <w:cantSplit/>
        </w:trPr>
        <w:tc>
          <w:tcPr>
            <w:tcW w:w="2249" w:type="dxa"/>
          </w:tcPr>
          <w:p w:rsidRPr="006F34CD" w:rsidR="00515FE0" w:rsidP="006F34CD" w:rsidRDefault="00515FE0" w14:paraId="6C7966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Gabbas Bikmukhametovich SAGITDINOV</w:t>
            </w:r>
          </w:p>
        </w:tc>
        <w:tc>
          <w:tcPr>
            <w:tcW w:w="836" w:type="dxa"/>
          </w:tcPr>
          <w:p w:rsidRPr="006F34CD" w:rsidR="00515FE0" w:rsidP="006F34CD" w:rsidRDefault="00515FE0" w14:paraId="0859A7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72807F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6B619D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0A8EA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70F30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1627ACE" w14:textId="77777777">
        <w:trPr>
          <w:cantSplit/>
        </w:trPr>
        <w:tc>
          <w:tcPr>
            <w:tcW w:w="2249" w:type="dxa"/>
          </w:tcPr>
          <w:p w:rsidRPr="006F34CD" w:rsidR="00515FE0" w:rsidP="006F34CD" w:rsidRDefault="00515FE0" w14:paraId="29D4A6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Aleksandrovna SAMORODOVA</w:t>
            </w:r>
          </w:p>
        </w:tc>
        <w:tc>
          <w:tcPr>
            <w:tcW w:w="836" w:type="dxa"/>
          </w:tcPr>
          <w:p w:rsidRPr="006F34CD" w:rsidR="00515FE0" w:rsidP="006F34CD" w:rsidRDefault="00515FE0" w14:paraId="5E15CE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05B171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35E4BA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88EAD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6A5CA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BB9DD4F" w14:textId="77777777">
        <w:trPr>
          <w:cantSplit/>
        </w:trPr>
        <w:tc>
          <w:tcPr>
            <w:tcW w:w="2249" w:type="dxa"/>
          </w:tcPr>
          <w:p w:rsidRPr="006F34CD" w:rsidR="00515FE0" w:rsidP="006F34CD" w:rsidRDefault="00515FE0" w14:paraId="1A0E2A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Valentinovna SAVCHENKO</w:t>
            </w:r>
          </w:p>
        </w:tc>
        <w:tc>
          <w:tcPr>
            <w:tcW w:w="836" w:type="dxa"/>
          </w:tcPr>
          <w:p w:rsidRPr="006F34CD" w:rsidR="00515FE0" w:rsidP="006F34CD" w:rsidRDefault="00515FE0" w14:paraId="2C84E9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01FBDD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65F0F5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DD042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4F450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432913A" w14:textId="77777777">
        <w:trPr>
          <w:cantSplit/>
        </w:trPr>
        <w:tc>
          <w:tcPr>
            <w:tcW w:w="2249" w:type="dxa"/>
          </w:tcPr>
          <w:p w:rsidRPr="006F34CD" w:rsidR="00515FE0" w:rsidP="006F34CD" w:rsidRDefault="00515FE0" w14:paraId="046C0E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Kamila Maratovna SAVCHENKO</w:t>
            </w:r>
          </w:p>
        </w:tc>
        <w:tc>
          <w:tcPr>
            <w:tcW w:w="836" w:type="dxa"/>
          </w:tcPr>
          <w:p w:rsidRPr="006F34CD" w:rsidR="00515FE0" w:rsidP="006F34CD" w:rsidRDefault="00515FE0" w14:paraId="406A51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1989</w:t>
            </w:r>
          </w:p>
        </w:tc>
        <w:tc>
          <w:tcPr>
            <w:tcW w:w="1305" w:type="dxa"/>
          </w:tcPr>
          <w:p w:rsidRPr="006F34CD" w:rsidR="00515FE0" w:rsidP="006F34CD" w:rsidRDefault="00515FE0" w14:paraId="49B686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A41634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89C0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49F74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D7A8518" w14:textId="77777777">
        <w:trPr>
          <w:cantSplit/>
        </w:trPr>
        <w:tc>
          <w:tcPr>
            <w:tcW w:w="2249" w:type="dxa"/>
          </w:tcPr>
          <w:p w:rsidRPr="006F34CD" w:rsidR="00515FE0" w:rsidP="006F34CD" w:rsidRDefault="00515FE0" w14:paraId="42FA14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Andreevna SAVCHENKO</w:t>
            </w:r>
          </w:p>
        </w:tc>
        <w:tc>
          <w:tcPr>
            <w:tcW w:w="836" w:type="dxa"/>
          </w:tcPr>
          <w:p w:rsidRPr="006F34CD" w:rsidR="00515FE0" w:rsidP="006F34CD" w:rsidRDefault="00515FE0" w14:paraId="0EF2F4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19953B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D157B7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2D9C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CE377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65B1046" w14:textId="77777777">
        <w:trPr>
          <w:cantSplit/>
        </w:trPr>
        <w:tc>
          <w:tcPr>
            <w:tcW w:w="2249" w:type="dxa"/>
          </w:tcPr>
          <w:p w:rsidRPr="006F34CD" w:rsidR="00515FE0" w:rsidP="006F34CD" w:rsidRDefault="00515FE0" w14:paraId="7050D6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Vasilyevna SAVOSTINA</w:t>
            </w:r>
          </w:p>
        </w:tc>
        <w:tc>
          <w:tcPr>
            <w:tcW w:w="836" w:type="dxa"/>
          </w:tcPr>
          <w:p w:rsidRPr="006F34CD" w:rsidR="00515FE0" w:rsidP="006F34CD" w:rsidRDefault="00515FE0" w14:paraId="684DD5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0CFFF9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305296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111F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3E57F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26C4AF2" w14:textId="77777777">
        <w:trPr>
          <w:cantSplit/>
        </w:trPr>
        <w:tc>
          <w:tcPr>
            <w:tcW w:w="2249" w:type="dxa"/>
          </w:tcPr>
          <w:p w:rsidRPr="006F34CD" w:rsidR="00515FE0" w:rsidP="006F34CD" w:rsidRDefault="00515FE0" w14:paraId="4E8C35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Zoya Viktorovna SAZONENKO</w:t>
            </w:r>
          </w:p>
        </w:tc>
        <w:tc>
          <w:tcPr>
            <w:tcW w:w="836" w:type="dxa"/>
          </w:tcPr>
          <w:p w:rsidRPr="006F34CD" w:rsidR="00515FE0" w:rsidP="006F34CD" w:rsidRDefault="00515FE0" w14:paraId="73E4DB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2DC7AC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0357DD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2A730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A8BDB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C037A00" w14:textId="77777777">
        <w:trPr>
          <w:cantSplit/>
        </w:trPr>
        <w:tc>
          <w:tcPr>
            <w:tcW w:w="2249" w:type="dxa"/>
          </w:tcPr>
          <w:p w:rsidRPr="006F34CD" w:rsidR="00515FE0" w:rsidP="006F34CD" w:rsidRDefault="00515FE0" w14:paraId="0F83E1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Aleksandrovich SCHAVELEV</w:t>
            </w:r>
          </w:p>
        </w:tc>
        <w:tc>
          <w:tcPr>
            <w:tcW w:w="836" w:type="dxa"/>
          </w:tcPr>
          <w:p w:rsidRPr="006F34CD" w:rsidR="00515FE0" w:rsidP="006F34CD" w:rsidRDefault="00515FE0" w14:paraId="5170F4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75703D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DF338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6DCB4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C1851B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DE5F345" w14:textId="77777777">
        <w:trPr>
          <w:cantSplit/>
        </w:trPr>
        <w:tc>
          <w:tcPr>
            <w:tcW w:w="2249" w:type="dxa"/>
          </w:tcPr>
          <w:p w:rsidRPr="006F34CD" w:rsidR="00515FE0" w:rsidP="006F34CD" w:rsidRDefault="00515FE0" w14:paraId="3C6C25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Aleksandra Ivanovna SCHAVELEVA</w:t>
            </w:r>
          </w:p>
        </w:tc>
        <w:tc>
          <w:tcPr>
            <w:tcW w:w="836" w:type="dxa"/>
          </w:tcPr>
          <w:p w:rsidRPr="006F34CD" w:rsidR="00515FE0" w:rsidP="006F34CD" w:rsidRDefault="00515FE0" w14:paraId="1BE933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5C6EF4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7B4BDC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E0EF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F467A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091701F" w14:textId="77777777">
        <w:trPr>
          <w:cantSplit/>
        </w:trPr>
        <w:tc>
          <w:tcPr>
            <w:tcW w:w="2249" w:type="dxa"/>
          </w:tcPr>
          <w:p w:rsidRPr="006F34CD" w:rsidR="00515FE0" w:rsidP="006F34CD" w:rsidRDefault="00515FE0" w14:paraId="69B261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Nikolaevna SCHEBUNYAEVA</w:t>
            </w:r>
          </w:p>
        </w:tc>
        <w:tc>
          <w:tcPr>
            <w:tcW w:w="836" w:type="dxa"/>
          </w:tcPr>
          <w:p w:rsidRPr="006F34CD" w:rsidR="00515FE0" w:rsidP="006F34CD" w:rsidRDefault="00515FE0" w14:paraId="7B5357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47554C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E6D26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70BF8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C7005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0234CFA" w14:textId="77777777">
        <w:trPr>
          <w:cantSplit/>
        </w:trPr>
        <w:tc>
          <w:tcPr>
            <w:tcW w:w="2249" w:type="dxa"/>
          </w:tcPr>
          <w:p w:rsidRPr="006F34CD" w:rsidR="00515FE0" w:rsidP="006F34CD" w:rsidRDefault="00515FE0" w14:paraId="168752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Vyacheslav Valeryevich SCHEKALYOV</w:t>
            </w:r>
          </w:p>
        </w:tc>
        <w:tc>
          <w:tcPr>
            <w:tcW w:w="836" w:type="dxa"/>
          </w:tcPr>
          <w:p w:rsidRPr="006F34CD" w:rsidR="00515FE0" w:rsidP="006F34CD" w:rsidRDefault="00515FE0" w14:paraId="60680D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12E12E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3D47FE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3B41D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E58CF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CF67D8D" w14:textId="77777777">
        <w:trPr>
          <w:cantSplit/>
        </w:trPr>
        <w:tc>
          <w:tcPr>
            <w:tcW w:w="2249" w:type="dxa"/>
          </w:tcPr>
          <w:p w:rsidRPr="006F34CD" w:rsidR="00515FE0" w:rsidP="006F34CD" w:rsidRDefault="00515FE0" w14:paraId="554CF0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Ivan Panteleyevich SCHYUR</w:t>
            </w:r>
          </w:p>
        </w:tc>
        <w:tc>
          <w:tcPr>
            <w:tcW w:w="836" w:type="dxa"/>
          </w:tcPr>
          <w:p w:rsidRPr="006F34CD" w:rsidR="00515FE0" w:rsidP="006F34CD" w:rsidRDefault="00515FE0" w14:paraId="03C0D9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18714C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D8E6E4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28A0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D9BCC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E75A81E" w14:textId="77777777">
        <w:trPr>
          <w:cantSplit/>
        </w:trPr>
        <w:tc>
          <w:tcPr>
            <w:tcW w:w="2249" w:type="dxa"/>
          </w:tcPr>
          <w:p w:rsidRPr="006F34CD" w:rsidR="00515FE0" w:rsidP="006F34CD" w:rsidRDefault="00515FE0" w14:paraId="673B51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Vladimirovna SCHYUR</w:t>
            </w:r>
          </w:p>
        </w:tc>
        <w:tc>
          <w:tcPr>
            <w:tcW w:w="836" w:type="dxa"/>
          </w:tcPr>
          <w:p w:rsidRPr="006F34CD" w:rsidR="00515FE0" w:rsidP="006F34CD" w:rsidRDefault="00515FE0" w14:paraId="69BD2B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192900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F63E7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C629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E3B92A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E52AE9C" w14:textId="77777777">
        <w:trPr>
          <w:cantSplit/>
        </w:trPr>
        <w:tc>
          <w:tcPr>
            <w:tcW w:w="2249" w:type="dxa"/>
          </w:tcPr>
          <w:p w:rsidRPr="006F34CD" w:rsidR="00515FE0" w:rsidP="006F34CD" w:rsidRDefault="00515FE0" w14:paraId="32BF81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Arsentyevna SEMENYUTA</w:t>
            </w:r>
          </w:p>
        </w:tc>
        <w:tc>
          <w:tcPr>
            <w:tcW w:w="836" w:type="dxa"/>
          </w:tcPr>
          <w:p w:rsidRPr="006F34CD" w:rsidR="00515FE0" w:rsidP="006F34CD" w:rsidRDefault="00515FE0" w14:paraId="77D72B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1929</w:t>
            </w:r>
          </w:p>
        </w:tc>
        <w:tc>
          <w:tcPr>
            <w:tcW w:w="1305" w:type="dxa"/>
          </w:tcPr>
          <w:p w:rsidRPr="006F34CD" w:rsidR="00515FE0" w:rsidP="006F34CD" w:rsidRDefault="00515FE0" w14:paraId="14B8CC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089B00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33B7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42659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6737E30" w14:textId="77777777">
        <w:trPr>
          <w:cantSplit/>
        </w:trPr>
        <w:tc>
          <w:tcPr>
            <w:tcW w:w="2249" w:type="dxa"/>
          </w:tcPr>
          <w:p w:rsidRPr="006F34CD" w:rsidR="00515FE0" w:rsidP="006F34CD" w:rsidRDefault="00515FE0" w14:paraId="65014E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Fyodorovna SEMIROVA</w:t>
            </w:r>
          </w:p>
        </w:tc>
        <w:tc>
          <w:tcPr>
            <w:tcW w:w="836" w:type="dxa"/>
          </w:tcPr>
          <w:p w:rsidRPr="006F34CD" w:rsidR="00515FE0" w:rsidP="006F34CD" w:rsidRDefault="00515FE0" w14:paraId="7E1BDE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0E3D55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1F3A8F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A5C0C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0E1833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061C399" w14:textId="77777777">
        <w:trPr>
          <w:cantSplit/>
        </w:trPr>
        <w:tc>
          <w:tcPr>
            <w:tcW w:w="2249" w:type="dxa"/>
          </w:tcPr>
          <w:p w:rsidRPr="006F34CD" w:rsidR="00515FE0" w:rsidP="006F34CD" w:rsidRDefault="00515FE0" w14:paraId="77BCF3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Terentyevna SEMYENOVA</w:t>
            </w:r>
          </w:p>
        </w:tc>
        <w:tc>
          <w:tcPr>
            <w:tcW w:w="836" w:type="dxa"/>
          </w:tcPr>
          <w:p w:rsidRPr="006F34CD" w:rsidR="00515FE0" w:rsidP="006F34CD" w:rsidRDefault="00515FE0" w14:paraId="26E572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1932</w:t>
            </w:r>
          </w:p>
        </w:tc>
        <w:tc>
          <w:tcPr>
            <w:tcW w:w="1305" w:type="dxa"/>
          </w:tcPr>
          <w:p w:rsidRPr="006F34CD" w:rsidR="00515FE0" w:rsidP="006F34CD" w:rsidRDefault="00515FE0" w14:paraId="4B5A2E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DB2B0C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35C0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8159E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62A2454" w14:textId="77777777">
        <w:trPr>
          <w:cantSplit/>
        </w:trPr>
        <w:tc>
          <w:tcPr>
            <w:tcW w:w="2249" w:type="dxa"/>
          </w:tcPr>
          <w:p w:rsidRPr="006F34CD" w:rsidR="00515FE0" w:rsidP="006F34CD" w:rsidRDefault="00515FE0" w14:paraId="41996E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Polina lvanovna SEMYONCHENCO</w:t>
            </w:r>
          </w:p>
        </w:tc>
        <w:tc>
          <w:tcPr>
            <w:tcW w:w="836" w:type="dxa"/>
          </w:tcPr>
          <w:p w:rsidRPr="006F34CD" w:rsidR="00515FE0" w:rsidP="006F34CD" w:rsidRDefault="00515FE0" w14:paraId="36271A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151FC2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E70287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CE91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2B5091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1440B3D" w14:textId="77777777">
        <w:trPr>
          <w:cantSplit/>
        </w:trPr>
        <w:tc>
          <w:tcPr>
            <w:tcW w:w="2249" w:type="dxa"/>
          </w:tcPr>
          <w:p w:rsidRPr="006F34CD" w:rsidR="00515FE0" w:rsidP="006F34CD" w:rsidRDefault="00515FE0" w14:paraId="69C058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Stepanovna SGIBNEVA</w:t>
            </w:r>
          </w:p>
        </w:tc>
        <w:tc>
          <w:tcPr>
            <w:tcW w:w="836" w:type="dxa"/>
          </w:tcPr>
          <w:p w:rsidRPr="006F34CD" w:rsidR="00515FE0" w:rsidP="006F34CD" w:rsidRDefault="00515FE0" w14:paraId="131974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5283EA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Novoandrianovka</w:t>
            </w:r>
          </w:p>
        </w:tc>
        <w:tc>
          <w:tcPr>
            <w:tcW w:w="1134" w:type="dxa"/>
          </w:tcPr>
          <w:p w:rsidRPr="006F34CD" w:rsidR="00515FE0" w:rsidP="006F34CD" w:rsidRDefault="00515FE0" w14:paraId="29D9935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F759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E2735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7F0BC37" w14:textId="77777777">
        <w:trPr>
          <w:cantSplit/>
        </w:trPr>
        <w:tc>
          <w:tcPr>
            <w:tcW w:w="2249" w:type="dxa"/>
          </w:tcPr>
          <w:p w:rsidRPr="006F34CD" w:rsidR="00515FE0" w:rsidP="006F34CD" w:rsidRDefault="00515FE0" w14:paraId="0A6FFC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Nikolaevna SHALIMOVA</w:t>
            </w:r>
          </w:p>
        </w:tc>
        <w:tc>
          <w:tcPr>
            <w:tcW w:w="836" w:type="dxa"/>
          </w:tcPr>
          <w:p w:rsidRPr="006F34CD" w:rsidR="00515FE0" w:rsidP="006F34CD" w:rsidRDefault="00515FE0" w14:paraId="053B5B5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512B20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E879B9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68A6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0D5DF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3FDF311" w14:textId="77777777">
        <w:trPr>
          <w:cantSplit/>
        </w:trPr>
        <w:tc>
          <w:tcPr>
            <w:tcW w:w="2249" w:type="dxa"/>
          </w:tcPr>
          <w:p w:rsidRPr="006F34CD" w:rsidR="00515FE0" w:rsidP="006F34CD" w:rsidRDefault="00515FE0" w14:paraId="297161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Pavlovna SHAPRANOVA</w:t>
            </w:r>
          </w:p>
        </w:tc>
        <w:tc>
          <w:tcPr>
            <w:tcW w:w="836" w:type="dxa"/>
          </w:tcPr>
          <w:p w:rsidRPr="006F34CD" w:rsidR="00515FE0" w:rsidP="006F34CD" w:rsidRDefault="00515FE0" w14:paraId="7DB904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3DFB8E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684D8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79EDF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DAA294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79E4BF9" w14:textId="77777777">
        <w:trPr>
          <w:cantSplit/>
        </w:trPr>
        <w:tc>
          <w:tcPr>
            <w:tcW w:w="2249" w:type="dxa"/>
          </w:tcPr>
          <w:p w:rsidRPr="006F34CD" w:rsidR="00515FE0" w:rsidP="006F34CD" w:rsidRDefault="00515FE0" w14:paraId="606293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Nataliya Aleksandrovna SHAPRANOVA</w:t>
            </w:r>
          </w:p>
        </w:tc>
        <w:tc>
          <w:tcPr>
            <w:tcW w:w="836" w:type="dxa"/>
          </w:tcPr>
          <w:p w:rsidRPr="006F34CD" w:rsidR="00515FE0" w:rsidP="006F34CD" w:rsidRDefault="00515FE0" w14:paraId="40B1B0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7BDB3A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46D568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9D15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24C63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6F1DE8F" w14:textId="77777777">
        <w:trPr>
          <w:cantSplit/>
        </w:trPr>
        <w:tc>
          <w:tcPr>
            <w:tcW w:w="2249" w:type="dxa"/>
          </w:tcPr>
          <w:p w:rsidRPr="006F34CD" w:rsidR="00515FE0" w:rsidP="006F34CD" w:rsidRDefault="00515FE0" w14:paraId="6ED583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Yuryevna SHEKHOVCOVA</w:t>
            </w:r>
          </w:p>
        </w:tc>
        <w:tc>
          <w:tcPr>
            <w:tcW w:w="836" w:type="dxa"/>
          </w:tcPr>
          <w:p w:rsidRPr="006F34CD" w:rsidR="00515FE0" w:rsidP="006F34CD" w:rsidRDefault="00515FE0" w14:paraId="102C0C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04ED59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07D218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7C3CE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838D2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B5BB8EB" w14:textId="77777777">
        <w:trPr>
          <w:cantSplit/>
        </w:trPr>
        <w:tc>
          <w:tcPr>
            <w:tcW w:w="2249" w:type="dxa"/>
          </w:tcPr>
          <w:p w:rsidRPr="006F34CD" w:rsidR="00515FE0" w:rsidP="006F34CD" w:rsidRDefault="00515FE0" w14:paraId="67F3F9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Ivan Alekseyevich SHEREMETOV</w:t>
            </w:r>
          </w:p>
        </w:tc>
        <w:tc>
          <w:tcPr>
            <w:tcW w:w="836" w:type="dxa"/>
          </w:tcPr>
          <w:p w:rsidRPr="006F34CD" w:rsidR="00515FE0" w:rsidP="006F34CD" w:rsidRDefault="00515FE0" w14:paraId="15B3BC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2B407F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Dolokovka</w:t>
            </w:r>
          </w:p>
        </w:tc>
        <w:tc>
          <w:tcPr>
            <w:tcW w:w="1134" w:type="dxa"/>
          </w:tcPr>
          <w:p w:rsidRPr="006F34CD" w:rsidR="00515FE0" w:rsidP="006F34CD" w:rsidRDefault="00515FE0" w14:paraId="64693FF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C81CC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C05F38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A0546C1" w14:textId="77777777">
        <w:trPr>
          <w:cantSplit/>
        </w:trPr>
        <w:tc>
          <w:tcPr>
            <w:tcW w:w="2249" w:type="dxa"/>
          </w:tcPr>
          <w:p w:rsidRPr="006F34CD" w:rsidR="00515FE0" w:rsidP="006F34CD" w:rsidRDefault="00515FE0" w14:paraId="58D1B8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Borisovna SHEREMETOVA</w:t>
            </w:r>
          </w:p>
        </w:tc>
        <w:tc>
          <w:tcPr>
            <w:tcW w:w="836" w:type="dxa"/>
          </w:tcPr>
          <w:p w:rsidRPr="006F34CD" w:rsidR="00515FE0" w:rsidP="006F34CD" w:rsidRDefault="00515FE0" w14:paraId="008EE3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04AC2E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Troitskoye</w:t>
            </w:r>
          </w:p>
        </w:tc>
        <w:tc>
          <w:tcPr>
            <w:tcW w:w="1134" w:type="dxa"/>
          </w:tcPr>
          <w:p w:rsidRPr="006F34CD" w:rsidR="00515FE0" w:rsidP="006F34CD" w:rsidRDefault="00515FE0" w14:paraId="5C6D74A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2097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3561F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0B72FD3" w14:textId="77777777">
        <w:trPr>
          <w:cantSplit/>
        </w:trPr>
        <w:tc>
          <w:tcPr>
            <w:tcW w:w="2249" w:type="dxa"/>
          </w:tcPr>
          <w:p w:rsidRPr="006F34CD" w:rsidR="00515FE0" w:rsidP="006F34CD" w:rsidRDefault="00515FE0" w14:paraId="47782E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Alekseyevna SHEREMETOVA</w:t>
            </w:r>
          </w:p>
        </w:tc>
        <w:tc>
          <w:tcPr>
            <w:tcW w:w="836" w:type="dxa"/>
          </w:tcPr>
          <w:p w:rsidRPr="006F34CD" w:rsidR="00515FE0" w:rsidP="006F34CD" w:rsidRDefault="00515FE0" w14:paraId="689EF2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34CEB35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Dolokovka</w:t>
            </w:r>
          </w:p>
        </w:tc>
        <w:tc>
          <w:tcPr>
            <w:tcW w:w="1134" w:type="dxa"/>
          </w:tcPr>
          <w:p w:rsidRPr="006F34CD" w:rsidR="00515FE0" w:rsidP="006F34CD" w:rsidRDefault="00515FE0" w14:paraId="78C250C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A152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4E06CB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CA77CC" w14:textId="77777777">
        <w:trPr>
          <w:cantSplit/>
        </w:trPr>
        <w:tc>
          <w:tcPr>
            <w:tcW w:w="2249" w:type="dxa"/>
          </w:tcPr>
          <w:p w:rsidRPr="006F34CD" w:rsidR="00515FE0" w:rsidP="006F34CD" w:rsidRDefault="00515FE0" w14:paraId="2EB283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Tamara Georgievna SHEREMETOVA</w:t>
            </w:r>
          </w:p>
        </w:tc>
        <w:tc>
          <w:tcPr>
            <w:tcW w:w="836" w:type="dxa"/>
          </w:tcPr>
          <w:p w:rsidRPr="006F34CD" w:rsidR="00515FE0" w:rsidP="006F34CD" w:rsidRDefault="00515FE0" w14:paraId="1178FF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69F3E7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Dolokovka</w:t>
            </w:r>
          </w:p>
        </w:tc>
        <w:tc>
          <w:tcPr>
            <w:tcW w:w="1134" w:type="dxa"/>
          </w:tcPr>
          <w:p w:rsidRPr="006F34CD" w:rsidR="00515FE0" w:rsidP="006F34CD" w:rsidRDefault="00515FE0" w14:paraId="4D1670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E212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BFCF8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4F9EC7D" w14:textId="77777777">
        <w:trPr>
          <w:cantSplit/>
        </w:trPr>
        <w:tc>
          <w:tcPr>
            <w:tcW w:w="2249" w:type="dxa"/>
          </w:tcPr>
          <w:p w:rsidRPr="006F34CD" w:rsidR="00515FE0" w:rsidP="006F34CD" w:rsidRDefault="00515FE0" w14:paraId="4C629A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Afanasyevna SHERSTOBITOVA</w:t>
            </w:r>
          </w:p>
        </w:tc>
        <w:tc>
          <w:tcPr>
            <w:tcW w:w="836" w:type="dxa"/>
          </w:tcPr>
          <w:p w:rsidRPr="006F34CD" w:rsidR="00515FE0" w:rsidP="006F34CD" w:rsidRDefault="00515FE0" w14:paraId="7DD13F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1934</w:t>
            </w:r>
          </w:p>
        </w:tc>
        <w:tc>
          <w:tcPr>
            <w:tcW w:w="1305" w:type="dxa"/>
          </w:tcPr>
          <w:p w:rsidRPr="006F34CD" w:rsidR="00515FE0" w:rsidP="006F34CD" w:rsidRDefault="00515FE0" w14:paraId="5F75C8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4A1A4E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3F903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98BD8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7F7E08B" w14:textId="77777777">
        <w:trPr>
          <w:cantSplit/>
        </w:trPr>
        <w:tc>
          <w:tcPr>
            <w:tcW w:w="2249" w:type="dxa"/>
          </w:tcPr>
          <w:p w:rsidRPr="006F34CD" w:rsidR="00515FE0" w:rsidP="006F34CD" w:rsidRDefault="00515FE0" w14:paraId="12F268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Mikhaylovna SHEVCHENKO</w:t>
            </w:r>
          </w:p>
        </w:tc>
        <w:tc>
          <w:tcPr>
            <w:tcW w:w="836" w:type="dxa"/>
          </w:tcPr>
          <w:p w:rsidRPr="006F34CD" w:rsidR="00515FE0" w:rsidP="006F34CD" w:rsidRDefault="00515FE0" w14:paraId="788DAE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6E7056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Russkiy Kolodets</w:t>
            </w:r>
          </w:p>
        </w:tc>
        <w:tc>
          <w:tcPr>
            <w:tcW w:w="1134" w:type="dxa"/>
          </w:tcPr>
          <w:p w:rsidRPr="006F34CD" w:rsidR="00515FE0" w:rsidP="006F34CD" w:rsidRDefault="00515FE0" w14:paraId="66C20F9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DC04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C94EA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F376200" w14:textId="77777777">
        <w:trPr>
          <w:cantSplit/>
        </w:trPr>
        <w:tc>
          <w:tcPr>
            <w:tcW w:w="2249" w:type="dxa"/>
          </w:tcPr>
          <w:p w:rsidRPr="006F34CD" w:rsidR="00515FE0" w:rsidP="006F34CD" w:rsidRDefault="00515FE0" w14:paraId="3B6E17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Fillipovna SHEYKO</w:t>
            </w:r>
          </w:p>
        </w:tc>
        <w:tc>
          <w:tcPr>
            <w:tcW w:w="836" w:type="dxa"/>
          </w:tcPr>
          <w:p w:rsidRPr="006F34CD" w:rsidR="00515FE0" w:rsidP="006F34CD" w:rsidRDefault="00515FE0" w14:paraId="0995DA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54EBD4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6447D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7D74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3F593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1B5E742" w14:textId="77777777">
        <w:trPr>
          <w:cantSplit/>
        </w:trPr>
        <w:tc>
          <w:tcPr>
            <w:tcW w:w="2249" w:type="dxa"/>
          </w:tcPr>
          <w:p w:rsidRPr="006F34CD" w:rsidR="00515FE0" w:rsidP="006F34CD" w:rsidRDefault="00515FE0" w14:paraId="3AB781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Anatolyevna SHILO</w:t>
            </w:r>
          </w:p>
        </w:tc>
        <w:tc>
          <w:tcPr>
            <w:tcW w:w="836" w:type="dxa"/>
          </w:tcPr>
          <w:p w:rsidRPr="006F34CD" w:rsidR="00515FE0" w:rsidP="006F34CD" w:rsidRDefault="00515FE0" w14:paraId="2CEEF9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66DF63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2FEE59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BACF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4BA7F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7E1210C" w14:textId="77777777">
        <w:trPr>
          <w:cantSplit/>
        </w:trPr>
        <w:tc>
          <w:tcPr>
            <w:tcW w:w="2249" w:type="dxa"/>
          </w:tcPr>
          <w:p w:rsidRPr="006F34CD" w:rsidR="00515FE0" w:rsidP="006F34CD" w:rsidRDefault="00515FE0" w14:paraId="7A75B7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Inna Vladimirovna SHIPIKA</w:t>
            </w:r>
          </w:p>
        </w:tc>
        <w:tc>
          <w:tcPr>
            <w:tcW w:w="836" w:type="dxa"/>
          </w:tcPr>
          <w:p w:rsidRPr="006F34CD" w:rsidR="00515FE0" w:rsidP="006F34CD" w:rsidRDefault="00515FE0" w14:paraId="110212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1796D1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FE1B65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1D92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69B88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8D80FA8" w14:textId="77777777">
        <w:trPr>
          <w:cantSplit/>
        </w:trPr>
        <w:tc>
          <w:tcPr>
            <w:tcW w:w="2249" w:type="dxa"/>
          </w:tcPr>
          <w:p w:rsidRPr="006F34CD" w:rsidR="00515FE0" w:rsidP="006F34CD" w:rsidRDefault="00515FE0" w14:paraId="72BDBC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Vasilyevna SHISHKINA</w:t>
            </w:r>
          </w:p>
        </w:tc>
        <w:tc>
          <w:tcPr>
            <w:tcW w:w="836" w:type="dxa"/>
          </w:tcPr>
          <w:p w:rsidRPr="006F34CD" w:rsidR="00515FE0" w:rsidP="006F34CD" w:rsidRDefault="00515FE0" w14:paraId="73F921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37818F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Pokrovskoye</w:t>
            </w:r>
          </w:p>
        </w:tc>
        <w:tc>
          <w:tcPr>
            <w:tcW w:w="1134" w:type="dxa"/>
          </w:tcPr>
          <w:p w:rsidRPr="006F34CD" w:rsidR="00515FE0" w:rsidP="006F34CD" w:rsidRDefault="00515FE0" w14:paraId="007B584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F68C3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B6CD2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34CB12D" w14:textId="77777777">
        <w:trPr>
          <w:cantSplit/>
        </w:trPr>
        <w:tc>
          <w:tcPr>
            <w:tcW w:w="2249" w:type="dxa"/>
          </w:tcPr>
          <w:p w:rsidRPr="006F34CD" w:rsidR="00515FE0" w:rsidP="006F34CD" w:rsidRDefault="00515FE0" w14:paraId="43DDA0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Ðœariya Grigoryevna SHKATOVA</w:t>
            </w:r>
          </w:p>
        </w:tc>
        <w:tc>
          <w:tcPr>
            <w:tcW w:w="836" w:type="dxa"/>
          </w:tcPr>
          <w:p w:rsidRPr="006F34CD" w:rsidR="00515FE0" w:rsidP="006F34CD" w:rsidRDefault="00515FE0" w14:paraId="28743E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0E8605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69C6BA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DA69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B1943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3E7EAE4" w14:textId="77777777">
        <w:trPr>
          <w:cantSplit/>
        </w:trPr>
        <w:tc>
          <w:tcPr>
            <w:tcW w:w="2249" w:type="dxa"/>
          </w:tcPr>
          <w:p w:rsidRPr="006F34CD" w:rsidR="00515FE0" w:rsidP="006F34CD" w:rsidRDefault="00515FE0" w14:paraId="5035E0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Andreyevna SHOROKHOVA</w:t>
            </w:r>
          </w:p>
        </w:tc>
        <w:tc>
          <w:tcPr>
            <w:tcW w:w="836" w:type="dxa"/>
          </w:tcPr>
          <w:p w:rsidRPr="006F34CD" w:rsidR="00515FE0" w:rsidP="006F34CD" w:rsidRDefault="00515FE0" w14:paraId="3E025B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7B7C5B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CDA59F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BAC6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B6E5CB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9806946" w14:textId="77777777">
        <w:trPr>
          <w:cantSplit/>
        </w:trPr>
        <w:tc>
          <w:tcPr>
            <w:tcW w:w="2249" w:type="dxa"/>
          </w:tcPr>
          <w:p w:rsidRPr="006F34CD" w:rsidR="00515FE0" w:rsidP="006F34CD" w:rsidRDefault="00515FE0" w14:paraId="132B03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Georgiyevich SHUKIN</w:t>
            </w:r>
          </w:p>
        </w:tc>
        <w:tc>
          <w:tcPr>
            <w:tcW w:w="836" w:type="dxa"/>
          </w:tcPr>
          <w:p w:rsidRPr="006F34CD" w:rsidR="00515FE0" w:rsidP="006F34CD" w:rsidRDefault="00515FE0" w14:paraId="743E64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18AA50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8D70D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26752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76930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80B7E10" w14:textId="77777777">
        <w:trPr>
          <w:cantSplit/>
        </w:trPr>
        <w:tc>
          <w:tcPr>
            <w:tcW w:w="2249" w:type="dxa"/>
          </w:tcPr>
          <w:p w:rsidRPr="006F34CD" w:rsidR="00515FE0" w:rsidP="006F34CD" w:rsidRDefault="00515FE0" w14:paraId="4E53AA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Anatolyevna SHUKINA</w:t>
            </w:r>
          </w:p>
        </w:tc>
        <w:tc>
          <w:tcPr>
            <w:tcW w:w="836" w:type="dxa"/>
          </w:tcPr>
          <w:p w:rsidRPr="006F34CD" w:rsidR="00515FE0" w:rsidP="006F34CD" w:rsidRDefault="00515FE0" w14:paraId="7AC964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1B2664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ADC38B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782E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6A662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B9A19E8" w14:textId="77777777">
        <w:trPr>
          <w:cantSplit/>
        </w:trPr>
        <w:tc>
          <w:tcPr>
            <w:tcW w:w="2249" w:type="dxa"/>
          </w:tcPr>
          <w:p w:rsidRPr="006F34CD" w:rsidR="00515FE0" w:rsidP="006F34CD" w:rsidRDefault="00515FE0" w14:paraId="0BEFE5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Denis Sergeyevich SILYUTIN</w:t>
            </w:r>
          </w:p>
        </w:tc>
        <w:tc>
          <w:tcPr>
            <w:tcW w:w="836" w:type="dxa"/>
          </w:tcPr>
          <w:p w:rsidRPr="006F34CD" w:rsidR="00515FE0" w:rsidP="006F34CD" w:rsidRDefault="00515FE0" w14:paraId="0D3BE1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4D3B97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225784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83AD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0A8ED0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0E7D3A" w14:textId="77777777">
        <w:trPr>
          <w:cantSplit/>
        </w:trPr>
        <w:tc>
          <w:tcPr>
            <w:tcW w:w="2249" w:type="dxa"/>
          </w:tcPr>
          <w:p w:rsidRPr="006F34CD" w:rsidR="00515FE0" w:rsidP="006F34CD" w:rsidRDefault="00515FE0" w14:paraId="51E0B6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Ivanovna SILYUTINA</w:t>
            </w:r>
          </w:p>
        </w:tc>
        <w:tc>
          <w:tcPr>
            <w:tcW w:w="836" w:type="dxa"/>
          </w:tcPr>
          <w:p w:rsidRPr="006F34CD" w:rsidR="00515FE0" w:rsidP="006F34CD" w:rsidRDefault="00515FE0" w14:paraId="34C5D8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2500B0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6780C5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7DDF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5F84F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9B26B4A" w14:textId="77777777">
        <w:trPr>
          <w:cantSplit/>
        </w:trPr>
        <w:tc>
          <w:tcPr>
            <w:tcW w:w="2249" w:type="dxa"/>
          </w:tcPr>
          <w:p w:rsidRPr="006F34CD" w:rsidR="00515FE0" w:rsidP="006F34CD" w:rsidRDefault="00515FE0" w14:paraId="20E6D5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Albina Alekseevna SIMONOVA</w:t>
            </w:r>
          </w:p>
        </w:tc>
        <w:tc>
          <w:tcPr>
            <w:tcW w:w="836" w:type="dxa"/>
          </w:tcPr>
          <w:p w:rsidRPr="006F34CD" w:rsidR="00515FE0" w:rsidP="006F34CD" w:rsidRDefault="00515FE0" w14:paraId="5298F7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516824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341D4D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8E9F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D7AC3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D30F1D6" w14:textId="77777777">
        <w:trPr>
          <w:cantSplit/>
        </w:trPr>
        <w:tc>
          <w:tcPr>
            <w:tcW w:w="2249" w:type="dxa"/>
          </w:tcPr>
          <w:p w:rsidRPr="006F34CD" w:rsidR="00515FE0" w:rsidP="006F34CD" w:rsidRDefault="00515FE0" w14:paraId="0CCAD7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Fyodorovna SIRINA</w:t>
            </w:r>
          </w:p>
        </w:tc>
        <w:tc>
          <w:tcPr>
            <w:tcW w:w="836" w:type="dxa"/>
          </w:tcPr>
          <w:p w:rsidRPr="006F34CD" w:rsidR="00515FE0" w:rsidP="006F34CD" w:rsidRDefault="00515FE0" w14:paraId="5CC350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4BE27C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ACC57E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5558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12616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9F15D04" w14:textId="77777777">
        <w:trPr>
          <w:cantSplit/>
        </w:trPr>
        <w:tc>
          <w:tcPr>
            <w:tcW w:w="2249" w:type="dxa"/>
          </w:tcPr>
          <w:p w:rsidRPr="006F34CD" w:rsidR="00515FE0" w:rsidP="006F34CD" w:rsidRDefault="00515FE0" w14:paraId="59BA955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Arina Evgenyevna SIROTENKO</w:t>
            </w:r>
          </w:p>
        </w:tc>
        <w:tc>
          <w:tcPr>
            <w:tcW w:w="836" w:type="dxa"/>
          </w:tcPr>
          <w:p w:rsidRPr="006F34CD" w:rsidR="00515FE0" w:rsidP="006F34CD" w:rsidRDefault="00515FE0" w14:paraId="66008C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1991</w:t>
            </w:r>
          </w:p>
        </w:tc>
        <w:tc>
          <w:tcPr>
            <w:tcW w:w="1305" w:type="dxa"/>
          </w:tcPr>
          <w:p w:rsidRPr="006F34CD" w:rsidR="00515FE0" w:rsidP="006F34CD" w:rsidRDefault="00515FE0" w14:paraId="3E0FF0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493B64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C411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9D636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F7890E5" w14:textId="77777777">
        <w:trPr>
          <w:cantSplit/>
        </w:trPr>
        <w:tc>
          <w:tcPr>
            <w:tcW w:w="2249" w:type="dxa"/>
          </w:tcPr>
          <w:p w:rsidRPr="006F34CD" w:rsidR="00515FE0" w:rsidP="006F34CD" w:rsidRDefault="00515FE0" w14:paraId="7B8A2F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Ivanovich SIROTENKO</w:t>
            </w:r>
          </w:p>
        </w:tc>
        <w:tc>
          <w:tcPr>
            <w:tcW w:w="836" w:type="dxa"/>
          </w:tcPr>
          <w:p w:rsidRPr="006F34CD" w:rsidR="00515FE0" w:rsidP="006F34CD" w:rsidRDefault="00515FE0" w14:paraId="7F43B1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62FA49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6ED7DD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02329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F5BCA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8A00FB" w14:textId="77777777">
        <w:trPr>
          <w:cantSplit/>
        </w:trPr>
        <w:tc>
          <w:tcPr>
            <w:tcW w:w="2249" w:type="dxa"/>
          </w:tcPr>
          <w:p w:rsidRPr="006F34CD" w:rsidR="00515FE0" w:rsidP="006F34CD" w:rsidRDefault="00515FE0" w14:paraId="4F5B93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Viktorovna SIROTENKO</w:t>
            </w:r>
          </w:p>
        </w:tc>
        <w:tc>
          <w:tcPr>
            <w:tcW w:w="836" w:type="dxa"/>
          </w:tcPr>
          <w:p w:rsidRPr="006F34CD" w:rsidR="00515FE0" w:rsidP="006F34CD" w:rsidRDefault="00515FE0" w14:paraId="072F09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3295F2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D88CE5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60DBF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2E4407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1A9C882" w14:textId="77777777">
        <w:trPr>
          <w:cantSplit/>
        </w:trPr>
        <w:tc>
          <w:tcPr>
            <w:tcW w:w="2249" w:type="dxa"/>
          </w:tcPr>
          <w:p w:rsidRPr="006F34CD" w:rsidR="00515FE0" w:rsidP="006F34CD" w:rsidRDefault="00515FE0" w14:paraId="5E5458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Avrahamovna SIROVATSKAYA</w:t>
            </w:r>
          </w:p>
        </w:tc>
        <w:tc>
          <w:tcPr>
            <w:tcW w:w="836" w:type="dxa"/>
          </w:tcPr>
          <w:p w:rsidRPr="006F34CD" w:rsidR="00515FE0" w:rsidP="006F34CD" w:rsidRDefault="00515FE0" w14:paraId="64CC67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10B9D7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489CB9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53F74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14365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8113AFC" w14:textId="77777777">
        <w:trPr>
          <w:cantSplit/>
        </w:trPr>
        <w:tc>
          <w:tcPr>
            <w:tcW w:w="2249" w:type="dxa"/>
          </w:tcPr>
          <w:p w:rsidRPr="006F34CD" w:rsidR="00515FE0" w:rsidP="006F34CD" w:rsidRDefault="00515FE0" w14:paraId="697DD8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Nikolayevich SISOYEV</w:t>
            </w:r>
          </w:p>
        </w:tc>
        <w:tc>
          <w:tcPr>
            <w:tcW w:w="836" w:type="dxa"/>
          </w:tcPr>
          <w:p w:rsidRPr="006F34CD" w:rsidR="00515FE0" w:rsidP="006F34CD" w:rsidRDefault="00515FE0" w14:paraId="1BE4A6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1980</w:t>
            </w:r>
          </w:p>
        </w:tc>
        <w:tc>
          <w:tcPr>
            <w:tcW w:w="1305" w:type="dxa"/>
          </w:tcPr>
          <w:p w:rsidRPr="006F34CD" w:rsidR="00515FE0" w:rsidP="006F34CD" w:rsidRDefault="00515FE0" w14:paraId="2DC493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Pokrovskoye</w:t>
            </w:r>
          </w:p>
        </w:tc>
        <w:tc>
          <w:tcPr>
            <w:tcW w:w="1134" w:type="dxa"/>
          </w:tcPr>
          <w:p w:rsidRPr="006F34CD" w:rsidR="00515FE0" w:rsidP="006F34CD" w:rsidRDefault="00515FE0" w14:paraId="694E0D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7BA6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CABDB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F0B1B9C" w14:textId="77777777">
        <w:trPr>
          <w:cantSplit/>
        </w:trPr>
        <w:tc>
          <w:tcPr>
            <w:tcW w:w="2249" w:type="dxa"/>
          </w:tcPr>
          <w:p w:rsidRPr="006F34CD" w:rsidR="00515FE0" w:rsidP="006F34CD" w:rsidRDefault="00515FE0" w14:paraId="08109B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Vasilyevna SITINA</w:t>
            </w:r>
          </w:p>
        </w:tc>
        <w:tc>
          <w:tcPr>
            <w:tcW w:w="836" w:type="dxa"/>
          </w:tcPr>
          <w:p w:rsidRPr="006F34CD" w:rsidR="00515FE0" w:rsidP="006F34CD" w:rsidRDefault="00515FE0" w14:paraId="0036FC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587D63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D513B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68CE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FCAB8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1C040F8" w14:textId="77777777">
        <w:trPr>
          <w:cantSplit/>
        </w:trPr>
        <w:tc>
          <w:tcPr>
            <w:tcW w:w="2249" w:type="dxa"/>
          </w:tcPr>
          <w:p w:rsidRPr="006F34CD" w:rsidR="00515FE0" w:rsidP="006F34CD" w:rsidRDefault="00515FE0" w14:paraId="282EF7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Aleksandrovna SKVORTSOVA</w:t>
            </w:r>
          </w:p>
        </w:tc>
        <w:tc>
          <w:tcPr>
            <w:tcW w:w="836" w:type="dxa"/>
          </w:tcPr>
          <w:p w:rsidRPr="006F34CD" w:rsidR="00515FE0" w:rsidP="006F34CD" w:rsidRDefault="00515FE0" w14:paraId="2CDAD7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628275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1F4927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A4DF1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60F3D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D675C20" w14:textId="77777777">
        <w:trPr>
          <w:cantSplit/>
        </w:trPr>
        <w:tc>
          <w:tcPr>
            <w:tcW w:w="2249" w:type="dxa"/>
          </w:tcPr>
          <w:p w:rsidRPr="006F34CD" w:rsidR="00515FE0" w:rsidP="006F34CD" w:rsidRDefault="00515FE0" w14:paraId="078944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Filippovna SMETANINA</w:t>
            </w:r>
          </w:p>
        </w:tc>
        <w:tc>
          <w:tcPr>
            <w:tcW w:w="836" w:type="dxa"/>
          </w:tcPr>
          <w:p w:rsidRPr="006F34CD" w:rsidR="00515FE0" w:rsidP="006F34CD" w:rsidRDefault="00515FE0" w14:paraId="381CB8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40D379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BE6694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6257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4C3FA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B27D675" w14:textId="77777777">
        <w:trPr>
          <w:cantSplit/>
        </w:trPr>
        <w:tc>
          <w:tcPr>
            <w:tcW w:w="2249" w:type="dxa"/>
          </w:tcPr>
          <w:p w:rsidRPr="006F34CD" w:rsidR="00515FE0" w:rsidP="006F34CD" w:rsidRDefault="00515FE0" w14:paraId="014642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Rayisa Petrovna SMIRNOVA</w:t>
            </w:r>
          </w:p>
        </w:tc>
        <w:tc>
          <w:tcPr>
            <w:tcW w:w="836" w:type="dxa"/>
          </w:tcPr>
          <w:p w:rsidRPr="006F34CD" w:rsidR="00515FE0" w:rsidP="006F34CD" w:rsidRDefault="00515FE0" w14:paraId="7F681F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589B24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2E25E3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466B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5990A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6FE02E5" w14:textId="77777777">
        <w:trPr>
          <w:cantSplit/>
        </w:trPr>
        <w:tc>
          <w:tcPr>
            <w:tcW w:w="2249" w:type="dxa"/>
          </w:tcPr>
          <w:p w:rsidRPr="006F34CD" w:rsidR="00515FE0" w:rsidP="006F34CD" w:rsidRDefault="00515FE0" w14:paraId="325B21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Lubov Vasilyevna SOBOLEVSKAYA</w:t>
            </w:r>
          </w:p>
        </w:tc>
        <w:tc>
          <w:tcPr>
            <w:tcW w:w="836" w:type="dxa"/>
          </w:tcPr>
          <w:p w:rsidRPr="006F34CD" w:rsidR="00515FE0" w:rsidP="006F34CD" w:rsidRDefault="00515FE0" w14:paraId="6D1720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2B36E0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Petrushino</w:t>
            </w:r>
          </w:p>
        </w:tc>
        <w:tc>
          <w:tcPr>
            <w:tcW w:w="1134" w:type="dxa"/>
          </w:tcPr>
          <w:p w:rsidRPr="006F34CD" w:rsidR="00515FE0" w:rsidP="006F34CD" w:rsidRDefault="00515FE0" w14:paraId="73555FD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4A16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E5B13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3DD7AB9" w14:textId="77777777">
        <w:trPr>
          <w:cantSplit/>
        </w:trPr>
        <w:tc>
          <w:tcPr>
            <w:tcW w:w="2249" w:type="dxa"/>
          </w:tcPr>
          <w:p w:rsidRPr="006F34CD" w:rsidR="00515FE0" w:rsidP="006F34CD" w:rsidRDefault="00515FE0" w14:paraId="69C1EF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Vasilyevna SOLOGUB</w:t>
            </w:r>
          </w:p>
        </w:tc>
        <w:tc>
          <w:tcPr>
            <w:tcW w:w="836" w:type="dxa"/>
          </w:tcPr>
          <w:p w:rsidRPr="006F34CD" w:rsidR="00515FE0" w:rsidP="006F34CD" w:rsidRDefault="00515FE0" w14:paraId="4FFD64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46FBB5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16EEFE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F73D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305E2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BC6710B" w14:textId="77777777">
        <w:trPr>
          <w:cantSplit/>
        </w:trPr>
        <w:tc>
          <w:tcPr>
            <w:tcW w:w="2249" w:type="dxa"/>
          </w:tcPr>
          <w:p w:rsidRPr="006F34CD" w:rsidR="00515FE0" w:rsidP="006F34CD" w:rsidRDefault="00515FE0" w14:paraId="72B9F2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Erikovna SOROKINA</w:t>
            </w:r>
          </w:p>
        </w:tc>
        <w:tc>
          <w:tcPr>
            <w:tcW w:w="836" w:type="dxa"/>
          </w:tcPr>
          <w:p w:rsidRPr="006F34CD" w:rsidR="00515FE0" w:rsidP="006F34CD" w:rsidRDefault="00515FE0" w14:paraId="62A2D7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1C2CF1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33449D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007F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637F5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74ECB8D" w14:textId="77777777">
        <w:trPr>
          <w:cantSplit/>
        </w:trPr>
        <w:tc>
          <w:tcPr>
            <w:tcW w:w="2249" w:type="dxa"/>
          </w:tcPr>
          <w:p w:rsidRPr="006F34CD" w:rsidR="00515FE0" w:rsidP="006F34CD" w:rsidRDefault="00515FE0" w14:paraId="06EBA7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Sergeyevna SOROKINA</w:t>
            </w:r>
          </w:p>
        </w:tc>
        <w:tc>
          <w:tcPr>
            <w:tcW w:w="836" w:type="dxa"/>
          </w:tcPr>
          <w:p w:rsidRPr="006F34CD" w:rsidR="00515FE0" w:rsidP="006F34CD" w:rsidRDefault="00515FE0" w14:paraId="198781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7E7A04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A19110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AE76A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609F6D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5A808F8" w14:textId="77777777">
        <w:trPr>
          <w:cantSplit/>
        </w:trPr>
        <w:tc>
          <w:tcPr>
            <w:tcW w:w="2249" w:type="dxa"/>
          </w:tcPr>
          <w:p w:rsidRPr="006F34CD" w:rsidR="00515FE0" w:rsidP="006F34CD" w:rsidRDefault="00515FE0" w14:paraId="54E3C45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Vladimirovna STANISLAVSKAYA</w:t>
            </w:r>
          </w:p>
        </w:tc>
        <w:tc>
          <w:tcPr>
            <w:tcW w:w="836" w:type="dxa"/>
          </w:tcPr>
          <w:p w:rsidRPr="006F34CD" w:rsidR="00515FE0" w:rsidP="006F34CD" w:rsidRDefault="00515FE0" w14:paraId="40EF97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429E1E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70349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42EE75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66CC3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EAD4180" w14:textId="77777777">
        <w:trPr>
          <w:cantSplit/>
        </w:trPr>
        <w:tc>
          <w:tcPr>
            <w:tcW w:w="2249" w:type="dxa"/>
          </w:tcPr>
          <w:p w:rsidRPr="006F34CD" w:rsidR="00515FE0" w:rsidP="006F34CD" w:rsidRDefault="00515FE0" w14:paraId="5A6CEB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Samoylovna STRELNIKOVA</w:t>
            </w:r>
          </w:p>
        </w:tc>
        <w:tc>
          <w:tcPr>
            <w:tcW w:w="836" w:type="dxa"/>
          </w:tcPr>
          <w:p w:rsidRPr="006F34CD" w:rsidR="00515FE0" w:rsidP="006F34CD" w:rsidRDefault="00515FE0" w14:paraId="1F8D02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7FA6EF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23B0DA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875AD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9B5CE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1E7158E" w14:textId="77777777">
        <w:trPr>
          <w:cantSplit/>
        </w:trPr>
        <w:tc>
          <w:tcPr>
            <w:tcW w:w="2249" w:type="dxa"/>
          </w:tcPr>
          <w:p w:rsidRPr="006F34CD" w:rsidR="00515FE0" w:rsidP="006F34CD" w:rsidRDefault="00515FE0" w14:paraId="47B6A1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Petrovich STUKALOV</w:t>
            </w:r>
          </w:p>
        </w:tc>
        <w:tc>
          <w:tcPr>
            <w:tcW w:w="836" w:type="dxa"/>
          </w:tcPr>
          <w:p w:rsidRPr="006F34CD" w:rsidR="00515FE0" w:rsidP="006F34CD" w:rsidRDefault="00515FE0" w14:paraId="445973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36A2AC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Pokrovskoye</w:t>
            </w:r>
          </w:p>
        </w:tc>
        <w:tc>
          <w:tcPr>
            <w:tcW w:w="1134" w:type="dxa"/>
          </w:tcPr>
          <w:p w:rsidRPr="006F34CD" w:rsidR="00515FE0" w:rsidP="006F34CD" w:rsidRDefault="00515FE0" w14:paraId="19D2D38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0AB5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DD510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629A3B7" w14:textId="77777777">
        <w:trPr>
          <w:cantSplit/>
        </w:trPr>
        <w:tc>
          <w:tcPr>
            <w:tcW w:w="2249" w:type="dxa"/>
          </w:tcPr>
          <w:p w:rsidRPr="006F34CD" w:rsidR="00515FE0" w:rsidP="006F34CD" w:rsidRDefault="00515FE0" w14:paraId="2932C9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 Sergeyevich SUPONIN</w:t>
            </w:r>
          </w:p>
        </w:tc>
        <w:tc>
          <w:tcPr>
            <w:tcW w:w="836" w:type="dxa"/>
          </w:tcPr>
          <w:p w:rsidRPr="006F34CD" w:rsidR="00515FE0" w:rsidP="006F34CD" w:rsidRDefault="00515FE0" w14:paraId="1C6D94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32F462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485433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6FA8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19116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B5CE481" w14:textId="77777777">
        <w:trPr>
          <w:cantSplit/>
        </w:trPr>
        <w:tc>
          <w:tcPr>
            <w:tcW w:w="2249" w:type="dxa"/>
          </w:tcPr>
          <w:p w:rsidRPr="006F34CD" w:rsidR="00515FE0" w:rsidP="006F34CD" w:rsidRDefault="00515FE0" w14:paraId="367A9B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Alekseyevich SUSHKOV</w:t>
            </w:r>
          </w:p>
        </w:tc>
        <w:tc>
          <w:tcPr>
            <w:tcW w:w="836" w:type="dxa"/>
          </w:tcPr>
          <w:p w:rsidRPr="006F34CD" w:rsidR="00515FE0" w:rsidP="006F34CD" w:rsidRDefault="00515FE0" w14:paraId="18BE2F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5333A9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FFBE12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F8B2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BE716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4335613" w14:textId="77777777">
        <w:trPr>
          <w:cantSplit/>
        </w:trPr>
        <w:tc>
          <w:tcPr>
            <w:tcW w:w="2249" w:type="dxa"/>
          </w:tcPr>
          <w:p w:rsidRPr="006F34CD" w:rsidR="00515FE0" w:rsidP="006F34CD" w:rsidRDefault="00515FE0" w14:paraId="55B6E8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Ivanovna SUSHKOVA</w:t>
            </w:r>
          </w:p>
        </w:tc>
        <w:tc>
          <w:tcPr>
            <w:tcW w:w="836" w:type="dxa"/>
          </w:tcPr>
          <w:p w:rsidRPr="006F34CD" w:rsidR="00515FE0" w:rsidP="006F34CD" w:rsidRDefault="00515FE0" w14:paraId="650732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60189E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B7BE28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AF2B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D1AB23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C8D793C" w14:textId="77777777">
        <w:trPr>
          <w:cantSplit/>
        </w:trPr>
        <w:tc>
          <w:tcPr>
            <w:tcW w:w="2249" w:type="dxa"/>
          </w:tcPr>
          <w:p w:rsidRPr="006F34CD" w:rsidR="00515FE0" w:rsidP="006F34CD" w:rsidRDefault="00515FE0" w14:paraId="0079E0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Fyodorovna SVIRIDOVA</w:t>
            </w:r>
          </w:p>
        </w:tc>
        <w:tc>
          <w:tcPr>
            <w:tcW w:w="836" w:type="dxa"/>
          </w:tcPr>
          <w:p w:rsidRPr="006F34CD" w:rsidR="00515FE0" w:rsidP="006F34CD" w:rsidRDefault="00515FE0" w14:paraId="5EB6F5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2C0791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9574F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A495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5FB80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690BFEB" w14:textId="77777777">
        <w:trPr>
          <w:cantSplit/>
        </w:trPr>
        <w:tc>
          <w:tcPr>
            <w:tcW w:w="2249" w:type="dxa"/>
          </w:tcPr>
          <w:p w:rsidRPr="006F34CD" w:rsidR="00515FE0" w:rsidP="006F34CD" w:rsidRDefault="00515FE0" w14:paraId="6A70BF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Zinaida Georgievna SYAGAYLO</w:t>
            </w:r>
          </w:p>
        </w:tc>
        <w:tc>
          <w:tcPr>
            <w:tcW w:w="836" w:type="dxa"/>
          </w:tcPr>
          <w:p w:rsidRPr="006F34CD" w:rsidR="00515FE0" w:rsidP="006F34CD" w:rsidRDefault="00515FE0" w14:paraId="0278F1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74C76A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Starorotovka</w:t>
            </w:r>
          </w:p>
        </w:tc>
        <w:tc>
          <w:tcPr>
            <w:tcW w:w="1134" w:type="dxa"/>
          </w:tcPr>
          <w:p w:rsidRPr="006F34CD" w:rsidR="00515FE0" w:rsidP="006F34CD" w:rsidRDefault="00515FE0" w14:paraId="2153AFE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9058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69B80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C2C41ED" w14:textId="77777777">
        <w:trPr>
          <w:cantSplit/>
        </w:trPr>
        <w:tc>
          <w:tcPr>
            <w:tcW w:w="2249" w:type="dxa"/>
          </w:tcPr>
          <w:p w:rsidRPr="006F34CD" w:rsidR="00515FE0" w:rsidP="006F34CD" w:rsidRDefault="00515FE0" w14:paraId="5A1F93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Vasilyevna TAKUNOVA</w:t>
            </w:r>
          </w:p>
        </w:tc>
        <w:tc>
          <w:tcPr>
            <w:tcW w:w="836" w:type="dxa"/>
          </w:tcPr>
          <w:p w:rsidRPr="006F34CD" w:rsidR="00515FE0" w:rsidP="006F34CD" w:rsidRDefault="00515FE0" w14:paraId="0868B7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1942</w:t>
            </w:r>
          </w:p>
        </w:tc>
        <w:tc>
          <w:tcPr>
            <w:tcW w:w="1305" w:type="dxa"/>
          </w:tcPr>
          <w:p w:rsidRPr="006F34CD" w:rsidR="00515FE0" w:rsidP="006F34CD" w:rsidRDefault="00515FE0" w14:paraId="344F25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B65553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82B9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7192EF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19148DE" w14:textId="77777777">
        <w:trPr>
          <w:cantSplit/>
        </w:trPr>
        <w:tc>
          <w:tcPr>
            <w:tcW w:w="2249" w:type="dxa"/>
          </w:tcPr>
          <w:p w:rsidRPr="006F34CD" w:rsidR="00515FE0" w:rsidP="006F34CD" w:rsidRDefault="00515FE0" w14:paraId="78EA0C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Aleksandrovich TELEGIN</w:t>
            </w:r>
          </w:p>
        </w:tc>
        <w:tc>
          <w:tcPr>
            <w:tcW w:w="836" w:type="dxa"/>
          </w:tcPr>
          <w:p w:rsidRPr="006F34CD" w:rsidR="00515FE0" w:rsidP="006F34CD" w:rsidRDefault="00515FE0" w14:paraId="45F8BC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725715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1D67C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6BB08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A60E0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C410C8C" w14:textId="77777777">
        <w:trPr>
          <w:cantSplit/>
        </w:trPr>
        <w:tc>
          <w:tcPr>
            <w:tcW w:w="2249" w:type="dxa"/>
          </w:tcPr>
          <w:p w:rsidRPr="006F34CD" w:rsidR="00515FE0" w:rsidP="006F34CD" w:rsidRDefault="00515FE0" w14:paraId="6DA559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Kseniya Sergeyevna TELEGINA</w:t>
            </w:r>
          </w:p>
        </w:tc>
        <w:tc>
          <w:tcPr>
            <w:tcW w:w="836" w:type="dxa"/>
          </w:tcPr>
          <w:p w:rsidRPr="006F34CD" w:rsidR="00515FE0" w:rsidP="006F34CD" w:rsidRDefault="00515FE0" w14:paraId="7B6DDA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4052F1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919C1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2C1E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38E7C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C11CE29" w14:textId="77777777">
        <w:trPr>
          <w:cantSplit/>
        </w:trPr>
        <w:tc>
          <w:tcPr>
            <w:tcW w:w="2249" w:type="dxa"/>
          </w:tcPr>
          <w:p w:rsidRPr="006F34CD" w:rsidR="00515FE0" w:rsidP="006F34CD" w:rsidRDefault="00515FE0" w14:paraId="768B2F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Vera Mikhailovna TIKHOMIROVA</w:t>
            </w:r>
          </w:p>
        </w:tc>
        <w:tc>
          <w:tcPr>
            <w:tcW w:w="836" w:type="dxa"/>
          </w:tcPr>
          <w:p w:rsidRPr="006F34CD" w:rsidR="00515FE0" w:rsidP="006F34CD" w:rsidRDefault="00515FE0" w14:paraId="54A177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516514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DD2F31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C583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45AD7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237D229" w14:textId="77777777">
        <w:trPr>
          <w:cantSplit/>
        </w:trPr>
        <w:tc>
          <w:tcPr>
            <w:tcW w:w="2249" w:type="dxa"/>
          </w:tcPr>
          <w:p w:rsidRPr="006F34CD" w:rsidR="00515FE0" w:rsidP="006F34CD" w:rsidRDefault="00515FE0" w14:paraId="421ED6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Viktorovna TIKHONOVA</w:t>
            </w:r>
          </w:p>
        </w:tc>
        <w:tc>
          <w:tcPr>
            <w:tcW w:w="836" w:type="dxa"/>
          </w:tcPr>
          <w:p w:rsidRPr="006F34CD" w:rsidR="00515FE0" w:rsidP="006F34CD" w:rsidRDefault="00515FE0" w14:paraId="34161E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4FAFE3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9C977F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0AF9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D18F9E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B63999B" w14:textId="77777777">
        <w:trPr>
          <w:cantSplit/>
        </w:trPr>
        <w:tc>
          <w:tcPr>
            <w:tcW w:w="2249" w:type="dxa"/>
          </w:tcPr>
          <w:p w:rsidRPr="006F34CD" w:rsidR="00515FE0" w:rsidP="006F34CD" w:rsidRDefault="00515FE0" w14:paraId="02862E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Vladimirovna TIMCHENKO</w:t>
            </w:r>
          </w:p>
        </w:tc>
        <w:tc>
          <w:tcPr>
            <w:tcW w:w="836" w:type="dxa"/>
          </w:tcPr>
          <w:p w:rsidRPr="006F34CD" w:rsidR="00515FE0" w:rsidP="006F34CD" w:rsidRDefault="00515FE0" w14:paraId="70A1D4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0B4F336A" w14:textId="26B2268C">
            <w:pPr>
              <w:spacing w:before="120" w:after="120"/>
              <w:rPr>
                <w:rFonts w:ascii="Times New Roman" w:hAnsi="Times New Roman" w:cs="Times New Roman"/>
                <w:sz w:val="18"/>
                <w:szCs w:val="18"/>
              </w:rPr>
            </w:pPr>
            <w:r w:rsidRPr="006F34CD">
              <w:rPr>
                <w:rFonts w:ascii="Times New Roman" w:hAnsi="Times New Roman" w:cs="Times New Roman"/>
                <w:sz w:val="18"/>
                <w:szCs w:val="18"/>
              </w:rPr>
              <w:t>Krasnyi Pakhar</w:t>
            </w:r>
            <w:r w:rsidRPr="006F34CD" w:rsidR="006F34CD">
              <w:rPr>
                <w:rFonts w:ascii="Times New Roman" w:hAnsi="Times New Roman" w:cs="Times New Roman"/>
                <w:sz w:val="18"/>
                <w:szCs w:val="18"/>
              </w:rPr>
              <w:t>’</w:t>
            </w:r>
          </w:p>
        </w:tc>
        <w:tc>
          <w:tcPr>
            <w:tcW w:w="1134" w:type="dxa"/>
          </w:tcPr>
          <w:p w:rsidRPr="006F34CD" w:rsidR="00515FE0" w:rsidP="006F34CD" w:rsidRDefault="00515FE0" w14:paraId="7874161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804D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D1B4CF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65BBDF9" w14:textId="77777777">
        <w:trPr>
          <w:cantSplit/>
        </w:trPr>
        <w:tc>
          <w:tcPr>
            <w:tcW w:w="2249" w:type="dxa"/>
          </w:tcPr>
          <w:p w:rsidRPr="006F34CD" w:rsidR="00515FE0" w:rsidP="006F34CD" w:rsidRDefault="00515FE0" w14:paraId="6708CA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Aleksandrovna TIMIREVA</w:t>
            </w:r>
          </w:p>
        </w:tc>
        <w:tc>
          <w:tcPr>
            <w:tcW w:w="836" w:type="dxa"/>
          </w:tcPr>
          <w:p w:rsidRPr="006F34CD" w:rsidR="00515FE0" w:rsidP="006F34CD" w:rsidRDefault="00515FE0" w14:paraId="57446F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77721D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FD91CD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34DA1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19FB1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5076551" w14:textId="77777777">
        <w:trPr>
          <w:cantSplit/>
        </w:trPr>
        <w:tc>
          <w:tcPr>
            <w:tcW w:w="2249" w:type="dxa"/>
          </w:tcPr>
          <w:p w:rsidRPr="006F34CD" w:rsidR="00515FE0" w:rsidP="006F34CD" w:rsidRDefault="00515FE0" w14:paraId="2893B1A8" w14:textId="3BBB1703">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Ð</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orisovna TIMKOVA</w:t>
            </w:r>
          </w:p>
        </w:tc>
        <w:tc>
          <w:tcPr>
            <w:tcW w:w="836" w:type="dxa"/>
          </w:tcPr>
          <w:p w:rsidRPr="006F34CD" w:rsidR="00515FE0" w:rsidP="006F34CD" w:rsidRDefault="00515FE0" w14:paraId="451336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0D18D6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CEF110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6DA71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BAF09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C21F74D" w14:textId="77777777">
        <w:trPr>
          <w:cantSplit/>
        </w:trPr>
        <w:tc>
          <w:tcPr>
            <w:tcW w:w="2249" w:type="dxa"/>
          </w:tcPr>
          <w:p w:rsidRPr="006F34CD" w:rsidR="00515FE0" w:rsidP="006F34CD" w:rsidRDefault="00515FE0" w14:paraId="77C6AC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Igorevich TIMOSHENKO</w:t>
            </w:r>
          </w:p>
        </w:tc>
        <w:tc>
          <w:tcPr>
            <w:tcW w:w="836" w:type="dxa"/>
          </w:tcPr>
          <w:p w:rsidRPr="006F34CD" w:rsidR="00515FE0" w:rsidP="006F34CD" w:rsidRDefault="00515FE0" w14:paraId="1BC7BC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5883FF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AECBC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1B35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9E688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EE6EA92" w14:textId="77777777">
        <w:trPr>
          <w:cantSplit/>
        </w:trPr>
        <w:tc>
          <w:tcPr>
            <w:tcW w:w="2249" w:type="dxa"/>
          </w:tcPr>
          <w:p w:rsidRPr="006F34CD" w:rsidR="00515FE0" w:rsidP="006F34CD" w:rsidRDefault="00515FE0" w14:paraId="5E1911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Gennadyevna TIMOSHENKO</w:t>
            </w:r>
          </w:p>
        </w:tc>
        <w:tc>
          <w:tcPr>
            <w:tcW w:w="836" w:type="dxa"/>
          </w:tcPr>
          <w:p w:rsidRPr="006F34CD" w:rsidR="00515FE0" w:rsidP="006F34CD" w:rsidRDefault="00515FE0" w14:paraId="02AEFB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0DE132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353B05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A171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8909D1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5126316" w14:textId="77777777">
        <w:trPr>
          <w:cantSplit/>
        </w:trPr>
        <w:tc>
          <w:tcPr>
            <w:tcW w:w="2249" w:type="dxa"/>
          </w:tcPr>
          <w:p w:rsidRPr="006F34CD" w:rsidR="00515FE0" w:rsidP="006F34CD" w:rsidRDefault="00515FE0" w14:paraId="0BC1C8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Taisiya Andreyevna TKACHENKO</w:t>
            </w:r>
          </w:p>
        </w:tc>
        <w:tc>
          <w:tcPr>
            <w:tcW w:w="836" w:type="dxa"/>
          </w:tcPr>
          <w:p w:rsidRPr="006F34CD" w:rsidR="00515FE0" w:rsidP="006F34CD" w:rsidRDefault="00515FE0" w14:paraId="2443C0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564525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5AAD47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A4A4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844DE5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F26A0A6" w14:textId="77777777">
        <w:trPr>
          <w:cantSplit/>
        </w:trPr>
        <w:tc>
          <w:tcPr>
            <w:tcW w:w="2249" w:type="dxa"/>
          </w:tcPr>
          <w:p w:rsidRPr="006F34CD" w:rsidR="00515FE0" w:rsidP="006F34CD" w:rsidRDefault="00515FE0" w14:paraId="7D6FEE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Larisa Georgievna TKACHENKO</w:t>
            </w:r>
          </w:p>
        </w:tc>
        <w:tc>
          <w:tcPr>
            <w:tcW w:w="836" w:type="dxa"/>
          </w:tcPr>
          <w:p w:rsidRPr="006F34CD" w:rsidR="00515FE0" w:rsidP="006F34CD" w:rsidRDefault="00515FE0" w14:paraId="4A15D9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434093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F5785B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B185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45515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7B0B709" w14:textId="77777777">
        <w:trPr>
          <w:cantSplit/>
        </w:trPr>
        <w:tc>
          <w:tcPr>
            <w:tcW w:w="2249" w:type="dxa"/>
          </w:tcPr>
          <w:p w:rsidRPr="006F34CD" w:rsidR="00515FE0" w:rsidP="006F34CD" w:rsidRDefault="00515FE0" w14:paraId="77EDCF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Kseniya Sergeyevna TKACHENKO</w:t>
            </w:r>
          </w:p>
        </w:tc>
        <w:tc>
          <w:tcPr>
            <w:tcW w:w="836" w:type="dxa"/>
          </w:tcPr>
          <w:p w:rsidRPr="006F34CD" w:rsidR="00515FE0" w:rsidP="006F34CD" w:rsidRDefault="00515FE0" w14:paraId="7935C1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1E5B2A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A87D8D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97972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A8EE9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E5917DC" w14:textId="77777777">
        <w:trPr>
          <w:cantSplit/>
        </w:trPr>
        <w:tc>
          <w:tcPr>
            <w:tcW w:w="2249" w:type="dxa"/>
          </w:tcPr>
          <w:p w:rsidRPr="006F34CD" w:rsidR="00515FE0" w:rsidP="006F34CD" w:rsidRDefault="00515FE0" w14:paraId="616AA5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Vladimirovna TKACHUK</w:t>
            </w:r>
          </w:p>
        </w:tc>
        <w:tc>
          <w:tcPr>
            <w:tcW w:w="836" w:type="dxa"/>
          </w:tcPr>
          <w:p w:rsidRPr="006F34CD" w:rsidR="00515FE0" w:rsidP="006F34CD" w:rsidRDefault="00515FE0" w14:paraId="536A08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25C46C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Pokrovskoye</w:t>
            </w:r>
          </w:p>
        </w:tc>
        <w:tc>
          <w:tcPr>
            <w:tcW w:w="1134" w:type="dxa"/>
          </w:tcPr>
          <w:p w:rsidRPr="006F34CD" w:rsidR="00515FE0" w:rsidP="006F34CD" w:rsidRDefault="00515FE0" w14:paraId="7B920BD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DD2C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C12F5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4786578" w14:textId="77777777">
        <w:trPr>
          <w:cantSplit/>
        </w:trPr>
        <w:tc>
          <w:tcPr>
            <w:tcW w:w="2249" w:type="dxa"/>
          </w:tcPr>
          <w:p w:rsidRPr="006F34CD" w:rsidR="00515FE0" w:rsidP="006F34CD" w:rsidRDefault="00515FE0" w14:paraId="7AF536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Zoya Nikolaevna TKAVCH</w:t>
            </w:r>
          </w:p>
        </w:tc>
        <w:tc>
          <w:tcPr>
            <w:tcW w:w="836" w:type="dxa"/>
          </w:tcPr>
          <w:p w:rsidRPr="006F34CD" w:rsidR="00515FE0" w:rsidP="006F34CD" w:rsidRDefault="00515FE0" w14:paraId="2C2776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00F8F3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69A50C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D574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6E0AD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0C65B1C" w14:textId="77777777">
        <w:trPr>
          <w:cantSplit/>
        </w:trPr>
        <w:tc>
          <w:tcPr>
            <w:tcW w:w="2249" w:type="dxa"/>
          </w:tcPr>
          <w:p w:rsidRPr="006F34CD" w:rsidR="00515FE0" w:rsidP="006F34CD" w:rsidRDefault="00515FE0" w14:paraId="09D977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Andreevna TREGUBENKO</w:t>
            </w:r>
          </w:p>
        </w:tc>
        <w:tc>
          <w:tcPr>
            <w:tcW w:w="836" w:type="dxa"/>
          </w:tcPr>
          <w:p w:rsidRPr="006F34CD" w:rsidR="00515FE0" w:rsidP="006F34CD" w:rsidRDefault="00515FE0" w14:paraId="76D69B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220D64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6CF7C6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E36B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F90CAF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2C3AB0F" w14:textId="77777777">
        <w:trPr>
          <w:cantSplit/>
        </w:trPr>
        <w:tc>
          <w:tcPr>
            <w:tcW w:w="2249" w:type="dxa"/>
          </w:tcPr>
          <w:p w:rsidRPr="006F34CD" w:rsidR="00515FE0" w:rsidP="006F34CD" w:rsidRDefault="00515FE0" w14:paraId="04A240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Anatolyevich TREGUBOV</w:t>
            </w:r>
          </w:p>
        </w:tc>
        <w:tc>
          <w:tcPr>
            <w:tcW w:w="836" w:type="dxa"/>
          </w:tcPr>
          <w:p w:rsidRPr="006F34CD" w:rsidR="00515FE0" w:rsidP="006F34CD" w:rsidRDefault="00515FE0" w14:paraId="5F84D3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05BA02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C0CE91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65828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F11A3B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60832C1" w14:textId="77777777">
        <w:trPr>
          <w:cantSplit/>
        </w:trPr>
        <w:tc>
          <w:tcPr>
            <w:tcW w:w="2249" w:type="dxa"/>
          </w:tcPr>
          <w:p w:rsidRPr="006F34CD" w:rsidR="00515FE0" w:rsidP="006F34CD" w:rsidRDefault="00515FE0" w14:paraId="27861B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Viktorovna TREGUBOVA</w:t>
            </w:r>
          </w:p>
        </w:tc>
        <w:tc>
          <w:tcPr>
            <w:tcW w:w="836" w:type="dxa"/>
          </w:tcPr>
          <w:p w:rsidRPr="006F34CD" w:rsidR="00515FE0" w:rsidP="006F34CD" w:rsidRDefault="00515FE0" w14:paraId="5EE031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59E975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C56EFE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3DA6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E2CC1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8C08016" w14:textId="77777777">
        <w:trPr>
          <w:cantSplit/>
        </w:trPr>
        <w:tc>
          <w:tcPr>
            <w:tcW w:w="2249" w:type="dxa"/>
          </w:tcPr>
          <w:p w:rsidRPr="006F34CD" w:rsidR="00515FE0" w:rsidP="006F34CD" w:rsidRDefault="00515FE0" w14:paraId="538FD5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Pavlovna TRIKOZ</w:t>
            </w:r>
          </w:p>
        </w:tc>
        <w:tc>
          <w:tcPr>
            <w:tcW w:w="836" w:type="dxa"/>
          </w:tcPr>
          <w:p w:rsidRPr="006F34CD" w:rsidR="00515FE0" w:rsidP="006F34CD" w:rsidRDefault="00515FE0" w14:paraId="4FF5E35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1934</w:t>
            </w:r>
          </w:p>
        </w:tc>
        <w:tc>
          <w:tcPr>
            <w:tcW w:w="1305" w:type="dxa"/>
          </w:tcPr>
          <w:p w:rsidRPr="006F34CD" w:rsidR="00515FE0" w:rsidP="006F34CD" w:rsidRDefault="00515FE0" w14:paraId="271FD6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0B70032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36E1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B773F3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3DF1E97" w14:textId="77777777">
        <w:trPr>
          <w:cantSplit/>
        </w:trPr>
        <w:tc>
          <w:tcPr>
            <w:tcW w:w="2249" w:type="dxa"/>
          </w:tcPr>
          <w:p w:rsidRPr="006F34CD" w:rsidR="00515FE0" w:rsidP="006F34CD" w:rsidRDefault="00515FE0" w14:paraId="4BFEAF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Iina Petrovna TRZHTSINA</w:t>
            </w:r>
          </w:p>
        </w:tc>
        <w:tc>
          <w:tcPr>
            <w:tcW w:w="836" w:type="dxa"/>
          </w:tcPr>
          <w:p w:rsidRPr="006F34CD" w:rsidR="00515FE0" w:rsidP="006F34CD" w:rsidRDefault="00515FE0" w14:paraId="04AAFC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2EB305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4E98B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EA248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2CAA9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6658B1C" w14:textId="77777777">
        <w:trPr>
          <w:cantSplit/>
        </w:trPr>
        <w:tc>
          <w:tcPr>
            <w:tcW w:w="2249" w:type="dxa"/>
          </w:tcPr>
          <w:p w:rsidRPr="006F34CD" w:rsidR="00515FE0" w:rsidP="006F34CD" w:rsidRDefault="00515FE0" w14:paraId="31A559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Stepan Anatolyevich TSUTSAEV</w:t>
            </w:r>
          </w:p>
        </w:tc>
        <w:tc>
          <w:tcPr>
            <w:tcW w:w="836" w:type="dxa"/>
          </w:tcPr>
          <w:p w:rsidRPr="006F34CD" w:rsidR="00515FE0" w:rsidP="006F34CD" w:rsidRDefault="00515FE0" w14:paraId="2F6D2A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0A0400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6A3BC0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70C9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BE8A09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94C0BBE" w14:textId="77777777">
        <w:trPr>
          <w:cantSplit/>
        </w:trPr>
        <w:tc>
          <w:tcPr>
            <w:tcW w:w="2249" w:type="dxa"/>
          </w:tcPr>
          <w:p w:rsidRPr="006F34CD" w:rsidR="00515FE0" w:rsidP="006F34CD" w:rsidRDefault="00515FE0" w14:paraId="40968B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Mikhailovich TULENEV</w:t>
            </w:r>
          </w:p>
        </w:tc>
        <w:tc>
          <w:tcPr>
            <w:tcW w:w="836" w:type="dxa"/>
          </w:tcPr>
          <w:p w:rsidRPr="006F34CD" w:rsidR="00515FE0" w:rsidP="006F34CD" w:rsidRDefault="00515FE0" w14:paraId="6A6863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41B926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7163B4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EC874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F0DA3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F61DFDF" w14:textId="77777777">
        <w:trPr>
          <w:cantSplit/>
        </w:trPr>
        <w:tc>
          <w:tcPr>
            <w:tcW w:w="2249" w:type="dxa"/>
          </w:tcPr>
          <w:p w:rsidRPr="006F34CD" w:rsidR="00515FE0" w:rsidP="006F34CD" w:rsidRDefault="00515FE0" w14:paraId="556B5C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Vladimirovna TULENEVA</w:t>
            </w:r>
          </w:p>
        </w:tc>
        <w:tc>
          <w:tcPr>
            <w:tcW w:w="836" w:type="dxa"/>
          </w:tcPr>
          <w:p w:rsidRPr="006F34CD" w:rsidR="00515FE0" w:rsidP="006F34CD" w:rsidRDefault="00515FE0" w14:paraId="12BD0B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796011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84B8E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B628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A30DB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86B4E2F" w14:textId="77777777">
        <w:trPr>
          <w:cantSplit/>
        </w:trPr>
        <w:tc>
          <w:tcPr>
            <w:tcW w:w="2249" w:type="dxa"/>
          </w:tcPr>
          <w:p w:rsidRPr="006F34CD" w:rsidR="00515FE0" w:rsidP="006F34CD" w:rsidRDefault="00515FE0" w14:paraId="38D639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Nataliya Vladimirovna TUMANYAN</w:t>
            </w:r>
          </w:p>
        </w:tc>
        <w:tc>
          <w:tcPr>
            <w:tcW w:w="836" w:type="dxa"/>
          </w:tcPr>
          <w:p w:rsidRPr="006F34CD" w:rsidR="00515FE0" w:rsidP="006F34CD" w:rsidRDefault="00515FE0" w14:paraId="0D5901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2A956C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1733AE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A7F1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1FB154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6E97EA0" w14:textId="77777777">
        <w:trPr>
          <w:cantSplit/>
        </w:trPr>
        <w:tc>
          <w:tcPr>
            <w:tcW w:w="2249" w:type="dxa"/>
          </w:tcPr>
          <w:p w:rsidRPr="006F34CD" w:rsidR="00515FE0" w:rsidP="006F34CD" w:rsidRDefault="00515FE0" w14:paraId="37A326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Aleksandrovna VAGANOVA</w:t>
            </w:r>
          </w:p>
        </w:tc>
        <w:tc>
          <w:tcPr>
            <w:tcW w:w="836" w:type="dxa"/>
          </w:tcPr>
          <w:p w:rsidRPr="006F34CD" w:rsidR="00515FE0" w:rsidP="006F34CD" w:rsidRDefault="00515FE0" w14:paraId="090178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1990</w:t>
            </w:r>
          </w:p>
        </w:tc>
        <w:tc>
          <w:tcPr>
            <w:tcW w:w="1305" w:type="dxa"/>
          </w:tcPr>
          <w:p w:rsidRPr="006F34CD" w:rsidR="00515FE0" w:rsidP="006F34CD" w:rsidRDefault="00515FE0" w14:paraId="186ED0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E480A6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C433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DEF78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F11793C" w14:textId="77777777">
        <w:trPr>
          <w:cantSplit/>
        </w:trPr>
        <w:tc>
          <w:tcPr>
            <w:tcW w:w="2249" w:type="dxa"/>
          </w:tcPr>
          <w:p w:rsidRPr="006F34CD" w:rsidR="00515FE0" w:rsidP="006F34CD" w:rsidRDefault="00515FE0" w14:paraId="16AB76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Viktorovich VAKHNENKO</w:t>
            </w:r>
          </w:p>
        </w:tc>
        <w:tc>
          <w:tcPr>
            <w:tcW w:w="836" w:type="dxa"/>
          </w:tcPr>
          <w:p w:rsidRPr="006F34CD" w:rsidR="00515FE0" w:rsidP="006F34CD" w:rsidRDefault="00515FE0" w14:paraId="4AFD26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6CCB35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AE2968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B5A9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13A92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FF91EB6" w14:textId="77777777">
        <w:trPr>
          <w:cantSplit/>
        </w:trPr>
        <w:tc>
          <w:tcPr>
            <w:tcW w:w="2249" w:type="dxa"/>
          </w:tcPr>
          <w:p w:rsidRPr="006F34CD" w:rsidR="00515FE0" w:rsidP="006F34CD" w:rsidRDefault="00515FE0" w14:paraId="7C64A7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Larisa Valentinovna VAKULENKO</w:t>
            </w:r>
          </w:p>
        </w:tc>
        <w:tc>
          <w:tcPr>
            <w:tcW w:w="836" w:type="dxa"/>
          </w:tcPr>
          <w:p w:rsidRPr="006F34CD" w:rsidR="00515FE0" w:rsidP="006F34CD" w:rsidRDefault="00515FE0" w14:paraId="3C76BB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31F6FC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B38BDE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D9404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B8387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6C282BF" w14:textId="77777777">
        <w:trPr>
          <w:cantSplit/>
        </w:trPr>
        <w:tc>
          <w:tcPr>
            <w:tcW w:w="2249" w:type="dxa"/>
          </w:tcPr>
          <w:p w:rsidRPr="006F34CD" w:rsidR="00515FE0" w:rsidP="006F34CD" w:rsidRDefault="00515FE0" w14:paraId="131C19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Yevgeniya Ðœikhaylovna VALIKOVA</w:t>
            </w:r>
          </w:p>
        </w:tc>
        <w:tc>
          <w:tcPr>
            <w:tcW w:w="836" w:type="dxa"/>
          </w:tcPr>
          <w:p w:rsidRPr="006F34CD" w:rsidR="00515FE0" w:rsidP="006F34CD" w:rsidRDefault="00515FE0" w14:paraId="381437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7AA62E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48E0C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E528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44C1B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71ED4FD" w14:textId="77777777">
        <w:trPr>
          <w:cantSplit/>
        </w:trPr>
        <w:tc>
          <w:tcPr>
            <w:tcW w:w="2249" w:type="dxa"/>
          </w:tcPr>
          <w:p w:rsidRPr="006F34CD" w:rsidR="00515FE0" w:rsidP="006F34CD" w:rsidRDefault="00515FE0" w14:paraId="2F1EA9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Kira Ivanovna VASILINA</w:t>
            </w:r>
          </w:p>
        </w:tc>
        <w:tc>
          <w:tcPr>
            <w:tcW w:w="836" w:type="dxa"/>
          </w:tcPr>
          <w:p w:rsidRPr="006F34CD" w:rsidR="00515FE0" w:rsidP="006F34CD" w:rsidRDefault="00515FE0" w14:paraId="465BBA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480BBB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525A19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B4707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84AC2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3F52059" w14:textId="77777777">
        <w:trPr>
          <w:cantSplit/>
        </w:trPr>
        <w:tc>
          <w:tcPr>
            <w:tcW w:w="2249" w:type="dxa"/>
          </w:tcPr>
          <w:p w:rsidRPr="006F34CD" w:rsidR="00515FE0" w:rsidP="006F34CD" w:rsidRDefault="00515FE0" w14:paraId="44DDA4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Alekseevna VEDENEYEVA</w:t>
            </w:r>
          </w:p>
        </w:tc>
        <w:tc>
          <w:tcPr>
            <w:tcW w:w="836" w:type="dxa"/>
          </w:tcPr>
          <w:p w:rsidRPr="006F34CD" w:rsidR="00515FE0" w:rsidP="006F34CD" w:rsidRDefault="00515FE0" w14:paraId="05EC9F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1929</w:t>
            </w:r>
          </w:p>
        </w:tc>
        <w:tc>
          <w:tcPr>
            <w:tcW w:w="1305" w:type="dxa"/>
          </w:tcPr>
          <w:p w:rsidRPr="006F34CD" w:rsidR="00515FE0" w:rsidP="006F34CD" w:rsidRDefault="00515FE0" w14:paraId="61C23E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73EB01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B22EC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3BA7A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5FA3378" w14:textId="77777777">
        <w:trPr>
          <w:cantSplit/>
        </w:trPr>
        <w:tc>
          <w:tcPr>
            <w:tcW w:w="2249" w:type="dxa"/>
          </w:tcPr>
          <w:p w:rsidRPr="006F34CD" w:rsidR="00515FE0" w:rsidP="006F34CD" w:rsidRDefault="00515FE0" w14:paraId="6DE6B2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Viktorovna VERBITSKAYA</w:t>
            </w:r>
          </w:p>
        </w:tc>
        <w:tc>
          <w:tcPr>
            <w:tcW w:w="836" w:type="dxa"/>
          </w:tcPr>
          <w:p w:rsidRPr="006F34CD" w:rsidR="00515FE0" w:rsidP="006F34CD" w:rsidRDefault="00515FE0" w14:paraId="46606C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7C3382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F223C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7A7F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975C45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896E8FF" w14:textId="77777777">
        <w:trPr>
          <w:cantSplit/>
        </w:trPr>
        <w:tc>
          <w:tcPr>
            <w:tcW w:w="2249" w:type="dxa"/>
          </w:tcPr>
          <w:p w:rsidRPr="006F34CD" w:rsidR="00515FE0" w:rsidP="006F34CD" w:rsidRDefault="00515FE0" w14:paraId="3A9551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Aleksandrovna VERGELES</w:t>
            </w:r>
          </w:p>
        </w:tc>
        <w:tc>
          <w:tcPr>
            <w:tcW w:w="836" w:type="dxa"/>
          </w:tcPr>
          <w:p w:rsidRPr="006F34CD" w:rsidR="00515FE0" w:rsidP="006F34CD" w:rsidRDefault="00515FE0" w14:paraId="0D6CD2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1943</w:t>
            </w:r>
          </w:p>
        </w:tc>
        <w:tc>
          <w:tcPr>
            <w:tcW w:w="1305" w:type="dxa"/>
          </w:tcPr>
          <w:p w:rsidRPr="006F34CD" w:rsidR="00515FE0" w:rsidP="006F34CD" w:rsidRDefault="00515FE0" w14:paraId="22D3EC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72AF4C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FD20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AD6AC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3D4000F" w14:textId="77777777">
        <w:trPr>
          <w:cantSplit/>
        </w:trPr>
        <w:tc>
          <w:tcPr>
            <w:tcW w:w="2249" w:type="dxa"/>
          </w:tcPr>
          <w:p w:rsidRPr="006F34CD" w:rsidR="00515FE0" w:rsidP="006F34CD" w:rsidRDefault="00515FE0" w14:paraId="50756B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Larisa Aleksandrovna VERYOMENKO</w:t>
            </w:r>
          </w:p>
        </w:tc>
        <w:tc>
          <w:tcPr>
            <w:tcW w:w="836" w:type="dxa"/>
          </w:tcPr>
          <w:p w:rsidRPr="006F34CD" w:rsidR="00515FE0" w:rsidP="006F34CD" w:rsidRDefault="00515FE0" w14:paraId="43AA31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732F06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E23436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DCA04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FFE8F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E68B301" w14:textId="77777777">
        <w:trPr>
          <w:cantSplit/>
        </w:trPr>
        <w:tc>
          <w:tcPr>
            <w:tcW w:w="2249" w:type="dxa"/>
          </w:tcPr>
          <w:p w:rsidRPr="006F34CD" w:rsidR="00515FE0" w:rsidP="006F34CD" w:rsidRDefault="00515FE0" w14:paraId="571322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Borisovna VICHEGZHANINA</w:t>
            </w:r>
          </w:p>
        </w:tc>
        <w:tc>
          <w:tcPr>
            <w:tcW w:w="836" w:type="dxa"/>
          </w:tcPr>
          <w:p w:rsidRPr="006F34CD" w:rsidR="00515FE0" w:rsidP="006F34CD" w:rsidRDefault="00515FE0" w14:paraId="1416EE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4EB6AC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112226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BDAE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AD8134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81BBD24" w14:textId="77777777">
        <w:trPr>
          <w:cantSplit/>
        </w:trPr>
        <w:tc>
          <w:tcPr>
            <w:tcW w:w="2249" w:type="dxa"/>
          </w:tcPr>
          <w:p w:rsidRPr="006F34CD" w:rsidR="00515FE0" w:rsidP="006F34CD" w:rsidRDefault="00515FE0" w14:paraId="11A825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Aleksandrovna VINOGRADOVA</w:t>
            </w:r>
          </w:p>
        </w:tc>
        <w:tc>
          <w:tcPr>
            <w:tcW w:w="836" w:type="dxa"/>
          </w:tcPr>
          <w:p w:rsidRPr="006F34CD" w:rsidR="00515FE0" w:rsidP="006F34CD" w:rsidRDefault="00515FE0" w14:paraId="7AACB3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4E74C0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00E5B0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C69E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BC2B8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B276C4D" w14:textId="77777777">
        <w:trPr>
          <w:cantSplit/>
        </w:trPr>
        <w:tc>
          <w:tcPr>
            <w:tcW w:w="2249" w:type="dxa"/>
          </w:tcPr>
          <w:p w:rsidRPr="006F34CD" w:rsidR="00515FE0" w:rsidP="006F34CD" w:rsidRDefault="00515FE0" w14:paraId="4B33CF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Zinaida Yakovlevna VODOLAGA</w:t>
            </w:r>
          </w:p>
        </w:tc>
        <w:tc>
          <w:tcPr>
            <w:tcW w:w="836" w:type="dxa"/>
          </w:tcPr>
          <w:p w:rsidRPr="006F34CD" w:rsidR="00515FE0" w:rsidP="006F34CD" w:rsidRDefault="00515FE0" w14:paraId="1DB19D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42051E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97BD9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539E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6078F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440DE77" w14:textId="77777777">
        <w:trPr>
          <w:cantSplit/>
        </w:trPr>
        <w:tc>
          <w:tcPr>
            <w:tcW w:w="2249" w:type="dxa"/>
          </w:tcPr>
          <w:p w:rsidRPr="006F34CD" w:rsidR="00515FE0" w:rsidP="006F34CD" w:rsidRDefault="00515FE0" w14:paraId="22729D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Igorevna VOLKOVA</w:t>
            </w:r>
          </w:p>
        </w:tc>
        <w:tc>
          <w:tcPr>
            <w:tcW w:w="836" w:type="dxa"/>
          </w:tcPr>
          <w:p w:rsidRPr="006F34CD" w:rsidR="00515FE0" w:rsidP="006F34CD" w:rsidRDefault="00515FE0" w14:paraId="220AE4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16ECF0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ADE83F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79B4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90808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D11A889" w14:textId="77777777">
        <w:trPr>
          <w:cantSplit/>
        </w:trPr>
        <w:tc>
          <w:tcPr>
            <w:tcW w:w="2249" w:type="dxa"/>
          </w:tcPr>
          <w:p w:rsidRPr="006F34CD" w:rsidR="00515FE0" w:rsidP="006F34CD" w:rsidRDefault="00515FE0" w14:paraId="17A32F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Vasilyevna VOLODINA</w:t>
            </w:r>
          </w:p>
        </w:tc>
        <w:tc>
          <w:tcPr>
            <w:tcW w:w="836" w:type="dxa"/>
          </w:tcPr>
          <w:p w:rsidRPr="006F34CD" w:rsidR="00515FE0" w:rsidP="006F34CD" w:rsidRDefault="00515FE0" w14:paraId="6A4F26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799481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13ACD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FBA0F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B5A2A3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80A9685" w14:textId="77777777">
        <w:trPr>
          <w:cantSplit/>
        </w:trPr>
        <w:tc>
          <w:tcPr>
            <w:tcW w:w="2249" w:type="dxa"/>
          </w:tcPr>
          <w:p w:rsidRPr="006F34CD" w:rsidR="00515FE0" w:rsidP="006F34CD" w:rsidRDefault="00515FE0" w14:paraId="297B91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Roman Vladimirovich VOLOSCHUK</w:t>
            </w:r>
          </w:p>
        </w:tc>
        <w:tc>
          <w:tcPr>
            <w:tcW w:w="836" w:type="dxa"/>
          </w:tcPr>
          <w:p w:rsidRPr="006F34CD" w:rsidR="00515FE0" w:rsidP="006F34CD" w:rsidRDefault="00515FE0" w14:paraId="047753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70C716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0BF603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DA1F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2F47A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19493B" w14:textId="77777777">
        <w:trPr>
          <w:cantSplit/>
        </w:trPr>
        <w:tc>
          <w:tcPr>
            <w:tcW w:w="2249" w:type="dxa"/>
          </w:tcPr>
          <w:p w:rsidRPr="006F34CD" w:rsidR="00515FE0" w:rsidP="006F34CD" w:rsidRDefault="00515FE0" w14:paraId="593D59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Dmitrievna VOLOSCHUK</w:t>
            </w:r>
          </w:p>
        </w:tc>
        <w:tc>
          <w:tcPr>
            <w:tcW w:w="836" w:type="dxa"/>
          </w:tcPr>
          <w:p w:rsidRPr="006F34CD" w:rsidR="00515FE0" w:rsidP="006F34CD" w:rsidRDefault="00515FE0" w14:paraId="21907D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3F2AD0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8921DA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8985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EDB67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F15A061" w14:textId="77777777">
        <w:trPr>
          <w:cantSplit/>
        </w:trPr>
        <w:tc>
          <w:tcPr>
            <w:tcW w:w="2249" w:type="dxa"/>
          </w:tcPr>
          <w:p w:rsidRPr="006F34CD" w:rsidR="00515FE0" w:rsidP="006F34CD" w:rsidRDefault="00515FE0" w14:paraId="3F1B2C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Vladimirovna VOROBYOVA</w:t>
            </w:r>
          </w:p>
        </w:tc>
        <w:tc>
          <w:tcPr>
            <w:tcW w:w="836" w:type="dxa"/>
          </w:tcPr>
          <w:p w:rsidRPr="006F34CD" w:rsidR="00515FE0" w:rsidP="006F34CD" w:rsidRDefault="00515FE0" w14:paraId="107CBE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1CA26A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Veselyy</w:t>
            </w:r>
          </w:p>
        </w:tc>
        <w:tc>
          <w:tcPr>
            <w:tcW w:w="1134" w:type="dxa"/>
          </w:tcPr>
          <w:p w:rsidRPr="006F34CD" w:rsidR="00515FE0" w:rsidP="006F34CD" w:rsidRDefault="00515FE0" w14:paraId="1DDBFFC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F10C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975965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F595A75" w14:textId="77777777">
        <w:trPr>
          <w:cantSplit/>
        </w:trPr>
        <w:tc>
          <w:tcPr>
            <w:tcW w:w="2249" w:type="dxa"/>
          </w:tcPr>
          <w:p w:rsidRPr="006F34CD" w:rsidR="00515FE0" w:rsidP="006F34CD" w:rsidRDefault="00515FE0" w14:paraId="7BB6B7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Valeriya Nikolaevna VOSKONYAN</w:t>
            </w:r>
          </w:p>
        </w:tc>
        <w:tc>
          <w:tcPr>
            <w:tcW w:w="836" w:type="dxa"/>
          </w:tcPr>
          <w:p w:rsidRPr="006F34CD" w:rsidR="00515FE0" w:rsidP="006F34CD" w:rsidRDefault="00515FE0" w14:paraId="2BA8AD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011C1C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E901C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9D774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8F4B8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D8DD98C" w14:textId="77777777">
        <w:trPr>
          <w:cantSplit/>
        </w:trPr>
        <w:tc>
          <w:tcPr>
            <w:tcW w:w="2249" w:type="dxa"/>
          </w:tcPr>
          <w:p w:rsidRPr="006F34CD" w:rsidR="00515FE0" w:rsidP="006F34CD" w:rsidRDefault="00515FE0" w14:paraId="61F014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Yegorovna YABLOCHKINA</w:t>
            </w:r>
          </w:p>
        </w:tc>
        <w:tc>
          <w:tcPr>
            <w:tcW w:w="836" w:type="dxa"/>
          </w:tcPr>
          <w:p w:rsidRPr="006F34CD" w:rsidR="00515FE0" w:rsidP="006F34CD" w:rsidRDefault="00515FE0" w14:paraId="525A84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75A7F9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814428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495E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5CABB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D687540" w14:textId="77777777">
        <w:trPr>
          <w:cantSplit/>
        </w:trPr>
        <w:tc>
          <w:tcPr>
            <w:tcW w:w="2249" w:type="dxa"/>
          </w:tcPr>
          <w:p w:rsidRPr="006F34CD" w:rsidR="00515FE0" w:rsidP="006F34CD" w:rsidRDefault="00515FE0" w14:paraId="05DFAE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Nikolaevna YAKIMENKO</w:t>
            </w:r>
          </w:p>
        </w:tc>
        <w:tc>
          <w:tcPr>
            <w:tcW w:w="836" w:type="dxa"/>
          </w:tcPr>
          <w:p w:rsidRPr="006F34CD" w:rsidR="00515FE0" w:rsidP="006F34CD" w:rsidRDefault="00515FE0" w14:paraId="7138E14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2E27D4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908C1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F14D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73954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4B4A6CA" w14:textId="77777777">
        <w:trPr>
          <w:cantSplit/>
        </w:trPr>
        <w:tc>
          <w:tcPr>
            <w:tcW w:w="2249" w:type="dxa"/>
          </w:tcPr>
          <w:p w:rsidRPr="006F34CD" w:rsidR="00515FE0" w:rsidP="006F34CD" w:rsidRDefault="00515FE0" w14:paraId="7B66CC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Leonid Viktorovich YAKIMENKO</w:t>
            </w:r>
          </w:p>
        </w:tc>
        <w:tc>
          <w:tcPr>
            <w:tcW w:w="836" w:type="dxa"/>
          </w:tcPr>
          <w:p w:rsidRPr="006F34CD" w:rsidR="00515FE0" w:rsidP="006F34CD" w:rsidRDefault="00515FE0" w14:paraId="31C7CE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594C34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B8978B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E9D1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C0CDE2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A4852AC" w14:textId="77777777">
        <w:trPr>
          <w:cantSplit/>
        </w:trPr>
        <w:tc>
          <w:tcPr>
            <w:tcW w:w="2249" w:type="dxa"/>
          </w:tcPr>
          <w:p w:rsidRPr="006F34CD" w:rsidR="00515FE0" w:rsidP="006F34CD" w:rsidRDefault="00515FE0" w14:paraId="716F54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Elmira Rubikovna YASINOVSKAYA</w:t>
            </w:r>
          </w:p>
        </w:tc>
        <w:tc>
          <w:tcPr>
            <w:tcW w:w="836" w:type="dxa"/>
          </w:tcPr>
          <w:p w:rsidRPr="006F34CD" w:rsidR="00515FE0" w:rsidP="006F34CD" w:rsidRDefault="00515FE0" w14:paraId="570F1F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7A43B7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2E8E2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574C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F1095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FFC07A1" w14:textId="77777777">
        <w:trPr>
          <w:cantSplit/>
        </w:trPr>
        <w:tc>
          <w:tcPr>
            <w:tcW w:w="2249" w:type="dxa"/>
          </w:tcPr>
          <w:p w:rsidRPr="006F34CD" w:rsidR="00515FE0" w:rsidP="006F34CD" w:rsidRDefault="00515FE0" w14:paraId="339851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Nikolayevich YEFGRAFOF</w:t>
            </w:r>
          </w:p>
        </w:tc>
        <w:tc>
          <w:tcPr>
            <w:tcW w:w="836" w:type="dxa"/>
          </w:tcPr>
          <w:p w:rsidRPr="006F34CD" w:rsidR="00515FE0" w:rsidP="006F34CD" w:rsidRDefault="00515FE0" w14:paraId="757C4E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3CE165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DF574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79CA1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749A9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6447D05" w14:textId="77777777">
        <w:trPr>
          <w:cantSplit/>
        </w:trPr>
        <w:tc>
          <w:tcPr>
            <w:tcW w:w="2249" w:type="dxa"/>
          </w:tcPr>
          <w:p w:rsidRPr="006F34CD" w:rsidR="00515FE0" w:rsidP="006F34CD" w:rsidRDefault="00515FE0" w14:paraId="12BD9C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Pyotr Nikolayevich YEFREMOV</w:t>
            </w:r>
          </w:p>
        </w:tc>
        <w:tc>
          <w:tcPr>
            <w:tcW w:w="836" w:type="dxa"/>
          </w:tcPr>
          <w:p w:rsidRPr="006F34CD" w:rsidR="00515FE0" w:rsidP="006F34CD" w:rsidRDefault="00515FE0" w14:paraId="0F2611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4274A6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016F4B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B611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2DA92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5BC217" w14:textId="77777777">
        <w:trPr>
          <w:cantSplit/>
        </w:trPr>
        <w:tc>
          <w:tcPr>
            <w:tcW w:w="2249" w:type="dxa"/>
          </w:tcPr>
          <w:p w:rsidRPr="006F34CD" w:rsidR="00515FE0" w:rsidP="006F34CD" w:rsidRDefault="00515FE0" w14:paraId="4C7D15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Nikolaevna YEFREMOVA</w:t>
            </w:r>
          </w:p>
        </w:tc>
        <w:tc>
          <w:tcPr>
            <w:tcW w:w="836" w:type="dxa"/>
          </w:tcPr>
          <w:p w:rsidRPr="006F34CD" w:rsidR="00515FE0" w:rsidP="006F34CD" w:rsidRDefault="00515FE0" w14:paraId="75B5D7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5C26BB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4E11C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0DA1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4F796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D3B719C" w14:textId="77777777">
        <w:trPr>
          <w:cantSplit/>
        </w:trPr>
        <w:tc>
          <w:tcPr>
            <w:tcW w:w="2249" w:type="dxa"/>
          </w:tcPr>
          <w:p w:rsidRPr="006F34CD" w:rsidR="00515FE0" w:rsidP="006F34CD" w:rsidRDefault="00515FE0" w14:paraId="7031A7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Yevgeniya Nikolaevna YELCOVA</w:t>
            </w:r>
          </w:p>
        </w:tc>
        <w:tc>
          <w:tcPr>
            <w:tcW w:w="836" w:type="dxa"/>
          </w:tcPr>
          <w:p w:rsidRPr="006F34CD" w:rsidR="00515FE0" w:rsidP="006F34CD" w:rsidRDefault="00515FE0" w14:paraId="3BE173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531E01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13695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2415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16510A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994733B" w14:textId="77777777">
        <w:trPr>
          <w:cantSplit/>
        </w:trPr>
        <w:tc>
          <w:tcPr>
            <w:tcW w:w="2249" w:type="dxa"/>
          </w:tcPr>
          <w:p w:rsidRPr="006F34CD" w:rsidR="00515FE0" w:rsidP="006F34CD" w:rsidRDefault="00515FE0" w14:paraId="1C8263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Olga Vladimirovna YELENSKAYA</w:t>
            </w:r>
          </w:p>
        </w:tc>
        <w:tc>
          <w:tcPr>
            <w:tcW w:w="836" w:type="dxa"/>
          </w:tcPr>
          <w:p w:rsidRPr="006F34CD" w:rsidR="00515FE0" w:rsidP="006F34CD" w:rsidRDefault="00515FE0" w14:paraId="5128AE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20B89E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5B508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0723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5FB02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0612592" w14:textId="77777777">
        <w:trPr>
          <w:cantSplit/>
        </w:trPr>
        <w:tc>
          <w:tcPr>
            <w:tcW w:w="2249" w:type="dxa"/>
          </w:tcPr>
          <w:p w:rsidRPr="006F34CD" w:rsidR="00515FE0" w:rsidP="006F34CD" w:rsidRDefault="00515FE0" w14:paraId="5F1572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Vasilyevich YELITENKO</w:t>
            </w:r>
          </w:p>
        </w:tc>
        <w:tc>
          <w:tcPr>
            <w:tcW w:w="836" w:type="dxa"/>
          </w:tcPr>
          <w:p w:rsidRPr="006F34CD" w:rsidR="00515FE0" w:rsidP="006F34CD" w:rsidRDefault="00515FE0" w14:paraId="54E210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7FA177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07E66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223F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8FD819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7A6EE4E" w14:textId="77777777">
        <w:trPr>
          <w:cantSplit/>
        </w:trPr>
        <w:tc>
          <w:tcPr>
            <w:tcW w:w="2249" w:type="dxa"/>
          </w:tcPr>
          <w:p w:rsidRPr="006F34CD" w:rsidR="00515FE0" w:rsidP="006F34CD" w:rsidRDefault="00515FE0" w14:paraId="29EB0F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Nikolaevna YELITENKO</w:t>
            </w:r>
          </w:p>
        </w:tc>
        <w:tc>
          <w:tcPr>
            <w:tcW w:w="836" w:type="dxa"/>
          </w:tcPr>
          <w:p w:rsidRPr="006F34CD" w:rsidR="00515FE0" w:rsidP="006F34CD" w:rsidRDefault="00515FE0" w14:paraId="39CC18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65DF78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92A9A5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6F6F6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811383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23F90DA" w14:textId="77777777">
        <w:trPr>
          <w:cantSplit/>
        </w:trPr>
        <w:tc>
          <w:tcPr>
            <w:tcW w:w="2249" w:type="dxa"/>
          </w:tcPr>
          <w:p w:rsidRPr="006F34CD" w:rsidR="00515FE0" w:rsidP="006F34CD" w:rsidRDefault="00515FE0" w14:paraId="7A10D9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Aleksandrovna YEMASHEVA</w:t>
            </w:r>
          </w:p>
        </w:tc>
        <w:tc>
          <w:tcPr>
            <w:tcW w:w="836" w:type="dxa"/>
          </w:tcPr>
          <w:p w:rsidRPr="006F34CD" w:rsidR="00515FE0" w:rsidP="006F34CD" w:rsidRDefault="00515FE0" w14:paraId="737AB6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45B8DC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FE6EF5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79109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47E09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B38F934" w14:textId="77777777">
        <w:trPr>
          <w:cantSplit/>
        </w:trPr>
        <w:tc>
          <w:tcPr>
            <w:tcW w:w="2249" w:type="dxa"/>
          </w:tcPr>
          <w:p w:rsidRPr="006F34CD" w:rsidR="00515FE0" w:rsidP="006F34CD" w:rsidRDefault="00515FE0" w14:paraId="7BA4BF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Vasilyevich YEREMENKO</w:t>
            </w:r>
          </w:p>
        </w:tc>
        <w:tc>
          <w:tcPr>
            <w:tcW w:w="836" w:type="dxa"/>
          </w:tcPr>
          <w:p w:rsidRPr="006F34CD" w:rsidR="00515FE0" w:rsidP="006F34CD" w:rsidRDefault="00515FE0" w14:paraId="7A5D30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1942</w:t>
            </w:r>
          </w:p>
        </w:tc>
        <w:tc>
          <w:tcPr>
            <w:tcW w:w="1305" w:type="dxa"/>
          </w:tcPr>
          <w:p w:rsidRPr="006F34CD" w:rsidR="00515FE0" w:rsidP="006F34CD" w:rsidRDefault="00515FE0" w14:paraId="6420FD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09C330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5DA0E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F29B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0CE1002" w14:textId="77777777">
        <w:trPr>
          <w:cantSplit/>
        </w:trPr>
        <w:tc>
          <w:tcPr>
            <w:tcW w:w="2249" w:type="dxa"/>
          </w:tcPr>
          <w:p w:rsidRPr="006F34CD" w:rsidR="00515FE0" w:rsidP="006F34CD" w:rsidRDefault="00515FE0" w14:paraId="23BCF5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Semyonovna YEROCKAYA</w:t>
            </w:r>
          </w:p>
        </w:tc>
        <w:tc>
          <w:tcPr>
            <w:tcW w:w="836" w:type="dxa"/>
          </w:tcPr>
          <w:p w:rsidRPr="006F34CD" w:rsidR="00515FE0" w:rsidP="006F34CD" w:rsidRDefault="00515FE0" w14:paraId="23162B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2497F5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4A0F14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5601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77C90D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64108A0" w14:textId="77777777">
        <w:trPr>
          <w:cantSplit/>
        </w:trPr>
        <w:tc>
          <w:tcPr>
            <w:tcW w:w="2249" w:type="dxa"/>
          </w:tcPr>
          <w:p w:rsidRPr="006F34CD" w:rsidR="00515FE0" w:rsidP="006F34CD" w:rsidRDefault="00515FE0" w14:paraId="4C48C6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Antonina Petrovna YEROSCHENKO</w:t>
            </w:r>
          </w:p>
        </w:tc>
        <w:tc>
          <w:tcPr>
            <w:tcW w:w="836" w:type="dxa"/>
          </w:tcPr>
          <w:p w:rsidRPr="006F34CD" w:rsidR="00515FE0" w:rsidP="006F34CD" w:rsidRDefault="00515FE0" w14:paraId="1EE6FD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1EA6FC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072BF17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DA79B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77BDF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FB9F60F" w14:textId="77777777">
        <w:trPr>
          <w:cantSplit/>
        </w:trPr>
        <w:tc>
          <w:tcPr>
            <w:tcW w:w="2249" w:type="dxa"/>
          </w:tcPr>
          <w:p w:rsidRPr="006F34CD" w:rsidR="00515FE0" w:rsidP="006F34CD" w:rsidRDefault="00515FE0" w14:paraId="37F4C9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Leonidovich YERYMENKO</w:t>
            </w:r>
          </w:p>
        </w:tc>
        <w:tc>
          <w:tcPr>
            <w:tcW w:w="836" w:type="dxa"/>
          </w:tcPr>
          <w:p w:rsidRPr="006F34CD" w:rsidR="00515FE0" w:rsidP="006F34CD" w:rsidRDefault="00515FE0" w14:paraId="44F54C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117F96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6AE491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3816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DCDEA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AB5EAA7" w14:textId="77777777">
        <w:trPr>
          <w:cantSplit/>
        </w:trPr>
        <w:tc>
          <w:tcPr>
            <w:tcW w:w="2249" w:type="dxa"/>
          </w:tcPr>
          <w:p w:rsidRPr="006F34CD" w:rsidR="00515FE0" w:rsidP="006F34CD" w:rsidRDefault="00515FE0" w14:paraId="4C21A2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Lvovna YERYMENKO</w:t>
            </w:r>
          </w:p>
        </w:tc>
        <w:tc>
          <w:tcPr>
            <w:tcW w:w="836" w:type="dxa"/>
          </w:tcPr>
          <w:p w:rsidRPr="006F34CD" w:rsidR="00515FE0" w:rsidP="006F34CD" w:rsidRDefault="00515FE0" w14:paraId="416798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3E60CC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297DF2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580B9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7C1A3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638F7C0" w14:textId="77777777">
        <w:trPr>
          <w:cantSplit/>
        </w:trPr>
        <w:tc>
          <w:tcPr>
            <w:tcW w:w="2249" w:type="dxa"/>
          </w:tcPr>
          <w:p w:rsidRPr="006F34CD" w:rsidR="00515FE0" w:rsidP="006F34CD" w:rsidRDefault="00515FE0" w14:paraId="5FF7FA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Anatolyevna YUROVA</w:t>
            </w:r>
          </w:p>
        </w:tc>
        <w:tc>
          <w:tcPr>
            <w:tcW w:w="836" w:type="dxa"/>
          </w:tcPr>
          <w:p w:rsidRPr="006F34CD" w:rsidR="00515FE0" w:rsidP="006F34CD" w:rsidRDefault="00515FE0" w14:paraId="4745BE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599814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A53383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A061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4C6B5C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2736A82" w14:textId="77777777">
        <w:trPr>
          <w:cantSplit/>
        </w:trPr>
        <w:tc>
          <w:tcPr>
            <w:tcW w:w="2249" w:type="dxa"/>
          </w:tcPr>
          <w:p w:rsidRPr="006F34CD" w:rsidR="00515FE0" w:rsidP="006F34CD" w:rsidRDefault="00515FE0" w14:paraId="728553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Vladimirovna ZABROVSKAYA</w:t>
            </w:r>
          </w:p>
        </w:tc>
        <w:tc>
          <w:tcPr>
            <w:tcW w:w="836" w:type="dxa"/>
          </w:tcPr>
          <w:p w:rsidRPr="006F34CD" w:rsidR="00515FE0" w:rsidP="006F34CD" w:rsidRDefault="00515FE0" w14:paraId="7FEB90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0B0B84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3E556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22C0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032A8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EB7C800" w14:textId="77777777">
        <w:trPr>
          <w:cantSplit/>
        </w:trPr>
        <w:tc>
          <w:tcPr>
            <w:tcW w:w="2249" w:type="dxa"/>
          </w:tcPr>
          <w:p w:rsidRPr="006F34CD" w:rsidR="00515FE0" w:rsidP="006F34CD" w:rsidRDefault="00515FE0" w14:paraId="00C9D7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Yekaterina Ivamovna ZARGARYAN</w:t>
            </w:r>
          </w:p>
        </w:tc>
        <w:tc>
          <w:tcPr>
            <w:tcW w:w="836" w:type="dxa"/>
          </w:tcPr>
          <w:p w:rsidRPr="006F34CD" w:rsidR="00515FE0" w:rsidP="006F34CD" w:rsidRDefault="00515FE0" w14:paraId="5A4C78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42C4F6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926C26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FC86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8CBD50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36A525A" w14:textId="77777777">
        <w:trPr>
          <w:cantSplit/>
        </w:trPr>
        <w:tc>
          <w:tcPr>
            <w:tcW w:w="2249" w:type="dxa"/>
          </w:tcPr>
          <w:p w:rsidRPr="006F34CD" w:rsidR="00515FE0" w:rsidP="006F34CD" w:rsidRDefault="00515FE0" w14:paraId="6B80A8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Margarita Filipovna ZAYCEVA</w:t>
            </w:r>
          </w:p>
        </w:tc>
        <w:tc>
          <w:tcPr>
            <w:tcW w:w="836" w:type="dxa"/>
          </w:tcPr>
          <w:p w:rsidRPr="006F34CD" w:rsidR="00515FE0" w:rsidP="006F34CD" w:rsidRDefault="00515FE0" w14:paraId="41BEC4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1939</w:t>
            </w:r>
          </w:p>
        </w:tc>
        <w:tc>
          <w:tcPr>
            <w:tcW w:w="1305" w:type="dxa"/>
          </w:tcPr>
          <w:p w:rsidRPr="006F34CD" w:rsidR="00515FE0" w:rsidP="006F34CD" w:rsidRDefault="00515FE0" w14:paraId="4E9257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F38881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C8C01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E7D99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BF6BC34" w14:textId="77777777">
        <w:trPr>
          <w:cantSplit/>
        </w:trPr>
        <w:tc>
          <w:tcPr>
            <w:tcW w:w="2249" w:type="dxa"/>
          </w:tcPr>
          <w:p w:rsidRPr="006F34CD" w:rsidR="00515FE0" w:rsidP="006F34CD" w:rsidRDefault="00515FE0" w14:paraId="40E61B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lvanovna ZAYCEVA</w:t>
            </w:r>
          </w:p>
        </w:tc>
        <w:tc>
          <w:tcPr>
            <w:tcW w:w="836" w:type="dxa"/>
          </w:tcPr>
          <w:p w:rsidRPr="006F34CD" w:rsidR="00515FE0" w:rsidP="006F34CD" w:rsidRDefault="00515FE0" w14:paraId="56CBA1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5CF902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Matveyev Kurgan</w:t>
            </w:r>
          </w:p>
        </w:tc>
        <w:tc>
          <w:tcPr>
            <w:tcW w:w="1134" w:type="dxa"/>
          </w:tcPr>
          <w:p w:rsidRPr="006F34CD" w:rsidR="00515FE0" w:rsidP="006F34CD" w:rsidRDefault="00515FE0" w14:paraId="57D2C9E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98AC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80CBE8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FB26BD1" w14:textId="77777777">
        <w:trPr>
          <w:cantSplit/>
        </w:trPr>
        <w:tc>
          <w:tcPr>
            <w:tcW w:w="2249" w:type="dxa"/>
          </w:tcPr>
          <w:p w:rsidRPr="006F34CD" w:rsidR="00515FE0" w:rsidP="006F34CD" w:rsidRDefault="00515FE0" w14:paraId="039EEB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Petrovna ZHIDENKO</w:t>
            </w:r>
          </w:p>
        </w:tc>
        <w:tc>
          <w:tcPr>
            <w:tcW w:w="836" w:type="dxa"/>
          </w:tcPr>
          <w:p w:rsidRPr="006F34CD" w:rsidR="00515FE0" w:rsidP="006F34CD" w:rsidRDefault="00515FE0" w14:paraId="02B710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4410D6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50478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9598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113CD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1CA9D0E" w14:textId="77777777">
        <w:trPr>
          <w:cantSplit/>
        </w:trPr>
        <w:tc>
          <w:tcPr>
            <w:tcW w:w="2249" w:type="dxa"/>
          </w:tcPr>
          <w:p w:rsidRPr="006F34CD" w:rsidR="00515FE0" w:rsidP="006F34CD" w:rsidRDefault="00515FE0" w14:paraId="5ADF2D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Anatolyevna ZHITKEVICH</w:t>
            </w:r>
          </w:p>
        </w:tc>
        <w:tc>
          <w:tcPr>
            <w:tcW w:w="836" w:type="dxa"/>
          </w:tcPr>
          <w:p w:rsidRPr="006F34CD" w:rsidR="00515FE0" w:rsidP="006F34CD" w:rsidRDefault="00515FE0" w14:paraId="3EE296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15C2A2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6CEEF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C74F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85221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807C143" w14:textId="77777777">
        <w:trPr>
          <w:cantSplit/>
        </w:trPr>
        <w:tc>
          <w:tcPr>
            <w:tcW w:w="2249" w:type="dxa"/>
          </w:tcPr>
          <w:p w:rsidRPr="006F34CD" w:rsidR="00515FE0" w:rsidP="006F34CD" w:rsidRDefault="00515FE0" w14:paraId="74F7F7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Vladimirovich ZHUCHENKO</w:t>
            </w:r>
          </w:p>
        </w:tc>
        <w:tc>
          <w:tcPr>
            <w:tcW w:w="836" w:type="dxa"/>
          </w:tcPr>
          <w:p w:rsidRPr="006F34CD" w:rsidR="00515FE0" w:rsidP="006F34CD" w:rsidRDefault="00515FE0" w14:paraId="67EA6B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273993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6CAF3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FD7A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15C2BC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422F2AF" w14:textId="77777777">
        <w:trPr>
          <w:cantSplit/>
        </w:trPr>
        <w:tc>
          <w:tcPr>
            <w:tcW w:w="2249" w:type="dxa"/>
          </w:tcPr>
          <w:p w:rsidRPr="006F34CD" w:rsidR="00515FE0" w:rsidP="006F34CD" w:rsidRDefault="00515FE0" w14:paraId="0C8E16F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Andreyevna ZHUCHENKO</w:t>
            </w:r>
          </w:p>
        </w:tc>
        <w:tc>
          <w:tcPr>
            <w:tcW w:w="836" w:type="dxa"/>
          </w:tcPr>
          <w:p w:rsidRPr="006F34CD" w:rsidR="00515FE0" w:rsidP="006F34CD" w:rsidRDefault="00515FE0" w14:paraId="42148D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298ECE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6885C8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5197A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D32E2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3611959" w14:textId="77777777">
        <w:trPr>
          <w:cantSplit/>
        </w:trPr>
        <w:tc>
          <w:tcPr>
            <w:tcW w:w="2249" w:type="dxa"/>
          </w:tcPr>
          <w:p w:rsidRPr="006F34CD" w:rsidR="00515FE0" w:rsidP="006F34CD" w:rsidRDefault="00515FE0" w14:paraId="7BC508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Nikolaevna ZIMINA</w:t>
            </w:r>
          </w:p>
        </w:tc>
        <w:tc>
          <w:tcPr>
            <w:tcW w:w="836" w:type="dxa"/>
          </w:tcPr>
          <w:p w:rsidRPr="006F34CD" w:rsidR="00515FE0" w:rsidP="006F34CD" w:rsidRDefault="00515FE0" w14:paraId="50EF89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107E86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0F7E74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6F72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B8549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344F995" w14:textId="77777777">
        <w:trPr>
          <w:cantSplit/>
        </w:trPr>
        <w:tc>
          <w:tcPr>
            <w:tcW w:w="2249" w:type="dxa"/>
          </w:tcPr>
          <w:p w:rsidRPr="006F34CD" w:rsidR="00515FE0" w:rsidP="006F34CD" w:rsidRDefault="00515FE0" w14:paraId="4F165C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Sergeyevich ZMAGA</w:t>
            </w:r>
          </w:p>
        </w:tc>
        <w:tc>
          <w:tcPr>
            <w:tcW w:w="836" w:type="dxa"/>
          </w:tcPr>
          <w:p w:rsidRPr="006F34CD" w:rsidR="00515FE0" w:rsidP="006F34CD" w:rsidRDefault="00515FE0" w14:paraId="27E672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4EC0FC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CA0648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3D1F6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3E996A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DBA5A57" w14:textId="77777777">
        <w:trPr>
          <w:cantSplit/>
        </w:trPr>
        <w:tc>
          <w:tcPr>
            <w:tcW w:w="2249" w:type="dxa"/>
          </w:tcPr>
          <w:p w:rsidRPr="006F34CD" w:rsidR="00515FE0" w:rsidP="006F34CD" w:rsidRDefault="00515FE0" w14:paraId="082781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Petrovna ZMAGA</w:t>
            </w:r>
          </w:p>
        </w:tc>
        <w:tc>
          <w:tcPr>
            <w:tcW w:w="836" w:type="dxa"/>
          </w:tcPr>
          <w:p w:rsidRPr="006F34CD" w:rsidR="00515FE0" w:rsidP="006F34CD" w:rsidRDefault="00515FE0" w14:paraId="6E9090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3AF9BA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961AB3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F2BB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50AE32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66CA066" w14:textId="77777777">
        <w:trPr>
          <w:cantSplit/>
        </w:trPr>
        <w:tc>
          <w:tcPr>
            <w:tcW w:w="2249" w:type="dxa"/>
          </w:tcPr>
          <w:p w:rsidRPr="006F34CD" w:rsidR="00515FE0" w:rsidP="006F34CD" w:rsidRDefault="00515FE0" w14:paraId="012894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Anatolyevich ZUEV</w:t>
            </w:r>
          </w:p>
        </w:tc>
        <w:tc>
          <w:tcPr>
            <w:tcW w:w="836" w:type="dxa"/>
          </w:tcPr>
          <w:p w:rsidRPr="006F34CD" w:rsidR="00515FE0" w:rsidP="006F34CD" w:rsidRDefault="00515FE0" w14:paraId="0CD1C9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673B42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6782DF7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C4A3B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CC96D2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1CC40D8" w14:textId="77777777">
        <w:trPr>
          <w:cantSplit/>
        </w:trPr>
        <w:tc>
          <w:tcPr>
            <w:tcW w:w="2249" w:type="dxa"/>
          </w:tcPr>
          <w:p w:rsidRPr="006F34CD" w:rsidR="00515FE0" w:rsidP="006F34CD" w:rsidRDefault="00515FE0" w14:paraId="105224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Olegovna ZUEVA</w:t>
            </w:r>
          </w:p>
        </w:tc>
        <w:tc>
          <w:tcPr>
            <w:tcW w:w="836" w:type="dxa"/>
          </w:tcPr>
          <w:p w:rsidRPr="006F34CD" w:rsidR="00515FE0" w:rsidP="006F34CD" w:rsidRDefault="00515FE0" w14:paraId="3A3CD2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4A56B8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BF95E8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AC72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AB661A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5B3ECD8" w14:textId="77777777">
        <w:trPr>
          <w:cantSplit/>
        </w:trPr>
        <w:tc>
          <w:tcPr>
            <w:tcW w:w="2249" w:type="dxa"/>
          </w:tcPr>
          <w:p w:rsidRPr="006F34CD" w:rsidR="00515FE0" w:rsidP="006F34CD" w:rsidRDefault="00515FE0" w14:paraId="53E072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Alekseevich ZVEREV</w:t>
            </w:r>
          </w:p>
        </w:tc>
        <w:tc>
          <w:tcPr>
            <w:tcW w:w="836" w:type="dxa"/>
          </w:tcPr>
          <w:p w:rsidRPr="006F34CD" w:rsidR="00515FE0" w:rsidP="006F34CD" w:rsidRDefault="00515FE0" w14:paraId="64A549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34088D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Ryasnoye</w:t>
            </w:r>
          </w:p>
        </w:tc>
        <w:tc>
          <w:tcPr>
            <w:tcW w:w="1134" w:type="dxa"/>
          </w:tcPr>
          <w:p w:rsidRPr="006F34CD" w:rsidR="00515FE0" w:rsidP="006F34CD" w:rsidRDefault="00515FE0" w14:paraId="4733BE8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21BD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47488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14F7D9E" w14:textId="77777777">
        <w:trPr>
          <w:cantSplit/>
        </w:trPr>
        <w:tc>
          <w:tcPr>
            <w:tcW w:w="2249" w:type="dxa"/>
          </w:tcPr>
          <w:p w:rsidRPr="006F34CD" w:rsidR="00515FE0" w:rsidP="006F34CD" w:rsidRDefault="00515FE0" w14:paraId="3291CA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Martinovna ZVEREVA</w:t>
            </w:r>
          </w:p>
        </w:tc>
        <w:tc>
          <w:tcPr>
            <w:tcW w:w="836" w:type="dxa"/>
          </w:tcPr>
          <w:p w:rsidRPr="006F34CD" w:rsidR="00515FE0" w:rsidP="006F34CD" w:rsidRDefault="00515FE0" w14:paraId="1E0F74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51FB79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75E97C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2F244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34B0D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F95491F" w14:textId="77777777">
        <w:trPr>
          <w:cantSplit/>
        </w:trPr>
        <w:tc>
          <w:tcPr>
            <w:tcW w:w="7508" w:type="dxa"/>
            <w:gridSpan w:val="6"/>
          </w:tcPr>
          <w:p w:rsidRPr="006F34CD" w:rsidR="00515FE0" w:rsidP="006F34CD" w:rsidRDefault="00515FE0" w14:paraId="719300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44285/10, </w:t>
            </w:r>
            <w:r w:rsidRPr="006F34CD">
              <w:rPr>
                <w:rFonts w:ascii="Times New Roman" w:hAnsi="Times New Roman" w:cs="Times New Roman"/>
                <w:i/>
                <w:sz w:val="18"/>
                <w:szCs w:val="18"/>
              </w:rPr>
              <w:t>Gorno-Altaysk LRO and Others v. Russia</w:t>
            </w:r>
          </w:p>
        </w:tc>
      </w:tr>
      <w:tr w:rsidRPr="006F34CD" w:rsidR="00515FE0" w:rsidTr="00EF028C" w14:paraId="5EEE79C6" w14:textId="77777777">
        <w:trPr>
          <w:cantSplit/>
        </w:trPr>
        <w:tc>
          <w:tcPr>
            <w:tcW w:w="2249" w:type="dxa"/>
          </w:tcPr>
          <w:p w:rsidRPr="006F34CD" w:rsidR="00515FE0" w:rsidP="006F34CD" w:rsidRDefault="00515FE0" w14:paraId="0D230980" w14:textId="183B5AFB">
            <w:pPr>
              <w:spacing w:before="120" w:after="120"/>
              <w:rPr>
                <w:rFonts w:ascii="Times New Roman" w:hAnsi="Times New Roman" w:cs="Times New Roman"/>
                <w:sz w:val="18"/>
                <w:szCs w:val="18"/>
              </w:rPr>
            </w:pPr>
            <w:r w:rsidRPr="006F34CD">
              <w:rPr>
                <w:rFonts w:ascii="Times New Roman" w:hAnsi="Times New Roman" w:cs="Times New Roman"/>
                <w:sz w:val="18"/>
                <w:szCs w:val="18"/>
              </w:rPr>
              <w:t>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143021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58DBF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79F52EB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0DB0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7E38AA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4AACFC72" w14:textId="77777777">
        <w:trPr>
          <w:cantSplit/>
        </w:trPr>
        <w:tc>
          <w:tcPr>
            <w:tcW w:w="2249" w:type="dxa"/>
          </w:tcPr>
          <w:p w:rsidRPr="006F34CD" w:rsidR="00515FE0" w:rsidP="006F34CD" w:rsidRDefault="00515FE0" w14:paraId="7DC296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Watch Tower Bible and Tract Society of Pennsylvania</w:t>
            </w:r>
          </w:p>
        </w:tc>
        <w:tc>
          <w:tcPr>
            <w:tcW w:w="836" w:type="dxa"/>
          </w:tcPr>
          <w:p w:rsidRPr="006F34CD" w:rsidR="00515FE0" w:rsidP="006F34CD" w:rsidRDefault="00515FE0" w14:paraId="2D02FA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1884</w:t>
            </w:r>
          </w:p>
        </w:tc>
        <w:tc>
          <w:tcPr>
            <w:tcW w:w="1305" w:type="dxa"/>
          </w:tcPr>
          <w:p w:rsidRPr="006F34CD" w:rsidR="00515FE0" w:rsidP="006F34CD" w:rsidRDefault="00515FE0" w14:paraId="6643F2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New York</w:t>
            </w:r>
          </w:p>
        </w:tc>
        <w:tc>
          <w:tcPr>
            <w:tcW w:w="1134" w:type="dxa"/>
          </w:tcPr>
          <w:p w:rsidRPr="006F34CD" w:rsidR="00515FE0" w:rsidP="006F34CD" w:rsidRDefault="00515FE0" w14:paraId="57CA52F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DEDA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0B760B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081D0B33" w14:textId="77777777">
        <w:trPr>
          <w:cantSplit/>
        </w:trPr>
        <w:tc>
          <w:tcPr>
            <w:tcW w:w="2249" w:type="dxa"/>
          </w:tcPr>
          <w:p w:rsidRPr="006F34CD" w:rsidR="00515FE0" w:rsidP="006F34CD" w:rsidRDefault="00515FE0" w14:paraId="695D7063" w14:textId="77777777">
            <w:pPr>
              <w:spacing w:before="120" w:after="120"/>
              <w:rPr>
                <w:rFonts w:ascii="Times New Roman" w:hAnsi="Times New Roman" w:cs="Times New Roman"/>
                <w:sz w:val="18"/>
                <w:szCs w:val="18"/>
                <w:lang w:val="de-DE"/>
              </w:rPr>
            </w:pPr>
            <w:r w:rsidRPr="006F34CD">
              <w:rPr>
                <w:rFonts w:ascii="Times New Roman" w:hAnsi="Times New Roman" w:cs="Times New Roman"/>
                <w:sz w:val="18"/>
                <w:szCs w:val="18"/>
                <w:lang w:val="de-DE"/>
              </w:rPr>
              <w:t>Wachtturm Bibel- und Traktat-Gesellschaft der Zeugen Jehovas</w:t>
            </w:r>
          </w:p>
        </w:tc>
        <w:tc>
          <w:tcPr>
            <w:tcW w:w="836" w:type="dxa"/>
          </w:tcPr>
          <w:p w:rsidRPr="006F34CD" w:rsidR="00515FE0" w:rsidP="006F34CD" w:rsidRDefault="00515FE0" w14:paraId="40AD71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58D655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Selters</w:t>
            </w:r>
          </w:p>
        </w:tc>
        <w:tc>
          <w:tcPr>
            <w:tcW w:w="1134" w:type="dxa"/>
          </w:tcPr>
          <w:p w:rsidRPr="006F34CD" w:rsidR="00515FE0" w:rsidP="006F34CD" w:rsidRDefault="00515FE0" w14:paraId="31A4FE7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C319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54ACE6B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6E17C84A" w14:textId="77777777">
        <w:trPr>
          <w:cantSplit/>
        </w:trPr>
        <w:tc>
          <w:tcPr>
            <w:tcW w:w="2249" w:type="dxa"/>
          </w:tcPr>
          <w:p w:rsidRPr="006F34CD" w:rsidR="00515FE0" w:rsidP="006F34CD" w:rsidRDefault="00515FE0" w14:paraId="5D4366E3" w14:textId="71B7E64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"Gorno-Altaysk"</w:t>
            </w:r>
          </w:p>
        </w:tc>
        <w:tc>
          <w:tcPr>
            <w:tcW w:w="836" w:type="dxa"/>
          </w:tcPr>
          <w:p w:rsidRPr="006F34CD" w:rsidR="00515FE0" w:rsidP="006F34CD" w:rsidRDefault="00515FE0" w14:paraId="7DCEF7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7FE4A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417C21A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24F7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c>
          <w:tcPr>
            <w:tcW w:w="992" w:type="dxa"/>
          </w:tcPr>
          <w:p w:rsidRPr="006F34CD" w:rsidR="00515FE0" w:rsidP="006F34CD" w:rsidRDefault="00515FE0" w14:paraId="6F3C0E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below</w:t>
            </w:r>
          </w:p>
        </w:tc>
      </w:tr>
      <w:tr w:rsidRPr="006F34CD" w:rsidR="00515FE0" w:rsidTr="00EF028C" w14:paraId="39A9142E" w14:textId="77777777">
        <w:trPr>
          <w:cantSplit/>
        </w:trPr>
        <w:tc>
          <w:tcPr>
            <w:tcW w:w="2249" w:type="dxa"/>
          </w:tcPr>
          <w:p w:rsidRPr="006F34CD" w:rsidR="00515FE0" w:rsidP="006F34CD" w:rsidRDefault="00515FE0" w14:paraId="216BAAB5" w14:textId="4570C59F">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 Congregation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w:t>
            </w:r>
          </w:p>
        </w:tc>
        <w:tc>
          <w:tcPr>
            <w:tcW w:w="836" w:type="dxa"/>
          </w:tcPr>
          <w:p w:rsidRPr="006F34CD" w:rsidR="00515FE0" w:rsidP="006F34CD" w:rsidRDefault="00515FE0" w14:paraId="3A80A3EB" w14:textId="77777777">
            <w:pPr>
              <w:spacing w:before="120" w:after="120"/>
              <w:rPr>
                <w:rFonts w:ascii="Times New Roman" w:hAnsi="Times New Roman" w:cs="Times New Roman"/>
                <w:sz w:val="18"/>
                <w:szCs w:val="18"/>
              </w:rPr>
            </w:pPr>
          </w:p>
        </w:tc>
        <w:tc>
          <w:tcPr>
            <w:tcW w:w="1305" w:type="dxa"/>
          </w:tcPr>
          <w:p w:rsidRPr="006F34CD" w:rsidR="00515FE0" w:rsidP="006F34CD" w:rsidRDefault="00515FE0" w14:paraId="741D30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1EE459C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54A5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60A50E" w14:textId="77777777">
            <w:pPr>
              <w:spacing w:before="120" w:after="120"/>
              <w:jc w:val="center"/>
              <w:rPr>
                <w:rFonts w:ascii="Times New Roman" w:hAnsi="Times New Roman" w:cs="Times New Roman"/>
                <w:sz w:val="18"/>
                <w:szCs w:val="18"/>
              </w:rPr>
            </w:pPr>
          </w:p>
        </w:tc>
      </w:tr>
      <w:tr w:rsidRPr="006F34CD" w:rsidR="00515FE0" w:rsidTr="00EF028C" w14:paraId="6D24DC79" w14:textId="77777777">
        <w:trPr>
          <w:cantSplit/>
        </w:trPr>
        <w:tc>
          <w:tcPr>
            <w:tcW w:w="2249" w:type="dxa"/>
          </w:tcPr>
          <w:p w:rsidRPr="006F34CD" w:rsidR="00515FE0" w:rsidP="006F34CD" w:rsidRDefault="00515FE0" w14:paraId="2677F9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Vasilyevna ALKOVA</w:t>
            </w:r>
          </w:p>
        </w:tc>
        <w:tc>
          <w:tcPr>
            <w:tcW w:w="836" w:type="dxa"/>
          </w:tcPr>
          <w:p w:rsidRPr="006F34CD" w:rsidR="00515FE0" w:rsidP="006F34CD" w:rsidRDefault="00515FE0" w14:paraId="63ADBC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1B2203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02F4D8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102A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53C80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5B804CC" w14:textId="77777777">
        <w:trPr>
          <w:cantSplit/>
        </w:trPr>
        <w:tc>
          <w:tcPr>
            <w:tcW w:w="2249" w:type="dxa"/>
          </w:tcPr>
          <w:p w:rsidRPr="006F34CD" w:rsidR="00515FE0" w:rsidP="006F34CD" w:rsidRDefault="00515FE0" w14:paraId="3A2AF3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Shontoyevna BASHTYKOVA</w:t>
            </w:r>
          </w:p>
        </w:tc>
        <w:tc>
          <w:tcPr>
            <w:tcW w:w="836" w:type="dxa"/>
          </w:tcPr>
          <w:p w:rsidRPr="006F34CD" w:rsidR="00515FE0" w:rsidP="006F34CD" w:rsidRDefault="00515FE0" w14:paraId="1CCD2A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05E753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16895F4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18719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7CAAF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3D74868" w14:textId="77777777">
        <w:trPr>
          <w:cantSplit/>
        </w:trPr>
        <w:tc>
          <w:tcPr>
            <w:tcW w:w="2249" w:type="dxa"/>
          </w:tcPr>
          <w:p w:rsidRPr="006F34CD" w:rsidR="00515FE0" w:rsidP="006F34CD" w:rsidRDefault="00515FE0" w14:paraId="4F9CBB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Valentina Nikolaevna BOKIYEVETS</w:t>
            </w:r>
          </w:p>
        </w:tc>
        <w:tc>
          <w:tcPr>
            <w:tcW w:w="836" w:type="dxa"/>
          </w:tcPr>
          <w:p w:rsidRPr="006F34CD" w:rsidR="00515FE0" w:rsidP="006F34CD" w:rsidRDefault="00515FE0" w14:paraId="4AD8FD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018396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3034D13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4ABA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EE149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0A5A80A" w14:textId="77777777">
        <w:trPr>
          <w:cantSplit/>
        </w:trPr>
        <w:tc>
          <w:tcPr>
            <w:tcW w:w="2249" w:type="dxa"/>
          </w:tcPr>
          <w:p w:rsidRPr="006F34CD" w:rsidR="00515FE0" w:rsidP="006F34CD" w:rsidRDefault="00515FE0" w14:paraId="650188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Ivanovich BYSRITSKIY</w:t>
            </w:r>
          </w:p>
        </w:tc>
        <w:tc>
          <w:tcPr>
            <w:tcW w:w="836" w:type="dxa"/>
          </w:tcPr>
          <w:p w:rsidRPr="006F34CD" w:rsidR="00515FE0" w:rsidP="006F34CD" w:rsidRDefault="00515FE0" w14:paraId="06E67A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1928</w:t>
            </w:r>
          </w:p>
        </w:tc>
        <w:tc>
          <w:tcPr>
            <w:tcW w:w="1305" w:type="dxa"/>
          </w:tcPr>
          <w:p w:rsidRPr="006F34CD" w:rsidR="00515FE0" w:rsidP="006F34CD" w:rsidRDefault="00515FE0" w14:paraId="52E9AB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6964115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EFAA6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0C214D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DFC1DBD" w14:textId="77777777">
        <w:trPr>
          <w:cantSplit/>
        </w:trPr>
        <w:tc>
          <w:tcPr>
            <w:tcW w:w="2249" w:type="dxa"/>
          </w:tcPr>
          <w:p w:rsidRPr="006F34CD" w:rsidR="00515FE0" w:rsidP="006F34CD" w:rsidRDefault="00515FE0" w14:paraId="0E2C42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Irma Yakovlevna CHUYKOVA</w:t>
            </w:r>
          </w:p>
        </w:tc>
        <w:tc>
          <w:tcPr>
            <w:tcW w:w="836" w:type="dxa"/>
          </w:tcPr>
          <w:p w:rsidRPr="006F34CD" w:rsidR="00515FE0" w:rsidP="006F34CD" w:rsidRDefault="00515FE0" w14:paraId="5309A5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1928</w:t>
            </w:r>
          </w:p>
        </w:tc>
        <w:tc>
          <w:tcPr>
            <w:tcW w:w="1305" w:type="dxa"/>
          </w:tcPr>
          <w:p w:rsidRPr="006F34CD" w:rsidR="00515FE0" w:rsidP="006F34CD" w:rsidRDefault="00515FE0" w14:paraId="3424D2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Mayma</w:t>
            </w:r>
          </w:p>
        </w:tc>
        <w:tc>
          <w:tcPr>
            <w:tcW w:w="1134" w:type="dxa"/>
          </w:tcPr>
          <w:p w:rsidRPr="006F34CD" w:rsidR="00515FE0" w:rsidP="006F34CD" w:rsidRDefault="00515FE0" w14:paraId="03B437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CEA43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7DE6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D7EB637" w14:textId="77777777">
        <w:trPr>
          <w:cantSplit/>
        </w:trPr>
        <w:tc>
          <w:tcPr>
            <w:tcW w:w="2249" w:type="dxa"/>
          </w:tcPr>
          <w:p w:rsidRPr="006F34CD" w:rsidR="00515FE0" w:rsidP="006F34CD" w:rsidRDefault="00515FE0" w14:paraId="1C0D90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Enchu Gennadiyevich CHYRBYKOV</w:t>
            </w:r>
          </w:p>
        </w:tc>
        <w:tc>
          <w:tcPr>
            <w:tcW w:w="836" w:type="dxa"/>
          </w:tcPr>
          <w:p w:rsidRPr="006F34CD" w:rsidR="00515FE0" w:rsidP="006F34CD" w:rsidRDefault="00515FE0" w14:paraId="4F7B20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419749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63F893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5098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9012F4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28B01D9" w14:textId="77777777">
        <w:trPr>
          <w:cantSplit/>
        </w:trPr>
        <w:tc>
          <w:tcPr>
            <w:tcW w:w="2249" w:type="dxa"/>
          </w:tcPr>
          <w:p w:rsidRPr="006F34CD" w:rsidR="00515FE0" w:rsidP="006F34CD" w:rsidRDefault="00515FE0" w14:paraId="412141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Nikolayevich FROLOV</w:t>
            </w:r>
          </w:p>
        </w:tc>
        <w:tc>
          <w:tcPr>
            <w:tcW w:w="836" w:type="dxa"/>
          </w:tcPr>
          <w:p w:rsidRPr="006F34CD" w:rsidR="00515FE0" w:rsidP="006F34CD" w:rsidRDefault="00515FE0" w14:paraId="33DAF6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723A5F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4476385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5BFA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1ADC5D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7A4D5A79" w14:textId="77777777">
        <w:trPr>
          <w:cantSplit/>
        </w:trPr>
        <w:tc>
          <w:tcPr>
            <w:tcW w:w="2249" w:type="dxa"/>
          </w:tcPr>
          <w:p w:rsidRPr="006F34CD" w:rsidR="00515FE0" w:rsidP="006F34CD" w:rsidRDefault="00515FE0" w14:paraId="39D2C5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Grigoriyevna FROLOVA</w:t>
            </w:r>
          </w:p>
        </w:tc>
        <w:tc>
          <w:tcPr>
            <w:tcW w:w="836" w:type="dxa"/>
          </w:tcPr>
          <w:p w:rsidRPr="006F34CD" w:rsidR="00515FE0" w:rsidP="006F34CD" w:rsidRDefault="00515FE0" w14:paraId="65F4D5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7CC0E6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0F52F0E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F19E4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F51A5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794AF74" w14:textId="77777777">
        <w:trPr>
          <w:cantSplit/>
        </w:trPr>
        <w:tc>
          <w:tcPr>
            <w:tcW w:w="2249" w:type="dxa"/>
          </w:tcPr>
          <w:p w:rsidRPr="006F34CD" w:rsidR="00515FE0" w:rsidP="006F34CD" w:rsidRDefault="00515FE0" w14:paraId="0494CD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Viktorovna GRISHUNINA</w:t>
            </w:r>
          </w:p>
        </w:tc>
        <w:tc>
          <w:tcPr>
            <w:tcW w:w="836" w:type="dxa"/>
          </w:tcPr>
          <w:p w:rsidRPr="006F34CD" w:rsidR="00515FE0" w:rsidP="006F34CD" w:rsidRDefault="00515FE0" w14:paraId="5B9F06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7EB6DF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48AB407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D44A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74D32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9A43E8F" w14:textId="77777777">
        <w:trPr>
          <w:cantSplit/>
        </w:trPr>
        <w:tc>
          <w:tcPr>
            <w:tcW w:w="2249" w:type="dxa"/>
          </w:tcPr>
          <w:p w:rsidRPr="006F34CD" w:rsidR="00515FE0" w:rsidP="006F34CD" w:rsidRDefault="00515FE0" w14:paraId="7E1BDA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Shakir Borisovich IRKITOV</w:t>
            </w:r>
          </w:p>
        </w:tc>
        <w:tc>
          <w:tcPr>
            <w:tcW w:w="836" w:type="dxa"/>
          </w:tcPr>
          <w:p w:rsidRPr="006F34CD" w:rsidR="00515FE0" w:rsidP="006F34CD" w:rsidRDefault="00515FE0" w14:paraId="0DA950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337A23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6FB60E9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5B742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D84C5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E9A050B" w14:textId="77777777">
        <w:trPr>
          <w:cantSplit/>
        </w:trPr>
        <w:tc>
          <w:tcPr>
            <w:tcW w:w="2249" w:type="dxa"/>
          </w:tcPr>
          <w:p w:rsidRPr="006F34CD" w:rsidR="00515FE0" w:rsidP="006F34CD" w:rsidRDefault="00515FE0" w14:paraId="4D00B0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Viktorovich KALISTRATOV</w:t>
            </w:r>
          </w:p>
        </w:tc>
        <w:tc>
          <w:tcPr>
            <w:tcW w:w="836" w:type="dxa"/>
          </w:tcPr>
          <w:p w:rsidRPr="006F34CD" w:rsidR="00515FE0" w:rsidP="006F34CD" w:rsidRDefault="00515FE0" w14:paraId="2E8842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3C61C4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0DCB81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w:t>
            </w:r>
          </w:p>
        </w:tc>
        <w:tc>
          <w:tcPr>
            <w:tcW w:w="992" w:type="dxa"/>
          </w:tcPr>
          <w:p w:rsidRPr="006F34CD" w:rsidR="00515FE0" w:rsidP="006F34CD" w:rsidRDefault="00515FE0" w14:paraId="53422B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c>
          <w:tcPr>
            <w:tcW w:w="992" w:type="dxa"/>
          </w:tcPr>
          <w:p w:rsidRPr="006F34CD" w:rsidR="00515FE0" w:rsidP="006F34CD" w:rsidRDefault="00515FE0" w14:paraId="2C8969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6946890C" w14:textId="77777777">
        <w:trPr>
          <w:cantSplit/>
        </w:trPr>
        <w:tc>
          <w:tcPr>
            <w:tcW w:w="2249" w:type="dxa"/>
          </w:tcPr>
          <w:p w:rsidRPr="006F34CD" w:rsidR="00515FE0" w:rsidP="006F34CD" w:rsidRDefault="00515FE0" w14:paraId="65C04E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Ulyana Aleksandrovna KOLMAKOVA</w:t>
            </w:r>
          </w:p>
        </w:tc>
        <w:tc>
          <w:tcPr>
            <w:tcW w:w="836" w:type="dxa"/>
          </w:tcPr>
          <w:p w:rsidRPr="006F34CD" w:rsidR="00515FE0" w:rsidP="006F34CD" w:rsidRDefault="00515FE0" w14:paraId="1D9C56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11BED7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Mayma</w:t>
            </w:r>
          </w:p>
        </w:tc>
        <w:tc>
          <w:tcPr>
            <w:tcW w:w="1134" w:type="dxa"/>
          </w:tcPr>
          <w:p w:rsidRPr="006F34CD" w:rsidR="00515FE0" w:rsidP="006F34CD" w:rsidRDefault="00515FE0" w14:paraId="616B8A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A5B0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06EE4A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D0212F9" w14:textId="77777777">
        <w:trPr>
          <w:cantSplit/>
        </w:trPr>
        <w:tc>
          <w:tcPr>
            <w:tcW w:w="2249" w:type="dxa"/>
          </w:tcPr>
          <w:p w:rsidRPr="006F34CD" w:rsidR="00515FE0" w:rsidP="006F34CD" w:rsidRDefault="00515FE0" w14:paraId="52047B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Lidiya Aleksandrovna KRIVTSOVA</w:t>
            </w:r>
          </w:p>
        </w:tc>
        <w:tc>
          <w:tcPr>
            <w:tcW w:w="836" w:type="dxa"/>
          </w:tcPr>
          <w:p w:rsidRPr="006F34CD" w:rsidR="00515FE0" w:rsidP="006F34CD" w:rsidRDefault="00515FE0" w14:paraId="111538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1934</w:t>
            </w:r>
          </w:p>
        </w:tc>
        <w:tc>
          <w:tcPr>
            <w:tcW w:w="1305" w:type="dxa"/>
          </w:tcPr>
          <w:p w:rsidRPr="006F34CD" w:rsidR="00515FE0" w:rsidP="006F34CD" w:rsidRDefault="00515FE0" w14:paraId="761B06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05D2590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ADCAF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35132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666C443" w14:textId="77777777">
        <w:trPr>
          <w:cantSplit/>
        </w:trPr>
        <w:tc>
          <w:tcPr>
            <w:tcW w:w="2249" w:type="dxa"/>
          </w:tcPr>
          <w:p w:rsidRPr="006F34CD" w:rsidR="00515FE0" w:rsidP="006F34CD" w:rsidRDefault="00515FE0" w14:paraId="639EC4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Lyudmila Svyatoslavovna KUDRYAVTSEVA</w:t>
            </w:r>
          </w:p>
        </w:tc>
        <w:tc>
          <w:tcPr>
            <w:tcW w:w="836" w:type="dxa"/>
          </w:tcPr>
          <w:p w:rsidRPr="006F34CD" w:rsidR="00515FE0" w:rsidP="006F34CD" w:rsidRDefault="00515FE0" w14:paraId="5CD61D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1D497F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27AC3B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8197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7A1D4A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FC2A7A9" w14:textId="77777777">
        <w:trPr>
          <w:cantSplit/>
        </w:trPr>
        <w:tc>
          <w:tcPr>
            <w:tcW w:w="2249" w:type="dxa"/>
          </w:tcPr>
          <w:p w:rsidRPr="006F34CD" w:rsidR="00515FE0" w:rsidP="006F34CD" w:rsidRDefault="00515FE0" w14:paraId="2F83F2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Yrys Kunduyevna IRKITOVA</w:t>
            </w:r>
          </w:p>
        </w:tc>
        <w:tc>
          <w:tcPr>
            <w:tcW w:w="836" w:type="dxa"/>
          </w:tcPr>
          <w:p w:rsidRPr="006F34CD" w:rsidR="00515FE0" w:rsidP="006F34CD" w:rsidRDefault="00515FE0" w14:paraId="73F7AF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001706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0E51BE6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016C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E9EDE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106B418" w14:textId="77777777">
        <w:trPr>
          <w:cantSplit/>
        </w:trPr>
        <w:tc>
          <w:tcPr>
            <w:tcW w:w="2249" w:type="dxa"/>
          </w:tcPr>
          <w:p w:rsidRPr="006F34CD" w:rsidR="00515FE0" w:rsidP="006F34CD" w:rsidRDefault="00515FE0" w14:paraId="39A6AB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Andreyevna LYUDYNA</w:t>
            </w:r>
          </w:p>
        </w:tc>
        <w:tc>
          <w:tcPr>
            <w:tcW w:w="836" w:type="dxa"/>
          </w:tcPr>
          <w:p w:rsidRPr="006F34CD" w:rsidR="00515FE0" w:rsidP="006F34CD" w:rsidRDefault="00515FE0" w14:paraId="4A13F4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7A9483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2E73EC2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0366B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32BB931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08569AA" w14:textId="77777777">
        <w:trPr>
          <w:cantSplit/>
        </w:trPr>
        <w:tc>
          <w:tcPr>
            <w:tcW w:w="2249" w:type="dxa"/>
          </w:tcPr>
          <w:p w:rsidRPr="006F34CD" w:rsidR="00515FE0" w:rsidP="006F34CD" w:rsidRDefault="00515FE0" w14:paraId="5937D5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Viktorovna PESTEROVA</w:t>
            </w:r>
          </w:p>
        </w:tc>
        <w:tc>
          <w:tcPr>
            <w:tcW w:w="836" w:type="dxa"/>
          </w:tcPr>
          <w:p w:rsidRPr="006F34CD" w:rsidR="00515FE0" w:rsidP="006F34CD" w:rsidRDefault="00515FE0" w14:paraId="4DFE1F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29178E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07AFD0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EFB5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D0629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DA8BDC6" w14:textId="77777777">
        <w:trPr>
          <w:cantSplit/>
        </w:trPr>
        <w:tc>
          <w:tcPr>
            <w:tcW w:w="2249" w:type="dxa"/>
          </w:tcPr>
          <w:p w:rsidRPr="006F34CD" w:rsidR="00515FE0" w:rsidP="006F34CD" w:rsidRDefault="00515FE0" w14:paraId="19334C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Aleksandrovna ROGOVAYA</w:t>
            </w:r>
          </w:p>
        </w:tc>
        <w:tc>
          <w:tcPr>
            <w:tcW w:w="836" w:type="dxa"/>
          </w:tcPr>
          <w:p w:rsidRPr="006F34CD" w:rsidR="00515FE0" w:rsidP="006F34CD" w:rsidRDefault="00515FE0" w14:paraId="600383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01DFC8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010D32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w:t>
            </w:r>
          </w:p>
        </w:tc>
        <w:tc>
          <w:tcPr>
            <w:tcW w:w="992" w:type="dxa"/>
          </w:tcPr>
          <w:p w:rsidRPr="006F34CD" w:rsidR="00515FE0" w:rsidP="006F34CD" w:rsidRDefault="00515FE0" w14:paraId="72652D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c>
          <w:tcPr>
            <w:tcW w:w="992" w:type="dxa"/>
          </w:tcPr>
          <w:p w:rsidRPr="006F34CD" w:rsidR="00515FE0" w:rsidP="006F34CD" w:rsidRDefault="00515FE0" w14:paraId="2E9B7A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7924EBBE" w14:textId="77777777">
        <w:trPr>
          <w:cantSplit/>
        </w:trPr>
        <w:tc>
          <w:tcPr>
            <w:tcW w:w="2249" w:type="dxa"/>
          </w:tcPr>
          <w:p w:rsidRPr="006F34CD" w:rsidR="00515FE0" w:rsidP="006F34CD" w:rsidRDefault="00515FE0" w14:paraId="6D8505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Aleksandrovna ROGOVAYA</w:t>
            </w:r>
          </w:p>
        </w:tc>
        <w:tc>
          <w:tcPr>
            <w:tcW w:w="836" w:type="dxa"/>
          </w:tcPr>
          <w:p w:rsidRPr="006F34CD" w:rsidR="00515FE0" w:rsidP="006F34CD" w:rsidRDefault="00515FE0" w14:paraId="233034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0B5ACC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35724D9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179E1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E193C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82C1D7C" w14:textId="77777777">
        <w:trPr>
          <w:cantSplit/>
        </w:trPr>
        <w:tc>
          <w:tcPr>
            <w:tcW w:w="2249" w:type="dxa"/>
          </w:tcPr>
          <w:p w:rsidRPr="006F34CD" w:rsidR="00515FE0" w:rsidP="006F34CD" w:rsidRDefault="00515FE0" w14:paraId="1874E0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Yuliya Aleksandrovna ROGOZINA</w:t>
            </w:r>
          </w:p>
        </w:tc>
        <w:tc>
          <w:tcPr>
            <w:tcW w:w="836" w:type="dxa"/>
          </w:tcPr>
          <w:p w:rsidRPr="006F34CD" w:rsidR="00515FE0" w:rsidP="006F34CD" w:rsidRDefault="00515FE0" w14:paraId="56E28C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4C2275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Mayma</w:t>
            </w:r>
          </w:p>
        </w:tc>
        <w:tc>
          <w:tcPr>
            <w:tcW w:w="1134" w:type="dxa"/>
          </w:tcPr>
          <w:p w:rsidRPr="006F34CD" w:rsidR="00515FE0" w:rsidP="006F34CD" w:rsidRDefault="00515FE0" w14:paraId="61059F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D18B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4F077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9C93B50" w14:textId="77777777">
        <w:trPr>
          <w:cantSplit/>
        </w:trPr>
        <w:tc>
          <w:tcPr>
            <w:tcW w:w="2249" w:type="dxa"/>
          </w:tcPr>
          <w:p w:rsidRPr="006F34CD" w:rsidR="00515FE0" w:rsidP="006F34CD" w:rsidRDefault="00515FE0" w14:paraId="7F73FE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Tamara Romanovna ROMANOVA</w:t>
            </w:r>
          </w:p>
        </w:tc>
        <w:tc>
          <w:tcPr>
            <w:tcW w:w="836" w:type="dxa"/>
          </w:tcPr>
          <w:p w:rsidRPr="006F34CD" w:rsidR="00515FE0" w:rsidP="006F34CD" w:rsidRDefault="00515FE0" w14:paraId="1FFC45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2C02FF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0A079D4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29BB3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900AB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ECF4146" w14:textId="77777777">
        <w:trPr>
          <w:cantSplit/>
        </w:trPr>
        <w:tc>
          <w:tcPr>
            <w:tcW w:w="2249" w:type="dxa"/>
          </w:tcPr>
          <w:p w:rsidRPr="006F34CD" w:rsidR="00515FE0" w:rsidP="006F34CD" w:rsidRDefault="00515FE0" w14:paraId="47F55B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Ivanovna RYAKHOVSKAYA</w:t>
            </w:r>
          </w:p>
        </w:tc>
        <w:tc>
          <w:tcPr>
            <w:tcW w:w="836" w:type="dxa"/>
          </w:tcPr>
          <w:p w:rsidRPr="006F34CD" w:rsidR="00515FE0" w:rsidP="006F34CD" w:rsidRDefault="00515FE0" w14:paraId="2AB4FB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7C3409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Mayma</w:t>
            </w:r>
          </w:p>
        </w:tc>
        <w:tc>
          <w:tcPr>
            <w:tcW w:w="1134" w:type="dxa"/>
          </w:tcPr>
          <w:p w:rsidRPr="006F34CD" w:rsidR="00515FE0" w:rsidP="006F34CD" w:rsidRDefault="00515FE0" w14:paraId="7355BA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E066C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DD426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51497BE" w14:textId="77777777">
        <w:trPr>
          <w:cantSplit/>
        </w:trPr>
        <w:tc>
          <w:tcPr>
            <w:tcW w:w="2249" w:type="dxa"/>
          </w:tcPr>
          <w:p w:rsidRPr="006F34CD" w:rsidR="00515FE0" w:rsidP="006F34CD" w:rsidRDefault="00515FE0" w14:paraId="500815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Yegorovich RYAKHOVSKIY</w:t>
            </w:r>
          </w:p>
        </w:tc>
        <w:tc>
          <w:tcPr>
            <w:tcW w:w="836" w:type="dxa"/>
          </w:tcPr>
          <w:p w:rsidRPr="006F34CD" w:rsidR="00515FE0" w:rsidP="006F34CD" w:rsidRDefault="00515FE0" w14:paraId="6134D3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4291C3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Mayma</w:t>
            </w:r>
          </w:p>
        </w:tc>
        <w:tc>
          <w:tcPr>
            <w:tcW w:w="1134" w:type="dxa"/>
          </w:tcPr>
          <w:p w:rsidRPr="006F34CD" w:rsidR="00515FE0" w:rsidP="006F34CD" w:rsidRDefault="00515FE0" w14:paraId="6CFDA3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71B4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A2A55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E3C1689" w14:textId="77777777">
        <w:trPr>
          <w:cantSplit/>
        </w:trPr>
        <w:tc>
          <w:tcPr>
            <w:tcW w:w="2249" w:type="dxa"/>
          </w:tcPr>
          <w:p w:rsidRPr="006F34CD" w:rsidR="00515FE0" w:rsidP="006F34CD" w:rsidRDefault="00515FE0" w14:paraId="420E2F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Mikhaylovna RYKOVA</w:t>
            </w:r>
          </w:p>
        </w:tc>
        <w:tc>
          <w:tcPr>
            <w:tcW w:w="836" w:type="dxa"/>
          </w:tcPr>
          <w:p w:rsidRPr="006F34CD" w:rsidR="00515FE0" w:rsidP="006F34CD" w:rsidRDefault="00515FE0" w14:paraId="354745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0A4FA5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2C974D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8FDB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0F6FC5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48E56B7" w14:textId="77777777">
        <w:trPr>
          <w:cantSplit/>
        </w:trPr>
        <w:tc>
          <w:tcPr>
            <w:tcW w:w="2249" w:type="dxa"/>
          </w:tcPr>
          <w:p w:rsidRPr="006F34CD" w:rsidR="00515FE0" w:rsidP="006F34CD" w:rsidRDefault="00515FE0" w14:paraId="023959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Nikolayevich SAMYKOV</w:t>
            </w:r>
          </w:p>
        </w:tc>
        <w:tc>
          <w:tcPr>
            <w:tcW w:w="836" w:type="dxa"/>
          </w:tcPr>
          <w:p w:rsidRPr="006F34CD" w:rsidR="00515FE0" w:rsidP="006F34CD" w:rsidRDefault="00515FE0" w14:paraId="6D32AB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4BD959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6C3DCEF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398A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C75216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09FAB87" w14:textId="77777777">
        <w:trPr>
          <w:cantSplit/>
        </w:trPr>
        <w:tc>
          <w:tcPr>
            <w:tcW w:w="2249" w:type="dxa"/>
          </w:tcPr>
          <w:p w:rsidRPr="006F34CD" w:rsidR="00515FE0" w:rsidP="006F34CD" w:rsidRDefault="00515FE0" w14:paraId="03A161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Karagys Mikhaylovna SAMYKOVA</w:t>
            </w:r>
          </w:p>
        </w:tc>
        <w:tc>
          <w:tcPr>
            <w:tcW w:w="836" w:type="dxa"/>
          </w:tcPr>
          <w:p w:rsidRPr="006F34CD" w:rsidR="00515FE0" w:rsidP="006F34CD" w:rsidRDefault="00515FE0" w14:paraId="61170C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4C3D92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712FA1E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62EC3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D0CD6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714DF01" w14:textId="77777777">
        <w:trPr>
          <w:cantSplit/>
        </w:trPr>
        <w:tc>
          <w:tcPr>
            <w:tcW w:w="2249" w:type="dxa"/>
          </w:tcPr>
          <w:p w:rsidRPr="006F34CD" w:rsidR="00515FE0" w:rsidP="006F34CD" w:rsidRDefault="00515FE0" w14:paraId="688446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Zinaida Sernyonovna SKORODULINA</w:t>
            </w:r>
          </w:p>
        </w:tc>
        <w:tc>
          <w:tcPr>
            <w:tcW w:w="836" w:type="dxa"/>
          </w:tcPr>
          <w:p w:rsidRPr="006F34CD" w:rsidR="00515FE0" w:rsidP="006F34CD" w:rsidRDefault="00515FE0" w14:paraId="358497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1936</w:t>
            </w:r>
          </w:p>
        </w:tc>
        <w:tc>
          <w:tcPr>
            <w:tcW w:w="1305" w:type="dxa"/>
          </w:tcPr>
          <w:p w:rsidRPr="006F34CD" w:rsidR="00515FE0" w:rsidP="006F34CD" w:rsidRDefault="00515FE0" w14:paraId="3AAA10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294D40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3AFDE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5CEDBA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A5F4DF9" w14:textId="77777777">
        <w:trPr>
          <w:cantSplit/>
        </w:trPr>
        <w:tc>
          <w:tcPr>
            <w:tcW w:w="2249" w:type="dxa"/>
          </w:tcPr>
          <w:p w:rsidRPr="006F34CD" w:rsidR="00515FE0" w:rsidP="006F34CD" w:rsidRDefault="00515FE0" w14:paraId="66BBFE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Mikhaylovich SVARICHEVSKIY</w:t>
            </w:r>
          </w:p>
        </w:tc>
        <w:tc>
          <w:tcPr>
            <w:tcW w:w="836" w:type="dxa"/>
          </w:tcPr>
          <w:p w:rsidRPr="006F34CD" w:rsidR="00515FE0" w:rsidP="006F34CD" w:rsidRDefault="00515FE0" w14:paraId="55131C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592EBE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713CEE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9847A6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A5999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FC46B79" w14:textId="77777777">
        <w:trPr>
          <w:cantSplit/>
        </w:trPr>
        <w:tc>
          <w:tcPr>
            <w:tcW w:w="2249" w:type="dxa"/>
          </w:tcPr>
          <w:p w:rsidRPr="006F34CD" w:rsidR="00515FE0" w:rsidP="006F34CD" w:rsidRDefault="00515FE0" w14:paraId="153F3A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Ulan Nikolayevich TAKYSOV</w:t>
            </w:r>
          </w:p>
        </w:tc>
        <w:tc>
          <w:tcPr>
            <w:tcW w:w="836" w:type="dxa"/>
          </w:tcPr>
          <w:p w:rsidRPr="006F34CD" w:rsidR="00515FE0" w:rsidP="006F34CD" w:rsidRDefault="00515FE0" w14:paraId="35C643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121515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4DD34C2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E1D8C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E9E08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0AD2732" w14:textId="77777777">
        <w:trPr>
          <w:cantSplit/>
        </w:trPr>
        <w:tc>
          <w:tcPr>
            <w:tcW w:w="2249" w:type="dxa"/>
          </w:tcPr>
          <w:p w:rsidRPr="006F34CD" w:rsidR="00515FE0" w:rsidP="006F34CD" w:rsidRDefault="00515FE0" w14:paraId="0D5BFA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Vladimirovna TOLSTIKHINA</w:t>
            </w:r>
          </w:p>
        </w:tc>
        <w:tc>
          <w:tcPr>
            <w:tcW w:w="836" w:type="dxa"/>
          </w:tcPr>
          <w:p w:rsidRPr="006F34CD" w:rsidR="00515FE0" w:rsidP="006F34CD" w:rsidRDefault="00515FE0" w14:paraId="1C9FBF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377C17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2E8BC6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5C319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2E75B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0AC05FF" w14:textId="77777777">
        <w:trPr>
          <w:cantSplit/>
        </w:trPr>
        <w:tc>
          <w:tcPr>
            <w:tcW w:w="2249" w:type="dxa"/>
          </w:tcPr>
          <w:p w:rsidRPr="006F34CD" w:rsidR="00515FE0" w:rsidP="006F34CD" w:rsidRDefault="00515FE0" w14:paraId="4DC574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Nina Mikhaylovna VASCHENKO</w:t>
            </w:r>
          </w:p>
        </w:tc>
        <w:tc>
          <w:tcPr>
            <w:tcW w:w="836" w:type="dxa"/>
          </w:tcPr>
          <w:p w:rsidRPr="006F34CD" w:rsidR="00515FE0" w:rsidP="006F34CD" w:rsidRDefault="00515FE0" w14:paraId="2B1D67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1935</w:t>
            </w:r>
          </w:p>
        </w:tc>
        <w:tc>
          <w:tcPr>
            <w:tcW w:w="1305" w:type="dxa"/>
          </w:tcPr>
          <w:p w:rsidRPr="006F34CD" w:rsidR="00515FE0" w:rsidP="006F34CD" w:rsidRDefault="00515FE0" w14:paraId="221C8E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3C910C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89D1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93350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B2732B8" w14:textId="77777777">
        <w:trPr>
          <w:cantSplit/>
        </w:trPr>
        <w:tc>
          <w:tcPr>
            <w:tcW w:w="2249" w:type="dxa"/>
          </w:tcPr>
          <w:p w:rsidRPr="006F34CD" w:rsidR="00515FE0" w:rsidP="006F34CD" w:rsidRDefault="00515FE0" w14:paraId="226EE4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Pavlovna VASILCHENKO</w:t>
            </w:r>
          </w:p>
        </w:tc>
        <w:tc>
          <w:tcPr>
            <w:tcW w:w="836" w:type="dxa"/>
          </w:tcPr>
          <w:p w:rsidRPr="006F34CD" w:rsidR="00515FE0" w:rsidP="006F34CD" w:rsidRDefault="00515FE0" w14:paraId="133452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1934</w:t>
            </w:r>
          </w:p>
        </w:tc>
        <w:tc>
          <w:tcPr>
            <w:tcW w:w="1305" w:type="dxa"/>
          </w:tcPr>
          <w:p w:rsidRPr="006F34CD" w:rsidR="00515FE0" w:rsidP="006F34CD" w:rsidRDefault="00515FE0" w14:paraId="59478B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Mayma</w:t>
            </w:r>
          </w:p>
        </w:tc>
        <w:tc>
          <w:tcPr>
            <w:tcW w:w="1134" w:type="dxa"/>
          </w:tcPr>
          <w:p w:rsidRPr="006F34CD" w:rsidR="00515FE0" w:rsidP="006F34CD" w:rsidRDefault="00515FE0" w14:paraId="28C83A4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70C2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4E5B3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5A9CA0F" w14:textId="77777777">
        <w:trPr>
          <w:cantSplit/>
        </w:trPr>
        <w:tc>
          <w:tcPr>
            <w:tcW w:w="2249" w:type="dxa"/>
          </w:tcPr>
          <w:p w:rsidRPr="006F34CD" w:rsidR="00515FE0" w:rsidP="006F34CD" w:rsidRDefault="00515FE0" w14:paraId="39D1A3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Natalya Fyodorovna VASILENKO</w:t>
            </w:r>
          </w:p>
        </w:tc>
        <w:tc>
          <w:tcPr>
            <w:tcW w:w="836" w:type="dxa"/>
          </w:tcPr>
          <w:p w:rsidRPr="006F34CD" w:rsidR="00515FE0" w:rsidP="006F34CD" w:rsidRDefault="00515FE0" w14:paraId="3A7FD2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54C99E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55CD18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2247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61A2FD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4058788" w14:textId="77777777">
        <w:trPr>
          <w:cantSplit/>
        </w:trPr>
        <w:tc>
          <w:tcPr>
            <w:tcW w:w="2249" w:type="dxa"/>
          </w:tcPr>
          <w:p w:rsidRPr="006F34CD" w:rsidR="00515FE0" w:rsidP="006F34CD" w:rsidRDefault="00515FE0" w14:paraId="5DB966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Inokentyevich VASILENKO</w:t>
            </w:r>
          </w:p>
        </w:tc>
        <w:tc>
          <w:tcPr>
            <w:tcW w:w="836" w:type="dxa"/>
          </w:tcPr>
          <w:p w:rsidRPr="006F34CD" w:rsidR="00515FE0" w:rsidP="006F34CD" w:rsidRDefault="00515FE0" w14:paraId="2C9C7B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0A3AFE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143D5BA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F2DB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FDCC8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31978B2" w14:textId="77777777">
        <w:trPr>
          <w:cantSplit/>
        </w:trPr>
        <w:tc>
          <w:tcPr>
            <w:tcW w:w="2249" w:type="dxa"/>
          </w:tcPr>
          <w:p w:rsidRPr="006F34CD" w:rsidR="00515FE0" w:rsidP="006F34CD" w:rsidRDefault="00515FE0" w14:paraId="432D57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Irina Timofeyevna YELCHIYEKOVA</w:t>
            </w:r>
          </w:p>
        </w:tc>
        <w:tc>
          <w:tcPr>
            <w:tcW w:w="836" w:type="dxa"/>
          </w:tcPr>
          <w:p w:rsidRPr="006F34CD" w:rsidR="00515FE0" w:rsidP="006F34CD" w:rsidRDefault="00515FE0" w14:paraId="3D9032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5FE16B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65EB727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93B4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18DAC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4AF71809" w14:textId="77777777">
        <w:trPr>
          <w:cantSplit/>
        </w:trPr>
        <w:tc>
          <w:tcPr>
            <w:tcW w:w="7508" w:type="dxa"/>
            <w:gridSpan w:val="6"/>
          </w:tcPr>
          <w:p w:rsidRPr="006F34CD" w:rsidR="00515FE0" w:rsidP="006F34CD" w:rsidRDefault="00515FE0" w14:paraId="73381E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3488/11, </w:t>
            </w:r>
            <w:r w:rsidRPr="006F34CD">
              <w:rPr>
                <w:rFonts w:ascii="Times New Roman" w:hAnsi="Times New Roman" w:cs="Times New Roman"/>
                <w:i/>
                <w:sz w:val="18"/>
                <w:szCs w:val="18"/>
              </w:rPr>
              <w:t>Boltnyev v. Russia</w:t>
            </w:r>
          </w:p>
        </w:tc>
      </w:tr>
      <w:tr w:rsidRPr="006F34CD" w:rsidR="00515FE0" w:rsidTr="00EF028C" w14:paraId="775F3B32" w14:textId="77777777">
        <w:trPr>
          <w:cantSplit/>
        </w:trPr>
        <w:tc>
          <w:tcPr>
            <w:tcW w:w="2249" w:type="dxa"/>
          </w:tcPr>
          <w:p w:rsidRPr="006F34CD" w:rsidR="00515FE0" w:rsidP="006F34CD" w:rsidRDefault="00515FE0" w14:paraId="0461F9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Vladimirovich BOLTNYEV</w:t>
            </w:r>
          </w:p>
        </w:tc>
        <w:tc>
          <w:tcPr>
            <w:tcW w:w="836" w:type="dxa"/>
          </w:tcPr>
          <w:p w:rsidRPr="006F34CD" w:rsidR="00515FE0" w:rsidP="006F34CD" w:rsidRDefault="00515FE0" w14:paraId="3DA78A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F7069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Nizhnekamsk</w:t>
            </w:r>
          </w:p>
        </w:tc>
        <w:tc>
          <w:tcPr>
            <w:tcW w:w="1134" w:type="dxa"/>
          </w:tcPr>
          <w:p w:rsidRPr="006F34CD" w:rsidR="00515FE0" w:rsidP="006F34CD" w:rsidRDefault="00515FE0" w14:paraId="767C39A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w:t>
            </w:r>
          </w:p>
        </w:tc>
        <w:tc>
          <w:tcPr>
            <w:tcW w:w="992" w:type="dxa"/>
          </w:tcPr>
          <w:p w:rsidRPr="006F34CD" w:rsidR="00515FE0" w:rsidP="006F34CD" w:rsidRDefault="00515FE0" w14:paraId="16BD5CA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c>
          <w:tcPr>
            <w:tcW w:w="992" w:type="dxa"/>
          </w:tcPr>
          <w:p w:rsidRPr="006F34CD" w:rsidR="00515FE0" w:rsidP="006F34CD" w:rsidRDefault="00515FE0" w14:paraId="7998D63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r>
      <w:tr w:rsidRPr="006F34CD" w:rsidR="00515FE0" w:rsidTr="00EF028C" w14:paraId="06FA1EE7" w14:textId="77777777">
        <w:trPr>
          <w:cantSplit/>
        </w:trPr>
        <w:tc>
          <w:tcPr>
            <w:tcW w:w="7508" w:type="dxa"/>
            <w:gridSpan w:val="6"/>
          </w:tcPr>
          <w:p w:rsidRPr="006F34CD" w:rsidR="00515FE0" w:rsidP="006F34CD" w:rsidRDefault="00515FE0" w14:paraId="1B6EDBFC" w14:textId="77777777">
            <w:pPr>
              <w:spacing w:before="120" w:after="120"/>
              <w:rPr>
                <w:rFonts w:ascii="Times New Roman" w:hAnsi="Times New Roman" w:cs="Times New Roman"/>
                <w:sz w:val="18"/>
                <w:szCs w:val="18"/>
                <w:lang w:val="it-IT"/>
              </w:rPr>
            </w:pPr>
            <w:r w:rsidRPr="006F34CD">
              <w:rPr>
                <w:rFonts w:ascii="Times New Roman" w:hAnsi="Times New Roman" w:cs="Times New Roman"/>
                <w:sz w:val="18"/>
                <w:szCs w:val="18"/>
                <w:lang w:val="it-IT"/>
              </w:rPr>
              <w:t xml:space="preserve">Application no. 3492/11, </w:t>
            </w:r>
            <w:r w:rsidRPr="006F34CD">
              <w:rPr>
                <w:rFonts w:ascii="Times New Roman" w:hAnsi="Times New Roman" w:cs="Times New Roman"/>
                <w:i/>
                <w:sz w:val="18"/>
                <w:szCs w:val="18"/>
                <w:lang w:val="it-IT"/>
              </w:rPr>
              <w:t>Mardonov v. Russia</w:t>
            </w:r>
          </w:p>
        </w:tc>
      </w:tr>
      <w:tr w:rsidRPr="006F34CD" w:rsidR="00515FE0" w:rsidTr="00EF028C" w14:paraId="65A2C871" w14:textId="77777777">
        <w:trPr>
          <w:cantSplit/>
        </w:trPr>
        <w:tc>
          <w:tcPr>
            <w:tcW w:w="2249" w:type="dxa"/>
          </w:tcPr>
          <w:p w:rsidRPr="006F34CD" w:rsidR="00515FE0" w:rsidP="006F34CD" w:rsidRDefault="00515FE0" w14:paraId="44803A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Farkhod Ashurovich MARDONOV</w:t>
            </w:r>
          </w:p>
        </w:tc>
        <w:tc>
          <w:tcPr>
            <w:tcW w:w="836" w:type="dxa"/>
          </w:tcPr>
          <w:p w:rsidRPr="006F34CD" w:rsidR="00515FE0" w:rsidP="006F34CD" w:rsidRDefault="00515FE0" w14:paraId="0661094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3AE0D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Nizhnekamsk</w:t>
            </w:r>
          </w:p>
        </w:tc>
        <w:tc>
          <w:tcPr>
            <w:tcW w:w="1134" w:type="dxa"/>
          </w:tcPr>
          <w:p w:rsidRPr="006F34CD" w:rsidR="00515FE0" w:rsidP="006F34CD" w:rsidRDefault="00515FE0" w14:paraId="5736F21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w:t>
            </w:r>
          </w:p>
        </w:tc>
        <w:tc>
          <w:tcPr>
            <w:tcW w:w="992" w:type="dxa"/>
          </w:tcPr>
          <w:p w:rsidRPr="006F34CD" w:rsidR="00515FE0" w:rsidP="006F34CD" w:rsidRDefault="00515FE0" w14:paraId="71F2B5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c>
          <w:tcPr>
            <w:tcW w:w="992" w:type="dxa"/>
          </w:tcPr>
          <w:p w:rsidRPr="006F34CD" w:rsidR="00515FE0" w:rsidP="006F34CD" w:rsidRDefault="00515FE0" w14:paraId="0729B21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r>
      <w:tr w:rsidRPr="006F34CD" w:rsidR="00515FE0" w:rsidTr="00EF028C" w14:paraId="15DC6D56" w14:textId="77777777">
        <w:trPr>
          <w:cantSplit/>
        </w:trPr>
        <w:tc>
          <w:tcPr>
            <w:tcW w:w="7508" w:type="dxa"/>
            <w:gridSpan w:val="6"/>
          </w:tcPr>
          <w:p w:rsidRPr="006F34CD" w:rsidR="00515FE0" w:rsidP="006F34CD" w:rsidRDefault="00515FE0" w14:paraId="30F082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14821/11, </w:t>
            </w:r>
            <w:r w:rsidRPr="006F34CD">
              <w:rPr>
                <w:rFonts w:ascii="Times New Roman" w:hAnsi="Times New Roman" w:cs="Times New Roman"/>
                <w:i/>
                <w:sz w:val="18"/>
                <w:szCs w:val="18"/>
              </w:rPr>
              <w:t>Aliyev v. Russia</w:t>
            </w:r>
          </w:p>
        </w:tc>
      </w:tr>
      <w:tr w:rsidRPr="006F34CD" w:rsidR="00515FE0" w:rsidTr="00EF028C" w14:paraId="4D80E2FB" w14:textId="77777777">
        <w:trPr>
          <w:cantSplit/>
        </w:trPr>
        <w:tc>
          <w:tcPr>
            <w:tcW w:w="2249" w:type="dxa"/>
          </w:tcPr>
          <w:p w:rsidRPr="006F34CD" w:rsidR="00515FE0" w:rsidP="006F34CD" w:rsidRDefault="00515FE0" w14:paraId="445B33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Alam Abdulaziz Ogly ALIYEV</w:t>
            </w:r>
          </w:p>
        </w:tc>
        <w:tc>
          <w:tcPr>
            <w:tcW w:w="836" w:type="dxa"/>
          </w:tcPr>
          <w:p w:rsidRPr="006F34CD" w:rsidR="00515FE0" w:rsidP="006F34CD" w:rsidRDefault="00515FE0" w14:paraId="79D510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7DF6F4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Birobidzhan</w:t>
            </w:r>
          </w:p>
        </w:tc>
        <w:tc>
          <w:tcPr>
            <w:tcW w:w="1134" w:type="dxa"/>
          </w:tcPr>
          <w:p w:rsidRPr="006F34CD" w:rsidR="00515FE0" w:rsidP="006F34CD" w:rsidRDefault="00515FE0" w14:paraId="0618E4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90</w:t>
            </w:r>
          </w:p>
        </w:tc>
        <w:tc>
          <w:tcPr>
            <w:tcW w:w="992" w:type="dxa"/>
          </w:tcPr>
          <w:p w:rsidRPr="006F34CD" w:rsidR="00515FE0" w:rsidP="006F34CD" w:rsidRDefault="00515FE0" w14:paraId="040433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04476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BC1A634" w14:textId="77777777">
        <w:trPr>
          <w:cantSplit/>
        </w:trPr>
        <w:tc>
          <w:tcPr>
            <w:tcW w:w="7508" w:type="dxa"/>
            <w:gridSpan w:val="6"/>
          </w:tcPr>
          <w:p w:rsidRPr="006F34CD" w:rsidR="00515FE0" w:rsidP="006F34CD" w:rsidRDefault="00515FE0" w14:paraId="6490A2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17552/11, </w:t>
            </w:r>
            <w:r w:rsidRPr="006F34CD">
              <w:rPr>
                <w:rFonts w:ascii="Times New Roman" w:hAnsi="Times New Roman" w:cs="Times New Roman"/>
                <w:i/>
                <w:sz w:val="18"/>
                <w:szCs w:val="18"/>
              </w:rPr>
              <w:t>Fedorin and Others v. Russia</w:t>
            </w:r>
          </w:p>
        </w:tc>
      </w:tr>
      <w:tr w:rsidRPr="006F34CD" w:rsidR="00515FE0" w:rsidTr="00EF028C" w14:paraId="610A9ECD" w14:textId="77777777">
        <w:trPr>
          <w:cantSplit/>
        </w:trPr>
        <w:tc>
          <w:tcPr>
            <w:tcW w:w="2249" w:type="dxa"/>
          </w:tcPr>
          <w:p w:rsidRPr="006F34CD" w:rsidR="00515FE0" w:rsidP="006F34CD" w:rsidRDefault="00515FE0" w14:paraId="6F11E0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Nikitovich FEDORIN</w:t>
            </w:r>
          </w:p>
        </w:tc>
        <w:tc>
          <w:tcPr>
            <w:tcW w:w="836" w:type="dxa"/>
          </w:tcPr>
          <w:p w:rsidRPr="006F34CD" w:rsidR="00515FE0" w:rsidP="006F34CD" w:rsidRDefault="00515FE0" w14:paraId="1BE500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1925</w:t>
            </w:r>
          </w:p>
        </w:tc>
        <w:tc>
          <w:tcPr>
            <w:tcW w:w="1305" w:type="dxa"/>
          </w:tcPr>
          <w:p w:rsidRPr="006F34CD" w:rsidR="00515FE0" w:rsidP="006F34CD" w:rsidRDefault="00515FE0" w14:paraId="3B5B81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Sredniy Yegorlyk</w:t>
            </w:r>
          </w:p>
        </w:tc>
        <w:tc>
          <w:tcPr>
            <w:tcW w:w="1134" w:type="dxa"/>
          </w:tcPr>
          <w:p w:rsidRPr="006F34CD" w:rsidR="00515FE0" w:rsidP="006F34CD" w:rsidRDefault="00515FE0" w14:paraId="4075704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w:t>
            </w:r>
          </w:p>
        </w:tc>
        <w:tc>
          <w:tcPr>
            <w:tcW w:w="992" w:type="dxa"/>
          </w:tcPr>
          <w:p w:rsidRPr="006F34CD" w:rsidR="00515FE0" w:rsidP="006F34CD" w:rsidRDefault="00515FE0" w14:paraId="746060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305C53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65A573D" w14:textId="77777777">
        <w:trPr>
          <w:cantSplit/>
        </w:trPr>
        <w:tc>
          <w:tcPr>
            <w:tcW w:w="2249" w:type="dxa"/>
          </w:tcPr>
          <w:p w:rsidRPr="006F34CD" w:rsidR="00515FE0" w:rsidP="006F34CD" w:rsidRDefault="00515FE0" w14:paraId="6F7B03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Vladimirovich SIROTYUK</w:t>
            </w:r>
          </w:p>
        </w:tc>
        <w:tc>
          <w:tcPr>
            <w:tcW w:w="836" w:type="dxa"/>
          </w:tcPr>
          <w:p w:rsidRPr="006F34CD" w:rsidR="00515FE0" w:rsidP="006F34CD" w:rsidRDefault="00515FE0" w14:paraId="5D5272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3F06B0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Kamen-Rybolov</w:t>
            </w:r>
          </w:p>
        </w:tc>
        <w:tc>
          <w:tcPr>
            <w:tcW w:w="1134" w:type="dxa"/>
          </w:tcPr>
          <w:p w:rsidRPr="006F34CD" w:rsidR="00515FE0" w:rsidP="006F34CD" w:rsidRDefault="00515FE0" w14:paraId="7EBA04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w:t>
            </w:r>
          </w:p>
        </w:tc>
        <w:tc>
          <w:tcPr>
            <w:tcW w:w="992" w:type="dxa"/>
          </w:tcPr>
          <w:p w:rsidRPr="006F34CD" w:rsidR="00515FE0" w:rsidP="006F34CD" w:rsidRDefault="00515FE0" w14:paraId="414A081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c>
          <w:tcPr>
            <w:tcW w:w="992" w:type="dxa"/>
          </w:tcPr>
          <w:p w:rsidRPr="006F34CD" w:rsidR="00515FE0" w:rsidP="006F34CD" w:rsidRDefault="00515FE0" w14:paraId="502569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10AF7F1E" w14:textId="77777777">
        <w:trPr>
          <w:cantSplit/>
        </w:trPr>
        <w:tc>
          <w:tcPr>
            <w:tcW w:w="2249" w:type="dxa"/>
          </w:tcPr>
          <w:p w:rsidRPr="006F34CD" w:rsidR="00515FE0" w:rsidP="006F34CD" w:rsidRDefault="00515FE0" w14:paraId="12D19B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Sergeyevna CHEKHOVSKAYA</w:t>
            </w:r>
          </w:p>
        </w:tc>
        <w:tc>
          <w:tcPr>
            <w:tcW w:w="836" w:type="dxa"/>
          </w:tcPr>
          <w:p w:rsidRPr="006F34CD" w:rsidR="00515FE0" w:rsidP="006F34CD" w:rsidRDefault="00515FE0" w14:paraId="0E54A1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5FCE65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Belgorod</w:t>
            </w:r>
          </w:p>
        </w:tc>
        <w:tc>
          <w:tcPr>
            <w:tcW w:w="1134" w:type="dxa"/>
          </w:tcPr>
          <w:p w:rsidRPr="006F34CD" w:rsidR="00515FE0" w:rsidP="006F34CD" w:rsidRDefault="00515FE0" w14:paraId="0C2120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w:t>
            </w:r>
          </w:p>
        </w:tc>
        <w:tc>
          <w:tcPr>
            <w:tcW w:w="992" w:type="dxa"/>
          </w:tcPr>
          <w:p w:rsidRPr="006F34CD" w:rsidR="00515FE0" w:rsidP="006F34CD" w:rsidRDefault="00515FE0" w14:paraId="6DE12F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c>
          <w:tcPr>
            <w:tcW w:w="992" w:type="dxa"/>
          </w:tcPr>
          <w:p w:rsidRPr="006F34CD" w:rsidR="00515FE0" w:rsidP="006F34CD" w:rsidRDefault="00515FE0" w14:paraId="72F088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8B3D02F" w14:textId="77777777">
        <w:trPr>
          <w:cantSplit/>
        </w:trPr>
        <w:tc>
          <w:tcPr>
            <w:tcW w:w="2249" w:type="dxa"/>
          </w:tcPr>
          <w:p w:rsidRPr="006F34CD" w:rsidR="00515FE0" w:rsidP="006F34CD" w:rsidRDefault="00515FE0" w14:paraId="37AC65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Yuryevich EBELING</w:t>
            </w:r>
          </w:p>
        </w:tc>
        <w:tc>
          <w:tcPr>
            <w:tcW w:w="836" w:type="dxa"/>
          </w:tcPr>
          <w:p w:rsidRPr="006F34CD" w:rsidR="00515FE0" w:rsidP="006F34CD" w:rsidRDefault="00515FE0" w14:paraId="6BC0F9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1980</w:t>
            </w:r>
          </w:p>
        </w:tc>
        <w:tc>
          <w:tcPr>
            <w:tcW w:w="1305" w:type="dxa"/>
          </w:tcPr>
          <w:p w:rsidRPr="006F34CD" w:rsidR="00515FE0" w:rsidP="006F34CD" w:rsidRDefault="00515FE0" w14:paraId="6534CD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Gagarin</w:t>
            </w:r>
          </w:p>
        </w:tc>
        <w:tc>
          <w:tcPr>
            <w:tcW w:w="1134" w:type="dxa"/>
          </w:tcPr>
          <w:p w:rsidRPr="006F34CD" w:rsidR="00515FE0" w:rsidP="006F34CD" w:rsidRDefault="00515FE0" w14:paraId="35C192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w:t>
            </w:r>
          </w:p>
        </w:tc>
        <w:tc>
          <w:tcPr>
            <w:tcW w:w="992" w:type="dxa"/>
          </w:tcPr>
          <w:p w:rsidRPr="006F34CD" w:rsidR="00515FE0" w:rsidP="006F34CD" w:rsidRDefault="00515FE0" w14:paraId="5E1839A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c>
          <w:tcPr>
            <w:tcW w:w="992" w:type="dxa"/>
          </w:tcPr>
          <w:p w:rsidRPr="006F34CD" w:rsidR="00515FE0" w:rsidP="006F34CD" w:rsidRDefault="00515FE0" w14:paraId="62685C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65F3DECB" w14:textId="77777777">
        <w:trPr>
          <w:cantSplit/>
        </w:trPr>
        <w:tc>
          <w:tcPr>
            <w:tcW w:w="2249" w:type="dxa"/>
          </w:tcPr>
          <w:p w:rsidRPr="006F34CD" w:rsidR="00515FE0" w:rsidP="006F34CD" w:rsidRDefault="00515FE0" w14:paraId="05468D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Vladimirovich KONYUKHOV</w:t>
            </w:r>
          </w:p>
        </w:tc>
        <w:tc>
          <w:tcPr>
            <w:tcW w:w="836" w:type="dxa"/>
          </w:tcPr>
          <w:p w:rsidRPr="006F34CD" w:rsidR="00515FE0" w:rsidP="006F34CD" w:rsidRDefault="00515FE0" w14:paraId="7E9D9D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7F9E4B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Pogranichnyy</w:t>
            </w:r>
          </w:p>
        </w:tc>
        <w:tc>
          <w:tcPr>
            <w:tcW w:w="1134" w:type="dxa"/>
          </w:tcPr>
          <w:p w:rsidRPr="006F34CD" w:rsidR="00515FE0" w:rsidP="006F34CD" w:rsidRDefault="00515FE0" w14:paraId="76BF35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w:t>
            </w:r>
          </w:p>
        </w:tc>
        <w:tc>
          <w:tcPr>
            <w:tcW w:w="992" w:type="dxa"/>
          </w:tcPr>
          <w:p w:rsidRPr="006F34CD" w:rsidR="00515FE0" w:rsidP="006F34CD" w:rsidRDefault="00515FE0" w14:paraId="2075AC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c>
          <w:tcPr>
            <w:tcW w:w="992" w:type="dxa"/>
          </w:tcPr>
          <w:p w:rsidRPr="006F34CD" w:rsidR="00515FE0" w:rsidP="006F34CD" w:rsidRDefault="00515FE0" w14:paraId="5D677B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23848F46" w14:textId="77777777">
        <w:trPr>
          <w:cantSplit/>
        </w:trPr>
        <w:tc>
          <w:tcPr>
            <w:tcW w:w="2249" w:type="dxa"/>
          </w:tcPr>
          <w:p w:rsidRPr="006F34CD" w:rsidR="00515FE0" w:rsidP="006F34CD" w:rsidRDefault="00515FE0" w14:paraId="57B70D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Alyona Mikhaylovna BONDAREVA</w:t>
            </w:r>
          </w:p>
        </w:tc>
        <w:tc>
          <w:tcPr>
            <w:tcW w:w="836" w:type="dxa"/>
          </w:tcPr>
          <w:p w:rsidRPr="006F34CD" w:rsidR="00515FE0" w:rsidP="006F34CD" w:rsidRDefault="00515FE0" w14:paraId="248630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4B1166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Milkovo</w:t>
            </w:r>
          </w:p>
        </w:tc>
        <w:tc>
          <w:tcPr>
            <w:tcW w:w="1134" w:type="dxa"/>
          </w:tcPr>
          <w:p w:rsidRPr="006F34CD" w:rsidR="00515FE0" w:rsidP="006F34CD" w:rsidRDefault="00515FE0" w14:paraId="759400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w:t>
            </w:r>
          </w:p>
        </w:tc>
        <w:tc>
          <w:tcPr>
            <w:tcW w:w="992" w:type="dxa"/>
          </w:tcPr>
          <w:p w:rsidRPr="006F34CD" w:rsidR="00515FE0" w:rsidP="006F34CD" w:rsidRDefault="00515FE0" w14:paraId="49EE92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c>
          <w:tcPr>
            <w:tcW w:w="992" w:type="dxa"/>
          </w:tcPr>
          <w:p w:rsidRPr="006F34CD" w:rsidR="00515FE0" w:rsidP="006F34CD" w:rsidRDefault="00515FE0" w14:paraId="606BD2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301D1A96" w14:textId="77777777">
        <w:trPr>
          <w:cantSplit/>
        </w:trPr>
        <w:tc>
          <w:tcPr>
            <w:tcW w:w="2249" w:type="dxa"/>
          </w:tcPr>
          <w:p w:rsidRPr="006F34CD" w:rsidR="00515FE0" w:rsidP="006F34CD" w:rsidRDefault="00515FE0" w14:paraId="2F792C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Konstantin Sergeyevich KOMAROV</w:t>
            </w:r>
          </w:p>
        </w:tc>
        <w:tc>
          <w:tcPr>
            <w:tcW w:w="836" w:type="dxa"/>
          </w:tcPr>
          <w:p w:rsidRPr="006F34CD" w:rsidR="00515FE0" w:rsidP="006F34CD" w:rsidRDefault="00515FE0" w14:paraId="5699BE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1990</w:t>
            </w:r>
          </w:p>
        </w:tc>
        <w:tc>
          <w:tcPr>
            <w:tcW w:w="1305" w:type="dxa"/>
          </w:tcPr>
          <w:p w:rsidRPr="006F34CD" w:rsidR="00515FE0" w:rsidP="006F34CD" w:rsidRDefault="00515FE0" w14:paraId="6340B2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Izhevsk</w:t>
            </w:r>
          </w:p>
        </w:tc>
        <w:tc>
          <w:tcPr>
            <w:tcW w:w="1134" w:type="dxa"/>
          </w:tcPr>
          <w:p w:rsidRPr="006F34CD" w:rsidR="00515FE0" w:rsidP="006F34CD" w:rsidRDefault="00515FE0" w14:paraId="4402050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w:t>
            </w:r>
          </w:p>
        </w:tc>
        <w:tc>
          <w:tcPr>
            <w:tcW w:w="992" w:type="dxa"/>
          </w:tcPr>
          <w:p w:rsidRPr="006F34CD" w:rsidR="00515FE0" w:rsidP="006F34CD" w:rsidRDefault="00515FE0" w14:paraId="1C87D2F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c>
          <w:tcPr>
            <w:tcW w:w="992" w:type="dxa"/>
          </w:tcPr>
          <w:p w:rsidRPr="006F34CD" w:rsidR="00515FE0" w:rsidP="006F34CD" w:rsidRDefault="00515FE0" w14:paraId="21B4CC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79F0FE7A" w14:textId="77777777">
        <w:trPr>
          <w:cantSplit/>
        </w:trPr>
        <w:tc>
          <w:tcPr>
            <w:tcW w:w="2249" w:type="dxa"/>
          </w:tcPr>
          <w:p w:rsidRPr="006F34CD" w:rsidR="00515FE0" w:rsidP="006F34CD" w:rsidRDefault="00515FE0" w14:paraId="6791AB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Vera Ivanovna SAVELYEVA</w:t>
            </w:r>
          </w:p>
        </w:tc>
        <w:tc>
          <w:tcPr>
            <w:tcW w:w="836" w:type="dxa"/>
          </w:tcPr>
          <w:p w:rsidRPr="006F34CD" w:rsidR="00515FE0" w:rsidP="006F34CD" w:rsidRDefault="00515FE0" w14:paraId="5A5F0B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0B48E0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Yoshkar-Ola</w:t>
            </w:r>
          </w:p>
        </w:tc>
        <w:tc>
          <w:tcPr>
            <w:tcW w:w="1134" w:type="dxa"/>
          </w:tcPr>
          <w:p w:rsidRPr="006F34CD" w:rsidR="00515FE0" w:rsidP="006F34CD" w:rsidRDefault="00515FE0" w14:paraId="05D1C9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w:t>
            </w:r>
          </w:p>
        </w:tc>
        <w:tc>
          <w:tcPr>
            <w:tcW w:w="992" w:type="dxa"/>
          </w:tcPr>
          <w:p w:rsidRPr="006F34CD" w:rsidR="00515FE0" w:rsidP="006F34CD" w:rsidRDefault="00515FE0" w14:paraId="5C320A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c>
          <w:tcPr>
            <w:tcW w:w="992" w:type="dxa"/>
          </w:tcPr>
          <w:p w:rsidRPr="006F34CD" w:rsidR="00515FE0" w:rsidP="006F34CD" w:rsidRDefault="00515FE0" w14:paraId="06BC1E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r>
      <w:tr w:rsidRPr="006F34CD" w:rsidR="00515FE0" w:rsidTr="00EF028C" w14:paraId="0A166C8A" w14:textId="77777777">
        <w:trPr>
          <w:cantSplit/>
        </w:trPr>
        <w:tc>
          <w:tcPr>
            <w:tcW w:w="2249" w:type="dxa"/>
          </w:tcPr>
          <w:p w:rsidRPr="006F34CD" w:rsidR="00515FE0" w:rsidP="006F34CD" w:rsidRDefault="00515FE0" w14:paraId="2D5F7A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Svetlana Anatolyevna EBENAL</w:t>
            </w:r>
          </w:p>
        </w:tc>
        <w:tc>
          <w:tcPr>
            <w:tcW w:w="836" w:type="dxa"/>
          </w:tcPr>
          <w:p w:rsidRPr="006F34CD" w:rsidR="00515FE0" w:rsidP="006F34CD" w:rsidRDefault="00515FE0" w14:paraId="42E35F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27CD93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Vozhskiy</w:t>
            </w:r>
          </w:p>
        </w:tc>
        <w:tc>
          <w:tcPr>
            <w:tcW w:w="1134" w:type="dxa"/>
          </w:tcPr>
          <w:p w:rsidRPr="006F34CD" w:rsidR="00515FE0" w:rsidP="006F34CD" w:rsidRDefault="00515FE0" w14:paraId="149F87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w:t>
            </w:r>
          </w:p>
        </w:tc>
        <w:tc>
          <w:tcPr>
            <w:tcW w:w="992" w:type="dxa"/>
          </w:tcPr>
          <w:p w:rsidRPr="006F34CD" w:rsidR="00515FE0" w:rsidP="006F34CD" w:rsidRDefault="00515FE0" w14:paraId="4718BE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c>
          <w:tcPr>
            <w:tcW w:w="992" w:type="dxa"/>
          </w:tcPr>
          <w:p w:rsidRPr="006F34CD" w:rsidR="00515FE0" w:rsidP="006F34CD" w:rsidRDefault="00515FE0" w14:paraId="1B5795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r>
      <w:tr w:rsidRPr="006F34CD" w:rsidR="00515FE0" w:rsidTr="00EF028C" w14:paraId="57186FB5" w14:textId="77777777">
        <w:trPr>
          <w:cantSplit/>
        </w:trPr>
        <w:tc>
          <w:tcPr>
            <w:tcW w:w="2249" w:type="dxa"/>
          </w:tcPr>
          <w:p w:rsidRPr="006F34CD" w:rsidR="00515FE0" w:rsidP="006F34CD" w:rsidRDefault="00515FE0" w14:paraId="194E97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Panteleymonovna BELIMOVA</w:t>
            </w:r>
          </w:p>
        </w:tc>
        <w:tc>
          <w:tcPr>
            <w:tcW w:w="836" w:type="dxa"/>
          </w:tcPr>
          <w:p w:rsidRPr="006F34CD" w:rsidR="00515FE0" w:rsidP="006F34CD" w:rsidRDefault="00515FE0" w14:paraId="770FC6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3333B9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Tver</w:t>
            </w:r>
          </w:p>
        </w:tc>
        <w:tc>
          <w:tcPr>
            <w:tcW w:w="1134" w:type="dxa"/>
          </w:tcPr>
          <w:p w:rsidRPr="006F34CD" w:rsidR="00515FE0" w:rsidP="006F34CD" w:rsidRDefault="00515FE0" w14:paraId="6261DEB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A8F3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c>
          <w:tcPr>
            <w:tcW w:w="992" w:type="dxa"/>
          </w:tcPr>
          <w:p w:rsidRPr="006F34CD" w:rsidR="00515FE0" w:rsidP="006F34CD" w:rsidRDefault="00515FE0" w14:paraId="6FA2E4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r>
      <w:tr w:rsidRPr="006F34CD" w:rsidR="00515FE0" w:rsidTr="00EF028C" w14:paraId="26A41F2A" w14:textId="77777777">
        <w:trPr>
          <w:cantSplit/>
        </w:trPr>
        <w:tc>
          <w:tcPr>
            <w:tcW w:w="7508" w:type="dxa"/>
            <w:gridSpan w:val="6"/>
          </w:tcPr>
          <w:p w:rsidRPr="006F34CD" w:rsidR="00515FE0" w:rsidP="006F34CD" w:rsidRDefault="00515FE0" w14:paraId="5F8259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2269/12, </w:t>
            </w:r>
            <w:r w:rsidRPr="006F34CD">
              <w:rPr>
                <w:rFonts w:ascii="Times New Roman" w:hAnsi="Times New Roman" w:cs="Times New Roman"/>
                <w:i/>
                <w:sz w:val="18"/>
                <w:szCs w:val="18"/>
              </w:rPr>
              <w:t>Chukan and Others v. Russia</w:t>
            </w:r>
          </w:p>
        </w:tc>
      </w:tr>
      <w:tr w:rsidRPr="006F34CD" w:rsidR="00515FE0" w:rsidTr="00EF028C" w14:paraId="62E6F75F" w14:textId="77777777">
        <w:trPr>
          <w:cantSplit/>
        </w:trPr>
        <w:tc>
          <w:tcPr>
            <w:tcW w:w="2249" w:type="dxa"/>
          </w:tcPr>
          <w:p w:rsidRPr="006F34CD" w:rsidR="00515FE0" w:rsidP="006F34CD" w:rsidRDefault="00515FE0" w14:paraId="014C65DA" w14:textId="2ADE4E98">
            <w:pPr>
              <w:spacing w:before="120" w:after="120"/>
              <w:rPr>
                <w:rFonts w:ascii="Times New Roman" w:hAnsi="Times New Roman" w:cs="Times New Roman"/>
                <w:sz w:val="18"/>
                <w:szCs w:val="18"/>
              </w:rPr>
            </w:pPr>
            <w:r w:rsidRPr="006F34CD">
              <w:rPr>
                <w:rFonts w:ascii="Times New Roman" w:hAnsi="Times New Roman" w:cs="Times New Roman"/>
                <w:sz w:val="18"/>
                <w:szCs w:val="18"/>
              </w:rPr>
              <w:t>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6AEC1C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F1354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 Russia</w:t>
            </w:r>
          </w:p>
        </w:tc>
        <w:tc>
          <w:tcPr>
            <w:tcW w:w="1134" w:type="dxa"/>
          </w:tcPr>
          <w:p w:rsidRPr="006F34CD" w:rsidR="00515FE0" w:rsidP="006F34CD" w:rsidRDefault="00515FE0" w14:paraId="23A8719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1BA9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1031D5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7DAEBA5D" w14:textId="77777777">
        <w:trPr>
          <w:cantSplit/>
        </w:trPr>
        <w:tc>
          <w:tcPr>
            <w:tcW w:w="2249" w:type="dxa"/>
          </w:tcPr>
          <w:p w:rsidRPr="006F34CD" w:rsidR="00515FE0" w:rsidP="006F34CD" w:rsidRDefault="00515FE0" w14:paraId="51ACE129" w14:textId="77777777">
            <w:pPr>
              <w:spacing w:before="120" w:after="120"/>
              <w:rPr>
                <w:rFonts w:ascii="Times New Roman" w:hAnsi="Times New Roman" w:cs="Times New Roman"/>
                <w:sz w:val="18"/>
                <w:szCs w:val="18"/>
                <w:lang w:val="de-DE"/>
              </w:rPr>
            </w:pPr>
            <w:r w:rsidRPr="006F34CD">
              <w:rPr>
                <w:rFonts w:ascii="Times New Roman" w:hAnsi="Times New Roman" w:cs="Times New Roman"/>
                <w:sz w:val="18"/>
                <w:szCs w:val="18"/>
                <w:lang w:val="de-DE"/>
              </w:rPr>
              <w:t>Wachtturm Bibel- und Traktat-Gesellschaft der Zeugen Jehovas</w:t>
            </w:r>
          </w:p>
        </w:tc>
        <w:tc>
          <w:tcPr>
            <w:tcW w:w="836" w:type="dxa"/>
          </w:tcPr>
          <w:p w:rsidRPr="006F34CD" w:rsidR="00515FE0" w:rsidP="006F34CD" w:rsidRDefault="00515FE0" w14:paraId="7046C0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6543A5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Selters, Germany</w:t>
            </w:r>
          </w:p>
        </w:tc>
        <w:tc>
          <w:tcPr>
            <w:tcW w:w="1134" w:type="dxa"/>
          </w:tcPr>
          <w:p w:rsidRPr="006F34CD" w:rsidR="00515FE0" w:rsidP="006F34CD" w:rsidRDefault="00515FE0" w14:paraId="6F2FBD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77F2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358D02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77BFFD1A" w14:textId="77777777">
        <w:trPr>
          <w:cantSplit/>
        </w:trPr>
        <w:tc>
          <w:tcPr>
            <w:tcW w:w="2249" w:type="dxa"/>
          </w:tcPr>
          <w:p w:rsidRPr="006F34CD" w:rsidR="00515FE0" w:rsidP="006F34CD" w:rsidRDefault="00515FE0" w14:paraId="33307A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Watch Tower Bible and Tract Society of Pennsylvania</w:t>
            </w:r>
          </w:p>
        </w:tc>
        <w:tc>
          <w:tcPr>
            <w:tcW w:w="836" w:type="dxa"/>
          </w:tcPr>
          <w:p w:rsidRPr="006F34CD" w:rsidR="00515FE0" w:rsidP="006F34CD" w:rsidRDefault="00515FE0" w14:paraId="65D265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1884</w:t>
            </w:r>
          </w:p>
        </w:tc>
        <w:tc>
          <w:tcPr>
            <w:tcW w:w="1305" w:type="dxa"/>
          </w:tcPr>
          <w:p w:rsidRPr="006F34CD" w:rsidR="00515FE0" w:rsidP="006F34CD" w:rsidRDefault="00515FE0" w14:paraId="539A14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New York, USA</w:t>
            </w:r>
          </w:p>
        </w:tc>
        <w:tc>
          <w:tcPr>
            <w:tcW w:w="1134" w:type="dxa"/>
          </w:tcPr>
          <w:p w:rsidRPr="006F34CD" w:rsidR="00515FE0" w:rsidP="006F34CD" w:rsidRDefault="00515FE0" w14:paraId="5912E2C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91B9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259247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33C6E425" w14:textId="77777777">
        <w:trPr>
          <w:cantSplit/>
        </w:trPr>
        <w:tc>
          <w:tcPr>
            <w:tcW w:w="2249" w:type="dxa"/>
          </w:tcPr>
          <w:p w:rsidRPr="006F34CD" w:rsidR="00515FE0" w:rsidP="006F34CD" w:rsidRDefault="00515FE0" w14:paraId="1B5DC4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Watchtower Bible and Tract Society of New York</w:t>
            </w:r>
          </w:p>
        </w:tc>
        <w:tc>
          <w:tcPr>
            <w:tcW w:w="836" w:type="dxa"/>
          </w:tcPr>
          <w:p w:rsidRPr="006F34CD" w:rsidR="00515FE0" w:rsidP="006F34CD" w:rsidRDefault="00515FE0" w14:paraId="773B1A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1909</w:t>
            </w:r>
          </w:p>
        </w:tc>
        <w:tc>
          <w:tcPr>
            <w:tcW w:w="1305" w:type="dxa"/>
          </w:tcPr>
          <w:p w:rsidRPr="006F34CD" w:rsidR="00515FE0" w:rsidP="006F34CD" w:rsidRDefault="00515FE0" w14:paraId="316752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New York, USA</w:t>
            </w:r>
          </w:p>
        </w:tc>
        <w:tc>
          <w:tcPr>
            <w:tcW w:w="1134" w:type="dxa"/>
          </w:tcPr>
          <w:p w:rsidRPr="006F34CD" w:rsidR="00515FE0" w:rsidP="006F34CD" w:rsidRDefault="00515FE0" w14:paraId="63D082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2B16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7D0B40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1599CDC8" w14:textId="77777777">
        <w:trPr>
          <w:cantSplit/>
        </w:trPr>
        <w:tc>
          <w:tcPr>
            <w:tcW w:w="2249" w:type="dxa"/>
          </w:tcPr>
          <w:p w:rsidRPr="006F34CD" w:rsidR="00515FE0" w:rsidP="006F34CD" w:rsidRDefault="00515FE0" w14:paraId="702B38AE" w14:textId="37EB8FF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Salsk</w:t>
            </w:r>
          </w:p>
        </w:tc>
        <w:tc>
          <w:tcPr>
            <w:tcW w:w="836" w:type="dxa"/>
          </w:tcPr>
          <w:p w:rsidRPr="006F34CD" w:rsidR="00515FE0" w:rsidP="006F34CD" w:rsidRDefault="00515FE0" w14:paraId="452A51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03935F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Salsk</w:t>
            </w:r>
          </w:p>
        </w:tc>
        <w:tc>
          <w:tcPr>
            <w:tcW w:w="1134" w:type="dxa"/>
          </w:tcPr>
          <w:p w:rsidRPr="006F34CD" w:rsidR="00515FE0" w:rsidP="006F34CD" w:rsidRDefault="00515FE0" w14:paraId="47C0D82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650</w:t>
            </w:r>
          </w:p>
        </w:tc>
        <w:tc>
          <w:tcPr>
            <w:tcW w:w="992" w:type="dxa"/>
          </w:tcPr>
          <w:p w:rsidRPr="006F34CD" w:rsidR="00515FE0" w:rsidP="006F34CD" w:rsidRDefault="00515FE0" w14:paraId="4C3023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2,500</w:t>
            </w:r>
          </w:p>
        </w:tc>
        <w:tc>
          <w:tcPr>
            <w:tcW w:w="992" w:type="dxa"/>
          </w:tcPr>
          <w:p w:rsidRPr="006F34CD" w:rsidR="00515FE0" w:rsidP="006F34CD" w:rsidRDefault="00515FE0" w14:paraId="6DC765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below</w:t>
            </w:r>
          </w:p>
        </w:tc>
      </w:tr>
      <w:tr w:rsidRPr="006F34CD" w:rsidR="00515FE0" w:rsidTr="00EF028C" w14:paraId="37856D05" w14:textId="77777777">
        <w:trPr>
          <w:cantSplit/>
        </w:trPr>
        <w:tc>
          <w:tcPr>
            <w:tcW w:w="2249" w:type="dxa"/>
          </w:tcPr>
          <w:p w:rsidRPr="006F34CD" w:rsidR="00515FE0" w:rsidP="006F34CD" w:rsidRDefault="00515FE0" w14:paraId="487836D1" w14:textId="465CFEB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Krasnodar</w:t>
            </w:r>
          </w:p>
        </w:tc>
        <w:tc>
          <w:tcPr>
            <w:tcW w:w="836" w:type="dxa"/>
          </w:tcPr>
          <w:p w:rsidRPr="006F34CD" w:rsidR="00515FE0" w:rsidP="006F34CD" w:rsidRDefault="00515FE0" w14:paraId="46DBBC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6DB6C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Krasnodar</w:t>
            </w:r>
          </w:p>
        </w:tc>
        <w:tc>
          <w:tcPr>
            <w:tcW w:w="1134" w:type="dxa"/>
          </w:tcPr>
          <w:p w:rsidRPr="006F34CD" w:rsidR="00515FE0" w:rsidP="006F34CD" w:rsidRDefault="00515FE0" w14:paraId="5AE8751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E1D8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2,500</w:t>
            </w:r>
          </w:p>
        </w:tc>
        <w:tc>
          <w:tcPr>
            <w:tcW w:w="992" w:type="dxa"/>
          </w:tcPr>
          <w:p w:rsidRPr="006F34CD" w:rsidR="00515FE0" w:rsidP="006F34CD" w:rsidRDefault="00515FE0" w14:paraId="4D3CFB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below</w:t>
            </w:r>
          </w:p>
        </w:tc>
      </w:tr>
      <w:tr w:rsidRPr="006F34CD" w:rsidR="00515FE0" w:rsidTr="00EF028C" w14:paraId="3E16803F" w14:textId="77777777">
        <w:trPr>
          <w:cantSplit/>
        </w:trPr>
        <w:tc>
          <w:tcPr>
            <w:tcW w:w="2249" w:type="dxa"/>
          </w:tcPr>
          <w:p w:rsidRPr="006F34CD" w:rsidR="00515FE0" w:rsidP="006F34CD" w:rsidRDefault="00515FE0" w14:paraId="14B4210D" w14:textId="6D404CC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Kemerovo"</w:t>
            </w:r>
          </w:p>
        </w:tc>
        <w:tc>
          <w:tcPr>
            <w:tcW w:w="836" w:type="dxa"/>
          </w:tcPr>
          <w:p w:rsidRPr="006F34CD" w:rsidR="00515FE0" w:rsidP="006F34CD" w:rsidRDefault="00515FE0" w14:paraId="5D64A7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2006</w:t>
            </w:r>
          </w:p>
        </w:tc>
        <w:tc>
          <w:tcPr>
            <w:tcW w:w="1305" w:type="dxa"/>
          </w:tcPr>
          <w:p w:rsidRPr="006F34CD" w:rsidR="00515FE0" w:rsidP="006F34CD" w:rsidRDefault="00515FE0" w14:paraId="796B26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1EAFD9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2D8E3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B5AF64" w14:textId="77777777">
            <w:pPr>
              <w:spacing w:before="120" w:after="120"/>
              <w:jc w:val="center"/>
              <w:rPr>
                <w:rFonts w:ascii="Times New Roman" w:hAnsi="Times New Roman" w:cs="Times New Roman"/>
                <w:sz w:val="18"/>
                <w:szCs w:val="18"/>
              </w:rPr>
            </w:pPr>
          </w:p>
        </w:tc>
      </w:tr>
      <w:tr w:rsidRPr="006F34CD" w:rsidR="00515FE0" w:rsidTr="00EF028C" w14:paraId="17E80656" w14:textId="77777777">
        <w:trPr>
          <w:cantSplit/>
        </w:trPr>
        <w:tc>
          <w:tcPr>
            <w:tcW w:w="2249" w:type="dxa"/>
          </w:tcPr>
          <w:p w:rsidRPr="006F34CD" w:rsidR="00515FE0" w:rsidP="006F34CD" w:rsidRDefault="00515FE0" w14:paraId="0042C0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Dmitriyevich CHUKAN</w:t>
            </w:r>
          </w:p>
        </w:tc>
        <w:tc>
          <w:tcPr>
            <w:tcW w:w="836" w:type="dxa"/>
          </w:tcPr>
          <w:p w:rsidRPr="006F34CD" w:rsidR="00515FE0" w:rsidP="006F34CD" w:rsidRDefault="00515FE0" w14:paraId="1BE124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274EC9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Krasnodar</w:t>
            </w:r>
          </w:p>
        </w:tc>
        <w:tc>
          <w:tcPr>
            <w:tcW w:w="1134" w:type="dxa"/>
          </w:tcPr>
          <w:p w:rsidRPr="006F34CD" w:rsidR="00515FE0" w:rsidP="006F34CD" w:rsidRDefault="00515FE0" w14:paraId="149FF40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6223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AFA1A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AA8726C" w14:textId="77777777">
        <w:trPr>
          <w:cantSplit/>
        </w:trPr>
        <w:tc>
          <w:tcPr>
            <w:tcW w:w="2249" w:type="dxa"/>
          </w:tcPr>
          <w:p w:rsidRPr="006F34CD" w:rsidR="00515FE0" w:rsidP="006F34CD" w:rsidRDefault="00515FE0" w14:paraId="3B47DE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Vasilyevich TKACHENKO</w:t>
            </w:r>
          </w:p>
        </w:tc>
        <w:tc>
          <w:tcPr>
            <w:tcW w:w="836" w:type="dxa"/>
          </w:tcPr>
          <w:p w:rsidRPr="006F34CD" w:rsidR="00515FE0" w:rsidP="006F34CD" w:rsidRDefault="00515FE0" w14:paraId="4F1E2C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53A9A8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Krasnodar</w:t>
            </w:r>
          </w:p>
        </w:tc>
        <w:tc>
          <w:tcPr>
            <w:tcW w:w="1134" w:type="dxa"/>
          </w:tcPr>
          <w:p w:rsidRPr="006F34CD" w:rsidR="00515FE0" w:rsidP="006F34CD" w:rsidRDefault="00515FE0" w14:paraId="2EADB7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6E4BA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75889B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F8D9F7B" w14:textId="77777777">
        <w:trPr>
          <w:cantSplit/>
        </w:trPr>
        <w:tc>
          <w:tcPr>
            <w:tcW w:w="2249" w:type="dxa"/>
          </w:tcPr>
          <w:p w:rsidRPr="006F34CD" w:rsidR="00515FE0" w:rsidP="006F34CD" w:rsidRDefault="00515FE0" w14:paraId="4B3A68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Yuryevich ANANYIN</w:t>
            </w:r>
          </w:p>
        </w:tc>
        <w:tc>
          <w:tcPr>
            <w:tcW w:w="836" w:type="dxa"/>
          </w:tcPr>
          <w:p w:rsidRPr="006F34CD" w:rsidR="00515FE0" w:rsidP="006F34CD" w:rsidRDefault="00515FE0" w14:paraId="1ACB03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795905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Blagoveshchenka</w:t>
            </w:r>
          </w:p>
        </w:tc>
        <w:tc>
          <w:tcPr>
            <w:tcW w:w="1134" w:type="dxa"/>
          </w:tcPr>
          <w:p w:rsidRPr="006F34CD" w:rsidR="00515FE0" w:rsidP="006F34CD" w:rsidRDefault="00515FE0" w14:paraId="6725769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431E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0F7DA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5D2EC91" w14:textId="77777777">
        <w:trPr>
          <w:cantSplit/>
        </w:trPr>
        <w:tc>
          <w:tcPr>
            <w:tcW w:w="2249" w:type="dxa"/>
          </w:tcPr>
          <w:p w:rsidRPr="006F34CD" w:rsidR="00515FE0" w:rsidP="006F34CD" w:rsidRDefault="00515FE0" w14:paraId="172BE9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Mikhaylovich KUZOVLEV</w:t>
            </w:r>
          </w:p>
        </w:tc>
        <w:tc>
          <w:tcPr>
            <w:tcW w:w="836" w:type="dxa"/>
          </w:tcPr>
          <w:p w:rsidRPr="006F34CD" w:rsidR="00515FE0" w:rsidP="006F34CD" w:rsidRDefault="00515FE0" w14:paraId="0AB27F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7CD8FA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Rezh</w:t>
            </w:r>
          </w:p>
        </w:tc>
        <w:tc>
          <w:tcPr>
            <w:tcW w:w="1134" w:type="dxa"/>
          </w:tcPr>
          <w:p w:rsidRPr="006F34CD" w:rsidR="00515FE0" w:rsidP="006F34CD" w:rsidRDefault="00515FE0" w14:paraId="2B0AD9C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5135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88809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51DBA78" w14:textId="77777777">
        <w:trPr>
          <w:cantSplit/>
        </w:trPr>
        <w:tc>
          <w:tcPr>
            <w:tcW w:w="2249" w:type="dxa"/>
          </w:tcPr>
          <w:p w:rsidRPr="006F34CD" w:rsidR="00515FE0" w:rsidP="006F34CD" w:rsidRDefault="00515FE0" w14:paraId="57CA25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Marina Iskandarovna IVANNIKOVA</w:t>
            </w:r>
          </w:p>
        </w:tc>
        <w:tc>
          <w:tcPr>
            <w:tcW w:w="836" w:type="dxa"/>
          </w:tcPr>
          <w:p w:rsidRPr="006F34CD" w:rsidR="00515FE0" w:rsidP="006F34CD" w:rsidRDefault="00515FE0" w14:paraId="0107F4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292CF7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Khanty-Mansiysk</w:t>
            </w:r>
          </w:p>
        </w:tc>
        <w:tc>
          <w:tcPr>
            <w:tcW w:w="1134" w:type="dxa"/>
          </w:tcPr>
          <w:p w:rsidRPr="006F34CD" w:rsidR="00515FE0" w:rsidP="006F34CD" w:rsidRDefault="00515FE0" w14:paraId="3D1F79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809D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102421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7FF948D" w14:textId="77777777">
        <w:trPr>
          <w:cantSplit/>
        </w:trPr>
        <w:tc>
          <w:tcPr>
            <w:tcW w:w="2249" w:type="dxa"/>
          </w:tcPr>
          <w:p w:rsidRPr="006F34CD" w:rsidR="00515FE0" w:rsidP="006F34CD" w:rsidRDefault="00515FE0" w14:paraId="70877C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Anatolyevich BULKIN</w:t>
            </w:r>
          </w:p>
        </w:tc>
        <w:tc>
          <w:tcPr>
            <w:tcW w:w="836" w:type="dxa"/>
          </w:tcPr>
          <w:p w:rsidRPr="006F34CD" w:rsidR="00515FE0" w:rsidP="006F34CD" w:rsidRDefault="00515FE0" w14:paraId="18B9DA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2D101D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5E4C413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E6E8B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1DD75D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F500E41" w14:textId="77777777">
        <w:trPr>
          <w:cantSplit/>
        </w:trPr>
        <w:tc>
          <w:tcPr>
            <w:tcW w:w="2249" w:type="dxa"/>
          </w:tcPr>
          <w:p w:rsidRPr="006F34CD" w:rsidR="00515FE0" w:rsidP="006F34CD" w:rsidRDefault="00515FE0" w14:paraId="72F2A2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Ilyich ZVYAGIN</w:t>
            </w:r>
          </w:p>
        </w:tc>
        <w:tc>
          <w:tcPr>
            <w:tcW w:w="836" w:type="dxa"/>
          </w:tcPr>
          <w:p w:rsidRPr="006F34CD" w:rsidR="00515FE0" w:rsidP="006F34CD" w:rsidRDefault="00515FE0" w14:paraId="6162AA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214643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1F98DAC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0CA94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EC6E51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FBB3BA8" w14:textId="77777777">
        <w:trPr>
          <w:cantSplit/>
        </w:trPr>
        <w:tc>
          <w:tcPr>
            <w:tcW w:w="2249" w:type="dxa"/>
          </w:tcPr>
          <w:p w:rsidRPr="006F34CD" w:rsidR="00515FE0" w:rsidP="006F34CD" w:rsidRDefault="00515FE0" w14:paraId="1D3FBE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Vasilyevich POTAPOV</w:t>
            </w:r>
          </w:p>
        </w:tc>
        <w:tc>
          <w:tcPr>
            <w:tcW w:w="836" w:type="dxa"/>
          </w:tcPr>
          <w:p w:rsidRPr="006F34CD" w:rsidR="00515FE0" w:rsidP="006F34CD" w:rsidRDefault="00515FE0" w14:paraId="317D6F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3424B0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7E81AD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DA66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089C50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CCDB490" w14:textId="77777777">
        <w:trPr>
          <w:cantSplit/>
        </w:trPr>
        <w:tc>
          <w:tcPr>
            <w:tcW w:w="7508" w:type="dxa"/>
            <w:gridSpan w:val="6"/>
          </w:tcPr>
          <w:p w:rsidRPr="006F34CD" w:rsidR="00515FE0" w:rsidP="006F34CD" w:rsidRDefault="00515FE0" w14:paraId="7CECA0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5547/12, </w:t>
            </w:r>
            <w:r w:rsidRPr="006F34CD">
              <w:rPr>
                <w:rFonts w:ascii="Times New Roman" w:hAnsi="Times New Roman" w:cs="Times New Roman"/>
                <w:i/>
                <w:sz w:val="18"/>
                <w:szCs w:val="18"/>
              </w:rPr>
              <w:t>Gareyev and Others v. Russia</w:t>
            </w:r>
          </w:p>
        </w:tc>
      </w:tr>
      <w:tr w:rsidRPr="006F34CD" w:rsidR="00515FE0" w:rsidTr="00EF028C" w14:paraId="7DD16019" w14:textId="77777777">
        <w:trPr>
          <w:cantSplit/>
        </w:trPr>
        <w:tc>
          <w:tcPr>
            <w:tcW w:w="2249" w:type="dxa"/>
          </w:tcPr>
          <w:p w:rsidRPr="006F34CD" w:rsidR="00515FE0" w:rsidP="006F34CD" w:rsidRDefault="00515FE0" w14:paraId="1A94BA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Faritovich GAREYEV</w:t>
            </w:r>
          </w:p>
        </w:tc>
        <w:tc>
          <w:tcPr>
            <w:tcW w:w="836" w:type="dxa"/>
          </w:tcPr>
          <w:p w:rsidRPr="006F34CD" w:rsidR="00515FE0" w:rsidP="006F34CD" w:rsidRDefault="00515FE0" w14:paraId="56B15D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6D5C27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036BED1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72AC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705EBEF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608C8FA4" w14:textId="77777777">
        <w:trPr>
          <w:cantSplit/>
        </w:trPr>
        <w:tc>
          <w:tcPr>
            <w:tcW w:w="2249" w:type="dxa"/>
          </w:tcPr>
          <w:p w:rsidRPr="006F34CD" w:rsidR="00515FE0" w:rsidP="006F34CD" w:rsidRDefault="00515FE0" w14:paraId="646092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Alekseyevich RASHEVSKIY</w:t>
            </w:r>
          </w:p>
        </w:tc>
        <w:tc>
          <w:tcPr>
            <w:tcW w:w="836" w:type="dxa"/>
          </w:tcPr>
          <w:p w:rsidRPr="006F34CD" w:rsidR="00515FE0" w:rsidP="006F34CD" w:rsidRDefault="00515FE0" w14:paraId="67EE5A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3E1BB8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4876C8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ED614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w:t>
            </w:r>
          </w:p>
        </w:tc>
        <w:tc>
          <w:tcPr>
            <w:tcW w:w="992" w:type="dxa"/>
          </w:tcPr>
          <w:p w:rsidRPr="006F34CD" w:rsidR="00515FE0" w:rsidP="006F34CD" w:rsidRDefault="00515FE0" w14:paraId="20B87C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23D86ABB" w14:textId="77777777">
        <w:trPr>
          <w:cantSplit/>
        </w:trPr>
        <w:tc>
          <w:tcPr>
            <w:tcW w:w="2249" w:type="dxa"/>
          </w:tcPr>
          <w:p w:rsidRPr="006F34CD" w:rsidR="00515FE0" w:rsidP="006F34CD" w:rsidRDefault="00515FE0" w14:paraId="0B6F64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Eduard Rafaelovich AKHUNZYANOV</w:t>
            </w:r>
          </w:p>
        </w:tc>
        <w:tc>
          <w:tcPr>
            <w:tcW w:w="836" w:type="dxa"/>
          </w:tcPr>
          <w:p w:rsidRPr="006F34CD" w:rsidR="00515FE0" w:rsidP="006F34CD" w:rsidRDefault="00515FE0" w14:paraId="4B6833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7798C2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3A5F00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98D2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6C663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F812EE0" w14:textId="77777777">
        <w:trPr>
          <w:cantSplit/>
        </w:trPr>
        <w:tc>
          <w:tcPr>
            <w:tcW w:w="2249" w:type="dxa"/>
          </w:tcPr>
          <w:p w:rsidRPr="006F34CD" w:rsidR="00515FE0" w:rsidP="006F34CD" w:rsidRDefault="00515FE0" w14:paraId="40833B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Konstantinovich GOLOVKO</w:t>
            </w:r>
          </w:p>
        </w:tc>
        <w:tc>
          <w:tcPr>
            <w:tcW w:w="836" w:type="dxa"/>
          </w:tcPr>
          <w:p w:rsidRPr="006F34CD" w:rsidR="00515FE0" w:rsidP="006F34CD" w:rsidRDefault="00515FE0" w14:paraId="05825D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1980</w:t>
            </w:r>
          </w:p>
        </w:tc>
        <w:tc>
          <w:tcPr>
            <w:tcW w:w="1305" w:type="dxa"/>
          </w:tcPr>
          <w:p w:rsidRPr="006F34CD" w:rsidR="00515FE0" w:rsidP="006F34CD" w:rsidRDefault="00515FE0" w14:paraId="753E79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78CD7C0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1C88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7A928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1DFBEAEA" w14:textId="77777777">
        <w:trPr>
          <w:cantSplit/>
        </w:trPr>
        <w:tc>
          <w:tcPr>
            <w:tcW w:w="2249" w:type="dxa"/>
          </w:tcPr>
          <w:p w:rsidRPr="006F34CD" w:rsidR="00515FE0" w:rsidP="006F34CD" w:rsidRDefault="00515FE0" w14:paraId="39F007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Mikhaylovich GOLOVANICH</w:t>
            </w:r>
          </w:p>
        </w:tc>
        <w:tc>
          <w:tcPr>
            <w:tcW w:w="836" w:type="dxa"/>
          </w:tcPr>
          <w:p w:rsidRPr="006F34CD" w:rsidR="00515FE0" w:rsidP="006F34CD" w:rsidRDefault="00515FE0" w14:paraId="485199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7D7BB3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0DB5235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18A0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0D7484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D353510" w14:textId="77777777">
        <w:trPr>
          <w:cantSplit/>
        </w:trPr>
        <w:tc>
          <w:tcPr>
            <w:tcW w:w="2249" w:type="dxa"/>
          </w:tcPr>
          <w:p w:rsidRPr="006F34CD" w:rsidR="00515FE0" w:rsidP="006F34CD" w:rsidRDefault="00515FE0" w14:paraId="646FCB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Aleksandrovich ZAVYALOV</w:t>
            </w:r>
          </w:p>
        </w:tc>
        <w:tc>
          <w:tcPr>
            <w:tcW w:w="836" w:type="dxa"/>
          </w:tcPr>
          <w:p w:rsidRPr="006F34CD" w:rsidR="00515FE0" w:rsidP="006F34CD" w:rsidRDefault="00515FE0" w14:paraId="2FEA6B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4F2C4E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71CB3A6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8CF92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673E544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56F1CD30" w14:textId="77777777">
        <w:trPr>
          <w:cantSplit/>
        </w:trPr>
        <w:tc>
          <w:tcPr>
            <w:tcW w:w="2249" w:type="dxa"/>
          </w:tcPr>
          <w:p w:rsidRPr="006F34CD" w:rsidR="00515FE0" w:rsidP="006F34CD" w:rsidRDefault="00515FE0" w14:paraId="5D4182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Nadezhda Petrovna MAKSIMISHINA</w:t>
            </w:r>
          </w:p>
        </w:tc>
        <w:tc>
          <w:tcPr>
            <w:tcW w:w="836" w:type="dxa"/>
          </w:tcPr>
          <w:p w:rsidRPr="006F34CD" w:rsidR="00515FE0" w:rsidP="006F34CD" w:rsidRDefault="00515FE0" w14:paraId="354794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1946</w:t>
            </w:r>
          </w:p>
        </w:tc>
        <w:tc>
          <w:tcPr>
            <w:tcW w:w="1305" w:type="dxa"/>
          </w:tcPr>
          <w:p w:rsidRPr="006F34CD" w:rsidR="00515FE0" w:rsidP="006F34CD" w:rsidRDefault="00515FE0" w14:paraId="161743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158D9C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CAC51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1F88A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26BB8363" w14:textId="77777777">
        <w:trPr>
          <w:cantSplit/>
        </w:trPr>
        <w:tc>
          <w:tcPr>
            <w:tcW w:w="7508" w:type="dxa"/>
            <w:gridSpan w:val="6"/>
          </w:tcPr>
          <w:p w:rsidRPr="006F34CD" w:rsidR="00515FE0" w:rsidP="006F34CD" w:rsidRDefault="00515FE0" w14:paraId="155987CD" w14:textId="6EBBD6E1">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76162/12, </w:t>
            </w:r>
            <w:r w:rsidRPr="006F34CD">
              <w:rPr>
                <w:rFonts w:ascii="Times New Roman" w:hAnsi="Times New Roman" w:cs="Times New Roman"/>
                <w:i/>
                <w:sz w:val="18"/>
                <w:szCs w:val="18"/>
              </w:rPr>
              <w:t>Administrative Centre of Jehovah</w:t>
            </w:r>
            <w:r w:rsidRPr="006F34CD" w:rsidR="006F34CD">
              <w:rPr>
                <w:rFonts w:ascii="Times New Roman" w:hAnsi="Times New Roman" w:cs="Times New Roman"/>
                <w:i/>
                <w:sz w:val="18"/>
                <w:szCs w:val="18"/>
              </w:rPr>
              <w:t>’</w:t>
            </w:r>
            <w:r w:rsidRPr="006F34CD">
              <w:rPr>
                <w:rFonts w:ascii="Times New Roman" w:hAnsi="Times New Roman" w:cs="Times New Roman"/>
                <w:i/>
                <w:sz w:val="18"/>
                <w:szCs w:val="18"/>
              </w:rPr>
              <w:t>s Witnesses in Russia and Wachtturm Bibel- und Traktat-Gesellschaft der Zeugen Jehovas e.V. v. Russia</w:t>
            </w:r>
          </w:p>
        </w:tc>
      </w:tr>
      <w:tr w:rsidRPr="006F34CD" w:rsidR="00515FE0" w:rsidTr="00EF028C" w14:paraId="66343BD2" w14:textId="77777777">
        <w:trPr>
          <w:cantSplit/>
        </w:trPr>
        <w:tc>
          <w:tcPr>
            <w:tcW w:w="2249" w:type="dxa"/>
          </w:tcPr>
          <w:p w:rsidRPr="006F34CD" w:rsidR="00515FE0" w:rsidP="006F34CD" w:rsidRDefault="00515FE0" w14:paraId="02AC447C" w14:textId="32005968">
            <w:pPr>
              <w:spacing w:before="120" w:after="120"/>
              <w:rPr>
                <w:rFonts w:ascii="Times New Roman" w:hAnsi="Times New Roman" w:cs="Times New Roman"/>
                <w:sz w:val="18"/>
                <w:szCs w:val="18"/>
              </w:rPr>
            </w:pPr>
            <w:r w:rsidRPr="006F34CD">
              <w:rPr>
                <w:rFonts w:ascii="Times New Roman" w:hAnsi="Times New Roman" w:cs="Times New Roman"/>
                <w:sz w:val="18"/>
                <w:szCs w:val="18"/>
              </w:rPr>
              <w:t>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25CC02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E8968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1867EE5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2F62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100,000</w:t>
            </w:r>
          </w:p>
        </w:tc>
        <w:tc>
          <w:tcPr>
            <w:tcW w:w="992" w:type="dxa"/>
          </w:tcPr>
          <w:p w:rsidRPr="006F34CD" w:rsidR="00515FE0" w:rsidP="006F34CD" w:rsidRDefault="00515FE0" w14:paraId="42EBAC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64D693A8" w14:textId="77777777">
        <w:trPr>
          <w:cantSplit/>
        </w:trPr>
        <w:tc>
          <w:tcPr>
            <w:tcW w:w="2249" w:type="dxa"/>
          </w:tcPr>
          <w:p w:rsidRPr="006F34CD" w:rsidR="00515FE0" w:rsidP="006F34CD" w:rsidRDefault="00515FE0" w14:paraId="7CE7E3F7" w14:textId="77777777">
            <w:pPr>
              <w:spacing w:before="120" w:after="120"/>
              <w:rPr>
                <w:rFonts w:ascii="Times New Roman" w:hAnsi="Times New Roman" w:cs="Times New Roman"/>
                <w:sz w:val="18"/>
                <w:szCs w:val="18"/>
                <w:lang w:val="de-DE"/>
              </w:rPr>
            </w:pPr>
            <w:r w:rsidRPr="006F34CD">
              <w:rPr>
                <w:rFonts w:ascii="Times New Roman" w:hAnsi="Times New Roman" w:cs="Times New Roman"/>
                <w:sz w:val="18"/>
                <w:szCs w:val="18"/>
                <w:lang w:val="de-DE"/>
              </w:rPr>
              <w:t>Wachtturm Bibel- und Traktat-Gesellschaft der Zeugen Jehovas</w:t>
            </w:r>
          </w:p>
        </w:tc>
        <w:tc>
          <w:tcPr>
            <w:tcW w:w="836" w:type="dxa"/>
          </w:tcPr>
          <w:p w:rsidRPr="006F34CD" w:rsidR="00515FE0" w:rsidP="006F34CD" w:rsidRDefault="00515FE0" w14:paraId="672184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0BE5E4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Selters</w:t>
            </w:r>
          </w:p>
        </w:tc>
        <w:tc>
          <w:tcPr>
            <w:tcW w:w="1134" w:type="dxa"/>
          </w:tcPr>
          <w:p w:rsidRPr="006F34CD" w:rsidR="00515FE0" w:rsidP="006F34CD" w:rsidRDefault="00515FE0" w14:paraId="0D69576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4ADE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100,000</w:t>
            </w:r>
          </w:p>
        </w:tc>
        <w:tc>
          <w:tcPr>
            <w:tcW w:w="992" w:type="dxa"/>
          </w:tcPr>
          <w:p w:rsidRPr="006F34CD" w:rsidR="00515FE0" w:rsidP="006F34CD" w:rsidRDefault="00515FE0" w14:paraId="5C37D44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660A3A52" w14:textId="77777777">
        <w:trPr>
          <w:cantSplit/>
        </w:trPr>
        <w:tc>
          <w:tcPr>
            <w:tcW w:w="7508" w:type="dxa"/>
            <w:gridSpan w:val="6"/>
          </w:tcPr>
          <w:p w:rsidRPr="006F34CD" w:rsidR="00515FE0" w:rsidP="006F34CD" w:rsidRDefault="00515FE0" w14:paraId="16EB90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74387/13, </w:t>
            </w:r>
            <w:r w:rsidRPr="006F34CD">
              <w:rPr>
                <w:rFonts w:ascii="Times New Roman" w:hAnsi="Times New Roman" w:cs="Times New Roman"/>
                <w:i/>
                <w:sz w:val="18"/>
                <w:szCs w:val="18"/>
              </w:rPr>
              <w:t>Zinich and Others v. Russia</w:t>
            </w:r>
          </w:p>
        </w:tc>
      </w:tr>
      <w:tr w:rsidRPr="006F34CD" w:rsidR="00515FE0" w:rsidTr="00EF028C" w14:paraId="5EE60ADF" w14:textId="77777777">
        <w:trPr>
          <w:cantSplit/>
        </w:trPr>
        <w:tc>
          <w:tcPr>
            <w:tcW w:w="2249" w:type="dxa"/>
          </w:tcPr>
          <w:p w:rsidRPr="006F34CD" w:rsidR="00515FE0" w:rsidP="006F34CD" w:rsidRDefault="00515FE0" w14:paraId="316C4FC7" w14:textId="15B792EA">
            <w:pPr>
              <w:spacing w:before="120" w:after="120"/>
              <w:rPr>
                <w:rFonts w:ascii="Times New Roman" w:hAnsi="Times New Roman" w:cs="Times New Roman"/>
                <w:sz w:val="18"/>
                <w:szCs w:val="18"/>
              </w:rPr>
            </w:pPr>
            <w:r w:rsidRPr="006F34CD">
              <w:rPr>
                <w:rFonts w:ascii="Times New Roman" w:hAnsi="Times New Roman" w:cs="Times New Roman"/>
                <w:sz w:val="18"/>
                <w:szCs w:val="18"/>
              </w:rPr>
              <w:t>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233D66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57FE1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15EC66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2579E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DC30D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088B68FB" w14:textId="77777777">
        <w:trPr>
          <w:cantSplit/>
        </w:trPr>
        <w:tc>
          <w:tcPr>
            <w:tcW w:w="2249" w:type="dxa"/>
          </w:tcPr>
          <w:p w:rsidRPr="006F34CD" w:rsidR="00515FE0" w:rsidP="006F34CD" w:rsidRDefault="00515FE0" w14:paraId="3A3C00C7" w14:textId="77777777">
            <w:pPr>
              <w:spacing w:before="120" w:after="120"/>
              <w:rPr>
                <w:rFonts w:ascii="Times New Roman" w:hAnsi="Times New Roman" w:cs="Times New Roman"/>
                <w:sz w:val="18"/>
                <w:szCs w:val="18"/>
                <w:lang w:val="de-DE"/>
              </w:rPr>
            </w:pPr>
            <w:r w:rsidRPr="006F34CD">
              <w:rPr>
                <w:rFonts w:ascii="Times New Roman" w:hAnsi="Times New Roman" w:cs="Times New Roman"/>
                <w:sz w:val="18"/>
                <w:szCs w:val="18"/>
                <w:lang w:val="de-DE"/>
              </w:rPr>
              <w:t>Wachtturm Bibel- und Traktat-Gesellschaft der Zeugen Jehovas</w:t>
            </w:r>
          </w:p>
        </w:tc>
        <w:tc>
          <w:tcPr>
            <w:tcW w:w="836" w:type="dxa"/>
          </w:tcPr>
          <w:p w:rsidRPr="006F34CD" w:rsidR="00515FE0" w:rsidP="006F34CD" w:rsidRDefault="00515FE0" w14:paraId="2AF69E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521CDE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Selters</w:t>
            </w:r>
          </w:p>
        </w:tc>
        <w:tc>
          <w:tcPr>
            <w:tcW w:w="1134" w:type="dxa"/>
          </w:tcPr>
          <w:p w:rsidRPr="006F34CD" w:rsidR="00515FE0" w:rsidP="006F34CD" w:rsidRDefault="00515FE0" w14:paraId="3885740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C0925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0BB327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7CD0C4A9" w14:textId="77777777">
        <w:trPr>
          <w:cantSplit/>
        </w:trPr>
        <w:tc>
          <w:tcPr>
            <w:tcW w:w="2249" w:type="dxa"/>
          </w:tcPr>
          <w:p w:rsidRPr="006F34CD" w:rsidR="00515FE0" w:rsidP="006F34CD" w:rsidRDefault="00515FE0" w14:paraId="67471A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Yaroslavovna ZINICH</w:t>
            </w:r>
          </w:p>
        </w:tc>
        <w:tc>
          <w:tcPr>
            <w:tcW w:w="836" w:type="dxa"/>
          </w:tcPr>
          <w:p w:rsidRPr="006F34CD" w:rsidR="00515FE0" w:rsidP="006F34CD" w:rsidRDefault="00515FE0" w14:paraId="2DD779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3E5FD9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Krasnoyarsk</w:t>
            </w:r>
          </w:p>
        </w:tc>
        <w:tc>
          <w:tcPr>
            <w:tcW w:w="1134" w:type="dxa"/>
          </w:tcPr>
          <w:p w:rsidRPr="006F34CD" w:rsidR="00515FE0" w:rsidP="006F34CD" w:rsidRDefault="00515FE0" w14:paraId="7E2C345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E226A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c>
          <w:tcPr>
            <w:tcW w:w="992" w:type="dxa"/>
          </w:tcPr>
          <w:p w:rsidRPr="006F34CD" w:rsidR="00515FE0" w:rsidP="006F34CD" w:rsidRDefault="00515FE0" w14:paraId="7EF0F41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027067D2" w14:textId="77777777">
        <w:trPr>
          <w:cantSplit/>
        </w:trPr>
        <w:tc>
          <w:tcPr>
            <w:tcW w:w="7508" w:type="dxa"/>
            <w:gridSpan w:val="6"/>
          </w:tcPr>
          <w:p w:rsidRPr="006F34CD" w:rsidR="00515FE0" w:rsidP="006F34CD" w:rsidRDefault="00515FE0" w14:paraId="701576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79240/13, </w:t>
            </w:r>
            <w:r w:rsidRPr="006F34CD">
              <w:rPr>
                <w:rFonts w:ascii="Times New Roman" w:hAnsi="Times New Roman" w:cs="Times New Roman"/>
                <w:i/>
                <w:sz w:val="18"/>
                <w:szCs w:val="18"/>
              </w:rPr>
              <w:t>Verish and Others v. Russia</w:t>
            </w:r>
          </w:p>
        </w:tc>
      </w:tr>
      <w:tr w:rsidRPr="006F34CD" w:rsidR="00515FE0" w:rsidTr="00EF028C" w14:paraId="35BF96FE" w14:textId="77777777">
        <w:trPr>
          <w:cantSplit/>
        </w:trPr>
        <w:tc>
          <w:tcPr>
            <w:tcW w:w="2249" w:type="dxa"/>
          </w:tcPr>
          <w:p w:rsidRPr="006F34CD" w:rsidR="00515FE0" w:rsidP="006F34CD" w:rsidRDefault="00515FE0" w14:paraId="2D4B89E1" w14:textId="155A92C3">
            <w:pPr>
              <w:spacing w:before="120" w:after="120"/>
              <w:rPr>
                <w:rFonts w:ascii="Times New Roman" w:hAnsi="Times New Roman" w:cs="Times New Roman"/>
                <w:sz w:val="18"/>
                <w:szCs w:val="18"/>
              </w:rPr>
            </w:pPr>
            <w:r w:rsidRPr="006F34CD">
              <w:rPr>
                <w:rFonts w:ascii="Times New Roman" w:hAnsi="Times New Roman" w:cs="Times New Roman"/>
                <w:sz w:val="18"/>
                <w:szCs w:val="18"/>
              </w:rPr>
              <w:t>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45F545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D6992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0628E2D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9389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C1892A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36EC7D0E" w14:textId="77777777">
        <w:trPr>
          <w:cantSplit/>
        </w:trPr>
        <w:tc>
          <w:tcPr>
            <w:tcW w:w="2249" w:type="dxa"/>
          </w:tcPr>
          <w:p w:rsidRPr="006F34CD" w:rsidR="00515FE0" w:rsidP="006F34CD" w:rsidRDefault="00515FE0" w14:paraId="12106532" w14:textId="77777777">
            <w:pPr>
              <w:spacing w:before="120" w:after="120"/>
              <w:rPr>
                <w:rFonts w:ascii="Times New Roman" w:hAnsi="Times New Roman" w:cs="Times New Roman"/>
                <w:sz w:val="18"/>
                <w:szCs w:val="18"/>
                <w:lang w:val="de-DE"/>
              </w:rPr>
            </w:pPr>
            <w:r w:rsidRPr="006F34CD">
              <w:rPr>
                <w:rFonts w:ascii="Times New Roman" w:hAnsi="Times New Roman" w:cs="Times New Roman"/>
                <w:sz w:val="18"/>
                <w:szCs w:val="18"/>
                <w:lang w:val="de-DE"/>
              </w:rPr>
              <w:t>Wachtturm Bibel- und Traktat-Gesellschaft der Zeugen Jehovas</w:t>
            </w:r>
          </w:p>
        </w:tc>
        <w:tc>
          <w:tcPr>
            <w:tcW w:w="836" w:type="dxa"/>
          </w:tcPr>
          <w:p w:rsidRPr="006F34CD" w:rsidR="00515FE0" w:rsidP="006F34CD" w:rsidRDefault="00515FE0" w14:paraId="1A06D7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137C92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Selters, Germany</w:t>
            </w:r>
          </w:p>
        </w:tc>
        <w:tc>
          <w:tcPr>
            <w:tcW w:w="1134" w:type="dxa"/>
          </w:tcPr>
          <w:p w:rsidRPr="006F34CD" w:rsidR="00515FE0" w:rsidP="006F34CD" w:rsidRDefault="00515FE0" w14:paraId="2D1CB4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3C29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C2372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5AE2DF6A" w14:textId="77777777">
        <w:trPr>
          <w:cantSplit/>
        </w:trPr>
        <w:tc>
          <w:tcPr>
            <w:tcW w:w="2249" w:type="dxa"/>
          </w:tcPr>
          <w:p w:rsidRPr="006F34CD" w:rsidR="00515FE0" w:rsidP="006F34CD" w:rsidRDefault="00515FE0" w14:paraId="298652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Nikolayevich VERISH</w:t>
            </w:r>
          </w:p>
        </w:tc>
        <w:tc>
          <w:tcPr>
            <w:tcW w:w="836" w:type="dxa"/>
          </w:tcPr>
          <w:p w:rsidRPr="006F34CD" w:rsidR="00515FE0" w:rsidP="006F34CD" w:rsidRDefault="00515FE0" w14:paraId="2122B4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4B753C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Krasnoyarsk</w:t>
            </w:r>
          </w:p>
        </w:tc>
        <w:tc>
          <w:tcPr>
            <w:tcW w:w="1134" w:type="dxa"/>
          </w:tcPr>
          <w:p w:rsidRPr="006F34CD" w:rsidR="00515FE0" w:rsidP="006F34CD" w:rsidRDefault="00515FE0" w14:paraId="6B96F67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7B13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219B38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0AC09374" w14:textId="77777777">
        <w:trPr>
          <w:cantSplit/>
        </w:trPr>
        <w:tc>
          <w:tcPr>
            <w:tcW w:w="2249" w:type="dxa"/>
          </w:tcPr>
          <w:p w:rsidRPr="006F34CD" w:rsidR="00515FE0" w:rsidP="006F34CD" w:rsidRDefault="00515FE0" w14:paraId="4CA1DC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Nikolayevich ZINICH</w:t>
            </w:r>
          </w:p>
        </w:tc>
        <w:tc>
          <w:tcPr>
            <w:tcW w:w="836" w:type="dxa"/>
          </w:tcPr>
          <w:p w:rsidRPr="006F34CD" w:rsidR="00515FE0" w:rsidP="006F34CD" w:rsidRDefault="00515FE0" w14:paraId="788659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551E54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Krasnoyarsk</w:t>
            </w:r>
          </w:p>
        </w:tc>
        <w:tc>
          <w:tcPr>
            <w:tcW w:w="1134" w:type="dxa"/>
          </w:tcPr>
          <w:p w:rsidRPr="006F34CD" w:rsidR="00515FE0" w:rsidP="006F34CD" w:rsidRDefault="00515FE0" w14:paraId="07A6CE4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4442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c>
          <w:tcPr>
            <w:tcW w:w="992" w:type="dxa"/>
          </w:tcPr>
          <w:p w:rsidRPr="006F34CD" w:rsidR="00515FE0" w:rsidP="006F34CD" w:rsidRDefault="00515FE0" w14:paraId="46C83C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w:t>
            </w:r>
          </w:p>
        </w:tc>
      </w:tr>
      <w:tr w:rsidRPr="006F34CD" w:rsidR="00515FE0" w:rsidTr="00EF028C" w14:paraId="39E728AC" w14:textId="77777777">
        <w:trPr>
          <w:cantSplit/>
        </w:trPr>
        <w:tc>
          <w:tcPr>
            <w:tcW w:w="7508" w:type="dxa"/>
            <w:gridSpan w:val="6"/>
          </w:tcPr>
          <w:p w:rsidRPr="006F34CD" w:rsidR="00515FE0" w:rsidP="006F34CD" w:rsidRDefault="00515FE0" w14:paraId="18E590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28108/14, </w:t>
            </w:r>
            <w:r w:rsidRPr="006F34CD">
              <w:rPr>
                <w:rFonts w:ascii="Times New Roman" w:hAnsi="Times New Roman" w:cs="Times New Roman"/>
                <w:i/>
                <w:sz w:val="18"/>
                <w:szCs w:val="18"/>
              </w:rPr>
              <w:t>Novikov and Others v. Russia</w:t>
            </w:r>
          </w:p>
        </w:tc>
      </w:tr>
      <w:tr w:rsidRPr="006F34CD" w:rsidR="00515FE0" w:rsidTr="00EF028C" w14:paraId="0A3CC8B3" w14:textId="77777777">
        <w:trPr>
          <w:cantSplit/>
        </w:trPr>
        <w:tc>
          <w:tcPr>
            <w:tcW w:w="2249" w:type="dxa"/>
          </w:tcPr>
          <w:p w:rsidRPr="006F34CD" w:rsidR="00515FE0" w:rsidP="006F34CD" w:rsidRDefault="00515FE0" w14:paraId="741011D8" w14:textId="466143A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Uspenskiy District</w:t>
            </w:r>
          </w:p>
        </w:tc>
        <w:tc>
          <w:tcPr>
            <w:tcW w:w="836" w:type="dxa"/>
          </w:tcPr>
          <w:p w:rsidRPr="006F34CD" w:rsidR="00515FE0" w:rsidP="006F34CD" w:rsidRDefault="00515FE0" w14:paraId="278970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5EB265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Volnoye, the Krasnodar Region</w:t>
            </w:r>
          </w:p>
        </w:tc>
        <w:tc>
          <w:tcPr>
            <w:tcW w:w="1134" w:type="dxa"/>
          </w:tcPr>
          <w:p w:rsidRPr="006F34CD" w:rsidR="00515FE0" w:rsidP="006F34CD" w:rsidRDefault="00515FE0" w14:paraId="7CFFA02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AF10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81A76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below</w:t>
            </w:r>
          </w:p>
        </w:tc>
      </w:tr>
      <w:tr w:rsidRPr="006F34CD" w:rsidR="00515FE0" w:rsidTr="00EF028C" w14:paraId="441D2B74" w14:textId="77777777">
        <w:trPr>
          <w:cantSplit/>
        </w:trPr>
        <w:tc>
          <w:tcPr>
            <w:tcW w:w="2249" w:type="dxa"/>
          </w:tcPr>
          <w:p w:rsidRPr="006F34CD" w:rsidR="00515FE0" w:rsidP="006F34CD" w:rsidRDefault="00515FE0" w14:paraId="58EC43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Watch Tower Bible and Tract Society of Pennsylvania</w:t>
            </w:r>
          </w:p>
        </w:tc>
        <w:tc>
          <w:tcPr>
            <w:tcW w:w="836" w:type="dxa"/>
          </w:tcPr>
          <w:p w:rsidRPr="006F34CD" w:rsidR="00515FE0" w:rsidP="006F34CD" w:rsidRDefault="00515FE0" w14:paraId="7AF417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1884</w:t>
            </w:r>
          </w:p>
        </w:tc>
        <w:tc>
          <w:tcPr>
            <w:tcW w:w="1305" w:type="dxa"/>
          </w:tcPr>
          <w:p w:rsidRPr="006F34CD" w:rsidR="00515FE0" w:rsidP="006F34CD" w:rsidRDefault="00515FE0" w14:paraId="013D30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New York, USA</w:t>
            </w:r>
          </w:p>
        </w:tc>
        <w:tc>
          <w:tcPr>
            <w:tcW w:w="1134" w:type="dxa"/>
          </w:tcPr>
          <w:p w:rsidRPr="006F34CD" w:rsidR="00515FE0" w:rsidP="006F34CD" w:rsidRDefault="00515FE0" w14:paraId="2367360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991B0E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3D1A0C" w14:textId="77777777">
            <w:pPr>
              <w:spacing w:before="120" w:after="120"/>
              <w:jc w:val="center"/>
              <w:rPr>
                <w:rFonts w:ascii="Times New Roman" w:hAnsi="Times New Roman" w:cs="Times New Roman"/>
                <w:sz w:val="18"/>
                <w:szCs w:val="18"/>
              </w:rPr>
            </w:pPr>
          </w:p>
        </w:tc>
      </w:tr>
      <w:tr w:rsidRPr="006F34CD" w:rsidR="00515FE0" w:rsidTr="00EF028C" w14:paraId="0A078E38" w14:textId="77777777">
        <w:trPr>
          <w:cantSplit/>
        </w:trPr>
        <w:tc>
          <w:tcPr>
            <w:tcW w:w="2249" w:type="dxa"/>
          </w:tcPr>
          <w:p w:rsidRPr="006F34CD" w:rsidR="00515FE0" w:rsidP="006F34CD" w:rsidRDefault="00515FE0" w14:paraId="2E18ECF7" w14:textId="77777777">
            <w:pPr>
              <w:spacing w:before="120" w:after="120"/>
              <w:rPr>
                <w:rFonts w:ascii="Times New Roman" w:hAnsi="Times New Roman" w:cs="Times New Roman"/>
                <w:sz w:val="18"/>
                <w:szCs w:val="18"/>
                <w:lang w:val="de-DE"/>
              </w:rPr>
            </w:pPr>
            <w:r w:rsidRPr="006F34CD">
              <w:rPr>
                <w:rFonts w:ascii="Times New Roman" w:hAnsi="Times New Roman" w:cs="Times New Roman"/>
                <w:sz w:val="18"/>
                <w:szCs w:val="18"/>
                <w:lang w:val="de-DE"/>
              </w:rPr>
              <w:t>Wachtturm Bibel- und Traktat-Gesellschaft der Zeugen Jehovas</w:t>
            </w:r>
          </w:p>
        </w:tc>
        <w:tc>
          <w:tcPr>
            <w:tcW w:w="836" w:type="dxa"/>
          </w:tcPr>
          <w:p w:rsidRPr="006F34CD" w:rsidR="00515FE0" w:rsidP="006F34CD" w:rsidRDefault="00515FE0" w14:paraId="0D4781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0B4C10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Selters, Germany</w:t>
            </w:r>
          </w:p>
        </w:tc>
        <w:tc>
          <w:tcPr>
            <w:tcW w:w="1134" w:type="dxa"/>
          </w:tcPr>
          <w:p w:rsidRPr="006F34CD" w:rsidR="00515FE0" w:rsidP="006F34CD" w:rsidRDefault="00515FE0" w14:paraId="0029CB2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63FB2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A7BCEC" w14:textId="77777777">
            <w:pPr>
              <w:spacing w:before="120" w:after="120"/>
              <w:jc w:val="center"/>
              <w:rPr>
                <w:rFonts w:ascii="Times New Roman" w:hAnsi="Times New Roman" w:cs="Times New Roman"/>
                <w:sz w:val="18"/>
                <w:szCs w:val="18"/>
              </w:rPr>
            </w:pPr>
          </w:p>
        </w:tc>
      </w:tr>
      <w:tr w:rsidRPr="006F34CD" w:rsidR="00515FE0" w:rsidTr="00EF028C" w14:paraId="7BF2E0F3" w14:textId="77777777">
        <w:trPr>
          <w:cantSplit/>
        </w:trPr>
        <w:tc>
          <w:tcPr>
            <w:tcW w:w="2249" w:type="dxa"/>
          </w:tcPr>
          <w:p w:rsidRPr="006F34CD" w:rsidR="00515FE0" w:rsidP="006F34CD" w:rsidRDefault="00515FE0" w14:paraId="5EE79D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Nikolayevich NOVIKOV</w:t>
            </w:r>
          </w:p>
        </w:tc>
        <w:tc>
          <w:tcPr>
            <w:tcW w:w="836" w:type="dxa"/>
          </w:tcPr>
          <w:p w:rsidRPr="006F34CD" w:rsidR="00515FE0" w:rsidP="006F34CD" w:rsidRDefault="00515FE0" w14:paraId="769A1E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119B22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Maryino, the Krasnodar Region</w:t>
            </w:r>
          </w:p>
        </w:tc>
        <w:tc>
          <w:tcPr>
            <w:tcW w:w="1134" w:type="dxa"/>
          </w:tcPr>
          <w:p w:rsidRPr="006F34CD" w:rsidR="00515FE0" w:rsidP="006F34CD" w:rsidRDefault="00515FE0" w14:paraId="077E55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99948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E4BB50" w14:textId="77777777">
            <w:pPr>
              <w:spacing w:before="120" w:after="120"/>
              <w:jc w:val="center"/>
              <w:rPr>
                <w:rFonts w:ascii="Times New Roman" w:hAnsi="Times New Roman" w:cs="Times New Roman"/>
                <w:sz w:val="18"/>
                <w:szCs w:val="18"/>
              </w:rPr>
            </w:pPr>
          </w:p>
        </w:tc>
      </w:tr>
      <w:tr w:rsidRPr="006F34CD" w:rsidR="00515FE0" w:rsidTr="00EF028C" w14:paraId="03EDCE81" w14:textId="77777777">
        <w:trPr>
          <w:cantSplit/>
        </w:trPr>
        <w:tc>
          <w:tcPr>
            <w:tcW w:w="2249" w:type="dxa"/>
          </w:tcPr>
          <w:p w:rsidRPr="006F34CD" w:rsidR="00515FE0" w:rsidP="006F34CD" w:rsidRDefault="00515FE0" w14:paraId="2FACB1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Ivanovich BAYLO</w:t>
            </w:r>
          </w:p>
        </w:tc>
        <w:tc>
          <w:tcPr>
            <w:tcW w:w="836" w:type="dxa"/>
          </w:tcPr>
          <w:p w:rsidRPr="006F34CD" w:rsidR="00515FE0" w:rsidP="006F34CD" w:rsidRDefault="00515FE0" w14:paraId="0F31CC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048C8A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Volnoye, the Krasnodar Region</w:t>
            </w:r>
          </w:p>
        </w:tc>
        <w:tc>
          <w:tcPr>
            <w:tcW w:w="1134" w:type="dxa"/>
          </w:tcPr>
          <w:p w:rsidRPr="006F34CD" w:rsidR="00515FE0" w:rsidP="006F34CD" w:rsidRDefault="00515FE0" w14:paraId="1E9DEF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F579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3ADAF0" w14:textId="77777777">
            <w:pPr>
              <w:spacing w:before="120" w:after="120"/>
              <w:jc w:val="center"/>
              <w:rPr>
                <w:rFonts w:ascii="Times New Roman" w:hAnsi="Times New Roman" w:cs="Times New Roman"/>
                <w:sz w:val="18"/>
                <w:szCs w:val="18"/>
              </w:rPr>
            </w:pPr>
          </w:p>
        </w:tc>
      </w:tr>
      <w:tr w:rsidRPr="006F34CD" w:rsidR="00515FE0" w:rsidTr="00EF028C" w14:paraId="3F123609" w14:textId="77777777">
        <w:trPr>
          <w:cantSplit/>
        </w:trPr>
        <w:tc>
          <w:tcPr>
            <w:tcW w:w="2249" w:type="dxa"/>
          </w:tcPr>
          <w:p w:rsidRPr="006F34CD" w:rsidR="00515FE0" w:rsidP="006F34CD" w:rsidRDefault="00515FE0" w14:paraId="5517EF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Maksim Nikolayevich KALININ</w:t>
            </w:r>
          </w:p>
        </w:tc>
        <w:tc>
          <w:tcPr>
            <w:tcW w:w="836" w:type="dxa"/>
          </w:tcPr>
          <w:p w:rsidRPr="006F34CD" w:rsidR="00515FE0" w:rsidP="006F34CD" w:rsidRDefault="00515FE0" w14:paraId="125A3A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2A7040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Nizhniy Novgorod</w:t>
            </w:r>
          </w:p>
        </w:tc>
        <w:tc>
          <w:tcPr>
            <w:tcW w:w="1134" w:type="dxa"/>
          </w:tcPr>
          <w:p w:rsidRPr="006F34CD" w:rsidR="00515FE0" w:rsidP="006F34CD" w:rsidRDefault="00515FE0" w14:paraId="2F75F5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6AED9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02964F1" w14:textId="77777777">
            <w:pPr>
              <w:spacing w:before="120" w:after="120"/>
              <w:jc w:val="center"/>
              <w:rPr>
                <w:rFonts w:ascii="Times New Roman" w:hAnsi="Times New Roman" w:cs="Times New Roman"/>
                <w:sz w:val="18"/>
                <w:szCs w:val="18"/>
              </w:rPr>
            </w:pPr>
          </w:p>
        </w:tc>
      </w:tr>
      <w:tr w:rsidRPr="006F34CD" w:rsidR="00515FE0" w:rsidTr="00EF028C" w14:paraId="4C12AF8D" w14:textId="77777777">
        <w:trPr>
          <w:cantSplit/>
        </w:trPr>
        <w:tc>
          <w:tcPr>
            <w:tcW w:w="7508" w:type="dxa"/>
            <w:gridSpan w:val="6"/>
          </w:tcPr>
          <w:p w:rsidRPr="006F34CD" w:rsidR="00515FE0" w:rsidP="006F34CD" w:rsidRDefault="00515FE0" w14:paraId="38AFD1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2861/15, </w:t>
            </w:r>
            <w:r w:rsidRPr="006F34CD">
              <w:rPr>
                <w:rFonts w:ascii="Times New Roman" w:hAnsi="Times New Roman" w:cs="Times New Roman"/>
                <w:i/>
                <w:sz w:val="18"/>
                <w:szCs w:val="18"/>
              </w:rPr>
              <w:t>Kravchuk and Others v. Russia</w:t>
            </w:r>
          </w:p>
        </w:tc>
      </w:tr>
      <w:tr w:rsidRPr="006F34CD" w:rsidR="00515FE0" w:rsidTr="00EF028C" w14:paraId="7769E102" w14:textId="77777777">
        <w:trPr>
          <w:cantSplit/>
        </w:trPr>
        <w:tc>
          <w:tcPr>
            <w:tcW w:w="2249" w:type="dxa"/>
          </w:tcPr>
          <w:p w:rsidRPr="006F34CD" w:rsidR="00515FE0" w:rsidP="006F34CD" w:rsidRDefault="00515FE0" w14:paraId="03E58AC5" w14:textId="0B774D9A">
            <w:pPr>
              <w:spacing w:before="120" w:after="120"/>
              <w:rPr>
                <w:rFonts w:ascii="Times New Roman" w:hAnsi="Times New Roman" w:cs="Times New Roman"/>
                <w:sz w:val="18"/>
                <w:szCs w:val="18"/>
              </w:rPr>
            </w:pPr>
            <w:r w:rsidRPr="006F34CD">
              <w:rPr>
                <w:rFonts w:ascii="Times New Roman" w:hAnsi="Times New Roman" w:cs="Times New Roman"/>
                <w:sz w:val="18"/>
                <w:szCs w:val="18"/>
              </w:rPr>
              <w:t>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180953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8C8B4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06B7B8F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40B5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25,000</w:t>
            </w:r>
          </w:p>
        </w:tc>
        <w:tc>
          <w:tcPr>
            <w:tcW w:w="992" w:type="dxa"/>
          </w:tcPr>
          <w:p w:rsidRPr="006F34CD" w:rsidR="00515FE0" w:rsidP="006F34CD" w:rsidRDefault="00515FE0" w14:paraId="3A80B9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16058EDC" w14:textId="77777777">
        <w:trPr>
          <w:cantSplit/>
        </w:trPr>
        <w:tc>
          <w:tcPr>
            <w:tcW w:w="2249" w:type="dxa"/>
          </w:tcPr>
          <w:p w:rsidRPr="006F34CD" w:rsidR="00515FE0" w:rsidP="006F34CD" w:rsidRDefault="00515FE0" w14:paraId="33EA0C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Watchtower Bible and Tract Society of New York</w:t>
            </w:r>
          </w:p>
        </w:tc>
        <w:tc>
          <w:tcPr>
            <w:tcW w:w="836" w:type="dxa"/>
          </w:tcPr>
          <w:p w:rsidRPr="006F34CD" w:rsidR="00515FE0" w:rsidP="006F34CD" w:rsidRDefault="00515FE0" w14:paraId="34DF1D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1909</w:t>
            </w:r>
          </w:p>
        </w:tc>
        <w:tc>
          <w:tcPr>
            <w:tcW w:w="1305" w:type="dxa"/>
          </w:tcPr>
          <w:p w:rsidRPr="006F34CD" w:rsidR="00515FE0" w:rsidP="006F34CD" w:rsidRDefault="00515FE0" w14:paraId="6E770D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New York, USA</w:t>
            </w:r>
          </w:p>
        </w:tc>
        <w:tc>
          <w:tcPr>
            <w:tcW w:w="1134" w:type="dxa"/>
          </w:tcPr>
          <w:p w:rsidRPr="006F34CD" w:rsidR="00515FE0" w:rsidP="006F34CD" w:rsidRDefault="00515FE0" w14:paraId="685073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5D91C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25,000</w:t>
            </w:r>
          </w:p>
        </w:tc>
        <w:tc>
          <w:tcPr>
            <w:tcW w:w="992" w:type="dxa"/>
          </w:tcPr>
          <w:p w:rsidRPr="006F34CD" w:rsidR="00515FE0" w:rsidP="006F34CD" w:rsidRDefault="00515FE0" w14:paraId="2DAE62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4AB48EE8" w14:textId="77777777">
        <w:trPr>
          <w:cantSplit/>
        </w:trPr>
        <w:tc>
          <w:tcPr>
            <w:tcW w:w="2249" w:type="dxa"/>
          </w:tcPr>
          <w:p w:rsidRPr="006F34CD" w:rsidR="00515FE0" w:rsidP="006F34CD" w:rsidRDefault="00515FE0" w14:paraId="6E4656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Leonidovna ALEKSEYEVA</w:t>
            </w:r>
          </w:p>
        </w:tc>
        <w:tc>
          <w:tcPr>
            <w:tcW w:w="836" w:type="dxa"/>
          </w:tcPr>
          <w:p w:rsidRPr="006F34CD" w:rsidR="00515FE0" w:rsidP="006F34CD" w:rsidRDefault="00515FE0" w14:paraId="1B80B2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3350EA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Chelyabinsk</w:t>
            </w:r>
          </w:p>
        </w:tc>
        <w:tc>
          <w:tcPr>
            <w:tcW w:w="1134" w:type="dxa"/>
          </w:tcPr>
          <w:p w:rsidRPr="006F34CD" w:rsidR="00515FE0" w:rsidP="006F34CD" w:rsidRDefault="00515FE0" w14:paraId="4246FC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5799C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3B2BAC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37808FB5" w14:textId="77777777">
        <w:trPr>
          <w:cantSplit/>
        </w:trPr>
        <w:tc>
          <w:tcPr>
            <w:tcW w:w="2249" w:type="dxa"/>
          </w:tcPr>
          <w:p w:rsidRPr="006F34CD" w:rsidR="00515FE0" w:rsidP="006F34CD" w:rsidRDefault="00515FE0" w14:paraId="0BDB24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Vasilyevich BERCHATOV</w:t>
            </w:r>
          </w:p>
        </w:tc>
        <w:tc>
          <w:tcPr>
            <w:tcW w:w="836" w:type="dxa"/>
          </w:tcPr>
          <w:p w:rsidRPr="006F34CD" w:rsidR="00515FE0" w:rsidP="006F34CD" w:rsidRDefault="00515FE0" w14:paraId="711855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4D9CBC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Chelyabinsk</w:t>
            </w:r>
          </w:p>
        </w:tc>
        <w:tc>
          <w:tcPr>
            <w:tcW w:w="1134" w:type="dxa"/>
          </w:tcPr>
          <w:p w:rsidRPr="006F34CD" w:rsidR="00515FE0" w:rsidP="006F34CD" w:rsidRDefault="00515FE0" w14:paraId="11059E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99EF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F80B3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66328A86" w14:textId="77777777">
        <w:trPr>
          <w:cantSplit/>
        </w:trPr>
        <w:tc>
          <w:tcPr>
            <w:tcW w:w="2249" w:type="dxa"/>
          </w:tcPr>
          <w:p w:rsidRPr="006F34CD" w:rsidR="00515FE0" w:rsidP="006F34CD" w:rsidRDefault="00515FE0" w14:paraId="5A15E0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BUKHNIN</w:t>
            </w:r>
          </w:p>
        </w:tc>
        <w:tc>
          <w:tcPr>
            <w:tcW w:w="836" w:type="dxa"/>
          </w:tcPr>
          <w:p w:rsidRPr="006F34CD" w:rsidR="00515FE0" w:rsidP="006F34CD" w:rsidRDefault="00515FE0" w14:paraId="145669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521D59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Moscow</w:t>
            </w:r>
          </w:p>
        </w:tc>
        <w:tc>
          <w:tcPr>
            <w:tcW w:w="1134" w:type="dxa"/>
          </w:tcPr>
          <w:p w:rsidRPr="006F34CD" w:rsidR="00515FE0" w:rsidP="006F34CD" w:rsidRDefault="00515FE0" w14:paraId="4B077A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E503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4CDCC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72252998" w14:textId="77777777">
        <w:trPr>
          <w:cantSplit/>
        </w:trPr>
        <w:tc>
          <w:tcPr>
            <w:tcW w:w="2249" w:type="dxa"/>
          </w:tcPr>
          <w:p w:rsidRPr="006F34CD" w:rsidR="00515FE0" w:rsidP="006F34CD" w:rsidRDefault="00515FE0" w14:paraId="3BF929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Nellya Fedorovna BUTINA</w:t>
            </w:r>
          </w:p>
        </w:tc>
        <w:tc>
          <w:tcPr>
            <w:tcW w:w="836" w:type="dxa"/>
          </w:tcPr>
          <w:p w:rsidRPr="006F34CD" w:rsidR="00515FE0" w:rsidP="006F34CD" w:rsidRDefault="00515FE0" w14:paraId="60CA04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410DEF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Chelyabinsk</w:t>
            </w:r>
          </w:p>
        </w:tc>
        <w:tc>
          <w:tcPr>
            <w:tcW w:w="1134" w:type="dxa"/>
          </w:tcPr>
          <w:p w:rsidRPr="006F34CD" w:rsidR="00515FE0" w:rsidP="006F34CD" w:rsidRDefault="00515FE0" w14:paraId="4E9FAA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6D80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9E285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6614A79F" w14:textId="77777777">
        <w:trPr>
          <w:cantSplit/>
        </w:trPr>
        <w:tc>
          <w:tcPr>
            <w:tcW w:w="2249" w:type="dxa"/>
          </w:tcPr>
          <w:p w:rsidRPr="006F34CD" w:rsidR="00515FE0" w:rsidP="006F34CD" w:rsidRDefault="00515FE0" w14:paraId="16B990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Aleksandrovich KRAVCHUK</w:t>
            </w:r>
          </w:p>
        </w:tc>
        <w:tc>
          <w:tcPr>
            <w:tcW w:w="836" w:type="dxa"/>
          </w:tcPr>
          <w:p w:rsidRPr="006F34CD" w:rsidR="00515FE0" w:rsidP="006F34CD" w:rsidRDefault="00515FE0" w14:paraId="67DFAD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0B1402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Uryupinsk</w:t>
            </w:r>
          </w:p>
        </w:tc>
        <w:tc>
          <w:tcPr>
            <w:tcW w:w="1134" w:type="dxa"/>
          </w:tcPr>
          <w:p w:rsidRPr="006F34CD" w:rsidR="00515FE0" w:rsidP="006F34CD" w:rsidRDefault="00515FE0" w14:paraId="19B6975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D984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FB677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79F575E5" w14:textId="77777777">
        <w:trPr>
          <w:cantSplit/>
        </w:trPr>
        <w:tc>
          <w:tcPr>
            <w:tcW w:w="2249" w:type="dxa"/>
          </w:tcPr>
          <w:p w:rsidRPr="006F34CD" w:rsidR="00515FE0" w:rsidP="006F34CD" w:rsidRDefault="00515FE0" w14:paraId="416F6B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Mindiyamal Mansurovna KHUDAYGULOVA</w:t>
            </w:r>
          </w:p>
        </w:tc>
        <w:tc>
          <w:tcPr>
            <w:tcW w:w="836" w:type="dxa"/>
          </w:tcPr>
          <w:p w:rsidRPr="006F34CD" w:rsidR="00515FE0" w:rsidP="006F34CD" w:rsidRDefault="00515FE0" w14:paraId="6A757D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385438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Chelyabinsk</w:t>
            </w:r>
          </w:p>
        </w:tc>
        <w:tc>
          <w:tcPr>
            <w:tcW w:w="1134" w:type="dxa"/>
          </w:tcPr>
          <w:p w:rsidRPr="006F34CD" w:rsidR="00515FE0" w:rsidP="006F34CD" w:rsidRDefault="00515FE0" w14:paraId="1206994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33ECA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D0B6A3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39DF731C" w14:textId="77777777">
        <w:trPr>
          <w:cantSplit/>
        </w:trPr>
        <w:tc>
          <w:tcPr>
            <w:tcW w:w="2249" w:type="dxa"/>
          </w:tcPr>
          <w:p w:rsidRPr="006F34CD" w:rsidR="00515FE0" w:rsidP="006F34CD" w:rsidRDefault="00515FE0" w14:paraId="58B8D6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Vladimirovich MARKIN</w:t>
            </w:r>
          </w:p>
        </w:tc>
        <w:tc>
          <w:tcPr>
            <w:tcW w:w="836" w:type="dxa"/>
          </w:tcPr>
          <w:p w:rsidRPr="006F34CD" w:rsidR="00515FE0" w:rsidP="006F34CD" w:rsidRDefault="00515FE0" w14:paraId="4615D6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4EE176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Chelyabinsk</w:t>
            </w:r>
          </w:p>
        </w:tc>
        <w:tc>
          <w:tcPr>
            <w:tcW w:w="1134" w:type="dxa"/>
          </w:tcPr>
          <w:p w:rsidRPr="006F34CD" w:rsidR="00515FE0" w:rsidP="006F34CD" w:rsidRDefault="00515FE0" w14:paraId="3A8A8F5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A8F9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D7202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67235854" w14:textId="77777777">
        <w:trPr>
          <w:cantSplit/>
        </w:trPr>
        <w:tc>
          <w:tcPr>
            <w:tcW w:w="2249" w:type="dxa"/>
          </w:tcPr>
          <w:p w:rsidRPr="006F34CD" w:rsidR="00515FE0" w:rsidP="006F34CD" w:rsidRDefault="00515FE0" w14:paraId="4C4FD5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SARKISOV</w:t>
            </w:r>
          </w:p>
        </w:tc>
        <w:tc>
          <w:tcPr>
            <w:tcW w:w="836" w:type="dxa"/>
          </w:tcPr>
          <w:p w:rsidRPr="006F34CD" w:rsidR="00515FE0" w:rsidP="006F34CD" w:rsidRDefault="00515FE0" w14:paraId="2DB807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080E43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Torzhok</w:t>
            </w:r>
          </w:p>
        </w:tc>
        <w:tc>
          <w:tcPr>
            <w:tcW w:w="1134" w:type="dxa"/>
          </w:tcPr>
          <w:p w:rsidRPr="006F34CD" w:rsidR="00515FE0" w:rsidP="006F34CD" w:rsidRDefault="00515FE0" w14:paraId="264D68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BFDD9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5A49C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62D9E567" w14:textId="77777777">
        <w:trPr>
          <w:cantSplit/>
        </w:trPr>
        <w:tc>
          <w:tcPr>
            <w:tcW w:w="2249" w:type="dxa"/>
          </w:tcPr>
          <w:p w:rsidRPr="006F34CD" w:rsidR="00515FE0" w:rsidP="006F34CD" w:rsidRDefault="00515FE0" w14:paraId="520071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SHAMIN</w:t>
            </w:r>
          </w:p>
        </w:tc>
        <w:tc>
          <w:tcPr>
            <w:tcW w:w="836" w:type="dxa"/>
          </w:tcPr>
          <w:p w:rsidRPr="006F34CD" w:rsidR="00515FE0" w:rsidP="006F34CD" w:rsidRDefault="00515FE0" w14:paraId="76064D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6AD1E4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Yaroslavl</w:t>
            </w:r>
          </w:p>
        </w:tc>
        <w:tc>
          <w:tcPr>
            <w:tcW w:w="1134" w:type="dxa"/>
          </w:tcPr>
          <w:p w:rsidRPr="006F34CD" w:rsidR="00515FE0" w:rsidP="006F34CD" w:rsidRDefault="00515FE0" w14:paraId="1130A5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4A3A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4C55EF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484476E9" w14:textId="77777777">
        <w:trPr>
          <w:cantSplit/>
        </w:trPr>
        <w:tc>
          <w:tcPr>
            <w:tcW w:w="2249" w:type="dxa"/>
          </w:tcPr>
          <w:p w:rsidRPr="006F34CD" w:rsidR="00515FE0" w:rsidP="006F34CD" w:rsidRDefault="00515FE0" w14:paraId="5C4283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SHISHOV</w:t>
            </w:r>
          </w:p>
        </w:tc>
        <w:tc>
          <w:tcPr>
            <w:tcW w:w="836" w:type="dxa"/>
          </w:tcPr>
          <w:p w:rsidRPr="006F34CD" w:rsidR="00515FE0" w:rsidP="006F34CD" w:rsidRDefault="00515FE0" w14:paraId="7ECBD6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6D02A0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Tver</w:t>
            </w:r>
          </w:p>
        </w:tc>
        <w:tc>
          <w:tcPr>
            <w:tcW w:w="1134" w:type="dxa"/>
          </w:tcPr>
          <w:p w:rsidRPr="006F34CD" w:rsidR="00515FE0" w:rsidP="006F34CD" w:rsidRDefault="00515FE0" w14:paraId="18D7993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1CF30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BA306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68308108" w14:textId="77777777">
        <w:trPr>
          <w:cantSplit/>
        </w:trPr>
        <w:tc>
          <w:tcPr>
            <w:tcW w:w="7508" w:type="dxa"/>
            <w:gridSpan w:val="6"/>
          </w:tcPr>
          <w:p w:rsidRPr="006F34CD" w:rsidR="00515FE0" w:rsidP="006F34CD" w:rsidRDefault="00515FE0" w14:paraId="0592B4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15962/15, </w:t>
            </w:r>
            <w:r w:rsidRPr="006F34CD">
              <w:rPr>
                <w:rFonts w:ascii="Times New Roman" w:hAnsi="Times New Roman" w:cs="Times New Roman"/>
                <w:i/>
                <w:sz w:val="18"/>
                <w:szCs w:val="18"/>
              </w:rPr>
              <w:t>Samara LRO and Others v. Russia</w:t>
            </w:r>
          </w:p>
        </w:tc>
      </w:tr>
      <w:tr w:rsidRPr="006F34CD" w:rsidR="00515FE0" w:rsidTr="00EF028C" w14:paraId="7A65409D" w14:textId="77777777">
        <w:trPr>
          <w:cantSplit/>
        </w:trPr>
        <w:tc>
          <w:tcPr>
            <w:tcW w:w="2249" w:type="dxa"/>
          </w:tcPr>
          <w:p w:rsidRPr="006F34CD" w:rsidR="00515FE0" w:rsidP="006F34CD" w:rsidRDefault="00515FE0" w14:paraId="27D30373" w14:textId="4DD764A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Samara</w:t>
            </w:r>
          </w:p>
        </w:tc>
        <w:tc>
          <w:tcPr>
            <w:tcW w:w="836" w:type="dxa"/>
          </w:tcPr>
          <w:p w:rsidRPr="006F34CD" w:rsidR="00515FE0" w:rsidP="006F34CD" w:rsidRDefault="00515FE0" w14:paraId="653809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1D8F7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Samara</w:t>
            </w:r>
          </w:p>
        </w:tc>
        <w:tc>
          <w:tcPr>
            <w:tcW w:w="1134" w:type="dxa"/>
          </w:tcPr>
          <w:p w:rsidRPr="006F34CD" w:rsidR="00515FE0" w:rsidP="006F34CD" w:rsidRDefault="00515FE0" w14:paraId="6B9579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73,276</w:t>
            </w:r>
          </w:p>
        </w:tc>
        <w:tc>
          <w:tcPr>
            <w:tcW w:w="992" w:type="dxa"/>
          </w:tcPr>
          <w:p w:rsidRPr="006F34CD" w:rsidR="00515FE0" w:rsidP="006F34CD" w:rsidRDefault="00515FE0" w14:paraId="60718C3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F1C43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01801D0" w14:textId="77777777">
        <w:trPr>
          <w:cantSplit/>
        </w:trPr>
        <w:tc>
          <w:tcPr>
            <w:tcW w:w="2249" w:type="dxa"/>
          </w:tcPr>
          <w:p w:rsidRPr="006F34CD" w:rsidR="00515FE0" w:rsidP="006F34CD" w:rsidRDefault="00515FE0" w14:paraId="196CCF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Yelena Anatolyevna ALESHINA</w:t>
            </w:r>
          </w:p>
        </w:tc>
        <w:tc>
          <w:tcPr>
            <w:tcW w:w="836" w:type="dxa"/>
          </w:tcPr>
          <w:p w:rsidRPr="006F34CD" w:rsidR="00515FE0" w:rsidP="006F34CD" w:rsidRDefault="00515FE0" w14:paraId="7E6632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31A938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Samara</w:t>
            </w:r>
          </w:p>
        </w:tc>
        <w:tc>
          <w:tcPr>
            <w:tcW w:w="1134" w:type="dxa"/>
          </w:tcPr>
          <w:p w:rsidRPr="006F34CD" w:rsidR="00515FE0" w:rsidP="006F34CD" w:rsidRDefault="00515FE0" w14:paraId="43E5488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1CCBC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C22526" w14:textId="77777777">
            <w:pPr>
              <w:spacing w:before="120" w:after="120"/>
              <w:jc w:val="center"/>
              <w:rPr>
                <w:rFonts w:ascii="Times New Roman" w:hAnsi="Times New Roman" w:cs="Times New Roman"/>
                <w:sz w:val="18"/>
                <w:szCs w:val="18"/>
              </w:rPr>
            </w:pPr>
          </w:p>
        </w:tc>
      </w:tr>
      <w:tr w:rsidRPr="006F34CD" w:rsidR="00515FE0" w:rsidTr="00EF028C" w14:paraId="4D986DA2" w14:textId="77777777">
        <w:trPr>
          <w:cantSplit/>
        </w:trPr>
        <w:tc>
          <w:tcPr>
            <w:tcW w:w="2249" w:type="dxa"/>
          </w:tcPr>
          <w:p w:rsidRPr="006F34CD" w:rsidR="00515FE0" w:rsidP="006F34CD" w:rsidRDefault="00515FE0" w14:paraId="440A6E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Tatyana Vitalyevna KUPRIYANOVA</w:t>
            </w:r>
          </w:p>
        </w:tc>
        <w:tc>
          <w:tcPr>
            <w:tcW w:w="836" w:type="dxa"/>
          </w:tcPr>
          <w:p w:rsidRPr="006F34CD" w:rsidR="00515FE0" w:rsidP="006F34CD" w:rsidRDefault="00515FE0" w14:paraId="5F4545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7F96B0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Samara</w:t>
            </w:r>
          </w:p>
        </w:tc>
        <w:tc>
          <w:tcPr>
            <w:tcW w:w="1134" w:type="dxa"/>
          </w:tcPr>
          <w:p w:rsidRPr="006F34CD" w:rsidR="00515FE0" w:rsidP="006F34CD" w:rsidRDefault="00515FE0" w14:paraId="530A00D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D00E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C18F04" w14:textId="77777777">
            <w:pPr>
              <w:spacing w:before="120" w:after="120"/>
              <w:jc w:val="center"/>
              <w:rPr>
                <w:rFonts w:ascii="Times New Roman" w:hAnsi="Times New Roman" w:cs="Times New Roman"/>
                <w:sz w:val="18"/>
                <w:szCs w:val="18"/>
              </w:rPr>
            </w:pPr>
          </w:p>
        </w:tc>
      </w:tr>
      <w:tr w:rsidRPr="006F34CD" w:rsidR="00515FE0" w:rsidTr="00EF028C" w14:paraId="2BDA8C9B" w14:textId="77777777">
        <w:trPr>
          <w:cantSplit/>
        </w:trPr>
        <w:tc>
          <w:tcPr>
            <w:tcW w:w="2249" w:type="dxa"/>
          </w:tcPr>
          <w:p w:rsidRPr="006F34CD" w:rsidR="00515FE0" w:rsidP="006F34CD" w:rsidRDefault="00515FE0" w14:paraId="6BB2D0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Stanislav Viktorovich MAYDANYUK</w:t>
            </w:r>
          </w:p>
        </w:tc>
        <w:tc>
          <w:tcPr>
            <w:tcW w:w="836" w:type="dxa"/>
          </w:tcPr>
          <w:p w:rsidRPr="006F34CD" w:rsidR="00515FE0" w:rsidP="006F34CD" w:rsidRDefault="00515FE0" w14:paraId="45EBC6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1989</w:t>
            </w:r>
          </w:p>
        </w:tc>
        <w:tc>
          <w:tcPr>
            <w:tcW w:w="1305" w:type="dxa"/>
          </w:tcPr>
          <w:p w:rsidRPr="006F34CD" w:rsidR="00515FE0" w:rsidP="006F34CD" w:rsidRDefault="00515FE0" w14:paraId="011987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Samara</w:t>
            </w:r>
          </w:p>
        </w:tc>
        <w:tc>
          <w:tcPr>
            <w:tcW w:w="1134" w:type="dxa"/>
          </w:tcPr>
          <w:p w:rsidRPr="006F34CD" w:rsidR="00515FE0" w:rsidP="006F34CD" w:rsidRDefault="00515FE0" w14:paraId="4B5D50F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F7C3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06E060" w14:textId="77777777">
            <w:pPr>
              <w:spacing w:before="120" w:after="120"/>
              <w:jc w:val="center"/>
              <w:rPr>
                <w:rFonts w:ascii="Times New Roman" w:hAnsi="Times New Roman" w:cs="Times New Roman"/>
                <w:sz w:val="18"/>
                <w:szCs w:val="18"/>
              </w:rPr>
            </w:pPr>
          </w:p>
        </w:tc>
      </w:tr>
      <w:tr w:rsidRPr="006F34CD" w:rsidR="00515FE0" w:rsidTr="00EF028C" w14:paraId="7362A956" w14:textId="77777777">
        <w:trPr>
          <w:cantSplit/>
        </w:trPr>
        <w:tc>
          <w:tcPr>
            <w:tcW w:w="2249" w:type="dxa"/>
          </w:tcPr>
          <w:p w:rsidRPr="006F34CD" w:rsidR="00515FE0" w:rsidP="006F34CD" w:rsidRDefault="00515FE0" w14:paraId="7A50E5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Sergeyevich MOSKVIN</w:t>
            </w:r>
          </w:p>
        </w:tc>
        <w:tc>
          <w:tcPr>
            <w:tcW w:w="836" w:type="dxa"/>
          </w:tcPr>
          <w:p w:rsidRPr="006F34CD" w:rsidR="00515FE0" w:rsidP="006F34CD" w:rsidRDefault="00515FE0" w14:paraId="0C92C5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759EE7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Balakovo</w:t>
            </w:r>
          </w:p>
        </w:tc>
        <w:tc>
          <w:tcPr>
            <w:tcW w:w="1134" w:type="dxa"/>
          </w:tcPr>
          <w:p w:rsidRPr="006F34CD" w:rsidR="00515FE0" w:rsidP="006F34CD" w:rsidRDefault="00515FE0" w14:paraId="6C2CC08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E211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C50520" w14:textId="77777777">
            <w:pPr>
              <w:spacing w:before="120" w:after="120"/>
              <w:jc w:val="center"/>
              <w:rPr>
                <w:rFonts w:ascii="Times New Roman" w:hAnsi="Times New Roman" w:cs="Times New Roman"/>
                <w:sz w:val="18"/>
                <w:szCs w:val="18"/>
              </w:rPr>
            </w:pPr>
          </w:p>
        </w:tc>
      </w:tr>
      <w:tr w:rsidRPr="006F34CD" w:rsidR="00515FE0" w:rsidTr="00EF028C" w14:paraId="5336082B" w14:textId="77777777">
        <w:trPr>
          <w:cantSplit/>
        </w:trPr>
        <w:tc>
          <w:tcPr>
            <w:tcW w:w="2249" w:type="dxa"/>
          </w:tcPr>
          <w:p w:rsidRPr="006F34CD" w:rsidR="00515FE0" w:rsidP="006F34CD" w:rsidRDefault="00515FE0" w14:paraId="2B074D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Ivanovich POLOSENKO</w:t>
            </w:r>
          </w:p>
        </w:tc>
        <w:tc>
          <w:tcPr>
            <w:tcW w:w="836" w:type="dxa"/>
          </w:tcPr>
          <w:p w:rsidRPr="006F34CD" w:rsidR="00515FE0" w:rsidP="006F34CD" w:rsidRDefault="00515FE0" w14:paraId="522B06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57B3F1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Samara</w:t>
            </w:r>
          </w:p>
        </w:tc>
        <w:tc>
          <w:tcPr>
            <w:tcW w:w="1134" w:type="dxa"/>
          </w:tcPr>
          <w:p w:rsidRPr="006F34CD" w:rsidR="00515FE0" w:rsidP="006F34CD" w:rsidRDefault="00515FE0" w14:paraId="2D3B2CB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2E799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FB4FEC" w14:textId="77777777">
            <w:pPr>
              <w:spacing w:before="120" w:after="120"/>
              <w:jc w:val="center"/>
              <w:rPr>
                <w:rFonts w:ascii="Times New Roman" w:hAnsi="Times New Roman" w:cs="Times New Roman"/>
                <w:sz w:val="18"/>
                <w:szCs w:val="18"/>
              </w:rPr>
            </w:pPr>
          </w:p>
        </w:tc>
      </w:tr>
      <w:tr w:rsidRPr="006F34CD" w:rsidR="00515FE0" w:rsidTr="00EF028C" w14:paraId="34E0959A" w14:textId="77777777">
        <w:trPr>
          <w:cantSplit/>
        </w:trPr>
        <w:tc>
          <w:tcPr>
            <w:tcW w:w="2249" w:type="dxa"/>
          </w:tcPr>
          <w:p w:rsidRPr="006F34CD" w:rsidR="00515FE0" w:rsidP="006F34CD" w:rsidRDefault="00515FE0" w14:paraId="5AE447F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Darya Leonidovna ZAGOSKINA</w:t>
            </w:r>
          </w:p>
        </w:tc>
        <w:tc>
          <w:tcPr>
            <w:tcW w:w="836" w:type="dxa"/>
          </w:tcPr>
          <w:p w:rsidRPr="006F34CD" w:rsidR="00515FE0" w:rsidP="006F34CD" w:rsidRDefault="00515FE0" w14:paraId="02AAA4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676668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Samara</w:t>
            </w:r>
          </w:p>
        </w:tc>
        <w:tc>
          <w:tcPr>
            <w:tcW w:w="1134" w:type="dxa"/>
          </w:tcPr>
          <w:p w:rsidRPr="006F34CD" w:rsidR="00515FE0" w:rsidP="006F34CD" w:rsidRDefault="00515FE0" w14:paraId="5EC6447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3D662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8455EA" w14:textId="77777777">
            <w:pPr>
              <w:spacing w:before="120" w:after="120"/>
              <w:jc w:val="center"/>
              <w:rPr>
                <w:rFonts w:ascii="Times New Roman" w:hAnsi="Times New Roman" w:cs="Times New Roman"/>
                <w:sz w:val="18"/>
                <w:szCs w:val="18"/>
              </w:rPr>
            </w:pPr>
          </w:p>
        </w:tc>
      </w:tr>
      <w:tr w:rsidRPr="006F34CD" w:rsidR="00515FE0" w:rsidTr="00EF028C" w14:paraId="4597566A" w14:textId="77777777">
        <w:trPr>
          <w:cantSplit/>
        </w:trPr>
        <w:tc>
          <w:tcPr>
            <w:tcW w:w="7508" w:type="dxa"/>
            <w:gridSpan w:val="6"/>
          </w:tcPr>
          <w:p w:rsidRPr="006F34CD" w:rsidR="00515FE0" w:rsidP="006F34CD" w:rsidRDefault="00515FE0" w14:paraId="26D7F3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16578/15, </w:t>
            </w:r>
            <w:r w:rsidRPr="006F34CD">
              <w:rPr>
                <w:rFonts w:ascii="Times New Roman" w:hAnsi="Times New Roman" w:cs="Times New Roman"/>
                <w:i/>
                <w:sz w:val="18"/>
                <w:szCs w:val="18"/>
              </w:rPr>
              <w:t>Aliyev and LRO Birobidzhan v. Russia</w:t>
            </w:r>
          </w:p>
        </w:tc>
      </w:tr>
      <w:tr w:rsidRPr="006F34CD" w:rsidR="00515FE0" w:rsidTr="00EF028C" w14:paraId="055F6D84" w14:textId="77777777">
        <w:trPr>
          <w:cantSplit/>
        </w:trPr>
        <w:tc>
          <w:tcPr>
            <w:tcW w:w="2249" w:type="dxa"/>
          </w:tcPr>
          <w:p w:rsidRPr="006F34CD" w:rsidR="00515FE0" w:rsidP="006F34CD" w:rsidRDefault="00515FE0" w14:paraId="59DAEC09" w14:textId="5C6F27B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Birobidzhan</w:t>
            </w:r>
          </w:p>
        </w:tc>
        <w:tc>
          <w:tcPr>
            <w:tcW w:w="836" w:type="dxa"/>
          </w:tcPr>
          <w:p w:rsidRPr="006F34CD" w:rsidR="00515FE0" w:rsidP="006F34CD" w:rsidRDefault="00515FE0" w14:paraId="3E9DF2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4C74D0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Birobidhzan</w:t>
            </w:r>
          </w:p>
        </w:tc>
        <w:tc>
          <w:tcPr>
            <w:tcW w:w="1134" w:type="dxa"/>
          </w:tcPr>
          <w:p w:rsidRPr="006F34CD" w:rsidR="00515FE0" w:rsidP="006F34CD" w:rsidRDefault="00515FE0" w14:paraId="3874D09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73D0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A212A4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w:t>
            </w:r>
          </w:p>
        </w:tc>
      </w:tr>
      <w:tr w:rsidRPr="006F34CD" w:rsidR="00515FE0" w:rsidTr="00EF028C" w14:paraId="3ED18FF9" w14:textId="77777777">
        <w:trPr>
          <w:cantSplit/>
        </w:trPr>
        <w:tc>
          <w:tcPr>
            <w:tcW w:w="2249" w:type="dxa"/>
          </w:tcPr>
          <w:p w:rsidRPr="006F34CD" w:rsidR="00515FE0" w:rsidP="006F34CD" w:rsidRDefault="00515FE0" w14:paraId="38F909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Alam Abdulaziz Ogly ALIYEV</w:t>
            </w:r>
          </w:p>
        </w:tc>
        <w:tc>
          <w:tcPr>
            <w:tcW w:w="836" w:type="dxa"/>
          </w:tcPr>
          <w:p w:rsidRPr="006F34CD" w:rsidR="00515FE0" w:rsidP="006F34CD" w:rsidRDefault="00515FE0" w14:paraId="44E544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2A912B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Birobidzhan</w:t>
            </w:r>
          </w:p>
        </w:tc>
        <w:tc>
          <w:tcPr>
            <w:tcW w:w="1134" w:type="dxa"/>
          </w:tcPr>
          <w:p w:rsidRPr="006F34CD" w:rsidR="00515FE0" w:rsidP="006F34CD" w:rsidRDefault="00515FE0" w14:paraId="1E3FE38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08E48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33B5C8" w14:textId="77777777">
            <w:pPr>
              <w:spacing w:before="120" w:after="120"/>
              <w:jc w:val="center"/>
              <w:rPr>
                <w:rFonts w:ascii="Times New Roman" w:hAnsi="Times New Roman" w:cs="Times New Roman"/>
                <w:sz w:val="18"/>
                <w:szCs w:val="18"/>
              </w:rPr>
            </w:pPr>
          </w:p>
        </w:tc>
      </w:tr>
      <w:tr w:rsidRPr="006F34CD" w:rsidR="00515FE0" w:rsidTr="00EF028C" w14:paraId="2A19ADBB" w14:textId="77777777">
        <w:trPr>
          <w:cantSplit/>
        </w:trPr>
        <w:tc>
          <w:tcPr>
            <w:tcW w:w="7508" w:type="dxa"/>
            <w:gridSpan w:val="6"/>
          </w:tcPr>
          <w:p w:rsidRPr="006F34CD" w:rsidR="00515FE0" w:rsidP="006F34CD" w:rsidRDefault="00515FE0" w14:paraId="088D26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24622/16, </w:t>
            </w:r>
            <w:r w:rsidRPr="006F34CD">
              <w:rPr>
                <w:rFonts w:ascii="Times New Roman" w:hAnsi="Times New Roman" w:cs="Times New Roman"/>
                <w:i/>
                <w:sz w:val="18"/>
                <w:szCs w:val="18"/>
              </w:rPr>
              <w:t>Trotsyuk and Others v. Russia</w:t>
            </w:r>
          </w:p>
        </w:tc>
      </w:tr>
      <w:tr w:rsidRPr="006F34CD" w:rsidR="00515FE0" w:rsidTr="00EF028C" w14:paraId="71613757" w14:textId="77777777">
        <w:trPr>
          <w:cantSplit/>
        </w:trPr>
        <w:tc>
          <w:tcPr>
            <w:tcW w:w="2249" w:type="dxa"/>
          </w:tcPr>
          <w:p w:rsidRPr="006F34CD" w:rsidR="00515FE0" w:rsidP="006F34CD" w:rsidRDefault="00515FE0" w14:paraId="362A9B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Aleksandrovich BAKLUSHIN</w:t>
            </w:r>
          </w:p>
        </w:tc>
        <w:tc>
          <w:tcPr>
            <w:tcW w:w="836" w:type="dxa"/>
          </w:tcPr>
          <w:p w:rsidRPr="006F34CD" w:rsidR="00515FE0" w:rsidP="006F34CD" w:rsidRDefault="00515FE0" w14:paraId="1B9E48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223E7C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24D58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44B8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73647EC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69B6E8DD" w14:textId="77777777">
        <w:trPr>
          <w:cantSplit/>
        </w:trPr>
        <w:tc>
          <w:tcPr>
            <w:tcW w:w="2249" w:type="dxa"/>
          </w:tcPr>
          <w:p w:rsidRPr="006F34CD" w:rsidR="00515FE0" w:rsidP="006F34CD" w:rsidRDefault="00515FE0" w14:paraId="3994FF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Kirill Igorevich CHETVERIKOV</w:t>
            </w:r>
          </w:p>
        </w:tc>
        <w:tc>
          <w:tcPr>
            <w:tcW w:w="836" w:type="dxa"/>
          </w:tcPr>
          <w:p w:rsidRPr="006F34CD" w:rsidR="00515FE0" w:rsidP="006F34CD" w:rsidRDefault="00515FE0" w14:paraId="2422D3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6721E5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A7627C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DF9F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3B027E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057BE4E5" w14:textId="77777777">
        <w:trPr>
          <w:cantSplit/>
        </w:trPr>
        <w:tc>
          <w:tcPr>
            <w:tcW w:w="2249" w:type="dxa"/>
          </w:tcPr>
          <w:p w:rsidRPr="006F34CD" w:rsidR="00515FE0" w:rsidP="006F34CD" w:rsidRDefault="00515FE0" w14:paraId="291044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Viktorovich GONCHAROV</w:t>
            </w:r>
          </w:p>
        </w:tc>
        <w:tc>
          <w:tcPr>
            <w:tcW w:w="836" w:type="dxa"/>
          </w:tcPr>
          <w:p w:rsidRPr="006F34CD" w:rsidR="00515FE0" w:rsidP="006F34CD" w:rsidRDefault="00515FE0" w14:paraId="702B15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3FDC2B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C72E8D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5C919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7D4970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509A8B71" w14:textId="77777777">
        <w:trPr>
          <w:cantSplit/>
        </w:trPr>
        <w:tc>
          <w:tcPr>
            <w:tcW w:w="2249" w:type="dxa"/>
          </w:tcPr>
          <w:p w:rsidRPr="006F34CD" w:rsidR="00515FE0" w:rsidP="006F34CD" w:rsidRDefault="00515FE0" w14:paraId="7D08DC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Oksana Nikolaevna GONCHAROVA</w:t>
            </w:r>
          </w:p>
        </w:tc>
        <w:tc>
          <w:tcPr>
            <w:tcW w:w="836" w:type="dxa"/>
          </w:tcPr>
          <w:p w:rsidRPr="006F34CD" w:rsidR="00515FE0" w:rsidP="006F34CD" w:rsidRDefault="00515FE0" w14:paraId="580263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6E9F6C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16193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BD292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084816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3E8C8EAB" w14:textId="77777777">
        <w:trPr>
          <w:cantSplit/>
        </w:trPr>
        <w:tc>
          <w:tcPr>
            <w:tcW w:w="2249" w:type="dxa"/>
          </w:tcPr>
          <w:p w:rsidRPr="006F34CD" w:rsidR="00515FE0" w:rsidP="006F34CD" w:rsidRDefault="00515FE0" w14:paraId="53E448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Alexey Alekseyevich KOPTEV</w:t>
            </w:r>
          </w:p>
        </w:tc>
        <w:tc>
          <w:tcPr>
            <w:tcW w:w="836" w:type="dxa"/>
          </w:tcPr>
          <w:p w:rsidRPr="006F34CD" w:rsidR="00515FE0" w:rsidP="006F34CD" w:rsidRDefault="00515FE0" w14:paraId="77BAE6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1944</w:t>
            </w:r>
          </w:p>
        </w:tc>
        <w:tc>
          <w:tcPr>
            <w:tcW w:w="1305" w:type="dxa"/>
          </w:tcPr>
          <w:p w:rsidRPr="006F34CD" w:rsidR="00515FE0" w:rsidP="006F34CD" w:rsidRDefault="00515FE0" w14:paraId="582D38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9CEF4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859F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6841C7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4ADCFEBB" w14:textId="77777777">
        <w:trPr>
          <w:cantSplit/>
        </w:trPr>
        <w:tc>
          <w:tcPr>
            <w:tcW w:w="2249" w:type="dxa"/>
          </w:tcPr>
          <w:p w:rsidRPr="006F34CD" w:rsidR="00515FE0" w:rsidP="006F34CD" w:rsidRDefault="00515FE0" w14:paraId="314A09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Viktorovich KOZHUKHOV</w:t>
            </w:r>
          </w:p>
        </w:tc>
        <w:tc>
          <w:tcPr>
            <w:tcW w:w="836" w:type="dxa"/>
          </w:tcPr>
          <w:p w:rsidRPr="006F34CD" w:rsidR="00515FE0" w:rsidP="006F34CD" w:rsidRDefault="00515FE0" w14:paraId="00590D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735FB6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39EA79C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4E2D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19436D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14A2BF19" w14:textId="77777777">
        <w:trPr>
          <w:cantSplit/>
        </w:trPr>
        <w:tc>
          <w:tcPr>
            <w:tcW w:w="2249" w:type="dxa"/>
          </w:tcPr>
          <w:p w:rsidRPr="006F34CD" w:rsidR="00515FE0" w:rsidP="006F34CD" w:rsidRDefault="00515FE0" w14:paraId="1B2519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Kirill Mikhaylovich KRAVCHENKO</w:t>
            </w:r>
          </w:p>
        </w:tc>
        <w:tc>
          <w:tcPr>
            <w:tcW w:w="836" w:type="dxa"/>
          </w:tcPr>
          <w:p w:rsidRPr="006F34CD" w:rsidR="00515FE0" w:rsidP="006F34CD" w:rsidRDefault="00515FE0" w14:paraId="794CA3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0C3A23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Rostov-on-Don</w:t>
            </w:r>
          </w:p>
        </w:tc>
        <w:tc>
          <w:tcPr>
            <w:tcW w:w="1134" w:type="dxa"/>
          </w:tcPr>
          <w:p w:rsidRPr="006F34CD" w:rsidR="00515FE0" w:rsidP="006F34CD" w:rsidRDefault="00515FE0" w14:paraId="2D6BF70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EFFF7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0F2835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38BF2209" w14:textId="77777777">
        <w:trPr>
          <w:cantSplit/>
        </w:trPr>
        <w:tc>
          <w:tcPr>
            <w:tcW w:w="2249" w:type="dxa"/>
          </w:tcPr>
          <w:p w:rsidRPr="006F34CD" w:rsidR="00515FE0" w:rsidP="006F34CD" w:rsidRDefault="00515FE0" w14:paraId="4289EC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Tatiana Vladimirovna KRAVCHENKO</w:t>
            </w:r>
          </w:p>
        </w:tc>
        <w:tc>
          <w:tcPr>
            <w:tcW w:w="836" w:type="dxa"/>
          </w:tcPr>
          <w:p w:rsidRPr="006F34CD" w:rsidR="00515FE0" w:rsidP="006F34CD" w:rsidRDefault="00515FE0" w14:paraId="403C79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6B068B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5325D0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27F1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1F6D220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29B22197" w14:textId="77777777">
        <w:trPr>
          <w:cantSplit/>
        </w:trPr>
        <w:tc>
          <w:tcPr>
            <w:tcW w:w="2249" w:type="dxa"/>
          </w:tcPr>
          <w:p w:rsidRPr="006F34CD" w:rsidR="00515FE0" w:rsidP="006F34CD" w:rsidRDefault="00515FE0" w14:paraId="178995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Vladislav Vitalyevich KRUGLIKOV</w:t>
            </w:r>
          </w:p>
        </w:tc>
        <w:tc>
          <w:tcPr>
            <w:tcW w:w="836" w:type="dxa"/>
          </w:tcPr>
          <w:p w:rsidRPr="006F34CD" w:rsidR="00515FE0" w:rsidP="006F34CD" w:rsidRDefault="00515FE0" w14:paraId="143EEE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4D412B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82A94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86AE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6DE5F34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291F342E" w14:textId="77777777">
        <w:trPr>
          <w:cantSplit/>
        </w:trPr>
        <w:tc>
          <w:tcPr>
            <w:tcW w:w="2249" w:type="dxa"/>
          </w:tcPr>
          <w:p w:rsidRPr="006F34CD" w:rsidR="00515FE0" w:rsidP="006F34CD" w:rsidRDefault="00515FE0" w14:paraId="31BF66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Karen Yuryevich MINASYAN</w:t>
            </w:r>
          </w:p>
        </w:tc>
        <w:tc>
          <w:tcPr>
            <w:tcW w:w="836" w:type="dxa"/>
          </w:tcPr>
          <w:p w:rsidRPr="006F34CD" w:rsidR="00515FE0" w:rsidP="006F34CD" w:rsidRDefault="00515FE0" w14:paraId="16B957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5F6C53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59C9B23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C719F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563ACE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4B1197C7" w14:textId="77777777">
        <w:trPr>
          <w:cantSplit/>
        </w:trPr>
        <w:tc>
          <w:tcPr>
            <w:tcW w:w="2249" w:type="dxa"/>
          </w:tcPr>
          <w:p w:rsidRPr="006F34CD" w:rsidR="00515FE0" w:rsidP="006F34CD" w:rsidRDefault="00515FE0" w14:paraId="2D2183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Pavlovich MOISEENKO</w:t>
            </w:r>
          </w:p>
        </w:tc>
        <w:tc>
          <w:tcPr>
            <w:tcW w:w="836" w:type="dxa"/>
          </w:tcPr>
          <w:p w:rsidRPr="006F34CD" w:rsidR="00515FE0" w:rsidP="006F34CD" w:rsidRDefault="00515FE0" w14:paraId="79B163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2532F6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2F234B8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15FEF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7EE24F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5FD96877" w14:textId="77777777">
        <w:trPr>
          <w:cantSplit/>
        </w:trPr>
        <w:tc>
          <w:tcPr>
            <w:tcW w:w="2249" w:type="dxa"/>
          </w:tcPr>
          <w:p w:rsidRPr="006F34CD" w:rsidR="00515FE0" w:rsidP="006F34CD" w:rsidRDefault="00515FE0" w14:paraId="7CF88D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Vyacheslav Valeryevich SHCHEKALEV</w:t>
            </w:r>
          </w:p>
        </w:tc>
        <w:tc>
          <w:tcPr>
            <w:tcW w:w="836" w:type="dxa"/>
          </w:tcPr>
          <w:p w:rsidRPr="006F34CD" w:rsidR="00515FE0" w:rsidP="006F34CD" w:rsidRDefault="00515FE0" w14:paraId="6667A9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31D9FA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274A1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6506A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01BD8D1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62EAF0FD" w14:textId="77777777">
        <w:trPr>
          <w:cantSplit/>
        </w:trPr>
        <w:tc>
          <w:tcPr>
            <w:tcW w:w="2249" w:type="dxa"/>
          </w:tcPr>
          <w:p w:rsidRPr="006F34CD" w:rsidR="00515FE0" w:rsidP="006F34CD" w:rsidRDefault="00515FE0" w14:paraId="32898C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Viktorovich SKVORTSOV</w:t>
            </w:r>
          </w:p>
        </w:tc>
        <w:tc>
          <w:tcPr>
            <w:tcW w:w="836" w:type="dxa"/>
          </w:tcPr>
          <w:p w:rsidRPr="006F34CD" w:rsidR="00515FE0" w:rsidP="006F34CD" w:rsidRDefault="00515FE0" w14:paraId="61D751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1C62DB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78644C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0906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163AA5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73BC2193" w14:textId="77777777">
        <w:trPr>
          <w:cantSplit/>
        </w:trPr>
        <w:tc>
          <w:tcPr>
            <w:tcW w:w="2249" w:type="dxa"/>
          </w:tcPr>
          <w:p w:rsidRPr="006F34CD" w:rsidR="00515FE0" w:rsidP="006F34CD" w:rsidRDefault="00515FE0" w14:paraId="6A2C18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Vladimirovich TROTSYUK</w:t>
            </w:r>
          </w:p>
        </w:tc>
        <w:tc>
          <w:tcPr>
            <w:tcW w:w="836" w:type="dxa"/>
          </w:tcPr>
          <w:p w:rsidRPr="006F34CD" w:rsidR="00515FE0" w:rsidP="006F34CD" w:rsidRDefault="00515FE0" w14:paraId="38B63E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4298C6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7A14D1E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C5A0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37AFF0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0B935FCD" w14:textId="77777777">
        <w:trPr>
          <w:cantSplit/>
        </w:trPr>
        <w:tc>
          <w:tcPr>
            <w:tcW w:w="2249" w:type="dxa"/>
          </w:tcPr>
          <w:p w:rsidRPr="006F34CD" w:rsidR="00515FE0" w:rsidP="006F34CD" w:rsidRDefault="00515FE0" w14:paraId="1360E9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Nikolaevich TROTSYUK</w:t>
            </w:r>
          </w:p>
        </w:tc>
        <w:tc>
          <w:tcPr>
            <w:tcW w:w="836" w:type="dxa"/>
          </w:tcPr>
          <w:p w:rsidRPr="006F34CD" w:rsidR="00515FE0" w:rsidP="006F34CD" w:rsidRDefault="00515FE0" w14:paraId="07DE6F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7B6415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49982A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9BD57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0E591BF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15B12373" w14:textId="77777777">
        <w:trPr>
          <w:cantSplit/>
        </w:trPr>
        <w:tc>
          <w:tcPr>
            <w:tcW w:w="2249" w:type="dxa"/>
          </w:tcPr>
          <w:p w:rsidRPr="006F34CD" w:rsidR="00515FE0" w:rsidP="006F34CD" w:rsidRDefault="00515FE0" w14:paraId="2FCEF9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Roman Vladimirovich VOLOSHCHUK</w:t>
            </w:r>
          </w:p>
        </w:tc>
        <w:tc>
          <w:tcPr>
            <w:tcW w:w="836" w:type="dxa"/>
          </w:tcPr>
          <w:p w:rsidRPr="006F34CD" w:rsidR="00515FE0" w:rsidP="006F34CD" w:rsidRDefault="00515FE0" w14:paraId="32413F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0C400F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Taganrog</w:t>
            </w:r>
          </w:p>
        </w:tc>
        <w:tc>
          <w:tcPr>
            <w:tcW w:w="1134" w:type="dxa"/>
          </w:tcPr>
          <w:p w:rsidRPr="006F34CD" w:rsidR="00515FE0" w:rsidP="006F34CD" w:rsidRDefault="00515FE0" w14:paraId="109E4A8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9E186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c>
          <w:tcPr>
            <w:tcW w:w="992" w:type="dxa"/>
          </w:tcPr>
          <w:p w:rsidRPr="006F34CD" w:rsidR="00515FE0" w:rsidP="006F34CD" w:rsidRDefault="00515FE0" w14:paraId="0319F3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52B7F026" w14:textId="77777777">
        <w:trPr>
          <w:cantSplit/>
        </w:trPr>
        <w:tc>
          <w:tcPr>
            <w:tcW w:w="7508" w:type="dxa"/>
            <w:gridSpan w:val="6"/>
          </w:tcPr>
          <w:p w:rsidRPr="006F34CD" w:rsidR="00515FE0" w:rsidP="006F34CD" w:rsidRDefault="00515FE0" w14:paraId="47A9A8A7" w14:textId="194424E8">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10188/17, </w:t>
            </w:r>
            <w:r w:rsidRPr="006F34CD">
              <w:rPr>
                <w:rFonts w:ascii="Times New Roman" w:hAnsi="Times New Roman" w:cs="Times New Roman"/>
                <w:i/>
                <w:sz w:val="18"/>
                <w:szCs w:val="18"/>
              </w:rPr>
              <w:t>Administrative Centre of Jehovah</w:t>
            </w:r>
            <w:r w:rsidRPr="006F34CD" w:rsidR="006F34CD">
              <w:rPr>
                <w:rFonts w:ascii="Times New Roman" w:hAnsi="Times New Roman" w:cs="Times New Roman"/>
                <w:i/>
                <w:sz w:val="18"/>
                <w:szCs w:val="18"/>
              </w:rPr>
              <w:t>’</w:t>
            </w:r>
            <w:r w:rsidRPr="006F34CD">
              <w:rPr>
                <w:rFonts w:ascii="Times New Roman" w:hAnsi="Times New Roman" w:cs="Times New Roman"/>
                <w:i/>
                <w:sz w:val="18"/>
                <w:szCs w:val="18"/>
              </w:rPr>
              <w:t>s Witnesses in Russia and Kalin v. Russia</w:t>
            </w:r>
          </w:p>
        </w:tc>
      </w:tr>
      <w:tr w:rsidRPr="006F34CD" w:rsidR="00515FE0" w:rsidTr="00EF028C" w14:paraId="24171808" w14:textId="77777777">
        <w:trPr>
          <w:cantSplit/>
        </w:trPr>
        <w:tc>
          <w:tcPr>
            <w:tcW w:w="2249" w:type="dxa"/>
          </w:tcPr>
          <w:p w:rsidRPr="006F34CD" w:rsidR="00515FE0" w:rsidP="006F34CD" w:rsidRDefault="00515FE0" w14:paraId="7584C7B4" w14:textId="0C08F668">
            <w:pPr>
              <w:spacing w:before="120" w:after="120"/>
              <w:rPr>
                <w:rFonts w:ascii="Times New Roman" w:hAnsi="Times New Roman" w:cs="Times New Roman"/>
                <w:sz w:val="18"/>
                <w:szCs w:val="18"/>
              </w:rPr>
            </w:pPr>
            <w:r w:rsidRPr="006F34CD">
              <w:rPr>
                <w:rFonts w:ascii="Times New Roman" w:hAnsi="Times New Roman" w:cs="Times New Roman"/>
                <w:sz w:val="18"/>
                <w:szCs w:val="18"/>
              </w:rPr>
              <w:t>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01EE45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CF84A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4C5E1E5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38,243,874</w:t>
            </w:r>
          </w:p>
        </w:tc>
        <w:tc>
          <w:tcPr>
            <w:tcW w:w="992" w:type="dxa"/>
          </w:tcPr>
          <w:p w:rsidRPr="006F34CD" w:rsidR="00515FE0" w:rsidP="006F34CD" w:rsidRDefault="00515FE0" w14:paraId="51BED6B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250,000</w:t>
            </w:r>
          </w:p>
        </w:tc>
        <w:tc>
          <w:tcPr>
            <w:tcW w:w="992" w:type="dxa"/>
          </w:tcPr>
          <w:p w:rsidRPr="006F34CD" w:rsidR="00515FE0" w:rsidP="006F34CD" w:rsidRDefault="00515FE0" w14:paraId="213FB5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tr w:rsidRPr="006F34CD" w:rsidR="00515FE0" w:rsidTr="00EF028C" w14:paraId="4A40C17D" w14:textId="77777777">
        <w:trPr>
          <w:cantSplit/>
        </w:trPr>
        <w:tc>
          <w:tcPr>
            <w:tcW w:w="2249" w:type="dxa"/>
          </w:tcPr>
          <w:p w:rsidRPr="006F34CD" w:rsidR="00515FE0" w:rsidP="006F34CD" w:rsidRDefault="00515FE0" w14:paraId="2501AE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Mikhaylovich KALIN</w:t>
            </w:r>
          </w:p>
        </w:tc>
        <w:tc>
          <w:tcPr>
            <w:tcW w:w="836" w:type="dxa"/>
          </w:tcPr>
          <w:p w:rsidRPr="006F34CD" w:rsidR="00515FE0" w:rsidP="006F34CD" w:rsidRDefault="00515FE0" w14:paraId="4C988B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131C6DF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44B42FB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9771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DC8755" w14:textId="77777777">
            <w:pPr>
              <w:spacing w:before="120" w:after="120"/>
              <w:jc w:val="center"/>
              <w:rPr>
                <w:rFonts w:ascii="Times New Roman" w:hAnsi="Times New Roman" w:cs="Times New Roman"/>
                <w:sz w:val="18"/>
                <w:szCs w:val="18"/>
              </w:rPr>
            </w:pPr>
          </w:p>
        </w:tc>
      </w:tr>
      <w:tr w:rsidRPr="006F34CD" w:rsidR="00515FE0" w:rsidTr="00EF028C" w14:paraId="3EE29FDB" w14:textId="77777777">
        <w:trPr>
          <w:cantSplit/>
        </w:trPr>
        <w:tc>
          <w:tcPr>
            <w:tcW w:w="7508" w:type="dxa"/>
            <w:gridSpan w:val="6"/>
          </w:tcPr>
          <w:p w:rsidRPr="006F34CD" w:rsidR="00515FE0" w:rsidP="006F34CD" w:rsidRDefault="00515FE0" w14:paraId="314BAAC2" w14:textId="77777777">
            <w:pPr>
              <w:spacing w:before="120" w:after="120"/>
              <w:rPr>
                <w:rFonts w:ascii="Times New Roman" w:hAnsi="Times New Roman" w:cs="Times New Roman"/>
                <w:sz w:val="18"/>
                <w:szCs w:val="18"/>
                <w:lang w:val="en-US"/>
              </w:rPr>
            </w:pPr>
            <w:r w:rsidRPr="006F34CD">
              <w:rPr>
                <w:rFonts w:ascii="Times New Roman" w:hAnsi="Times New Roman" w:cs="Times New Roman"/>
                <w:sz w:val="18"/>
                <w:szCs w:val="18"/>
                <w:lang w:val="en-US"/>
              </w:rPr>
              <w:t xml:space="preserve">Application no. 39417/17, </w:t>
            </w:r>
            <w:r w:rsidRPr="006F34CD">
              <w:rPr>
                <w:rFonts w:ascii="Times New Roman" w:hAnsi="Times New Roman" w:cs="Times New Roman"/>
                <w:i/>
                <w:sz w:val="18"/>
                <w:szCs w:val="18"/>
                <w:lang w:val="en-US"/>
              </w:rPr>
              <w:t>Christensen v. Russia</w:t>
            </w:r>
          </w:p>
        </w:tc>
      </w:tr>
      <w:tr w:rsidRPr="006F34CD" w:rsidR="00515FE0" w:rsidTr="00EF028C" w14:paraId="01021AE5" w14:textId="77777777">
        <w:trPr>
          <w:cantSplit/>
        </w:trPr>
        <w:tc>
          <w:tcPr>
            <w:tcW w:w="2249" w:type="dxa"/>
          </w:tcPr>
          <w:p w:rsidRPr="006F34CD" w:rsidR="00515FE0" w:rsidP="006F34CD" w:rsidRDefault="00515FE0" w14:paraId="171B64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Dennis Ole CHRISTENSEN</w:t>
            </w:r>
          </w:p>
        </w:tc>
        <w:tc>
          <w:tcPr>
            <w:tcW w:w="836" w:type="dxa"/>
          </w:tcPr>
          <w:p w:rsidRPr="006F34CD" w:rsidR="00515FE0" w:rsidP="006F34CD" w:rsidRDefault="00515FE0" w14:paraId="10DA62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250474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Orel</w:t>
            </w:r>
          </w:p>
        </w:tc>
        <w:tc>
          <w:tcPr>
            <w:tcW w:w="1134" w:type="dxa"/>
          </w:tcPr>
          <w:p w:rsidRPr="006F34CD" w:rsidR="00515FE0" w:rsidP="006F34CD" w:rsidRDefault="00515FE0" w14:paraId="36E4D7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3,543</w:t>
            </w:r>
          </w:p>
        </w:tc>
        <w:tc>
          <w:tcPr>
            <w:tcW w:w="992" w:type="dxa"/>
          </w:tcPr>
          <w:p w:rsidRPr="006F34CD" w:rsidR="00515FE0" w:rsidP="006F34CD" w:rsidRDefault="00515FE0" w14:paraId="043061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F08005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15,000</w:t>
            </w:r>
          </w:p>
        </w:tc>
      </w:tr>
      <w:tr w:rsidRPr="006F34CD" w:rsidR="00515FE0" w:rsidTr="00EF028C" w14:paraId="34D36279" w14:textId="77777777">
        <w:trPr>
          <w:cantSplit/>
        </w:trPr>
        <w:tc>
          <w:tcPr>
            <w:tcW w:w="7508" w:type="dxa"/>
            <w:gridSpan w:val="6"/>
          </w:tcPr>
          <w:p w:rsidRPr="006F34CD" w:rsidR="00515FE0" w:rsidP="006F34CD" w:rsidRDefault="00515FE0" w14:paraId="48CE7E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3215/18, </w:t>
            </w:r>
            <w:r w:rsidRPr="006F34CD">
              <w:rPr>
                <w:rFonts w:ascii="Times New Roman" w:hAnsi="Times New Roman" w:cs="Times New Roman"/>
                <w:i/>
                <w:sz w:val="18"/>
                <w:szCs w:val="18"/>
              </w:rPr>
              <w:t>Glazov LRO and Others v. Russia</w:t>
            </w:r>
          </w:p>
        </w:tc>
      </w:tr>
      <w:tr w:rsidRPr="006F34CD" w:rsidR="00515FE0" w:rsidTr="00EF028C" w14:paraId="3F3DFAC7" w14:textId="77777777">
        <w:trPr>
          <w:cantSplit/>
        </w:trPr>
        <w:tc>
          <w:tcPr>
            <w:tcW w:w="2249" w:type="dxa"/>
          </w:tcPr>
          <w:p w:rsidRPr="006F34CD" w:rsidR="00515FE0" w:rsidP="006F34CD" w:rsidRDefault="00515FE0" w14:paraId="2C759E57" w14:textId="40D1EC8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Abaza</w:t>
            </w:r>
          </w:p>
        </w:tc>
        <w:tc>
          <w:tcPr>
            <w:tcW w:w="836" w:type="dxa"/>
          </w:tcPr>
          <w:p w:rsidRPr="006F34CD" w:rsidR="00515FE0" w:rsidP="006F34CD" w:rsidRDefault="00515FE0" w14:paraId="374836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84DED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Abaza</w:t>
            </w:r>
          </w:p>
        </w:tc>
        <w:tc>
          <w:tcPr>
            <w:tcW w:w="1134" w:type="dxa"/>
          </w:tcPr>
          <w:p w:rsidRPr="006F34CD" w:rsidR="00515FE0" w:rsidP="006F34CD" w:rsidRDefault="00515FE0" w14:paraId="10A03F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40,933</w:t>
            </w:r>
          </w:p>
        </w:tc>
        <w:tc>
          <w:tcPr>
            <w:tcW w:w="992" w:type="dxa"/>
          </w:tcPr>
          <w:p w:rsidRPr="006F34CD" w:rsidR="00515FE0" w:rsidP="006F34CD" w:rsidRDefault="00515FE0" w14:paraId="6EB896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A6B3E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28ED4B3" w14:textId="77777777">
        <w:trPr>
          <w:cantSplit/>
        </w:trPr>
        <w:tc>
          <w:tcPr>
            <w:tcW w:w="2249" w:type="dxa"/>
          </w:tcPr>
          <w:p w:rsidRPr="006F34CD" w:rsidR="00515FE0" w:rsidP="006F34CD" w:rsidRDefault="00515FE0" w14:paraId="47CA6C60" w14:textId="6F3A3D3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Achinsk</w:t>
            </w:r>
          </w:p>
        </w:tc>
        <w:tc>
          <w:tcPr>
            <w:tcW w:w="836" w:type="dxa"/>
          </w:tcPr>
          <w:p w:rsidRPr="006F34CD" w:rsidR="00515FE0" w:rsidP="006F34CD" w:rsidRDefault="00515FE0" w14:paraId="3BAC6E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11EA7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Achinsk</w:t>
            </w:r>
          </w:p>
        </w:tc>
        <w:tc>
          <w:tcPr>
            <w:tcW w:w="1134" w:type="dxa"/>
          </w:tcPr>
          <w:p w:rsidRPr="006F34CD" w:rsidR="00515FE0" w:rsidP="006F34CD" w:rsidRDefault="00515FE0" w14:paraId="700C02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7BD940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EE3C1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F4F2F8B" w14:textId="77777777">
        <w:trPr>
          <w:cantSplit/>
        </w:trPr>
        <w:tc>
          <w:tcPr>
            <w:tcW w:w="2249" w:type="dxa"/>
          </w:tcPr>
          <w:p w:rsidRPr="006F34CD" w:rsidR="00515FE0" w:rsidP="006F34CD" w:rsidRDefault="00515FE0" w14:paraId="1C82C134" w14:textId="073439C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"Adler"</w:t>
            </w:r>
          </w:p>
        </w:tc>
        <w:tc>
          <w:tcPr>
            <w:tcW w:w="836" w:type="dxa"/>
          </w:tcPr>
          <w:p w:rsidRPr="006F34CD" w:rsidR="00515FE0" w:rsidP="006F34CD" w:rsidRDefault="00515FE0" w14:paraId="5F3AAA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89D7D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Sochi</w:t>
            </w:r>
          </w:p>
        </w:tc>
        <w:tc>
          <w:tcPr>
            <w:tcW w:w="1134" w:type="dxa"/>
          </w:tcPr>
          <w:p w:rsidRPr="006F34CD" w:rsidR="00515FE0" w:rsidP="006F34CD" w:rsidRDefault="00515FE0" w14:paraId="7CDE6C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705,979</w:t>
            </w:r>
          </w:p>
        </w:tc>
        <w:tc>
          <w:tcPr>
            <w:tcW w:w="992" w:type="dxa"/>
          </w:tcPr>
          <w:p w:rsidRPr="006F34CD" w:rsidR="00515FE0" w:rsidP="006F34CD" w:rsidRDefault="00515FE0" w14:paraId="7BE76C6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835B43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C6A4012" w14:textId="77777777">
        <w:trPr>
          <w:cantSplit/>
        </w:trPr>
        <w:tc>
          <w:tcPr>
            <w:tcW w:w="2249" w:type="dxa"/>
          </w:tcPr>
          <w:p w:rsidRPr="006F34CD" w:rsidR="00515FE0" w:rsidP="006F34CD" w:rsidRDefault="00515FE0" w14:paraId="5BDFBCB0" w14:textId="1CB488C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Adygeysk</w:t>
            </w:r>
          </w:p>
        </w:tc>
        <w:tc>
          <w:tcPr>
            <w:tcW w:w="836" w:type="dxa"/>
          </w:tcPr>
          <w:p w:rsidRPr="006F34CD" w:rsidR="00515FE0" w:rsidP="006F34CD" w:rsidRDefault="00515FE0" w14:paraId="315699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25C32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Adygeysk</w:t>
            </w:r>
          </w:p>
        </w:tc>
        <w:tc>
          <w:tcPr>
            <w:tcW w:w="1134" w:type="dxa"/>
          </w:tcPr>
          <w:p w:rsidRPr="006F34CD" w:rsidR="00515FE0" w:rsidP="006F34CD" w:rsidRDefault="00515FE0" w14:paraId="05FDC5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396970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32CE5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B0D97F7" w14:textId="77777777">
        <w:trPr>
          <w:cantSplit/>
        </w:trPr>
        <w:tc>
          <w:tcPr>
            <w:tcW w:w="2249" w:type="dxa"/>
          </w:tcPr>
          <w:p w:rsidRPr="006F34CD" w:rsidR="00515FE0" w:rsidP="006F34CD" w:rsidRDefault="00515FE0" w14:paraId="3328B24E" w14:textId="24986B6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Alagir</w:t>
            </w:r>
          </w:p>
        </w:tc>
        <w:tc>
          <w:tcPr>
            <w:tcW w:w="836" w:type="dxa"/>
          </w:tcPr>
          <w:p w:rsidRPr="006F34CD" w:rsidR="00515FE0" w:rsidP="006F34CD" w:rsidRDefault="00515FE0" w14:paraId="3B4D23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967B0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Alagir</w:t>
            </w:r>
          </w:p>
        </w:tc>
        <w:tc>
          <w:tcPr>
            <w:tcW w:w="1134" w:type="dxa"/>
          </w:tcPr>
          <w:p w:rsidRPr="006F34CD" w:rsidR="00515FE0" w:rsidP="006F34CD" w:rsidRDefault="00515FE0" w14:paraId="39DAFA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0D96C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02373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DAE9CFF" w14:textId="77777777">
        <w:trPr>
          <w:cantSplit/>
        </w:trPr>
        <w:tc>
          <w:tcPr>
            <w:tcW w:w="2249" w:type="dxa"/>
          </w:tcPr>
          <w:p w:rsidRPr="006F34CD" w:rsidR="00515FE0" w:rsidP="006F34CD" w:rsidRDefault="00515FE0" w14:paraId="538BCF1F" w14:textId="41B29D0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"Aleysk"</w:t>
            </w:r>
          </w:p>
        </w:tc>
        <w:tc>
          <w:tcPr>
            <w:tcW w:w="836" w:type="dxa"/>
          </w:tcPr>
          <w:p w:rsidRPr="006F34CD" w:rsidR="00515FE0" w:rsidP="006F34CD" w:rsidRDefault="00515FE0" w14:paraId="3595C3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4D84C2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Aleysk</w:t>
            </w:r>
          </w:p>
        </w:tc>
        <w:tc>
          <w:tcPr>
            <w:tcW w:w="1134" w:type="dxa"/>
          </w:tcPr>
          <w:p w:rsidRPr="006F34CD" w:rsidR="00515FE0" w:rsidP="006F34CD" w:rsidRDefault="00515FE0" w14:paraId="792A337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05F5F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6B9B70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20C7973" w14:textId="77777777">
        <w:trPr>
          <w:cantSplit/>
        </w:trPr>
        <w:tc>
          <w:tcPr>
            <w:tcW w:w="2249" w:type="dxa"/>
          </w:tcPr>
          <w:p w:rsidRPr="006F34CD" w:rsidR="00515FE0" w:rsidP="006F34CD" w:rsidRDefault="00515FE0" w14:paraId="3EC9B163" w14:textId="0EB08E8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Almetyevsk of the "Administrative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5AA6F9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52B062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Almetyevsk</w:t>
            </w:r>
          </w:p>
        </w:tc>
        <w:tc>
          <w:tcPr>
            <w:tcW w:w="1134" w:type="dxa"/>
          </w:tcPr>
          <w:p w:rsidRPr="006F34CD" w:rsidR="00515FE0" w:rsidP="006F34CD" w:rsidRDefault="00515FE0" w14:paraId="53CCDB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47,509</w:t>
            </w:r>
          </w:p>
        </w:tc>
        <w:tc>
          <w:tcPr>
            <w:tcW w:w="992" w:type="dxa"/>
          </w:tcPr>
          <w:p w:rsidRPr="006F34CD" w:rsidR="00515FE0" w:rsidP="006F34CD" w:rsidRDefault="00515FE0" w14:paraId="751FC1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E565B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62DBDF4" w14:textId="77777777">
        <w:trPr>
          <w:cantSplit/>
        </w:trPr>
        <w:tc>
          <w:tcPr>
            <w:tcW w:w="2249" w:type="dxa"/>
          </w:tcPr>
          <w:p w:rsidRPr="006F34CD" w:rsidR="00515FE0" w:rsidP="006F34CD" w:rsidRDefault="00515FE0" w14:paraId="239C108A" w14:textId="356F117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City-Resort Anapa</w:t>
            </w:r>
          </w:p>
        </w:tc>
        <w:tc>
          <w:tcPr>
            <w:tcW w:w="836" w:type="dxa"/>
          </w:tcPr>
          <w:p w:rsidRPr="006F34CD" w:rsidR="00515FE0" w:rsidP="006F34CD" w:rsidRDefault="00515FE0" w14:paraId="353336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08CC36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Anapa</w:t>
            </w:r>
          </w:p>
        </w:tc>
        <w:tc>
          <w:tcPr>
            <w:tcW w:w="1134" w:type="dxa"/>
          </w:tcPr>
          <w:p w:rsidRPr="006F34CD" w:rsidR="00515FE0" w:rsidP="006F34CD" w:rsidRDefault="00515FE0" w14:paraId="1D4BA0B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84,613</w:t>
            </w:r>
          </w:p>
        </w:tc>
        <w:tc>
          <w:tcPr>
            <w:tcW w:w="992" w:type="dxa"/>
          </w:tcPr>
          <w:p w:rsidRPr="006F34CD" w:rsidR="00515FE0" w:rsidP="006F34CD" w:rsidRDefault="00515FE0" w14:paraId="796101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99076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1258E1D" w14:textId="77777777">
        <w:trPr>
          <w:cantSplit/>
        </w:trPr>
        <w:tc>
          <w:tcPr>
            <w:tcW w:w="2249" w:type="dxa"/>
          </w:tcPr>
          <w:p w:rsidRPr="006F34CD" w:rsidR="00515FE0" w:rsidP="006F34CD" w:rsidRDefault="00515FE0" w14:paraId="33DD0B2A" w14:textId="043574B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"Angarsk"</w:t>
            </w:r>
          </w:p>
        </w:tc>
        <w:tc>
          <w:tcPr>
            <w:tcW w:w="836" w:type="dxa"/>
          </w:tcPr>
          <w:p w:rsidRPr="006F34CD" w:rsidR="00515FE0" w:rsidP="006F34CD" w:rsidRDefault="00515FE0" w14:paraId="420215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6507BD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Angarsk</w:t>
            </w:r>
          </w:p>
        </w:tc>
        <w:tc>
          <w:tcPr>
            <w:tcW w:w="1134" w:type="dxa"/>
          </w:tcPr>
          <w:p w:rsidRPr="006F34CD" w:rsidR="00515FE0" w:rsidP="006F34CD" w:rsidRDefault="00515FE0" w14:paraId="7500EE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98,788</w:t>
            </w:r>
          </w:p>
        </w:tc>
        <w:tc>
          <w:tcPr>
            <w:tcW w:w="992" w:type="dxa"/>
          </w:tcPr>
          <w:p w:rsidRPr="006F34CD" w:rsidR="00515FE0" w:rsidP="006F34CD" w:rsidRDefault="00515FE0" w14:paraId="3FCA51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F984F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646EA5B" w14:textId="77777777">
        <w:trPr>
          <w:cantSplit/>
        </w:trPr>
        <w:tc>
          <w:tcPr>
            <w:tcW w:w="2249" w:type="dxa"/>
          </w:tcPr>
          <w:p w:rsidRPr="006F34CD" w:rsidR="00515FE0" w:rsidP="006F34CD" w:rsidRDefault="00515FE0" w14:paraId="38C9C108" w14:textId="3669825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Anzhero-Sudzhensk</w:t>
            </w:r>
          </w:p>
        </w:tc>
        <w:tc>
          <w:tcPr>
            <w:tcW w:w="836" w:type="dxa"/>
          </w:tcPr>
          <w:p w:rsidRPr="006F34CD" w:rsidR="00515FE0" w:rsidP="006F34CD" w:rsidRDefault="00515FE0" w14:paraId="2EFF29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DDD36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Anzhero-Sudzhensk</w:t>
            </w:r>
          </w:p>
        </w:tc>
        <w:tc>
          <w:tcPr>
            <w:tcW w:w="1134" w:type="dxa"/>
          </w:tcPr>
          <w:p w:rsidRPr="006F34CD" w:rsidR="00515FE0" w:rsidP="006F34CD" w:rsidRDefault="00515FE0" w14:paraId="7A92719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1D12E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96B59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56337B4" w14:textId="77777777">
        <w:trPr>
          <w:cantSplit/>
        </w:trPr>
        <w:tc>
          <w:tcPr>
            <w:tcW w:w="2249" w:type="dxa"/>
          </w:tcPr>
          <w:p w:rsidRPr="006F34CD" w:rsidR="00515FE0" w:rsidP="006F34CD" w:rsidRDefault="00515FE0" w14:paraId="099974B6" w14:textId="6495145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"Apatity"</w:t>
            </w:r>
          </w:p>
        </w:tc>
        <w:tc>
          <w:tcPr>
            <w:tcW w:w="836" w:type="dxa"/>
          </w:tcPr>
          <w:p w:rsidRPr="006F34CD" w:rsidR="00515FE0" w:rsidP="006F34CD" w:rsidRDefault="00515FE0" w14:paraId="5F1F20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483ABC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Apatity</w:t>
            </w:r>
          </w:p>
        </w:tc>
        <w:tc>
          <w:tcPr>
            <w:tcW w:w="1134" w:type="dxa"/>
          </w:tcPr>
          <w:p w:rsidRPr="006F34CD" w:rsidR="00515FE0" w:rsidP="006F34CD" w:rsidRDefault="00515FE0" w14:paraId="1057CA8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30108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9A7CC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472CC77" w14:textId="77777777">
        <w:trPr>
          <w:cantSplit/>
        </w:trPr>
        <w:tc>
          <w:tcPr>
            <w:tcW w:w="2249" w:type="dxa"/>
          </w:tcPr>
          <w:p w:rsidRPr="006F34CD" w:rsidR="00515FE0" w:rsidP="006F34CD" w:rsidRDefault="00515FE0" w14:paraId="6A5CB2BB" w14:textId="3189190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Apsheronsk</w:t>
            </w:r>
          </w:p>
        </w:tc>
        <w:tc>
          <w:tcPr>
            <w:tcW w:w="836" w:type="dxa"/>
          </w:tcPr>
          <w:p w:rsidRPr="006F34CD" w:rsidR="00515FE0" w:rsidP="006F34CD" w:rsidRDefault="00515FE0" w14:paraId="01418E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4B073A5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Apsheronsk</w:t>
            </w:r>
          </w:p>
        </w:tc>
        <w:tc>
          <w:tcPr>
            <w:tcW w:w="1134" w:type="dxa"/>
          </w:tcPr>
          <w:p w:rsidRPr="006F34CD" w:rsidR="00515FE0" w:rsidP="006F34CD" w:rsidRDefault="00515FE0" w14:paraId="6F55605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258,716</w:t>
            </w:r>
          </w:p>
        </w:tc>
        <w:tc>
          <w:tcPr>
            <w:tcW w:w="992" w:type="dxa"/>
          </w:tcPr>
          <w:p w:rsidRPr="006F34CD" w:rsidR="00515FE0" w:rsidP="006F34CD" w:rsidRDefault="00515FE0" w14:paraId="395DB4E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AF2174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62464E9" w14:textId="77777777">
        <w:trPr>
          <w:cantSplit/>
        </w:trPr>
        <w:tc>
          <w:tcPr>
            <w:tcW w:w="2249" w:type="dxa"/>
          </w:tcPr>
          <w:p w:rsidRPr="006F34CD" w:rsidR="00515FE0" w:rsidP="006F34CD" w:rsidRDefault="00515FE0" w14:paraId="131ABF62" w14:textId="5D3E9B0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"Arbekovo, Penza"</w:t>
            </w:r>
          </w:p>
        </w:tc>
        <w:tc>
          <w:tcPr>
            <w:tcW w:w="836" w:type="dxa"/>
          </w:tcPr>
          <w:p w:rsidRPr="006F34CD" w:rsidR="00515FE0" w:rsidP="006F34CD" w:rsidRDefault="00515FE0" w14:paraId="042CD7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74FC1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Penza</w:t>
            </w:r>
          </w:p>
        </w:tc>
        <w:tc>
          <w:tcPr>
            <w:tcW w:w="1134" w:type="dxa"/>
          </w:tcPr>
          <w:p w:rsidRPr="006F34CD" w:rsidR="00515FE0" w:rsidP="006F34CD" w:rsidRDefault="00515FE0" w14:paraId="59AE635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2518D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43667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2B46249" w14:textId="77777777">
        <w:trPr>
          <w:cantSplit/>
        </w:trPr>
        <w:tc>
          <w:tcPr>
            <w:tcW w:w="2249" w:type="dxa"/>
          </w:tcPr>
          <w:p w:rsidRPr="006F34CD" w:rsidR="00515FE0" w:rsidP="006F34CD" w:rsidRDefault="00515FE0" w14:paraId="5D4003E0" w14:textId="3BF5A93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Armavir</w:t>
            </w:r>
          </w:p>
        </w:tc>
        <w:tc>
          <w:tcPr>
            <w:tcW w:w="836" w:type="dxa"/>
          </w:tcPr>
          <w:p w:rsidRPr="006F34CD" w:rsidR="00515FE0" w:rsidP="006F34CD" w:rsidRDefault="00515FE0" w14:paraId="7BE1A2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1A1B92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Armavir</w:t>
            </w:r>
          </w:p>
        </w:tc>
        <w:tc>
          <w:tcPr>
            <w:tcW w:w="1134" w:type="dxa"/>
          </w:tcPr>
          <w:p w:rsidRPr="006F34CD" w:rsidR="00515FE0" w:rsidP="006F34CD" w:rsidRDefault="00515FE0" w14:paraId="2EC86E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157,317</w:t>
            </w:r>
          </w:p>
        </w:tc>
        <w:tc>
          <w:tcPr>
            <w:tcW w:w="992" w:type="dxa"/>
          </w:tcPr>
          <w:p w:rsidRPr="006F34CD" w:rsidR="00515FE0" w:rsidP="006F34CD" w:rsidRDefault="00515FE0" w14:paraId="5A4095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AA8A4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A2F8D32" w14:textId="77777777">
        <w:trPr>
          <w:cantSplit/>
        </w:trPr>
        <w:tc>
          <w:tcPr>
            <w:tcW w:w="2249" w:type="dxa"/>
          </w:tcPr>
          <w:p w:rsidRPr="006F34CD" w:rsidR="00515FE0" w:rsidP="006F34CD" w:rsidRDefault="00515FE0" w14:paraId="4D2B6076" w14:textId="0520DC3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Armyansk</w:t>
            </w:r>
          </w:p>
        </w:tc>
        <w:tc>
          <w:tcPr>
            <w:tcW w:w="836" w:type="dxa"/>
          </w:tcPr>
          <w:p w:rsidRPr="006F34CD" w:rsidR="00515FE0" w:rsidP="006F34CD" w:rsidRDefault="00515FE0" w14:paraId="142075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3C54C2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Armyansk</w:t>
            </w:r>
          </w:p>
        </w:tc>
        <w:tc>
          <w:tcPr>
            <w:tcW w:w="1134" w:type="dxa"/>
          </w:tcPr>
          <w:p w:rsidRPr="006F34CD" w:rsidR="00515FE0" w:rsidP="006F34CD" w:rsidRDefault="00515FE0" w14:paraId="1AC1C6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16F682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9FDD7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47AFAF5" w14:textId="77777777">
        <w:trPr>
          <w:cantSplit/>
        </w:trPr>
        <w:tc>
          <w:tcPr>
            <w:tcW w:w="2249" w:type="dxa"/>
          </w:tcPr>
          <w:p w:rsidRPr="006F34CD" w:rsidR="00515FE0" w:rsidP="006F34CD" w:rsidRDefault="00515FE0" w14:paraId="3D48ACF4" w14:textId="1C4B607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Arsenyev</w:t>
            </w:r>
          </w:p>
        </w:tc>
        <w:tc>
          <w:tcPr>
            <w:tcW w:w="836" w:type="dxa"/>
          </w:tcPr>
          <w:p w:rsidRPr="006F34CD" w:rsidR="00515FE0" w:rsidP="006F34CD" w:rsidRDefault="00515FE0" w14:paraId="281FD4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8336C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Arsenyev</w:t>
            </w:r>
          </w:p>
        </w:tc>
        <w:tc>
          <w:tcPr>
            <w:tcW w:w="1134" w:type="dxa"/>
          </w:tcPr>
          <w:p w:rsidRPr="006F34CD" w:rsidR="00515FE0" w:rsidP="006F34CD" w:rsidRDefault="00515FE0" w14:paraId="17E4B44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137,746</w:t>
            </w:r>
          </w:p>
        </w:tc>
        <w:tc>
          <w:tcPr>
            <w:tcW w:w="992" w:type="dxa"/>
          </w:tcPr>
          <w:p w:rsidRPr="006F34CD" w:rsidR="00515FE0" w:rsidP="006F34CD" w:rsidRDefault="00515FE0" w14:paraId="3BE3E4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0B46B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2B39476" w14:textId="77777777">
        <w:trPr>
          <w:cantSplit/>
        </w:trPr>
        <w:tc>
          <w:tcPr>
            <w:tcW w:w="2249" w:type="dxa"/>
          </w:tcPr>
          <w:p w:rsidRPr="006F34CD" w:rsidR="00515FE0" w:rsidP="006F34CD" w:rsidRDefault="00515FE0" w14:paraId="4CFA55CE" w14:textId="2750B52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Artem</w:t>
            </w:r>
          </w:p>
        </w:tc>
        <w:tc>
          <w:tcPr>
            <w:tcW w:w="836" w:type="dxa"/>
          </w:tcPr>
          <w:p w:rsidRPr="006F34CD" w:rsidR="00515FE0" w:rsidP="006F34CD" w:rsidRDefault="00515FE0" w14:paraId="3ABAA0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4B1A7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Artem</w:t>
            </w:r>
          </w:p>
        </w:tc>
        <w:tc>
          <w:tcPr>
            <w:tcW w:w="1134" w:type="dxa"/>
          </w:tcPr>
          <w:p w:rsidRPr="006F34CD" w:rsidR="00515FE0" w:rsidP="006F34CD" w:rsidRDefault="00515FE0" w14:paraId="4E7366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128,553</w:t>
            </w:r>
          </w:p>
        </w:tc>
        <w:tc>
          <w:tcPr>
            <w:tcW w:w="992" w:type="dxa"/>
          </w:tcPr>
          <w:p w:rsidRPr="006F34CD" w:rsidR="00515FE0" w:rsidP="006F34CD" w:rsidRDefault="00515FE0" w14:paraId="3C3186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30E9D4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CD44C47" w14:textId="77777777">
        <w:trPr>
          <w:cantSplit/>
        </w:trPr>
        <w:tc>
          <w:tcPr>
            <w:tcW w:w="2249" w:type="dxa"/>
          </w:tcPr>
          <w:p w:rsidRPr="006F34CD" w:rsidR="00515FE0" w:rsidP="006F34CD" w:rsidRDefault="00515FE0" w14:paraId="6E536881" w14:textId="3CEE589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Asino</w:t>
            </w:r>
          </w:p>
        </w:tc>
        <w:tc>
          <w:tcPr>
            <w:tcW w:w="836" w:type="dxa"/>
          </w:tcPr>
          <w:p w:rsidRPr="006F34CD" w:rsidR="00515FE0" w:rsidP="006F34CD" w:rsidRDefault="00515FE0" w14:paraId="10DCFD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08F99D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Asino</w:t>
            </w:r>
          </w:p>
        </w:tc>
        <w:tc>
          <w:tcPr>
            <w:tcW w:w="1134" w:type="dxa"/>
          </w:tcPr>
          <w:p w:rsidRPr="006F34CD" w:rsidR="00515FE0" w:rsidP="006F34CD" w:rsidRDefault="00515FE0" w14:paraId="6B1212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48,634</w:t>
            </w:r>
          </w:p>
        </w:tc>
        <w:tc>
          <w:tcPr>
            <w:tcW w:w="992" w:type="dxa"/>
          </w:tcPr>
          <w:p w:rsidRPr="006F34CD" w:rsidR="00515FE0" w:rsidP="006F34CD" w:rsidRDefault="00515FE0" w14:paraId="2F49E9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195D9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6862B8A" w14:textId="77777777">
        <w:trPr>
          <w:cantSplit/>
        </w:trPr>
        <w:tc>
          <w:tcPr>
            <w:tcW w:w="2249" w:type="dxa"/>
          </w:tcPr>
          <w:p w:rsidRPr="006F34CD" w:rsidR="00515FE0" w:rsidP="006F34CD" w:rsidRDefault="00515FE0" w14:paraId="677F1AD4" w14:textId="210B231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Astrakhan</w:t>
            </w:r>
          </w:p>
        </w:tc>
        <w:tc>
          <w:tcPr>
            <w:tcW w:w="836" w:type="dxa"/>
          </w:tcPr>
          <w:p w:rsidRPr="006F34CD" w:rsidR="00515FE0" w:rsidP="006F34CD" w:rsidRDefault="00515FE0" w14:paraId="12352B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CD0E5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Astrakhan</w:t>
            </w:r>
          </w:p>
        </w:tc>
        <w:tc>
          <w:tcPr>
            <w:tcW w:w="1134" w:type="dxa"/>
          </w:tcPr>
          <w:p w:rsidRPr="006F34CD" w:rsidR="00515FE0" w:rsidP="006F34CD" w:rsidRDefault="00515FE0" w14:paraId="14FA4F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166,034</w:t>
            </w:r>
          </w:p>
        </w:tc>
        <w:tc>
          <w:tcPr>
            <w:tcW w:w="992" w:type="dxa"/>
          </w:tcPr>
          <w:p w:rsidRPr="006F34CD" w:rsidR="00515FE0" w:rsidP="006F34CD" w:rsidRDefault="00515FE0" w14:paraId="61B5DFD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959D6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031C069" w14:textId="77777777">
        <w:trPr>
          <w:cantSplit/>
        </w:trPr>
        <w:tc>
          <w:tcPr>
            <w:tcW w:w="2249" w:type="dxa"/>
          </w:tcPr>
          <w:p w:rsidRPr="006F34CD" w:rsidR="00515FE0" w:rsidP="006F34CD" w:rsidRDefault="00515FE0" w14:paraId="04411478" w14:textId="17F9244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Azovskiy District</w:t>
            </w:r>
          </w:p>
        </w:tc>
        <w:tc>
          <w:tcPr>
            <w:tcW w:w="836" w:type="dxa"/>
          </w:tcPr>
          <w:p w:rsidRPr="006F34CD" w:rsidR="00515FE0" w:rsidP="006F34CD" w:rsidRDefault="00515FE0" w14:paraId="4FBAF0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5198D0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Azov</w:t>
            </w:r>
          </w:p>
        </w:tc>
        <w:tc>
          <w:tcPr>
            <w:tcW w:w="1134" w:type="dxa"/>
          </w:tcPr>
          <w:p w:rsidRPr="006F34CD" w:rsidR="00515FE0" w:rsidP="006F34CD" w:rsidRDefault="00515FE0" w14:paraId="6E7F24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A382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1DF57A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3EE135A" w14:textId="77777777">
        <w:trPr>
          <w:cantSplit/>
        </w:trPr>
        <w:tc>
          <w:tcPr>
            <w:tcW w:w="2249" w:type="dxa"/>
          </w:tcPr>
          <w:p w:rsidRPr="006F34CD" w:rsidR="00515FE0" w:rsidP="006F34CD" w:rsidRDefault="00515FE0" w14:paraId="3FAF5ED4" w14:textId="144076E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Balakovo of the Saratov Region</w:t>
            </w:r>
          </w:p>
        </w:tc>
        <w:tc>
          <w:tcPr>
            <w:tcW w:w="836" w:type="dxa"/>
          </w:tcPr>
          <w:p w:rsidRPr="006F34CD" w:rsidR="00515FE0" w:rsidP="006F34CD" w:rsidRDefault="00515FE0" w14:paraId="45D5BD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33E563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Balakovo</w:t>
            </w:r>
          </w:p>
        </w:tc>
        <w:tc>
          <w:tcPr>
            <w:tcW w:w="1134" w:type="dxa"/>
          </w:tcPr>
          <w:p w:rsidRPr="006F34CD" w:rsidR="00515FE0" w:rsidP="006F34CD" w:rsidRDefault="00515FE0" w14:paraId="0218BDE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408,460</w:t>
            </w:r>
          </w:p>
        </w:tc>
        <w:tc>
          <w:tcPr>
            <w:tcW w:w="992" w:type="dxa"/>
          </w:tcPr>
          <w:p w:rsidRPr="006F34CD" w:rsidR="00515FE0" w:rsidP="006F34CD" w:rsidRDefault="00515FE0" w14:paraId="0A3959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520BC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4A01F1A" w14:textId="77777777">
        <w:trPr>
          <w:cantSplit/>
        </w:trPr>
        <w:tc>
          <w:tcPr>
            <w:tcW w:w="2249" w:type="dxa"/>
          </w:tcPr>
          <w:p w:rsidRPr="006F34CD" w:rsidR="00515FE0" w:rsidP="006F34CD" w:rsidRDefault="00515FE0" w14:paraId="3F693FB5" w14:textId="01701F0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Balashikhinskiy District</w:t>
            </w:r>
          </w:p>
        </w:tc>
        <w:tc>
          <w:tcPr>
            <w:tcW w:w="836" w:type="dxa"/>
          </w:tcPr>
          <w:p w:rsidRPr="006F34CD" w:rsidR="00515FE0" w:rsidP="006F34CD" w:rsidRDefault="00515FE0" w14:paraId="43BDDE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61501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Balashikha</w:t>
            </w:r>
          </w:p>
        </w:tc>
        <w:tc>
          <w:tcPr>
            <w:tcW w:w="1134" w:type="dxa"/>
          </w:tcPr>
          <w:p w:rsidRPr="006F34CD" w:rsidR="00515FE0" w:rsidP="006F34CD" w:rsidRDefault="00515FE0" w14:paraId="4EDE8D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ADA10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AAE1D2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F09E9BB" w14:textId="77777777">
        <w:trPr>
          <w:cantSplit/>
        </w:trPr>
        <w:tc>
          <w:tcPr>
            <w:tcW w:w="2249" w:type="dxa"/>
          </w:tcPr>
          <w:p w:rsidRPr="006F34CD" w:rsidR="00515FE0" w:rsidP="006F34CD" w:rsidRDefault="00515FE0" w14:paraId="3DD6176A" w14:textId="23EDA71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Balashov of the Saratov Region</w:t>
            </w:r>
          </w:p>
        </w:tc>
        <w:tc>
          <w:tcPr>
            <w:tcW w:w="836" w:type="dxa"/>
          </w:tcPr>
          <w:p w:rsidRPr="006F34CD" w:rsidR="00515FE0" w:rsidP="006F34CD" w:rsidRDefault="00515FE0" w14:paraId="594D17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D96C2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Balashov</w:t>
            </w:r>
          </w:p>
        </w:tc>
        <w:tc>
          <w:tcPr>
            <w:tcW w:w="1134" w:type="dxa"/>
          </w:tcPr>
          <w:p w:rsidRPr="006F34CD" w:rsidR="00515FE0" w:rsidP="006F34CD" w:rsidRDefault="00515FE0" w14:paraId="1BA612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58,377</w:t>
            </w:r>
          </w:p>
        </w:tc>
        <w:tc>
          <w:tcPr>
            <w:tcW w:w="992" w:type="dxa"/>
          </w:tcPr>
          <w:p w:rsidRPr="006F34CD" w:rsidR="00515FE0" w:rsidP="006F34CD" w:rsidRDefault="00515FE0" w14:paraId="4D1119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41119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1864E54" w14:textId="77777777">
        <w:trPr>
          <w:cantSplit/>
        </w:trPr>
        <w:tc>
          <w:tcPr>
            <w:tcW w:w="2249" w:type="dxa"/>
          </w:tcPr>
          <w:p w:rsidRPr="006F34CD" w:rsidR="00515FE0" w:rsidP="006F34CD" w:rsidRDefault="00515FE0" w14:paraId="7A587110" w14:textId="2AA49B2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"Baltiyskoye"</w:t>
            </w:r>
          </w:p>
        </w:tc>
        <w:tc>
          <w:tcPr>
            <w:tcW w:w="836" w:type="dxa"/>
          </w:tcPr>
          <w:p w:rsidRPr="006F34CD" w:rsidR="00515FE0" w:rsidP="006F34CD" w:rsidRDefault="00515FE0" w14:paraId="2DF673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2007</w:t>
            </w:r>
          </w:p>
        </w:tc>
        <w:tc>
          <w:tcPr>
            <w:tcW w:w="1305" w:type="dxa"/>
          </w:tcPr>
          <w:p w:rsidRPr="006F34CD" w:rsidR="00515FE0" w:rsidP="006F34CD" w:rsidRDefault="00515FE0" w14:paraId="62BE31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3570FE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752,829</w:t>
            </w:r>
          </w:p>
        </w:tc>
        <w:tc>
          <w:tcPr>
            <w:tcW w:w="992" w:type="dxa"/>
          </w:tcPr>
          <w:p w:rsidRPr="006F34CD" w:rsidR="00515FE0" w:rsidP="006F34CD" w:rsidRDefault="00515FE0" w14:paraId="4ACD86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9A1DC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B21716F" w14:textId="77777777">
        <w:trPr>
          <w:cantSplit/>
        </w:trPr>
        <w:tc>
          <w:tcPr>
            <w:tcW w:w="2249" w:type="dxa"/>
          </w:tcPr>
          <w:p w:rsidRPr="006F34CD" w:rsidR="00515FE0" w:rsidP="006F34CD" w:rsidRDefault="00515FE0" w14:paraId="7877C7C6" w14:textId="61A510B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"Barnaul"</w:t>
            </w:r>
          </w:p>
        </w:tc>
        <w:tc>
          <w:tcPr>
            <w:tcW w:w="836" w:type="dxa"/>
          </w:tcPr>
          <w:p w:rsidRPr="006F34CD" w:rsidR="00515FE0" w:rsidP="006F34CD" w:rsidRDefault="00515FE0" w14:paraId="263800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4D6F55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Barnaul</w:t>
            </w:r>
          </w:p>
        </w:tc>
        <w:tc>
          <w:tcPr>
            <w:tcW w:w="1134" w:type="dxa"/>
          </w:tcPr>
          <w:p w:rsidRPr="006F34CD" w:rsidR="00515FE0" w:rsidP="006F34CD" w:rsidRDefault="00515FE0" w14:paraId="4329071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90,630</w:t>
            </w:r>
          </w:p>
        </w:tc>
        <w:tc>
          <w:tcPr>
            <w:tcW w:w="992" w:type="dxa"/>
          </w:tcPr>
          <w:p w:rsidRPr="006F34CD" w:rsidR="00515FE0" w:rsidP="006F34CD" w:rsidRDefault="00515FE0" w14:paraId="180241E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9A6B2A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C117D13" w14:textId="77777777">
        <w:trPr>
          <w:cantSplit/>
        </w:trPr>
        <w:tc>
          <w:tcPr>
            <w:tcW w:w="2249" w:type="dxa"/>
          </w:tcPr>
          <w:p w:rsidRPr="006F34CD" w:rsidR="00515FE0" w:rsidP="006F34CD" w:rsidRDefault="00515FE0" w14:paraId="4D09A051" w14:textId="7361338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Bataysk</w:t>
            </w:r>
          </w:p>
        </w:tc>
        <w:tc>
          <w:tcPr>
            <w:tcW w:w="836" w:type="dxa"/>
          </w:tcPr>
          <w:p w:rsidRPr="006F34CD" w:rsidR="00515FE0" w:rsidP="006F34CD" w:rsidRDefault="00515FE0" w14:paraId="055819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FE911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Bataysk</w:t>
            </w:r>
          </w:p>
        </w:tc>
        <w:tc>
          <w:tcPr>
            <w:tcW w:w="1134" w:type="dxa"/>
          </w:tcPr>
          <w:p w:rsidRPr="006F34CD" w:rsidR="00515FE0" w:rsidP="006F34CD" w:rsidRDefault="00515FE0" w14:paraId="4B40881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B125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7E58A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6ED210A" w14:textId="77777777">
        <w:trPr>
          <w:cantSplit/>
        </w:trPr>
        <w:tc>
          <w:tcPr>
            <w:tcW w:w="2249" w:type="dxa"/>
          </w:tcPr>
          <w:p w:rsidRPr="006F34CD" w:rsidR="00515FE0" w:rsidP="006F34CD" w:rsidRDefault="00515FE0" w14:paraId="05F81D3E" w14:textId="6A959B0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Belaya Kalitva</w:t>
            </w:r>
          </w:p>
        </w:tc>
        <w:tc>
          <w:tcPr>
            <w:tcW w:w="836" w:type="dxa"/>
          </w:tcPr>
          <w:p w:rsidRPr="006F34CD" w:rsidR="00515FE0" w:rsidP="006F34CD" w:rsidRDefault="00515FE0" w14:paraId="1A8697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385FE0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Belaya Kalitva</w:t>
            </w:r>
          </w:p>
        </w:tc>
        <w:tc>
          <w:tcPr>
            <w:tcW w:w="1134" w:type="dxa"/>
          </w:tcPr>
          <w:p w:rsidRPr="006F34CD" w:rsidR="00515FE0" w:rsidP="006F34CD" w:rsidRDefault="00515FE0" w14:paraId="51427A5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5D3A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98E660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E490D9D" w14:textId="77777777">
        <w:trPr>
          <w:cantSplit/>
        </w:trPr>
        <w:tc>
          <w:tcPr>
            <w:tcW w:w="2249" w:type="dxa"/>
          </w:tcPr>
          <w:p w:rsidRPr="006F34CD" w:rsidR="00515FE0" w:rsidP="006F34CD" w:rsidRDefault="00515FE0" w14:paraId="12195833" w14:textId="723312F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Belebey</w:t>
            </w:r>
          </w:p>
        </w:tc>
        <w:tc>
          <w:tcPr>
            <w:tcW w:w="836" w:type="dxa"/>
          </w:tcPr>
          <w:p w:rsidRPr="006F34CD" w:rsidR="00515FE0" w:rsidP="006F34CD" w:rsidRDefault="00515FE0" w14:paraId="71594E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A2B4A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Belebey</w:t>
            </w:r>
          </w:p>
        </w:tc>
        <w:tc>
          <w:tcPr>
            <w:tcW w:w="1134" w:type="dxa"/>
          </w:tcPr>
          <w:p w:rsidRPr="006F34CD" w:rsidR="00515FE0" w:rsidP="006F34CD" w:rsidRDefault="00515FE0" w14:paraId="39D0A8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4E1EF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ABFE1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582EA20" w14:textId="77777777">
        <w:trPr>
          <w:cantSplit/>
        </w:trPr>
        <w:tc>
          <w:tcPr>
            <w:tcW w:w="2249" w:type="dxa"/>
          </w:tcPr>
          <w:p w:rsidRPr="006F34CD" w:rsidR="00515FE0" w:rsidP="006F34CD" w:rsidRDefault="00515FE0" w14:paraId="039C2591" w14:textId="216DBF3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Belogorsk</w:t>
            </w:r>
          </w:p>
        </w:tc>
        <w:tc>
          <w:tcPr>
            <w:tcW w:w="836" w:type="dxa"/>
          </w:tcPr>
          <w:p w:rsidRPr="006F34CD" w:rsidR="00515FE0" w:rsidP="006F34CD" w:rsidRDefault="00515FE0" w14:paraId="1859E3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B8AA4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Belogorsk</w:t>
            </w:r>
          </w:p>
        </w:tc>
        <w:tc>
          <w:tcPr>
            <w:tcW w:w="1134" w:type="dxa"/>
          </w:tcPr>
          <w:p w:rsidRPr="006F34CD" w:rsidR="00515FE0" w:rsidP="006F34CD" w:rsidRDefault="00515FE0" w14:paraId="20D806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A7E1C5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312062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F3ADC7F" w14:textId="77777777">
        <w:trPr>
          <w:cantSplit/>
        </w:trPr>
        <w:tc>
          <w:tcPr>
            <w:tcW w:w="2249" w:type="dxa"/>
          </w:tcPr>
          <w:p w:rsidRPr="006F34CD" w:rsidR="00515FE0" w:rsidP="006F34CD" w:rsidRDefault="00515FE0" w14:paraId="5A5C8D17" w14:textId="2CC5BE4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Belorechensk</w:t>
            </w:r>
          </w:p>
        </w:tc>
        <w:tc>
          <w:tcPr>
            <w:tcW w:w="836" w:type="dxa"/>
          </w:tcPr>
          <w:p w:rsidRPr="006F34CD" w:rsidR="00515FE0" w:rsidP="006F34CD" w:rsidRDefault="00515FE0" w14:paraId="2B9D7F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42E4A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Belorechensk</w:t>
            </w:r>
          </w:p>
        </w:tc>
        <w:tc>
          <w:tcPr>
            <w:tcW w:w="1134" w:type="dxa"/>
          </w:tcPr>
          <w:p w:rsidRPr="006F34CD" w:rsidR="00515FE0" w:rsidP="006F34CD" w:rsidRDefault="00515FE0" w14:paraId="0EF831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155,275</w:t>
            </w:r>
          </w:p>
        </w:tc>
        <w:tc>
          <w:tcPr>
            <w:tcW w:w="992" w:type="dxa"/>
          </w:tcPr>
          <w:p w:rsidRPr="006F34CD" w:rsidR="00515FE0" w:rsidP="006F34CD" w:rsidRDefault="00515FE0" w14:paraId="6291C5F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D6463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D5FDE6B" w14:textId="77777777">
        <w:trPr>
          <w:cantSplit/>
        </w:trPr>
        <w:tc>
          <w:tcPr>
            <w:tcW w:w="2249" w:type="dxa"/>
          </w:tcPr>
          <w:p w:rsidRPr="006F34CD" w:rsidR="00515FE0" w:rsidP="006F34CD" w:rsidRDefault="00515FE0" w14:paraId="7029DE3C" w14:textId="6830BB4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Belovo"</w:t>
            </w:r>
          </w:p>
        </w:tc>
        <w:tc>
          <w:tcPr>
            <w:tcW w:w="836" w:type="dxa"/>
          </w:tcPr>
          <w:p w:rsidRPr="006F34CD" w:rsidR="00515FE0" w:rsidP="006F34CD" w:rsidRDefault="00515FE0" w14:paraId="113F85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4CEE9A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Belovo</w:t>
            </w:r>
          </w:p>
        </w:tc>
        <w:tc>
          <w:tcPr>
            <w:tcW w:w="1134" w:type="dxa"/>
          </w:tcPr>
          <w:p w:rsidRPr="006F34CD" w:rsidR="00515FE0" w:rsidP="006F34CD" w:rsidRDefault="00515FE0" w14:paraId="78AA6D5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48,526</w:t>
            </w:r>
          </w:p>
        </w:tc>
        <w:tc>
          <w:tcPr>
            <w:tcW w:w="992" w:type="dxa"/>
          </w:tcPr>
          <w:p w:rsidRPr="006F34CD" w:rsidR="00515FE0" w:rsidP="006F34CD" w:rsidRDefault="00515FE0" w14:paraId="3D3206C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33A44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CE323BF" w14:textId="77777777">
        <w:trPr>
          <w:cantSplit/>
        </w:trPr>
        <w:tc>
          <w:tcPr>
            <w:tcW w:w="2249" w:type="dxa"/>
          </w:tcPr>
          <w:p w:rsidRPr="006F34CD" w:rsidR="00515FE0" w:rsidP="006F34CD" w:rsidRDefault="00515FE0" w14:paraId="51E47A06" w14:textId="5D5F7A8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Town of Beltirskoye</w:t>
            </w:r>
          </w:p>
        </w:tc>
        <w:tc>
          <w:tcPr>
            <w:tcW w:w="836" w:type="dxa"/>
          </w:tcPr>
          <w:p w:rsidRPr="006F34CD" w:rsidR="00515FE0" w:rsidP="006F34CD" w:rsidRDefault="00515FE0" w14:paraId="452A19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2005</w:t>
            </w:r>
          </w:p>
        </w:tc>
        <w:tc>
          <w:tcPr>
            <w:tcW w:w="1305" w:type="dxa"/>
          </w:tcPr>
          <w:p w:rsidRPr="006F34CD" w:rsidR="00515FE0" w:rsidP="006F34CD" w:rsidRDefault="00515FE0" w14:paraId="7B132F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Beltirskoye</w:t>
            </w:r>
          </w:p>
        </w:tc>
        <w:tc>
          <w:tcPr>
            <w:tcW w:w="1134" w:type="dxa"/>
          </w:tcPr>
          <w:p w:rsidRPr="006F34CD" w:rsidR="00515FE0" w:rsidP="006F34CD" w:rsidRDefault="00515FE0" w14:paraId="2A06AF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D8440F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5BCF3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E8F8FEE" w14:textId="77777777">
        <w:trPr>
          <w:cantSplit/>
        </w:trPr>
        <w:tc>
          <w:tcPr>
            <w:tcW w:w="2249" w:type="dxa"/>
          </w:tcPr>
          <w:p w:rsidRPr="006F34CD" w:rsidR="00515FE0" w:rsidP="006F34CD" w:rsidRDefault="00515FE0" w14:paraId="20DF2969" w14:textId="0FACAB7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"Berezovskiy"</w:t>
            </w:r>
          </w:p>
        </w:tc>
        <w:tc>
          <w:tcPr>
            <w:tcW w:w="836" w:type="dxa"/>
          </w:tcPr>
          <w:p w:rsidRPr="006F34CD" w:rsidR="00515FE0" w:rsidP="006F34CD" w:rsidRDefault="00515FE0" w14:paraId="2C445E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5EA98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Berezovskiy</w:t>
            </w:r>
          </w:p>
        </w:tc>
        <w:tc>
          <w:tcPr>
            <w:tcW w:w="1134" w:type="dxa"/>
          </w:tcPr>
          <w:p w:rsidRPr="006F34CD" w:rsidR="00515FE0" w:rsidP="006F34CD" w:rsidRDefault="00515FE0" w14:paraId="23E3FA4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05757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8786A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17B8024" w14:textId="77777777">
        <w:trPr>
          <w:cantSplit/>
        </w:trPr>
        <w:tc>
          <w:tcPr>
            <w:tcW w:w="2249" w:type="dxa"/>
          </w:tcPr>
          <w:p w:rsidRPr="006F34CD" w:rsidR="00515FE0" w:rsidP="006F34CD" w:rsidRDefault="00515FE0" w14:paraId="2491701C" w14:textId="4BCA6E8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Beslan"</w:t>
            </w:r>
          </w:p>
        </w:tc>
        <w:tc>
          <w:tcPr>
            <w:tcW w:w="836" w:type="dxa"/>
          </w:tcPr>
          <w:p w:rsidRPr="006F34CD" w:rsidR="00515FE0" w:rsidP="006F34CD" w:rsidRDefault="00515FE0" w14:paraId="7A86A3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1A2A5B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Beslan</w:t>
            </w:r>
          </w:p>
        </w:tc>
        <w:tc>
          <w:tcPr>
            <w:tcW w:w="1134" w:type="dxa"/>
          </w:tcPr>
          <w:p w:rsidRPr="006F34CD" w:rsidR="00515FE0" w:rsidP="006F34CD" w:rsidRDefault="00515FE0" w14:paraId="6611A4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43,042</w:t>
            </w:r>
          </w:p>
        </w:tc>
        <w:tc>
          <w:tcPr>
            <w:tcW w:w="992" w:type="dxa"/>
          </w:tcPr>
          <w:p w:rsidRPr="006F34CD" w:rsidR="00515FE0" w:rsidP="006F34CD" w:rsidRDefault="00515FE0" w14:paraId="4DE8CC0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6E746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0A6702B" w14:textId="77777777">
        <w:trPr>
          <w:cantSplit/>
        </w:trPr>
        <w:tc>
          <w:tcPr>
            <w:tcW w:w="2249" w:type="dxa"/>
          </w:tcPr>
          <w:p w:rsidRPr="006F34CD" w:rsidR="00515FE0" w:rsidP="006F34CD" w:rsidRDefault="00515FE0" w14:paraId="19EFB8A0" w14:textId="490E62C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Bezopasnoye of the Trunovskiy District</w:t>
            </w:r>
          </w:p>
        </w:tc>
        <w:tc>
          <w:tcPr>
            <w:tcW w:w="836" w:type="dxa"/>
          </w:tcPr>
          <w:p w:rsidRPr="006F34CD" w:rsidR="00515FE0" w:rsidP="006F34CD" w:rsidRDefault="00515FE0" w14:paraId="1C8A99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C3F33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s.Â Bezopasnoye</w:t>
            </w:r>
          </w:p>
        </w:tc>
        <w:tc>
          <w:tcPr>
            <w:tcW w:w="1134" w:type="dxa"/>
          </w:tcPr>
          <w:p w:rsidRPr="006F34CD" w:rsidR="00515FE0" w:rsidP="006F34CD" w:rsidRDefault="00515FE0" w14:paraId="6FAA3D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22,831</w:t>
            </w:r>
          </w:p>
        </w:tc>
        <w:tc>
          <w:tcPr>
            <w:tcW w:w="992" w:type="dxa"/>
          </w:tcPr>
          <w:p w:rsidRPr="006F34CD" w:rsidR="00515FE0" w:rsidP="006F34CD" w:rsidRDefault="00515FE0" w14:paraId="70F90E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DB054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8628E74" w14:textId="77777777">
        <w:trPr>
          <w:cantSplit/>
        </w:trPr>
        <w:tc>
          <w:tcPr>
            <w:tcW w:w="2249" w:type="dxa"/>
          </w:tcPr>
          <w:p w:rsidRPr="006F34CD" w:rsidR="00515FE0" w:rsidP="006F34CD" w:rsidRDefault="00515FE0" w14:paraId="5C29E7E7" w14:textId="0416919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Biryusinsk</w:t>
            </w:r>
          </w:p>
        </w:tc>
        <w:tc>
          <w:tcPr>
            <w:tcW w:w="836" w:type="dxa"/>
          </w:tcPr>
          <w:p w:rsidRPr="006F34CD" w:rsidR="00515FE0" w:rsidP="006F34CD" w:rsidRDefault="00515FE0" w14:paraId="4EB271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EB125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Beslan</w:t>
            </w:r>
          </w:p>
        </w:tc>
        <w:tc>
          <w:tcPr>
            <w:tcW w:w="1134" w:type="dxa"/>
          </w:tcPr>
          <w:p w:rsidRPr="006F34CD" w:rsidR="00515FE0" w:rsidP="006F34CD" w:rsidRDefault="00515FE0" w14:paraId="5CE78F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A8B80B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4D632A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414C7EE" w14:textId="77777777">
        <w:trPr>
          <w:cantSplit/>
        </w:trPr>
        <w:tc>
          <w:tcPr>
            <w:tcW w:w="2249" w:type="dxa"/>
          </w:tcPr>
          <w:p w:rsidRPr="006F34CD" w:rsidR="00515FE0" w:rsidP="006F34CD" w:rsidRDefault="00515FE0" w14:paraId="77FFEB27" w14:textId="5F15EA0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"Biysk"</w:t>
            </w:r>
          </w:p>
        </w:tc>
        <w:tc>
          <w:tcPr>
            <w:tcW w:w="836" w:type="dxa"/>
          </w:tcPr>
          <w:p w:rsidRPr="006F34CD" w:rsidR="00515FE0" w:rsidP="006F34CD" w:rsidRDefault="00515FE0" w14:paraId="2FED30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396995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Biysk</w:t>
            </w:r>
          </w:p>
        </w:tc>
        <w:tc>
          <w:tcPr>
            <w:tcW w:w="1134" w:type="dxa"/>
          </w:tcPr>
          <w:p w:rsidRPr="006F34CD" w:rsidR="00515FE0" w:rsidP="006F34CD" w:rsidRDefault="00515FE0" w14:paraId="228BFB6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75,909</w:t>
            </w:r>
          </w:p>
        </w:tc>
        <w:tc>
          <w:tcPr>
            <w:tcW w:w="992" w:type="dxa"/>
          </w:tcPr>
          <w:p w:rsidRPr="006F34CD" w:rsidR="00515FE0" w:rsidP="006F34CD" w:rsidRDefault="00515FE0" w14:paraId="6F381F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724A6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19422F9" w14:textId="77777777">
        <w:trPr>
          <w:cantSplit/>
        </w:trPr>
        <w:tc>
          <w:tcPr>
            <w:tcW w:w="2249" w:type="dxa"/>
          </w:tcPr>
          <w:p w:rsidRPr="006F34CD" w:rsidR="00515FE0" w:rsidP="006F34CD" w:rsidRDefault="00515FE0" w14:paraId="1C46D539" w14:textId="07A5825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Blagodarniy</w:t>
            </w:r>
          </w:p>
        </w:tc>
        <w:tc>
          <w:tcPr>
            <w:tcW w:w="836" w:type="dxa"/>
          </w:tcPr>
          <w:p w:rsidRPr="006F34CD" w:rsidR="00515FE0" w:rsidP="006F34CD" w:rsidRDefault="00515FE0" w14:paraId="646EA4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1995</w:t>
            </w:r>
          </w:p>
        </w:tc>
        <w:tc>
          <w:tcPr>
            <w:tcW w:w="1305" w:type="dxa"/>
          </w:tcPr>
          <w:p w:rsidRPr="006F34CD" w:rsidR="00515FE0" w:rsidP="006F34CD" w:rsidRDefault="00515FE0" w14:paraId="03A6D6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Blagodarniy</w:t>
            </w:r>
          </w:p>
        </w:tc>
        <w:tc>
          <w:tcPr>
            <w:tcW w:w="1134" w:type="dxa"/>
          </w:tcPr>
          <w:p w:rsidRPr="006F34CD" w:rsidR="00515FE0" w:rsidP="006F34CD" w:rsidRDefault="00515FE0" w14:paraId="3287302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48,944</w:t>
            </w:r>
          </w:p>
        </w:tc>
        <w:tc>
          <w:tcPr>
            <w:tcW w:w="992" w:type="dxa"/>
          </w:tcPr>
          <w:p w:rsidRPr="006F34CD" w:rsidR="00515FE0" w:rsidP="006F34CD" w:rsidRDefault="00515FE0" w14:paraId="074DFDB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60B10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4459051" w14:textId="77777777">
        <w:trPr>
          <w:cantSplit/>
        </w:trPr>
        <w:tc>
          <w:tcPr>
            <w:tcW w:w="2249" w:type="dxa"/>
          </w:tcPr>
          <w:p w:rsidRPr="006F34CD" w:rsidR="00515FE0" w:rsidP="006F34CD" w:rsidRDefault="00515FE0" w14:paraId="2B0E4EA6" w14:textId="77D7561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Blagoveshchensk</w:t>
            </w:r>
          </w:p>
        </w:tc>
        <w:tc>
          <w:tcPr>
            <w:tcW w:w="836" w:type="dxa"/>
          </w:tcPr>
          <w:p w:rsidRPr="006F34CD" w:rsidR="00515FE0" w:rsidP="006F34CD" w:rsidRDefault="00515FE0" w14:paraId="5EEC05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FAA6A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Blagoveshchensk</w:t>
            </w:r>
          </w:p>
        </w:tc>
        <w:tc>
          <w:tcPr>
            <w:tcW w:w="1134" w:type="dxa"/>
          </w:tcPr>
          <w:p w:rsidRPr="006F34CD" w:rsidR="00515FE0" w:rsidP="006F34CD" w:rsidRDefault="00515FE0" w14:paraId="67BE1C1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106,176</w:t>
            </w:r>
          </w:p>
        </w:tc>
        <w:tc>
          <w:tcPr>
            <w:tcW w:w="992" w:type="dxa"/>
          </w:tcPr>
          <w:p w:rsidRPr="006F34CD" w:rsidR="00515FE0" w:rsidP="006F34CD" w:rsidRDefault="00515FE0" w14:paraId="034876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DFE6A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6A16DE8" w14:textId="77777777">
        <w:trPr>
          <w:cantSplit/>
        </w:trPr>
        <w:tc>
          <w:tcPr>
            <w:tcW w:w="2249" w:type="dxa"/>
          </w:tcPr>
          <w:p w:rsidRPr="006F34CD" w:rsidR="00515FE0" w:rsidP="006F34CD" w:rsidRDefault="00515FE0" w14:paraId="2BBE7787" w14:textId="321EC34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Boguchany of the Krasnoyarsk Territory</w:t>
            </w:r>
          </w:p>
        </w:tc>
        <w:tc>
          <w:tcPr>
            <w:tcW w:w="836" w:type="dxa"/>
          </w:tcPr>
          <w:p w:rsidRPr="006F34CD" w:rsidR="00515FE0" w:rsidP="006F34CD" w:rsidRDefault="00515FE0" w14:paraId="44FC32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A2A95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Boguchany</w:t>
            </w:r>
          </w:p>
        </w:tc>
        <w:tc>
          <w:tcPr>
            <w:tcW w:w="1134" w:type="dxa"/>
          </w:tcPr>
          <w:p w:rsidRPr="006F34CD" w:rsidR="00515FE0" w:rsidP="006F34CD" w:rsidRDefault="00515FE0" w14:paraId="6EB4FA2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EE8B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D6BAB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3E37DDA" w14:textId="77777777">
        <w:trPr>
          <w:cantSplit/>
        </w:trPr>
        <w:tc>
          <w:tcPr>
            <w:tcW w:w="2249" w:type="dxa"/>
          </w:tcPr>
          <w:p w:rsidRPr="006F34CD" w:rsidR="00515FE0" w:rsidP="006F34CD" w:rsidRDefault="00515FE0" w14:paraId="0A0238EC" w14:textId="0C7682F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Bolshoy Kamen</w:t>
            </w:r>
          </w:p>
        </w:tc>
        <w:tc>
          <w:tcPr>
            <w:tcW w:w="836" w:type="dxa"/>
          </w:tcPr>
          <w:p w:rsidRPr="006F34CD" w:rsidR="00515FE0" w:rsidP="006F34CD" w:rsidRDefault="00515FE0" w14:paraId="124E6E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2006</w:t>
            </w:r>
          </w:p>
        </w:tc>
        <w:tc>
          <w:tcPr>
            <w:tcW w:w="1305" w:type="dxa"/>
          </w:tcPr>
          <w:p w:rsidRPr="006F34CD" w:rsidR="00515FE0" w:rsidP="006F34CD" w:rsidRDefault="00515FE0" w14:paraId="65FEA4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Bolshoy Kamen</w:t>
            </w:r>
          </w:p>
        </w:tc>
        <w:tc>
          <w:tcPr>
            <w:tcW w:w="1134" w:type="dxa"/>
          </w:tcPr>
          <w:p w:rsidRPr="006F34CD" w:rsidR="00515FE0" w:rsidP="006F34CD" w:rsidRDefault="00515FE0" w14:paraId="74FD0C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C4F8D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18C06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169026D" w14:textId="77777777">
        <w:trPr>
          <w:cantSplit/>
        </w:trPr>
        <w:tc>
          <w:tcPr>
            <w:tcW w:w="2249" w:type="dxa"/>
          </w:tcPr>
          <w:p w:rsidRPr="006F34CD" w:rsidR="00515FE0" w:rsidP="006F34CD" w:rsidRDefault="00515FE0" w14:paraId="595FE3FE" w14:textId="04A705B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Borisoglebsk of the Voronezh Region</w:t>
            </w:r>
          </w:p>
        </w:tc>
        <w:tc>
          <w:tcPr>
            <w:tcW w:w="836" w:type="dxa"/>
          </w:tcPr>
          <w:p w:rsidRPr="006F34CD" w:rsidR="00515FE0" w:rsidP="006F34CD" w:rsidRDefault="00515FE0" w14:paraId="4EBA72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61BEA9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Borisoglebsk</w:t>
            </w:r>
          </w:p>
        </w:tc>
        <w:tc>
          <w:tcPr>
            <w:tcW w:w="1134" w:type="dxa"/>
          </w:tcPr>
          <w:p w:rsidRPr="006F34CD" w:rsidR="00515FE0" w:rsidP="006F34CD" w:rsidRDefault="00515FE0" w14:paraId="6A7CEE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5DA87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B90E9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16C0896" w14:textId="77777777">
        <w:trPr>
          <w:cantSplit/>
        </w:trPr>
        <w:tc>
          <w:tcPr>
            <w:tcW w:w="2249" w:type="dxa"/>
          </w:tcPr>
          <w:p w:rsidRPr="006F34CD" w:rsidR="00515FE0" w:rsidP="006F34CD" w:rsidRDefault="00515FE0" w14:paraId="748EF772" w14:textId="402451B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"Bratsk"</w:t>
            </w:r>
          </w:p>
        </w:tc>
        <w:tc>
          <w:tcPr>
            <w:tcW w:w="836" w:type="dxa"/>
          </w:tcPr>
          <w:p w:rsidRPr="006F34CD" w:rsidR="00515FE0" w:rsidP="006F34CD" w:rsidRDefault="00515FE0" w14:paraId="2BB7C7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4460DF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Bratsk</w:t>
            </w:r>
          </w:p>
        </w:tc>
        <w:tc>
          <w:tcPr>
            <w:tcW w:w="1134" w:type="dxa"/>
          </w:tcPr>
          <w:p w:rsidRPr="006F34CD" w:rsidR="00515FE0" w:rsidP="006F34CD" w:rsidRDefault="00515FE0" w14:paraId="5368C0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90,774</w:t>
            </w:r>
          </w:p>
        </w:tc>
        <w:tc>
          <w:tcPr>
            <w:tcW w:w="992" w:type="dxa"/>
          </w:tcPr>
          <w:p w:rsidRPr="006F34CD" w:rsidR="00515FE0" w:rsidP="006F34CD" w:rsidRDefault="00515FE0" w14:paraId="74B0AF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937816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015FDA3" w14:textId="77777777">
        <w:trPr>
          <w:cantSplit/>
        </w:trPr>
        <w:tc>
          <w:tcPr>
            <w:tcW w:w="2249" w:type="dxa"/>
          </w:tcPr>
          <w:p w:rsidRPr="006F34CD" w:rsidR="00515FE0" w:rsidP="006F34CD" w:rsidRDefault="00515FE0" w14:paraId="489236DC" w14:textId="1B616D5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Padunskiy District of the City of Bratsk</w:t>
            </w:r>
          </w:p>
        </w:tc>
        <w:tc>
          <w:tcPr>
            <w:tcW w:w="836" w:type="dxa"/>
          </w:tcPr>
          <w:p w:rsidRPr="006F34CD" w:rsidR="00515FE0" w:rsidP="006F34CD" w:rsidRDefault="00515FE0" w14:paraId="2C4F83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01877A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Bratsk</w:t>
            </w:r>
          </w:p>
        </w:tc>
        <w:tc>
          <w:tcPr>
            <w:tcW w:w="1134" w:type="dxa"/>
          </w:tcPr>
          <w:p w:rsidRPr="006F34CD" w:rsidR="00515FE0" w:rsidP="006F34CD" w:rsidRDefault="00515FE0" w14:paraId="4576F2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40592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2A932F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75C8BBF" w14:textId="77777777">
        <w:trPr>
          <w:cantSplit/>
        </w:trPr>
        <w:tc>
          <w:tcPr>
            <w:tcW w:w="2249" w:type="dxa"/>
          </w:tcPr>
          <w:p w:rsidRPr="006F34CD" w:rsidR="00515FE0" w:rsidP="006F34CD" w:rsidRDefault="00515FE0" w14:paraId="36B01501" w14:textId="176F05F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"Bryansk"</w:t>
            </w:r>
          </w:p>
        </w:tc>
        <w:tc>
          <w:tcPr>
            <w:tcW w:w="836" w:type="dxa"/>
          </w:tcPr>
          <w:p w:rsidRPr="006F34CD" w:rsidR="00515FE0" w:rsidP="006F34CD" w:rsidRDefault="00515FE0" w14:paraId="1C22A9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8CB4B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Bryansk</w:t>
            </w:r>
          </w:p>
        </w:tc>
        <w:tc>
          <w:tcPr>
            <w:tcW w:w="1134" w:type="dxa"/>
          </w:tcPr>
          <w:p w:rsidRPr="006F34CD" w:rsidR="00515FE0" w:rsidP="006F34CD" w:rsidRDefault="00515FE0" w14:paraId="2A1602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7177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115409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9A4C070" w14:textId="77777777">
        <w:trPr>
          <w:cantSplit/>
        </w:trPr>
        <w:tc>
          <w:tcPr>
            <w:tcW w:w="2249" w:type="dxa"/>
          </w:tcPr>
          <w:p w:rsidRPr="006F34CD" w:rsidR="00515FE0" w:rsidP="006F34CD" w:rsidRDefault="00515FE0" w14:paraId="2469E785" w14:textId="21F4870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Bryanskoye</w:t>
            </w:r>
          </w:p>
        </w:tc>
        <w:tc>
          <w:tcPr>
            <w:tcW w:w="836" w:type="dxa"/>
          </w:tcPr>
          <w:p w:rsidRPr="006F34CD" w:rsidR="00515FE0" w:rsidP="006F34CD" w:rsidRDefault="00515FE0" w14:paraId="0DE3A3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70F442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Vilino</w:t>
            </w:r>
          </w:p>
        </w:tc>
        <w:tc>
          <w:tcPr>
            <w:tcW w:w="1134" w:type="dxa"/>
          </w:tcPr>
          <w:p w:rsidRPr="006F34CD" w:rsidR="00515FE0" w:rsidP="006F34CD" w:rsidRDefault="00515FE0" w14:paraId="65B905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66,420</w:t>
            </w:r>
          </w:p>
        </w:tc>
        <w:tc>
          <w:tcPr>
            <w:tcW w:w="992" w:type="dxa"/>
          </w:tcPr>
          <w:p w:rsidRPr="006F34CD" w:rsidR="00515FE0" w:rsidP="006F34CD" w:rsidRDefault="00515FE0" w14:paraId="061DC80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F8E85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9053AA0" w14:textId="77777777">
        <w:trPr>
          <w:cantSplit/>
        </w:trPr>
        <w:tc>
          <w:tcPr>
            <w:tcW w:w="2249" w:type="dxa"/>
          </w:tcPr>
          <w:p w:rsidRPr="006F34CD" w:rsidR="00515FE0" w:rsidP="006F34CD" w:rsidRDefault="00515FE0" w14:paraId="20777E54" w14:textId="02BA057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Budennovsk</w:t>
            </w:r>
          </w:p>
        </w:tc>
        <w:tc>
          <w:tcPr>
            <w:tcW w:w="836" w:type="dxa"/>
          </w:tcPr>
          <w:p w:rsidRPr="006F34CD" w:rsidR="00515FE0" w:rsidP="006F34CD" w:rsidRDefault="00515FE0" w14:paraId="233616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D1309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Budennovsk</w:t>
            </w:r>
          </w:p>
        </w:tc>
        <w:tc>
          <w:tcPr>
            <w:tcW w:w="1134" w:type="dxa"/>
          </w:tcPr>
          <w:p w:rsidRPr="006F34CD" w:rsidR="00515FE0" w:rsidP="006F34CD" w:rsidRDefault="00515FE0" w14:paraId="0E58DB7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64,866</w:t>
            </w:r>
          </w:p>
        </w:tc>
        <w:tc>
          <w:tcPr>
            <w:tcW w:w="992" w:type="dxa"/>
          </w:tcPr>
          <w:p w:rsidRPr="006F34CD" w:rsidR="00515FE0" w:rsidP="006F34CD" w:rsidRDefault="00515FE0" w14:paraId="01E82D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33526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4133C33" w14:textId="77777777">
        <w:trPr>
          <w:cantSplit/>
        </w:trPr>
        <w:tc>
          <w:tcPr>
            <w:tcW w:w="2249" w:type="dxa"/>
          </w:tcPr>
          <w:p w:rsidRPr="006F34CD" w:rsidR="00515FE0" w:rsidP="006F34CD" w:rsidRDefault="00515FE0" w14:paraId="08A6ED29" w14:textId="404B83D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Buguruslan</w:t>
            </w:r>
          </w:p>
        </w:tc>
        <w:tc>
          <w:tcPr>
            <w:tcW w:w="836" w:type="dxa"/>
          </w:tcPr>
          <w:p w:rsidRPr="006F34CD" w:rsidR="00515FE0" w:rsidP="006F34CD" w:rsidRDefault="00515FE0" w14:paraId="06E4F9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9572C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Buguruslan</w:t>
            </w:r>
          </w:p>
        </w:tc>
        <w:tc>
          <w:tcPr>
            <w:tcW w:w="1134" w:type="dxa"/>
          </w:tcPr>
          <w:p w:rsidRPr="006F34CD" w:rsidR="00515FE0" w:rsidP="006F34CD" w:rsidRDefault="00515FE0" w14:paraId="404BC4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5CD31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BFB55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C940C6F" w14:textId="77777777">
        <w:trPr>
          <w:cantSplit/>
        </w:trPr>
        <w:tc>
          <w:tcPr>
            <w:tcW w:w="2249" w:type="dxa"/>
          </w:tcPr>
          <w:p w:rsidRPr="006F34CD" w:rsidR="00515FE0" w:rsidP="006F34CD" w:rsidRDefault="00515FE0" w14:paraId="40F91C49" w14:textId="48CBAB4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Buzuluk</w:t>
            </w:r>
          </w:p>
        </w:tc>
        <w:tc>
          <w:tcPr>
            <w:tcW w:w="836" w:type="dxa"/>
          </w:tcPr>
          <w:p w:rsidRPr="006F34CD" w:rsidR="00515FE0" w:rsidP="006F34CD" w:rsidRDefault="00515FE0" w14:paraId="2FBEF9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C70F3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Buzuluk</w:t>
            </w:r>
          </w:p>
        </w:tc>
        <w:tc>
          <w:tcPr>
            <w:tcW w:w="1134" w:type="dxa"/>
          </w:tcPr>
          <w:p w:rsidRPr="006F34CD" w:rsidR="00515FE0" w:rsidP="006F34CD" w:rsidRDefault="00515FE0" w14:paraId="244A72B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20738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2FC1A9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8541211" w14:textId="77777777">
        <w:trPr>
          <w:cantSplit/>
        </w:trPr>
        <w:tc>
          <w:tcPr>
            <w:tcW w:w="2249" w:type="dxa"/>
          </w:tcPr>
          <w:p w:rsidRPr="006F34CD" w:rsidR="00515FE0" w:rsidP="006F34CD" w:rsidRDefault="00515FE0" w14:paraId="06ADDD69" w14:textId="38E8A13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Chapayevsk</w:t>
            </w:r>
          </w:p>
        </w:tc>
        <w:tc>
          <w:tcPr>
            <w:tcW w:w="836" w:type="dxa"/>
          </w:tcPr>
          <w:p w:rsidRPr="006F34CD" w:rsidR="00515FE0" w:rsidP="006F34CD" w:rsidRDefault="00515FE0" w14:paraId="5713CB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D841C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Chapayevsk</w:t>
            </w:r>
          </w:p>
        </w:tc>
        <w:tc>
          <w:tcPr>
            <w:tcW w:w="1134" w:type="dxa"/>
          </w:tcPr>
          <w:p w:rsidRPr="006F34CD" w:rsidR="00515FE0" w:rsidP="006F34CD" w:rsidRDefault="00515FE0" w14:paraId="40359C8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C1E30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02F0E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2BFF09B" w14:textId="77777777">
        <w:trPr>
          <w:cantSplit/>
        </w:trPr>
        <w:tc>
          <w:tcPr>
            <w:tcW w:w="2249" w:type="dxa"/>
          </w:tcPr>
          <w:p w:rsidRPr="006F34CD" w:rsidR="00515FE0" w:rsidP="006F34CD" w:rsidRDefault="00515FE0" w14:paraId="5C45E79F" w14:textId="21F0B4E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Chaykovskiy</w:t>
            </w:r>
          </w:p>
        </w:tc>
        <w:tc>
          <w:tcPr>
            <w:tcW w:w="836" w:type="dxa"/>
          </w:tcPr>
          <w:p w:rsidRPr="006F34CD" w:rsidR="00515FE0" w:rsidP="006F34CD" w:rsidRDefault="00515FE0" w14:paraId="00D3A9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531EA04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Chaykovskiy</w:t>
            </w:r>
          </w:p>
        </w:tc>
        <w:tc>
          <w:tcPr>
            <w:tcW w:w="1134" w:type="dxa"/>
          </w:tcPr>
          <w:p w:rsidRPr="006F34CD" w:rsidR="00515FE0" w:rsidP="006F34CD" w:rsidRDefault="00515FE0" w14:paraId="58F6F4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20B01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2109F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1478F1A" w14:textId="77777777">
        <w:trPr>
          <w:cantSplit/>
        </w:trPr>
        <w:tc>
          <w:tcPr>
            <w:tcW w:w="2249" w:type="dxa"/>
          </w:tcPr>
          <w:p w:rsidRPr="006F34CD" w:rsidR="00515FE0" w:rsidP="006F34CD" w:rsidRDefault="00515FE0" w14:paraId="487E615F" w14:textId="00CFFB0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Chekhov</w:t>
            </w:r>
          </w:p>
        </w:tc>
        <w:tc>
          <w:tcPr>
            <w:tcW w:w="836" w:type="dxa"/>
          </w:tcPr>
          <w:p w:rsidRPr="006F34CD" w:rsidR="00515FE0" w:rsidP="006F34CD" w:rsidRDefault="00515FE0" w14:paraId="336A45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EEA4D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Chekhov</w:t>
            </w:r>
          </w:p>
        </w:tc>
        <w:tc>
          <w:tcPr>
            <w:tcW w:w="1134" w:type="dxa"/>
          </w:tcPr>
          <w:p w:rsidRPr="006F34CD" w:rsidR="00515FE0" w:rsidP="006F34CD" w:rsidRDefault="00515FE0" w14:paraId="4DBCD95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0E9A5D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E8BB91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4EC99D5" w14:textId="77777777">
        <w:trPr>
          <w:cantSplit/>
        </w:trPr>
        <w:tc>
          <w:tcPr>
            <w:tcW w:w="2249" w:type="dxa"/>
          </w:tcPr>
          <w:p w:rsidRPr="006F34CD" w:rsidR="00515FE0" w:rsidP="006F34CD" w:rsidRDefault="00515FE0" w14:paraId="4149AEB0" w14:textId="0423A74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"Chelyabinsk"</w:t>
            </w:r>
          </w:p>
        </w:tc>
        <w:tc>
          <w:tcPr>
            <w:tcW w:w="836" w:type="dxa"/>
          </w:tcPr>
          <w:p w:rsidRPr="006F34CD" w:rsidR="00515FE0" w:rsidP="006F34CD" w:rsidRDefault="00515FE0" w14:paraId="42BF72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2003</w:t>
            </w:r>
          </w:p>
        </w:tc>
        <w:tc>
          <w:tcPr>
            <w:tcW w:w="1305" w:type="dxa"/>
          </w:tcPr>
          <w:p w:rsidRPr="006F34CD" w:rsidR="00515FE0" w:rsidP="006F34CD" w:rsidRDefault="00515FE0" w14:paraId="459492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Chelyabinsk</w:t>
            </w:r>
          </w:p>
        </w:tc>
        <w:tc>
          <w:tcPr>
            <w:tcW w:w="1134" w:type="dxa"/>
          </w:tcPr>
          <w:p w:rsidRPr="006F34CD" w:rsidR="00515FE0" w:rsidP="006F34CD" w:rsidRDefault="00515FE0" w14:paraId="6FC2B5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B1D9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0F513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48916ED" w14:textId="77777777">
        <w:trPr>
          <w:cantSplit/>
        </w:trPr>
        <w:tc>
          <w:tcPr>
            <w:tcW w:w="2249" w:type="dxa"/>
          </w:tcPr>
          <w:p w:rsidRPr="006F34CD" w:rsidR="00515FE0" w:rsidP="006F34CD" w:rsidRDefault="00515FE0" w14:paraId="23D651FA" w14:textId="0EC307E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Cheremkhovo</w:t>
            </w:r>
          </w:p>
        </w:tc>
        <w:tc>
          <w:tcPr>
            <w:tcW w:w="836" w:type="dxa"/>
          </w:tcPr>
          <w:p w:rsidRPr="006F34CD" w:rsidR="00515FE0" w:rsidP="006F34CD" w:rsidRDefault="00515FE0" w14:paraId="7013B6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F433A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Cheremkhovo</w:t>
            </w:r>
          </w:p>
        </w:tc>
        <w:tc>
          <w:tcPr>
            <w:tcW w:w="1134" w:type="dxa"/>
          </w:tcPr>
          <w:p w:rsidRPr="006F34CD" w:rsidR="00515FE0" w:rsidP="006F34CD" w:rsidRDefault="00515FE0" w14:paraId="1136487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86D3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174450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9B170FB" w14:textId="77777777">
        <w:trPr>
          <w:cantSplit/>
        </w:trPr>
        <w:tc>
          <w:tcPr>
            <w:tcW w:w="2249" w:type="dxa"/>
          </w:tcPr>
          <w:p w:rsidRPr="006F34CD" w:rsidR="00515FE0" w:rsidP="006F34CD" w:rsidRDefault="00515FE0" w14:paraId="4A4165D4" w14:textId="787F927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Cherepovets of the Vologda Region</w:t>
            </w:r>
          </w:p>
        </w:tc>
        <w:tc>
          <w:tcPr>
            <w:tcW w:w="836" w:type="dxa"/>
          </w:tcPr>
          <w:p w:rsidRPr="006F34CD" w:rsidR="00515FE0" w:rsidP="006F34CD" w:rsidRDefault="00515FE0" w14:paraId="49EC46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86765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Cherepovets</w:t>
            </w:r>
          </w:p>
        </w:tc>
        <w:tc>
          <w:tcPr>
            <w:tcW w:w="1134" w:type="dxa"/>
          </w:tcPr>
          <w:p w:rsidRPr="006F34CD" w:rsidR="00515FE0" w:rsidP="006F34CD" w:rsidRDefault="00515FE0" w14:paraId="01B74B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E94A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3DDA9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2577EC8" w14:textId="77777777">
        <w:trPr>
          <w:cantSplit/>
        </w:trPr>
        <w:tc>
          <w:tcPr>
            <w:tcW w:w="2249" w:type="dxa"/>
          </w:tcPr>
          <w:p w:rsidRPr="006F34CD" w:rsidR="00515FE0" w:rsidP="006F34CD" w:rsidRDefault="00515FE0" w14:paraId="37482A65" w14:textId="406CC7E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Cherkessk</w:t>
            </w:r>
          </w:p>
        </w:tc>
        <w:tc>
          <w:tcPr>
            <w:tcW w:w="836" w:type="dxa"/>
          </w:tcPr>
          <w:p w:rsidRPr="006F34CD" w:rsidR="00515FE0" w:rsidP="006F34CD" w:rsidRDefault="00515FE0" w14:paraId="668F3D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20253B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Cherkessk</w:t>
            </w:r>
          </w:p>
        </w:tc>
        <w:tc>
          <w:tcPr>
            <w:tcW w:w="1134" w:type="dxa"/>
          </w:tcPr>
          <w:p w:rsidRPr="006F34CD" w:rsidR="00515FE0" w:rsidP="006F34CD" w:rsidRDefault="00515FE0" w14:paraId="4F6EC7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103,116</w:t>
            </w:r>
          </w:p>
        </w:tc>
        <w:tc>
          <w:tcPr>
            <w:tcW w:w="992" w:type="dxa"/>
          </w:tcPr>
          <w:p w:rsidRPr="006F34CD" w:rsidR="00515FE0" w:rsidP="006F34CD" w:rsidRDefault="00515FE0" w14:paraId="67F570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DDE40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5AAAD05" w14:textId="77777777">
        <w:trPr>
          <w:cantSplit/>
        </w:trPr>
        <w:tc>
          <w:tcPr>
            <w:tcW w:w="2249" w:type="dxa"/>
          </w:tcPr>
          <w:p w:rsidRPr="006F34CD" w:rsidR="00515FE0" w:rsidP="006F34CD" w:rsidRDefault="00515FE0" w14:paraId="51A7A070" w14:textId="486D004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Chernogorsk</w:t>
            </w:r>
          </w:p>
        </w:tc>
        <w:tc>
          <w:tcPr>
            <w:tcW w:w="836" w:type="dxa"/>
          </w:tcPr>
          <w:p w:rsidRPr="006F34CD" w:rsidR="00515FE0" w:rsidP="006F34CD" w:rsidRDefault="00515FE0" w14:paraId="26C2C4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8E9E4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Chernogorsk</w:t>
            </w:r>
          </w:p>
        </w:tc>
        <w:tc>
          <w:tcPr>
            <w:tcW w:w="1134" w:type="dxa"/>
          </w:tcPr>
          <w:p w:rsidRPr="006F34CD" w:rsidR="00515FE0" w:rsidP="006F34CD" w:rsidRDefault="00515FE0" w14:paraId="5FDCA39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E7C14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92B1A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BFAC26C" w14:textId="77777777">
        <w:trPr>
          <w:cantSplit/>
        </w:trPr>
        <w:tc>
          <w:tcPr>
            <w:tcW w:w="2249" w:type="dxa"/>
          </w:tcPr>
          <w:p w:rsidRPr="006F34CD" w:rsidR="00515FE0" w:rsidP="006F34CD" w:rsidRDefault="00515FE0" w14:paraId="6FBC7AAC" w14:textId="65DF304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Chernomorskoye</w:t>
            </w:r>
          </w:p>
        </w:tc>
        <w:tc>
          <w:tcPr>
            <w:tcW w:w="836" w:type="dxa"/>
          </w:tcPr>
          <w:p w:rsidRPr="006F34CD" w:rsidR="00515FE0" w:rsidP="006F34CD" w:rsidRDefault="00515FE0" w14:paraId="2CBAFA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1C36DD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Chernomorskoye</w:t>
            </w:r>
          </w:p>
        </w:tc>
        <w:tc>
          <w:tcPr>
            <w:tcW w:w="1134" w:type="dxa"/>
          </w:tcPr>
          <w:p w:rsidRPr="006F34CD" w:rsidR="00515FE0" w:rsidP="006F34CD" w:rsidRDefault="00515FE0" w14:paraId="7FCF1E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130,893</w:t>
            </w:r>
          </w:p>
        </w:tc>
        <w:tc>
          <w:tcPr>
            <w:tcW w:w="992" w:type="dxa"/>
          </w:tcPr>
          <w:p w:rsidRPr="006F34CD" w:rsidR="00515FE0" w:rsidP="006F34CD" w:rsidRDefault="00515FE0" w14:paraId="47CFF0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F3FC1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E3789E6" w14:textId="77777777">
        <w:trPr>
          <w:cantSplit/>
        </w:trPr>
        <w:tc>
          <w:tcPr>
            <w:tcW w:w="2249" w:type="dxa"/>
          </w:tcPr>
          <w:p w:rsidRPr="006F34CD" w:rsidR="00515FE0" w:rsidP="006F34CD" w:rsidRDefault="00515FE0" w14:paraId="7E0160C1" w14:textId="205EB2A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Chernyakhovsk of the Kaliningrad Region</w:t>
            </w:r>
          </w:p>
        </w:tc>
        <w:tc>
          <w:tcPr>
            <w:tcW w:w="836" w:type="dxa"/>
          </w:tcPr>
          <w:p w:rsidRPr="006F34CD" w:rsidR="00515FE0" w:rsidP="006F34CD" w:rsidRDefault="00515FE0" w14:paraId="15E9BC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2FD0B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Chernyakhovsk</w:t>
            </w:r>
          </w:p>
        </w:tc>
        <w:tc>
          <w:tcPr>
            <w:tcW w:w="1134" w:type="dxa"/>
          </w:tcPr>
          <w:p w:rsidRPr="006F34CD" w:rsidR="00515FE0" w:rsidP="006F34CD" w:rsidRDefault="00515FE0" w14:paraId="00BD26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39,452</w:t>
            </w:r>
          </w:p>
        </w:tc>
        <w:tc>
          <w:tcPr>
            <w:tcW w:w="992" w:type="dxa"/>
          </w:tcPr>
          <w:p w:rsidRPr="006F34CD" w:rsidR="00515FE0" w:rsidP="006F34CD" w:rsidRDefault="00515FE0" w14:paraId="736BA7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3FA8E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489E357" w14:textId="77777777">
        <w:trPr>
          <w:cantSplit/>
        </w:trPr>
        <w:tc>
          <w:tcPr>
            <w:tcW w:w="2249" w:type="dxa"/>
          </w:tcPr>
          <w:p w:rsidRPr="006F34CD" w:rsidR="00515FE0" w:rsidP="006F34CD" w:rsidRDefault="00515FE0" w14:paraId="73B21844" w14:textId="479365D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"Chita"</w:t>
            </w:r>
          </w:p>
        </w:tc>
        <w:tc>
          <w:tcPr>
            <w:tcW w:w="836" w:type="dxa"/>
          </w:tcPr>
          <w:p w:rsidRPr="006F34CD" w:rsidR="00515FE0" w:rsidP="006F34CD" w:rsidRDefault="00515FE0" w14:paraId="1259CF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A6C0A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Chita</w:t>
            </w:r>
          </w:p>
        </w:tc>
        <w:tc>
          <w:tcPr>
            <w:tcW w:w="1134" w:type="dxa"/>
          </w:tcPr>
          <w:p w:rsidRPr="006F34CD" w:rsidR="00515FE0" w:rsidP="006F34CD" w:rsidRDefault="00515FE0" w14:paraId="3DDC48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D6AC4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49BB5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1C61B60" w14:textId="77777777">
        <w:trPr>
          <w:cantSplit/>
        </w:trPr>
        <w:tc>
          <w:tcPr>
            <w:tcW w:w="2249" w:type="dxa"/>
          </w:tcPr>
          <w:p w:rsidRPr="006F34CD" w:rsidR="00515FE0" w:rsidP="006F34CD" w:rsidRDefault="00515FE0" w14:paraId="48E354AD" w14:textId="3603D90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Chulman</w:t>
            </w:r>
          </w:p>
        </w:tc>
        <w:tc>
          <w:tcPr>
            <w:tcW w:w="836" w:type="dxa"/>
          </w:tcPr>
          <w:p w:rsidRPr="006F34CD" w:rsidR="00515FE0" w:rsidP="006F34CD" w:rsidRDefault="00515FE0" w14:paraId="543443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3FCE0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Neryungri</w:t>
            </w:r>
          </w:p>
        </w:tc>
        <w:tc>
          <w:tcPr>
            <w:tcW w:w="1134" w:type="dxa"/>
          </w:tcPr>
          <w:p w:rsidRPr="006F34CD" w:rsidR="00515FE0" w:rsidP="006F34CD" w:rsidRDefault="00515FE0" w14:paraId="4748F03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63,596</w:t>
            </w:r>
          </w:p>
        </w:tc>
        <w:tc>
          <w:tcPr>
            <w:tcW w:w="992" w:type="dxa"/>
          </w:tcPr>
          <w:p w:rsidRPr="006F34CD" w:rsidR="00515FE0" w:rsidP="006F34CD" w:rsidRDefault="00515FE0" w14:paraId="54343C6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2FF289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C664DFA" w14:textId="77777777">
        <w:trPr>
          <w:cantSplit/>
        </w:trPr>
        <w:tc>
          <w:tcPr>
            <w:tcW w:w="2249" w:type="dxa"/>
          </w:tcPr>
          <w:p w:rsidRPr="006F34CD" w:rsidR="00515FE0" w:rsidP="006F34CD" w:rsidRDefault="00515FE0" w14:paraId="681513F4" w14:textId="23EB8E4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Chunskiy</w:t>
            </w:r>
          </w:p>
        </w:tc>
        <w:tc>
          <w:tcPr>
            <w:tcW w:w="836" w:type="dxa"/>
          </w:tcPr>
          <w:p w:rsidRPr="006F34CD" w:rsidR="00515FE0" w:rsidP="006F34CD" w:rsidRDefault="00515FE0" w14:paraId="0BAB6E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4ACB5A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Chunskiy</w:t>
            </w:r>
          </w:p>
        </w:tc>
        <w:tc>
          <w:tcPr>
            <w:tcW w:w="1134" w:type="dxa"/>
          </w:tcPr>
          <w:p w:rsidRPr="006F34CD" w:rsidR="00515FE0" w:rsidP="006F34CD" w:rsidRDefault="00515FE0" w14:paraId="765CE4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64B60A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6C4F1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2437EA1" w14:textId="77777777">
        <w:trPr>
          <w:cantSplit/>
        </w:trPr>
        <w:tc>
          <w:tcPr>
            <w:tcW w:w="2249" w:type="dxa"/>
          </w:tcPr>
          <w:p w:rsidRPr="006F34CD" w:rsidR="00515FE0" w:rsidP="006F34CD" w:rsidRDefault="00515FE0" w14:paraId="3BCA53DA" w14:textId="7C7FC57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Dalnegorsk</w:t>
            </w:r>
          </w:p>
        </w:tc>
        <w:tc>
          <w:tcPr>
            <w:tcW w:w="836" w:type="dxa"/>
          </w:tcPr>
          <w:p w:rsidRPr="006F34CD" w:rsidR="00515FE0" w:rsidP="006F34CD" w:rsidRDefault="00515FE0" w14:paraId="5BFF98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78968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Dalnegorsk</w:t>
            </w:r>
          </w:p>
        </w:tc>
        <w:tc>
          <w:tcPr>
            <w:tcW w:w="1134" w:type="dxa"/>
          </w:tcPr>
          <w:p w:rsidRPr="006F34CD" w:rsidR="00515FE0" w:rsidP="006F34CD" w:rsidRDefault="00515FE0" w14:paraId="6D824F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226,238</w:t>
            </w:r>
          </w:p>
        </w:tc>
        <w:tc>
          <w:tcPr>
            <w:tcW w:w="992" w:type="dxa"/>
          </w:tcPr>
          <w:p w:rsidRPr="006F34CD" w:rsidR="00515FE0" w:rsidP="006F34CD" w:rsidRDefault="00515FE0" w14:paraId="3B2FDA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5EBCD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12A5B9F" w14:textId="77777777">
        <w:trPr>
          <w:cantSplit/>
        </w:trPr>
        <w:tc>
          <w:tcPr>
            <w:tcW w:w="2249" w:type="dxa"/>
          </w:tcPr>
          <w:p w:rsidRPr="006F34CD" w:rsidR="00515FE0" w:rsidP="006F34CD" w:rsidRDefault="00515FE0" w14:paraId="625DA6B3" w14:textId="1E09C48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Dalnerechensk</w:t>
            </w:r>
          </w:p>
        </w:tc>
        <w:tc>
          <w:tcPr>
            <w:tcW w:w="836" w:type="dxa"/>
          </w:tcPr>
          <w:p w:rsidRPr="006F34CD" w:rsidR="00515FE0" w:rsidP="006F34CD" w:rsidRDefault="00515FE0" w14:paraId="3DD114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2006</w:t>
            </w:r>
          </w:p>
        </w:tc>
        <w:tc>
          <w:tcPr>
            <w:tcW w:w="1305" w:type="dxa"/>
          </w:tcPr>
          <w:p w:rsidRPr="006F34CD" w:rsidR="00515FE0" w:rsidP="006F34CD" w:rsidRDefault="00515FE0" w14:paraId="19091C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Dalnerechensk</w:t>
            </w:r>
          </w:p>
        </w:tc>
        <w:tc>
          <w:tcPr>
            <w:tcW w:w="1134" w:type="dxa"/>
          </w:tcPr>
          <w:p w:rsidRPr="006F34CD" w:rsidR="00515FE0" w:rsidP="006F34CD" w:rsidRDefault="00515FE0" w14:paraId="0D8C77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73,873</w:t>
            </w:r>
          </w:p>
        </w:tc>
        <w:tc>
          <w:tcPr>
            <w:tcW w:w="992" w:type="dxa"/>
          </w:tcPr>
          <w:p w:rsidRPr="006F34CD" w:rsidR="00515FE0" w:rsidP="006F34CD" w:rsidRDefault="00515FE0" w14:paraId="60E067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BDF50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EA21550" w14:textId="77777777">
        <w:trPr>
          <w:cantSplit/>
        </w:trPr>
        <w:tc>
          <w:tcPr>
            <w:tcW w:w="2249" w:type="dxa"/>
          </w:tcPr>
          <w:p w:rsidRPr="006F34CD" w:rsidR="00515FE0" w:rsidP="006F34CD" w:rsidRDefault="00515FE0" w14:paraId="3109DC99" w14:textId="4FC17E2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"Derbent"</w:t>
            </w:r>
          </w:p>
        </w:tc>
        <w:tc>
          <w:tcPr>
            <w:tcW w:w="836" w:type="dxa"/>
          </w:tcPr>
          <w:p w:rsidRPr="006F34CD" w:rsidR="00515FE0" w:rsidP="006F34CD" w:rsidRDefault="00515FE0" w14:paraId="62609A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F0FF3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Derbent</w:t>
            </w:r>
          </w:p>
        </w:tc>
        <w:tc>
          <w:tcPr>
            <w:tcW w:w="1134" w:type="dxa"/>
          </w:tcPr>
          <w:p w:rsidRPr="006F34CD" w:rsidR="00515FE0" w:rsidP="006F34CD" w:rsidRDefault="00515FE0" w14:paraId="11EE01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2B078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71E40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FCBBEA6" w14:textId="77777777">
        <w:trPr>
          <w:cantSplit/>
        </w:trPr>
        <w:tc>
          <w:tcPr>
            <w:tcW w:w="2249" w:type="dxa"/>
          </w:tcPr>
          <w:p w:rsidRPr="006F34CD" w:rsidR="00515FE0" w:rsidP="006F34CD" w:rsidRDefault="00515FE0" w14:paraId="0B187A27" w14:textId="54696C7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Dimitrovgrad</w:t>
            </w:r>
          </w:p>
        </w:tc>
        <w:tc>
          <w:tcPr>
            <w:tcW w:w="836" w:type="dxa"/>
          </w:tcPr>
          <w:p w:rsidRPr="006F34CD" w:rsidR="00515FE0" w:rsidP="006F34CD" w:rsidRDefault="00515FE0" w14:paraId="4512E6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0129A4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Dimitrovgrad</w:t>
            </w:r>
          </w:p>
        </w:tc>
        <w:tc>
          <w:tcPr>
            <w:tcW w:w="1134" w:type="dxa"/>
          </w:tcPr>
          <w:p w:rsidRPr="006F34CD" w:rsidR="00515FE0" w:rsidP="006F34CD" w:rsidRDefault="00515FE0" w14:paraId="35AA713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136,740</w:t>
            </w:r>
          </w:p>
        </w:tc>
        <w:tc>
          <w:tcPr>
            <w:tcW w:w="992" w:type="dxa"/>
          </w:tcPr>
          <w:p w:rsidRPr="006F34CD" w:rsidR="00515FE0" w:rsidP="006F34CD" w:rsidRDefault="00515FE0" w14:paraId="66C5605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D0E7C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0952A09" w14:textId="77777777">
        <w:trPr>
          <w:cantSplit/>
        </w:trPr>
        <w:tc>
          <w:tcPr>
            <w:tcW w:w="2249" w:type="dxa"/>
          </w:tcPr>
          <w:p w:rsidRPr="006F34CD" w:rsidR="00515FE0" w:rsidP="006F34CD" w:rsidRDefault="00515FE0" w14:paraId="765DD951" w14:textId="3CEE6D4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Dinskaya</w:t>
            </w:r>
          </w:p>
        </w:tc>
        <w:tc>
          <w:tcPr>
            <w:tcW w:w="836" w:type="dxa"/>
          </w:tcPr>
          <w:p w:rsidRPr="006F34CD" w:rsidR="00515FE0" w:rsidP="006F34CD" w:rsidRDefault="00515FE0" w14:paraId="0966F1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D5496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Dinskaya</w:t>
            </w:r>
          </w:p>
        </w:tc>
        <w:tc>
          <w:tcPr>
            <w:tcW w:w="1134" w:type="dxa"/>
          </w:tcPr>
          <w:p w:rsidRPr="006F34CD" w:rsidR="00515FE0" w:rsidP="006F34CD" w:rsidRDefault="00515FE0" w14:paraId="4110723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112,930</w:t>
            </w:r>
          </w:p>
        </w:tc>
        <w:tc>
          <w:tcPr>
            <w:tcW w:w="992" w:type="dxa"/>
          </w:tcPr>
          <w:p w:rsidRPr="006F34CD" w:rsidR="00515FE0" w:rsidP="006F34CD" w:rsidRDefault="00515FE0" w14:paraId="2EFA75F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98CFB6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C9AB35C" w14:textId="77777777">
        <w:trPr>
          <w:cantSplit/>
        </w:trPr>
        <w:tc>
          <w:tcPr>
            <w:tcW w:w="2249" w:type="dxa"/>
          </w:tcPr>
          <w:p w:rsidRPr="006F34CD" w:rsidR="00515FE0" w:rsidP="006F34CD" w:rsidRDefault="00515FE0" w14:paraId="457A54AA" w14:textId="0ECB5B9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Donetsk</w:t>
            </w:r>
          </w:p>
        </w:tc>
        <w:tc>
          <w:tcPr>
            <w:tcW w:w="836" w:type="dxa"/>
          </w:tcPr>
          <w:p w:rsidRPr="006F34CD" w:rsidR="00515FE0" w:rsidP="006F34CD" w:rsidRDefault="00515FE0" w14:paraId="010EDC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323B11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Donetsk</w:t>
            </w:r>
          </w:p>
        </w:tc>
        <w:tc>
          <w:tcPr>
            <w:tcW w:w="1134" w:type="dxa"/>
          </w:tcPr>
          <w:p w:rsidRPr="006F34CD" w:rsidR="00515FE0" w:rsidP="006F34CD" w:rsidRDefault="00515FE0" w14:paraId="1F0FBD5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DFF3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F8501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E0E0516" w14:textId="77777777">
        <w:trPr>
          <w:cantSplit/>
        </w:trPr>
        <w:tc>
          <w:tcPr>
            <w:tcW w:w="2249" w:type="dxa"/>
          </w:tcPr>
          <w:p w:rsidRPr="006F34CD" w:rsidR="00515FE0" w:rsidP="006F34CD" w:rsidRDefault="00515FE0" w14:paraId="25DF7810" w14:textId="0683C7C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Dorogobuzh</w:t>
            </w:r>
          </w:p>
        </w:tc>
        <w:tc>
          <w:tcPr>
            <w:tcW w:w="836" w:type="dxa"/>
          </w:tcPr>
          <w:p w:rsidRPr="006F34CD" w:rsidR="00515FE0" w:rsidP="006F34CD" w:rsidRDefault="00515FE0" w14:paraId="090DB4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DD88F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Dorogobuzh</w:t>
            </w:r>
          </w:p>
        </w:tc>
        <w:tc>
          <w:tcPr>
            <w:tcW w:w="1134" w:type="dxa"/>
          </w:tcPr>
          <w:p w:rsidRPr="006F34CD" w:rsidR="00515FE0" w:rsidP="006F34CD" w:rsidRDefault="00515FE0" w14:paraId="280EFF0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88,568</w:t>
            </w:r>
          </w:p>
        </w:tc>
        <w:tc>
          <w:tcPr>
            <w:tcW w:w="992" w:type="dxa"/>
          </w:tcPr>
          <w:p w:rsidRPr="006F34CD" w:rsidR="00515FE0" w:rsidP="006F34CD" w:rsidRDefault="00515FE0" w14:paraId="625B9B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F626D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EB083C8" w14:textId="77777777">
        <w:trPr>
          <w:cantSplit/>
        </w:trPr>
        <w:tc>
          <w:tcPr>
            <w:tcW w:w="2249" w:type="dxa"/>
          </w:tcPr>
          <w:p w:rsidRPr="006F34CD" w:rsidR="00515FE0" w:rsidP="006F34CD" w:rsidRDefault="00515FE0" w14:paraId="6AE5DFE7" w14:textId="048C939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Dubna</w:t>
            </w:r>
          </w:p>
        </w:tc>
        <w:tc>
          <w:tcPr>
            <w:tcW w:w="836" w:type="dxa"/>
          </w:tcPr>
          <w:p w:rsidRPr="006F34CD" w:rsidR="00515FE0" w:rsidP="006F34CD" w:rsidRDefault="00515FE0" w14:paraId="0FCB82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D5F08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Dubna</w:t>
            </w:r>
          </w:p>
        </w:tc>
        <w:tc>
          <w:tcPr>
            <w:tcW w:w="1134" w:type="dxa"/>
          </w:tcPr>
          <w:p w:rsidRPr="006F34CD" w:rsidR="00515FE0" w:rsidP="006F34CD" w:rsidRDefault="00515FE0" w14:paraId="11D897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D4116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50FEAD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CD49DF4" w14:textId="77777777">
        <w:trPr>
          <w:cantSplit/>
        </w:trPr>
        <w:tc>
          <w:tcPr>
            <w:tcW w:w="2249" w:type="dxa"/>
          </w:tcPr>
          <w:p w:rsidRPr="006F34CD" w:rsidR="00515FE0" w:rsidP="006F34CD" w:rsidRDefault="00515FE0" w14:paraId="64BC7568" w14:textId="1F3B97E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Dudinka</w:t>
            </w:r>
          </w:p>
        </w:tc>
        <w:tc>
          <w:tcPr>
            <w:tcW w:w="836" w:type="dxa"/>
          </w:tcPr>
          <w:p w:rsidRPr="006F34CD" w:rsidR="00515FE0" w:rsidP="006F34CD" w:rsidRDefault="00515FE0" w14:paraId="2CF10A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622E9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Dudinka</w:t>
            </w:r>
          </w:p>
        </w:tc>
        <w:tc>
          <w:tcPr>
            <w:tcW w:w="1134" w:type="dxa"/>
          </w:tcPr>
          <w:p w:rsidRPr="006F34CD" w:rsidR="00515FE0" w:rsidP="006F34CD" w:rsidRDefault="00515FE0" w14:paraId="7459535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DE4C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81871D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6401004" w14:textId="77777777">
        <w:trPr>
          <w:cantSplit/>
        </w:trPr>
        <w:tc>
          <w:tcPr>
            <w:tcW w:w="2249" w:type="dxa"/>
          </w:tcPr>
          <w:p w:rsidRPr="006F34CD" w:rsidR="00515FE0" w:rsidP="006F34CD" w:rsidRDefault="00515FE0" w14:paraId="53BC4061" w14:textId="1B694D4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Dzerzhinsk of the Nizhegorodskaya Region</w:t>
            </w:r>
          </w:p>
        </w:tc>
        <w:tc>
          <w:tcPr>
            <w:tcW w:w="836" w:type="dxa"/>
          </w:tcPr>
          <w:p w:rsidRPr="006F34CD" w:rsidR="00515FE0" w:rsidP="006F34CD" w:rsidRDefault="00515FE0" w14:paraId="77FE9F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E3BEE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Dzerzhinsk</w:t>
            </w:r>
          </w:p>
        </w:tc>
        <w:tc>
          <w:tcPr>
            <w:tcW w:w="1134" w:type="dxa"/>
          </w:tcPr>
          <w:p w:rsidRPr="006F34CD" w:rsidR="00515FE0" w:rsidP="006F34CD" w:rsidRDefault="00515FE0" w14:paraId="5C26EAC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0A31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E163D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D71EC32" w14:textId="77777777">
        <w:trPr>
          <w:cantSplit/>
        </w:trPr>
        <w:tc>
          <w:tcPr>
            <w:tcW w:w="2249" w:type="dxa"/>
          </w:tcPr>
          <w:p w:rsidRPr="006F34CD" w:rsidR="00515FE0" w:rsidP="006F34CD" w:rsidRDefault="00515FE0" w14:paraId="62B31582" w14:textId="002FE74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Dzhankoy</w:t>
            </w:r>
          </w:p>
        </w:tc>
        <w:tc>
          <w:tcPr>
            <w:tcW w:w="836" w:type="dxa"/>
          </w:tcPr>
          <w:p w:rsidRPr="006F34CD" w:rsidR="00515FE0" w:rsidP="006F34CD" w:rsidRDefault="00515FE0" w14:paraId="0B4D14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272906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Dzhankoy</w:t>
            </w:r>
          </w:p>
        </w:tc>
        <w:tc>
          <w:tcPr>
            <w:tcW w:w="1134" w:type="dxa"/>
          </w:tcPr>
          <w:p w:rsidRPr="006F34CD" w:rsidR="00515FE0" w:rsidP="006F34CD" w:rsidRDefault="00515FE0" w14:paraId="6BEDB8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9BF657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EA4A5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1E966C7" w14:textId="77777777">
        <w:trPr>
          <w:cantSplit/>
        </w:trPr>
        <w:tc>
          <w:tcPr>
            <w:tcW w:w="2249" w:type="dxa"/>
          </w:tcPr>
          <w:p w:rsidRPr="006F34CD" w:rsidR="00515FE0" w:rsidP="006F34CD" w:rsidRDefault="00515FE0" w14:paraId="467F1F8B" w14:textId="1FD1D65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Feodosiya</w:t>
            </w:r>
          </w:p>
        </w:tc>
        <w:tc>
          <w:tcPr>
            <w:tcW w:w="836" w:type="dxa"/>
          </w:tcPr>
          <w:p w:rsidRPr="006F34CD" w:rsidR="00515FE0" w:rsidP="006F34CD" w:rsidRDefault="00515FE0" w14:paraId="15E9E8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1995</w:t>
            </w:r>
          </w:p>
        </w:tc>
        <w:tc>
          <w:tcPr>
            <w:tcW w:w="1305" w:type="dxa"/>
          </w:tcPr>
          <w:p w:rsidRPr="006F34CD" w:rsidR="00515FE0" w:rsidP="006F34CD" w:rsidRDefault="00515FE0" w14:paraId="497D91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Feodosiya</w:t>
            </w:r>
          </w:p>
        </w:tc>
        <w:tc>
          <w:tcPr>
            <w:tcW w:w="1134" w:type="dxa"/>
          </w:tcPr>
          <w:p w:rsidRPr="006F34CD" w:rsidR="00515FE0" w:rsidP="006F34CD" w:rsidRDefault="00515FE0" w14:paraId="714B10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129,850</w:t>
            </w:r>
          </w:p>
        </w:tc>
        <w:tc>
          <w:tcPr>
            <w:tcW w:w="992" w:type="dxa"/>
          </w:tcPr>
          <w:p w:rsidRPr="006F34CD" w:rsidR="00515FE0" w:rsidP="006F34CD" w:rsidRDefault="00515FE0" w14:paraId="67CDE9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1854D0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05F9316" w14:textId="77777777">
        <w:trPr>
          <w:cantSplit/>
        </w:trPr>
        <w:tc>
          <w:tcPr>
            <w:tcW w:w="2249" w:type="dxa"/>
          </w:tcPr>
          <w:p w:rsidRPr="006F34CD" w:rsidR="00515FE0" w:rsidP="006F34CD" w:rsidRDefault="00515FE0" w14:paraId="0218BA96" w14:textId="2EE42B3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Fryazino</w:t>
            </w:r>
          </w:p>
        </w:tc>
        <w:tc>
          <w:tcPr>
            <w:tcW w:w="836" w:type="dxa"/>
          </w:tcPr>
          <w:p w:rsidRPr="006F34CD" w:rsidR="00515FE0" w:rsidP="006F34CD" w:rsidRDefault="00515FE0" w14:paraId="09BABB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BAE46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Fryazino</w:t>
            </w:r>
          </w:p>
        </w:tc>
        <w:tc>
          <w:tcPr>
            <w:tcW w:w="1134" w:type="dxa"/>
          </w:tcPr>
          <w:p w:rsidRPr="006F34CD" w:rsidR="00515FE0" w:rsidP="006F34CD" w:rsidRDefault="00515FE0" w14:paraId="47E366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DF1A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F19EB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BA9E370" w14:textId="77777777">
        <w:trPr>
          <w:cantSplit/>
        </w:trPr>
        <w:tc>
          <w:tcPr>
            <w:tcW w:w="2249" w:type="dxa"/>
          </w:tcPr>
          <w:p w:rsidRPr="006F34CD" w:rsidR="00515FE0" w:rsidP="006F34CD" w:rsidRDefault="00515FE0" w14:paraId="0D9A6AF8" w14:textId="572DE4E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"Gelendzhik"</w:t>
            </w:r>
          </w:p>
        </w:tc>
        <w:tc>
          <w:tcPr>
            <w:tcW w:w="836" w:type="dxa"/>
          </w:tcPr>
          <w:p w:rsidRPr="006F34CD" w:rsidR="00515FE0" w:rsidP="006F34CD" w:rsidRDefault="00515FE0" w14:paraId="780653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25BE6A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Gelendzhik</w:t>
            </w:r>
          </w:p>
        </w:tc>
        <w:tc>
          <w:tcPr>
            <w:tcW w:w="1134" w:type="dxa"/>
          </w:tcPr>
          <w:p w:rsidRPr="006F34CD" w:rsidR="00515FE0" w:rsidP="006F34CD" w:rsidRDefault="00515FE0" w14:paraId="1509C83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5198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C5B0A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DF57992" w14:textId="77777777">
        <w:trPr>
          <w:cantSplit/>
        </w:trPr>
        <w:tc>
          <w:tcPr>
            <w:tcW w:w="2249" w:type="dxa"/>
          </w:tcPr>
          <w:p w:rsidRPr="006F34CD" w:rsidR="00515FE0" w:rsidP="006F34CD" w:rsidRDefault="00515FE0" w14:paraId="2F86FC02" w14:textId="14C8281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Georgiyevsk</w:t>
            </w:r>
          </w:p>
        </w:tc>
        <w:tc>
          <w:tcPr>
            <w:tcW w:w="836" w:type="dxa"/>
          </w:tcPr>
          <w:p w:rsidRPr="006F34CD" w:rsidR="00515FE0" w:rsidP="006F34CD" w:rsidRDefault="00515FE0" w14:paraId="687E94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5B1A49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Nezlobnaya</w:t>
            </w:r>
          </w:p>
        </w:tc>
        <w:tc>
          <w:tcPr>
            <w:tcW w:w="1134" w:type="dxa"/>
          </w:tcPr>
          <w:p w:rsidRPr="006F34CD" w:rsidR="00515FE0" w:rsidP="006F34CD" w:rsidRDefault="00515FE0" w14:paraId="1A93C35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B9FF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78CC1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D53027C" w14:textId="77777777">
        <w:trPr>
          <w:cantSplit/>
        </w:trPr>
        <w:tc>
          <w:tcPr>
            <w:tcW w:w="2249" w:type="dxa"/>
          </w:tcPr>
          <w:p w:rsidRPr="006F34CD" w:rsidR="00515FE0" w:rsidP="006F34CD" w:rsidRDefault="00515FE0" w14:paraId="4D45CAC7" w14:textId="4F6F34D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Giaginskaya</w:t>
            </w:r>
          </w:p>
        </w:tc>
        <w:tc>
          <w:tcPr>
            <w:tcW w:w="836" w:type="dxa"/>
          </w:tcPr>
          <w:p w:rsidRPr="006F34CD" w:rsidR="00515FE0" w:rsidP="006F34CD" w:rsidRDefault="00515FE0" w14:paraId="09810E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70800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Giaginskaya</w:t>
            </w:r>
          </w:p>
        </w:tc>
        <w:tc>
          <w:tcPr>
            <w:tcW w:w="1134" w:type="dxa"/>
          </w:tcPr>
          <w:p w:rsidRPr="006F34CD" w:rsidR="00515FE0" w:rsidP="006F34CD" w:rsidRDefault="00515FE0" w14:paraId="48F5BF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C312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4A0867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CC40621" w14:textId="77777777">
        <w:trPr>
          <w:cantSplit/>
        </w:trPr>
        <w:tc>
          <w:tcPr>
            <w:tcW w:w="2249" w:type="dxa"/>
          </w:tcPr>
          <w:p w:rsidRPr="006F34CD" w:rsidR="00515FE0" w:rsidP="006F34CD" w:rsidRDefault="00515FE0" w14:paraId="64930990" w14:textId="03E9035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Glazov</w:t>
            </w:r>
          </w:p>
        </w:tc>
        <w:tc>
          <w:tcPr>
            <w:tcW w:w="836" w:type="dxa"/>
          </w:tcPr>
          <w:p w:rsidRPr="006F34CD" w:rsidR="00515FE0" w:rsidP="006F34CD" w:rsidRDefault="00515FE0" w14:paraId="77E2D4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2006</w:t>
            </w:r>
          </w:p>
        </w:tc>
        <w:tc>
          <w:tcPr>
            <w:tcW w:w="1305" w:type="dxa"/>
          </w:tcPr>
          <w:p w:rsidRPr="006F34CD" w:rsidR="00515FE0" w:rsidP="006F34CD" w:rsidRDefault="00515FE0" w14:paraId="53F357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Glazov</w:t>
            </w:r>
          </w:p>
        </w:tc>
        <w:tc>
          <w:tcPr>
            <w:tcW w:w="1134" w:type="dxa"/>
          </w:tcPr>
          <w:p w:rsidRPr="006F34CD" w:rsidR="00515FE0" w:rsidP="006F34CD" w:rsidRDefault="00515FE0" w14:paraId="397C6B5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2F3CA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036AE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2D0FF11" w14:textId="77777777">
        <w:trPr>
          <w:cantSplit/>
        </w:trPr>
        <w:tc>
          <w:tcPr>
            <w:tcW w:w="2249" w:type="dxa"/>
          </w:tcPr>
          <w:p w:rsidRPr="006F34CD" w:rsidR="00515FE0" w:rsidP="006F34CD" w:rsidRDefault="00515FE0" w14:paraId="472BF269" w14:textId="09FB469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"Gorno-Altaysk"</w:t>
            </w:r>
          </w:p>
        </w:tc>
        <w:tc>
          <w:tcPr>
            <w:tcW w:w="836" w:type="dxa"/>
          </w:tcPr>
          <w:p w:rsidRPr="006F34CD" w:rsidR="00515FE0" w:rsidP="006F34CD" w:rsidRDefault="00515FE0" w14:paraId="7BFF78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2BE45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286FB8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11206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BA2E2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DA69425" w14:textId="77777777">
        <w:trPr>
          <w:cantSplit/>
        </w:trPr>
        <w:tc>
          <w:tcPr>
            <w:tcW w:w="2249" w:type="dxa"/>
          </w:tcPr>
          <w:p w:rsidRPr="006F34CD" w:rsidR="00515FE0" w:rsidP="006F34CD" w:rsidRDefault="00515FE0" w14:paraId="26D5E726" w14:textId="5E89494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Goryachiy Klyuch</w:t>
            </w:r>
          </w:p>
        </w:tc>
        <w:tc>
          <w:tcPr>
            <w:tcW w:w="836" w:type="dxa"/>
          </w:tcPr>
          <w:p w:rsidRPr="006F34CD" w:rsidR="00515FE0" w:rsidP="006F34CD" w:rsidRDefault="00515FE0" w14:paraId="77116A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7232B5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Goryachiy Klyuch</w:t>
            </w:r>
          </w:p>
        </w:tc>
        <w:tc>
          <w:tcPr>
            <w:tcW w:w="1134" w:type="dxa"/>
          </w:tcPr>
          <w:p w:rsidRPr="006F34CD" w:rsidR="00515FE0" w:rsidP="006F34CD" w:rsidRDefault="00515FE0" w14:paraId="1E67655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A700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4D22A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877C0AC" w14:textId="77777777">
        <w:trPr>
          <w:cantSplit/>
        </w:trPr>
        <w:tc>
          <w:tcPr>
            <w:tcW w:w="2249" w:type="dxa"/>
          </w:tcPr>
          <w:p w:rsidRPr="006F34CD" w:rsidR="00515FE0" w:rsidP="006F34CD" w:rsidRDefault="00515FE0" w14:paraId="0A8E21B7" w14:textId="638FDF8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Gubkin</w:t>
            </w:r>
          </w:p>
        </w:tc>
        <w:tc>
          <w:tcPr>
            <w:tcW w:w="836" w:type="dxa"/>
          </w:tcPr>
          <w:p w:rsidRPr="006F34CD" w:rsidR="00515FE0" w:rsidP="006F34CD" w:rsidRDefault="00515FE0" w14:paraId="09B02D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6DD57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Gubkin</w:t>
            </w:r>
          </w:p>
        </w:tc>
        <w:tc>
          <w:tcPr>
            <w:tcW w:w="1134" w:type="dxa"/>
          </w:tcPr>
          <w:p w:rsidRPr="006F34CD" w:rsidR="00515FE0" w:rsidP="006F34CD" w:rsidRDefault="00515FE0" w14:paraId="3470A58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08B02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FE0A7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BA1241E" w14:textId="77777777">
        <w:trPr>
          <w:cantSplit/>
        </w:trPr>
        <w:tc>
          <w:tcPr>
            <w:tcW w:w="2249" w:type="dxa"/>
          </w:tcPr>
          <w:p w:rsidRPr="006F34CD" w:rsidR="00515FE0" w:rsidP="006F34CD" w:rsidRDefault="00515FE0" w14:paraId="25278F15" w14:textId="1AB7330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"Gukovo"</w:t>
            </w:r>
          </w:p>
        </w:tc>
        <w:tc>
          <w:tcPr>
            <w:tcW w:w="836" w:type="dxa"/>
          </w:tcPr>
          <w:p w:rsidRPr="006F34CD" w:rsidR="00515FE0" w:rsidP="006F34CD" w:rsidRDefault="00515FE0" w14:paraId="79A8D1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C6E70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Gukovo</w:t>
            </w:r>
          </w:p>
        </w:tc>
        <w:tc>
          <w:tcPr>
            <w:tcW w:w="1134" w:type="dxa"/>
          </w:tcPr>
          <w:p w:rsidRPr="006F34CD" w:rsidR="00515FE0" w:rsidP="006F34CD" w:rsidRDefault="00515FE0" w14:paraId="13E5DDC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47A5D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567D69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398F5C5" w14:textId="77777777">
        <w:trPr>
          <w:cantSplit/>
        </w:trPr>
        <w:tc>
          <w:tcPr>
            <w:tcW w:w="2249" w:type="dxa"/>
          </w:tcPr>
          <w:p w:rsidRPr="006F34CD" w:rsidR="00515FE0" w:rsidP="006F34CD" w:rsidRDefault="00515FE0" w14:paraId="7FF37FFE" w14:textId="2D52BF9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Gulkevichi</w:t>
            </w:r>
          </w:p>
        </w:tc>
        <w:tc>
          <w:tcPr>
            <w:tcW w:w="836" w:type="dxa"/>
          </w:tcPr>
          <w:p w:rsidRPr="006F34CD" w:rsidR="00515FE0" w:rsidP="006F34CD" w:rsidRDefault="00515FE0" w14:paraId="3B821F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9EFC4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Gulkevichi</w:t>
            </w:r>
          </w:p>
        </w:tc>
        <w:tc>
          <w:tcPr>
            <w:tcW w:w="1134" w:type="dxa"/>
          </w:tcPr>
          <w:p w:rsidRPr="006F34CD" w:rsidR="00515FE0" w:rsidP="006F34CD" w:rsidRDefault="00515FE0" w14:paraId="4E48674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116,529</w:t>
            </w:r>
          </w:p>
        </w:tc>
        <w:tc>
          <w:tcPr>
            <w:tcW w:w="992" w:type="dxa"/>
          </w:tcPr>
          <w:p w:rsidRPr="006F34CD" w:rsidR="00515FE0" w:rsidP="006F34CD" w:rsidRDefault="00515FE0" w14:paraId="4AAEBFB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CFDE7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F520035" w14:textId="77777777">
        <w:trPr>
          <w:cantSplit/>
        </w:trPr>
        <w:tc>
          <w:tcPr>
            <w:tcW w:w="2249" w:type="dxa"/>
          </w:tcPr>
          <w:p w:rsidRPr="006F34CD" w:rsidR="00515FE0" w:rsidP="006F34CD" w:rsidRDefault="00515FE0" w14:paraId="3E19480E" w14:textId="61346E2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Guryevsk</w:t>
            </w:r>
          </w:p>
        </w:tc>
        <w:tc>
          <w:tcPr>
            <w:tcW w:w="836" w:type="dxa"/>
          </w:tcPr>
          <w:p w:rsidRPr="006F34CD" w:rsidR="00515FE0" w:rsidP="006F34CD" w:rsidRDefault="00515FE0" w14:paraId="6AEE11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A2198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Guryevsk</w:t>
            </w:r>
          </w:p>
        </w:tc>
        <w:tc>
          <w:tcPr>
            <w:tcW w:w="1134" w:type="dxa"/>
          </w:tcPr>
          <w:p w:rsidRPr="006F34CD" w:rsidR="00515FE0" w:rsidP="006F34CD" w:rsidRDefault="00515FE0" w14:paraId="05D38BB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A470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283A4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3840CFF" w14:textId="77777777">
        <w:trPr>
          <w:cantSplit/>
        </w:trPr>
        <w:tc>
          <w:tcPr>
            <w:tcW w:w="2249" w:type="dxa"/>
          </w:tcPr>
          <w:p w:rsidRPr="006F34CD" w:rsidR="00515FE0" w:rsidP="006F34CD" w:rsidRDefault="00515FE0" w14:paraId="57DEA5EE" w14:textId="40987F3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Gusinoozersk</w:t>
            </w:r>
          </w:p>
        </w:tc>
        <w:tc>
          <w:tcPr>
            <w:tcW w:w="836" w:type="dxa"/>
          </w:tcPr>
          <w:p w:rsidRPr="006F34CD" w:rsidR="00515FE0" w:rsidP="006F34CD" w:rsidRDefault="00515FE0" w14:paraId="139080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29A009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Gusinoozersk</w:t>
            </w:r>
          </w:p>
        </w:tc>
        <w:tc>
          <w:tcPr>
            <w:tcW w:w="1134" w:type="dxa"/>
          </w:tcPr>
          <w:p w:rsidRPr="006F34CD" w:rsidR="00515FE0" w:rsidP="006F34CD" w:rsidRDefault="00515FE0" w14:paraId="7B8F8A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47,598</w:t>
            </w:r>
          </w:p>
        </w:tc>
        <w:tc>
          <w:tcPr>
            <w:tcW w:w="992" w:type="dxa"/>
          </w:tcPr>
          <w:p w:rsidRPr="006F34CD" w:rsidR="00515FE0" w:rsidP="006F34CD" w:rsidRDefault="00515FE0" w14:paraId="4CD1AC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2D43F1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0465755" w14:textId="77777777">
        <w:trPr>
          <w:cantSplit/>
        </w:trPr>
        <w:tc>
          <w:tcPr>
            <w:tcW w:w="2249" w:type="dxa"/>
          </w:tcPr>
          <w:p w:rsidRPr="006F34CD" w:rsidR="00515FE0" w:rsidP="006F34CD" w:rsidRDefault="00515FE0" w14:paraId="3BF377B7" w14:textId="135661E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Gvardeyskoye</w:t>
            </w:r>
          </w:p>
        </w:tc>
        <w:tc>
          <w:tcPr>
            <w:tcW w:w="836" w:type="dxa"/>
          </w:tcPr>
          <w:p w:rsidRPr="006F34CD" w:rsidR="00515FE0" w:rsidP="006F34CD" w:rsidRDefault="00515FE0" w14:paraId="064482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0D52D6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Gvardeyskoye</w:t>
            </w:r>
          </w:p>
        </w:tc>
        <w:tc>
          <w:tcPr>
            <w:tcW w:w="1134" w:type="dxa"/>
          </w:tcPr>
          <w:p w:rsidRPr="006F34CD" w:rsidR="00515FE0" w:rsidP="006F34CD" w:rsidRDefault="00515FE0" w14:paraId="3DF2A86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149,720</w:t>
            </w:r>
          </w:p>
        </w:tc>
        <w:tc>
          <w:tcPr>
            <w:tcW w:w="992" w:type="dxa"/>
          </w:tcPr>
          <w:p w:rsidRPr="006F34CD" w:rsidR="00515FE0" w:rsidP="006F34CD" w:rsidRDefault="00515FE0" w14:paraId="213325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2382D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0B0DC0F" w14:textId="77777777">
        <w:trPr>
          <w:cantSplit/>
        </w:trPr>
        <w:tc>
          <w:tcPr>
            <w:tcW w:w="2249" w:type="dxa"/>
          </w:tcPr>
          <w:p w:rsidRPr="006F34CD" w:rsidR="00515FE0" w:rsidP="006F34CD" w:rsidRDefault="00515FE0" w14:paraId="25910BE2" w14:textId="426B7D8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Town of Igra</w:t>
            </w:r>
          </w:p>
        </w:tc>
        <w:tc>
          <w:tcPr>
            <w:tcW w:w="836" w:type="dxa"/>
          </w:tcPr>
          <w:p w:rsidRPr="006F34CD" w:rsidR="00515FE0" w:rsidP="006F34CD" w:rsidRDefault="00515FE0" w14:paraId="488192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2DEA99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Igra</w:t>
            </w:r>
          </w:p>
        </w:tc>
        <w:tc>
          <w:tcPr>
            <w:tcW w:w="1134" w:type="dxa"/>
          </w:tcPr>
          <w:p w:rsidRPr="006F34CD" w:rsidR="00515FE0" w:rsidP="006F34CD" w:rsidRDefault="00515FE0" w14:paraId="1C20A4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B657F9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FDC47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4D018C6" w14:textId="77777777">
        <w:trPr>
          <w:cantSplit/>
        </w:trPr>
        <w:tc>
          <w:tcPr>
            <w:tcW w:w="2249" w:type="dxa"/>
          </w:tcPr>
          <w:p w:rsidRPr="006F34CD" w:rsidR="00515FE0" w:rsidP="006F34CD" w:rsidRDefault="00515FE0" w14:paraId="4BF7195E" w14:textId="48B3305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"Ilskiy"</w:t>
            </w:r>
          </w:p>
        </w:tc>
        <w:tc>
          <w:tcPr>
            <w:tcW w:w="836" w:type="dxa"/>
          </w:tcPr>
          <w:p w:rsidRPr="006F34CD" w:rsidR="00515FE0" w:rsidP="006F34CD" w:rsidRDefault="00515FE0" w14:paraId="619516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F9F10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Ilskiy</w:t>
            </w:r>
          </w:p>
        </w:tc>
        <w:tc>
          <w:tcPr>
            <w:tcW w:w="1134" w:type="dxa"/>
          </w:tcPr>
          <w:p w:rsidRPr="006F34CD" w:rsidR="00515FE0" w:rsidP="006F34CD" w:rsidRDefault="00515FE0" w14:paraId="044A864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0E2D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CE914C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D6F98C4" w14:textId="77777777">
        <w:trPr>
          <w:cantSplit/>
        </w:trPr>
        <w:tc>
          <w:tcPr>
            <w:tcW w:w="2249" w:type="dxa"/>
          </w:tcPr>
          <w:p w:rsidRPr="006F34CD" w:rsidR="00515FE0" w:rsidP="006F34CD" w:rsidRDefault="00515FE0" w14:paraId="5E533A05" w14:textId="65D17A7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Inta</w:t>
            </w:r>
          </w:p>
        </w:tc>
        <w:tc>
          <w:tcPr>
            <w:tcW w:w="836" w:type="dxa"/>
          </w:tcPr>
          <w:p w:rsidRPr="006F34CD" w:rsidR="00515FE0" w:rsidP="006F34CD" w:rsidRDefault="00515FE0" w14:paraId="39E5C6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3F04CF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Inta</w:t>
            </w:r>
          </w:p>
        </w:tc>
        <w:tc>
          <w:tcPr>
            <w:tcW w:w="1134" w:type="dxa"/>
          </w:tcPr>
          <w:p w:rsidRPr="006F34CD" w:rsidR="00515FE0" w:rsidP="006F34CD" w:rsidRDefault="00515FE0" w14:paraId="3686AE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7D9EF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EB5BF1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76CB078" w14:textId="77777777">
        <w:trPr>
          <w:cantSplit/>
        </w:trPr>
        <w:tc>
          <w:tcPr>
            <w:tcW w:w="2249" w:type="dxa"/>
          </w:tcPr>
          <w:p w:rsidRPr="006F34CD" w:rsidR="00515FE0" w:rsidP="006F34CD" w:rsidRDefault="00515FE0" w14:paraId="0D44436A" w14:textId="4C033A2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"Ipatovo"</w:t>
            </w:r>
          </w:p>
        </w:tc>
        <w:tc>
          <w:tcPr>
            <w:tcW w:w="836" w:type="dxa"/>
          </w:tcPr>
          <w:p w:rsidRPr="006F34CD" w:rsidR="00515FE0" w:rsidP="006F34CD" w:rsidRDefault="00515FE0" w14:paraId="0EDAF3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0B986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Ipatovo</w:t>
            </w:r>
          </w:p>
        </w:tc>
        <w:tc>
          <w:tcPr>
            <w:tcW w:w="1134" w:type="dxa"/>
          </w:tcPr>
          <w:p w:rsidRPr="006F34CD" w:rsidR="00515FE0" w:rsidP="006F34CD" w:rsidRDefault="00515FE0" w14:paraId="685A3D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38,299</w:t>
            </w:r>
          </w:p>
        </w:tc>
        <w:tc>
          <w:tcPr>
            <w:tcW w:w="992" w:type="dxa"/>
          </w:tcPr>
          <w:p w:rsidRPr="006F34CD" w:rsidR="00515FE0" w:rsidP="006F34CD" w:rsidRDefault="00515FE0" w14:paraId="68EFADF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DF191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0F53BEB" w14:textId="77777777">
        <w:trPr>
          <w:cantSplit/>
        </w:trPr>
        <w:tc>
          <w:tcPr>
            <w:tcW w:w="2249" w:type="dxa"/>
          </w:tcPr>
          <w:p w:rsidRPr="006F34CD" w:rsidR="00515FE0" w:rsidP="006F34CD" w:rsidRDefault="00515FE0" w14:paraId="2FBAC369" w14:textId="27212C9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Irkutsk"</w:t>
            </w:r>
          </w:p>
        </w:tc>
        <w:tc>
          <w:tcPr>
            <w:tcW w:w="836" w:type="dxa"/>
          </w:tcPr>
          <w:p w:rsidRPr="006F34CD" w:rsidR="00515FE0" w:rsidP="006F34CD" w:rsidRDefault="00515FE0" w14:paraId="2AE768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0AA058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Irkutsk</w:t>
            </w:r>
          </w:p>
        </w:tc>
        <w:tc>
          <w:tcPr>
            <w:tcW w:w="1134" w:type="dxa"/>
          </w:tcPr>
          <w:p w:rsidRPr="006F34CD" w:rsidR="00515FE0" w:rsidP="006F34CD" w:rsidRDefault="00515FE0" w14:paraId="448259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57A8705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3EB32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655E191" w14:textId="77777777">
        <w:trPr>
          <w:cantSplit/>
        </w:trPr>
        <w:tc>
          <w:tcPr>
            <w:tcW w:w="2249" w:type="dxa"/>
          </w:tcPr>
          <w:p w:rsidRPr="006F34CD" w:rsidR="00515FE0" w:rsidP="006F34CD" w:rsidRDefault="00515FE0" w14:paraId="7B0863BC" w14:textId="28826C5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Iskitim and the Iskitimskiy District</w:t>
            </w:r>
          </w:p>
        </w:tc>
        <w:tc>
          <w:tcPr>
            <w:tcW w:w="836" w:type="dxa"/>
          </w:tcPr>
          <w:p w:rsidRPr="006F34CD" w:rsidR="00515FE0" w:rsidP="006F34CD" w:rsidRDefault="00515FE0" w14:paraId="0BE71A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2007</w:t>
            </w:r>
          </w:p>
        </w:tc>
        <w:tc>
          <w:tcPr>
            <w:tcW w:w="1305" w:type="dxa"/>
          </w:tcPr>
          <w:p w:rsidRPr="006F34CD" w:rsidR="00515FE0" w:rsidP="006F34CD" w:rsidRDefault="00515FE0" w14:paraId="3BEDE6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Yevsino</w:t>
            </w:r>
          </w:p>
        </w:tc>
        <w:tc>
          <w:tcPr>
            <w:tcW w:w="1134" w:type="dxa"/>
          </w:tcPr>
          <w:p w:rsidRPr="006F34CD" w:rsidR="00515FE0" w:rsidP="006F34CD" w:rsidRDefault="00515FE0" w14:paraId="30C29F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3567D8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BE39E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D1CADDA" w14:textId="77777777">
        <w:trPr>
          <w:cantSplit/>
        </w:trPr>
        <w:tc>
          <w:tcPr>
            <w:tcW w:w="2249" w:type="dxa"/>
          </w:tcPr>
          <w:p w:rsidRPr="006F34CD" w:rsidR="00515FE0" w:rsidP="006F34CD" w:rsidRDefault="00515FE0" w14:paraId="77BB32F1" w14:textId="60C2AE4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Ivanovo</w:t>
            </w:r>
          </w:p>
        </w:tc>
        <w:tc>
          <w:tcPr>
            <w:tcW w:w="836" w:type="dxa"/>
          </w:tcPr>
          <w:p w:rsidRPr="006F34CD" w:rsidR="00515FE0" w:rsidP="006F34CD" w:rsidRDefault="00515FE0" w14:paraId="639E3B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8593E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Ivanovo</w:t>
            </w:r>
          </w:p>
        </w:tc>
        <w:tc>
          <w:tcPr>
            <w:tcW w:w="1134" w:type="dxa"/>
          </w:tcPr>
          <w:p w:rsidRPr="006F34CD" w:rsidR="00515FE0" w:rsidP="006F34CD" w:rsidRDefault="00515FE0" w14:paraId="22B6E0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46,325</w:t>
            </w:r>
          </w:p>
        </w:tc>
        <w:tc>
          <w:tcPr>
            <w:tcW w:w="992" w:type="dxa"/>
          </w:tcPr>
          <w:p w:rsidRPr="006F34CD" w:rsidR="00515FE0" w:rsidP="006F34CD" w:rsidRDefault="00515FE0" w14:paraId="5CC38C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4F95A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B43A030" w14:textId="77777777">
        <w:trPr>
          <w:cantSplit/>
        </w:trPr>
        <w:tc>
          <w:tcPr>
            <w:tcW w:w="2249" w:type="dxa"/>
          </w:tcPr>
          <w:p w:rsidRPr="006F34CD" w:rsidR="00515FE0" w:rsidP="006F34CD" w:rsidRDefault="00515FE0" w14:paraId="5046866C" w14:textId="067D90D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Town of Ivanovskiy of the Kochubeyevskiy District of the Stavropol Territory</w:t>
            </w:r>
          </w:p>
        </w:tc>
        <w:tc>
          <w:tcPr>
            <w:tcW w:w="836" w:type="dxa"/>
          </w:tcPr>
          <w:p w:rsidRPr="006F34CD" w:rsidR="00515FE0" w:rsidP="006F34CD" w:rsidRDefault="00515FE0" w14:paraId="3C9FAB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47EB9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Ivanovskoye</w:t>
            </w:r>
          </w:p>
        </w:tc>
        <w:tc>
          <w:tcPr>
            <w:tcW w:w="1134" w:type="dxa"/>
          </w:tcPr>
          <w:p w:rsidRPr="006F34CD" w:rsidR="00515FE0" w:rsidP="006F34CD" w:rsidRDefault="00515FE0" w14:paraId="1CA8CAD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104,597</w:t>
            </w:r>
          </w:p>
        </w:tc>
        <w:tc>
          <w:tcPr>
            <w:tcW w:w="992" w:type="dxa"/>
          </w:tcPr>
          <w:p w:rsidRPr="006F34CD" w:rsidR="00515FE0" w:rsidP="006F34CD" w:rsidRDefault="00515FE0" w14:paraId="127AC75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B3E2CA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8EF4BC5" w14:textId="77777777">
        <w:trPr>
          <w:cantSplit/>
        </w:trPr>
        <w:tc>
          <w:tcPr>
            <w:tcW w:w="2249" w:type="dxa"/>
          </w:tcPr>
          <w:p w:rsidRPr="006F34CD" w:rsidR="00515FE0" w:rsidP="006F34CD" w:rsidRDefault="00515FE0" w14:paraId="1C654102" w14:textId="059DF1C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Izhevsk</w:t>
            </w:r>
          </w:p>
        </w:tc>
        <w:tc>
          <w:tcPr>
            <w:tcW w:w="836" w:type="dxa"/>
          </w:tcPr>
          <w:p w:rsidRPr="006F34CD" w:rsidR="00515FE0" w:rsidP="006F34CD" w:rsidRDefault="00515FE0" w14:paraId="737BAF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6AF6C6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Izhevsk</w:t>
            </w:r>
          </w:p>
        </w:tc>
        <w:tc>
          <w:tcPr>
            <w:tcW w:w="1134" w:type="dxa"/>
          </w:tcPr>
          <w:p w:rsidRPr="006F34CD" w:rsidR="00515FE0" w:rsidP="006F34CD" w:rsidRDefault="00515FE0" w14:paraId="1834D0A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367D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E8AAB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3AA71E3" w14:textId="77777777">
        <w:trPr>
          <w:cantSplit/>
        </w:trPr>
        <w:tc>
          <w:tcPr>
            <w:tcW w:w="2249" w:type="dxa"/>
          </w:tcPr>
          <w:p w:rsidRPr="006F34CD" w:rsidR="00515FE0" w:rsidP="006F34CD" w:rsidRDefault="00515FE0" w14:paraId="6F3A975C" w14:textId="2D32DE7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Kalach of the Voronezh Region</w:t>
            </w:r>
          </w:p>
        </w:tc>
        <w:tc>
          <w:tcPr>
            <w:tcW w:w="836" w:type="dxa"/>
          </w:tcPr>
          <w:p w:rsidRPr="006F34CD" w:rsidR="00515FE0" w:rsidP="006F34CD" w:rsidRDefault="00515FE0" w14:paraId="35CD99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B8AD2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Kalach</w:t>
            </w:r>
          </w:p>
        </w:tc>
        <w:tc>
          <w:tcPr>
            <w:tcW w:w="1134" w:type="dxa"/>
          </w:tcPr>
          <w:p w:rsidRPr="006F34CD" w:rsidR="00515FE0" w:rsidP="006F34CD" w:rsidRDefault="00515FE0" w14:paraId="07C620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56DC64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0186A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C24543E" w14:textId="77777777">
        <w:trPr>
          <w:cantSplit/>
        </w:trPr>
        <w:tc>
          <w:tcPr>
            <w:tcW w:w="2249" w:type="dxa"/>
          </w:tcPr>
          <w:p w:rsidRPr="006F34CD" w:rsidR="00515FE0" w:rsidP="006F34CD" w:rsidRDefault="00515FE0" w14:paraId="5CDFC52A" w14:textId="3CBB52D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"Kaliningrad"</w:t>
            </w:r>
          </w:p>
        </w:tc>
        <w:tc>
          <w:tcPr>
            <w:tcW w:w="836" w:type="dxa"/>
          </w:tcPr>
          <w:p w:rsidRPr="006F34CD" w:rsidR="00515FE0" w:rsidP="006F34CD" w:rsidRDefault="00515FE0" w14:paraId="0F9BC2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658E58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Kaliningrad</w:t>
            </w:r>
          </w:p>
        </w:tc>
        <w:tc>
          <w:tcPr>
            <w:tcW w:w="1134" w:type="dxa"/>
          </w:tcPr>
          <w:p w:rsidRPr="006F34CD" w:rsidR="00515FE0" w:rsidP="006F34CD" w:rsidRDefault="00515FE0" w14:paraId="20F04C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3DC394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3270C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D1BDE5F" w14:textId="77777777">
        <w:trPr>
          <w:cantSplit/>
        </w:trPr>
        <w:tc>
          <w:tcPr>
            <w:tcW w:w="2249" w:type="dxa"/>
          </w:tcPr>
          <w:p w:rsidRPr="006F34CD" w:rsidR="00515FE0" w:rsidP="006F34CD" w:rsidRDefault="00515FE0" w14:paraId="78C0BAF1" w14:textId="2DAE9A7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Kalininskaya</w:t>
            </w:r>
          </w:p>
        </w:tc>
        <w:tc>
          <w:tcPr>
            <w:tcW w:w="836" w:type="dxa"/>
          </w:tcPr>
          <w:p w:rsidRPr="006F34CD" w:rsidR="00515FE0" w:rsidP="006F34CD" w:rsidRDefault="00515FE0" w14:paraId="14D0A9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23FEFB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Kalininskaya</w:t>
            </w:r>
          </w:p>
        </w:tc>
        <w:tc>
          <w:tcPr>
            <w:tcW w:w="1134" w:type="dxa"/>
          </w:tcPr>
          <w:p w:rsidRPr="006F34CD" w:rsidR="00515FE0" w:rsidP="006F34CD" w:rsidRDefault="00515FE0" w14:paraId="08139F7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D8A4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93B904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C7AC9CA" w14:textId="77777777">
        <w:trPr>
          <w:cantSplit/>
        </w:trPr>
        <w:tc>
          <w:tcPr>
            <w:tcW w:w="2249" w:type="dxa"/>
          </w:tcPr>
          <w:p w:rsidRPr="006F34CD" w:rsidR="00515FE0" w:rsidP="006F34CD" w:rsidRDefault="00515FE0" w14:paraId="112EBAC8" w14:textId="4A18C8C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Kaltan</w:t>
            </w:r>
          </w:p>
        </w:tc>
        <w:tc>
          <w:tcPr>
            <w:tcW w:w="836" w:type="dxa"/>
          </w:tcPr>
          <w:p w:rsidRPr="006F34CD" w:rsidR="00515FE0" w:rsidP="006F34CD" w:rsidRDefault="00515FE0" w14:paraId="48C03D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1F431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Kaltan</w:t>
            </w:r>
          </w:p>
        </w:tc>
        <w:tc>
          <w:tcPr>
            <w:tcW w:w="1134" w:type="dxa"/>
          </w:tcPr>
          <w:p w:rsidRPr="006F34CD" w:rsidR="00515FE0" w:rsidP="006F34CD" w:rsidRDefault="00515FE0" w14:paraId="6028A51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529F6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6BAEF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FDE095A" w14:textId="77777777">
        <w:trPr>
          <w:cantSplit/>
        </w:trPr>
        <w:tc>
          <w:tcPr>
            <w:tcW w:w="2249" w:type="dxa"/>
          </w:tcPr>
          <w:p w:rsidRPr="006F34CD" w:rsidR="00515FE0" w:rsidP="006F34CD" w:rsidRDefault="00515FE0" w14:paraId="1D9C3768" w14:textId="66195AD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Kaluga</w:t>
            </w:r>
          </w:p>
        </w:tc>
        <w:tc>
          <w:tcPr>
            <w:tcW w:w="836" w:type="dxa"/>
          </w:tcPr>
          <w:p w:rsidRPr="006F34CD" w:rsidR="00515FE0" w:rsidP="006F34CD" w:rsidRDefault="00515FE0" w14:paraId="0D064F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61BF6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Kaluga</w:t>
            </w:r>
          </w:p>
        </w:tc>
        <w:tc>
          <w:tcPr>
            <w:tcW w:w="1134" w:type="dxa"/>
          </w:tcPr>
          <w:p w:rsidRPr="006F34CD" w:rsidR="00515FE0" w:rsidP="006F34CD" w:rsidRDefault="00515FE0" w14:paraId="39D1AC9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D82E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F8441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7F3255B" w14:textId="77777777">
        <w:trPr>
          <w:cantSplit/>
        </w:trPr>
        <w:tc>
          <w:tcPr>
            <w:tcW w:w="2249" w:type="dxa"/>
          </w:tcPr>
          <w:p w:rsidRPr="006F34CD" w:rsidR="00515FE0" w:rsidP="006F34CD" w:rsidRDefault="00515FE0" w14:paraId="4419A979" w14:textId="2BD5B8A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Kamensk-Shakhtinskiy</w:t>
            </w:r>
          </w:p>
        </w:tc>
        <w:tc>
          <w:tcPr>
            <w:tcW w:w="836" w:type="dxa"/>
          </w:tcPr>
          <w:p w:rsidRPr="006F34CD" w:rsidR="00515FE0" w:rsidP="006F34CD" w:rsidRDefault="00515FE0" w14:paraId="278750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D23C0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Kamensk-Shakhtinskiy</w:t>
            </w:r>
          </w:p>
        </w:tc>
        <w:tc>
          <w:tcPr>
            <w:tcW w:w="1134" w:type="dxa"/>
          </w:tcPr>
          <w:p w:rsidRPr="006F34CD" w:rsidR="00515FE0" w:rsidP="006F34CD" w:rsidRDefault="00515FE0" w14:paraId="2F8D92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4CE32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1B42B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5973B65" w14:textId="77777777">
        <w:trPr>
          <w:cantSplit/>
        </w:trPr>
        <w:tc>
          <w:tcPr>
            <w:tcW w:w="2249" w:type="dxa"/>
          </w:tcPr>
          <w:p w:rsidRPr="006F34CD" w:rsidR="00515FE0" w:rsidP="006F34CD" w:rsidRDefault="00515FE0" w14:paraId="15ECDA58" w14:textId="712FA7D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Kamyshin of the Volgograd Region</w:t>
            </w:r>
          </w:p>
        </w:tc>
        <w:tc>
          <w:tcPr>
            <w:tcW w:w="836" w:type="dxa"/>
          </w:tcPr>
          <w:p w:rsidRPr="006F34CD" w:rsidR="00515FE0" w:rsidP="006F34CD" w:rsidRDefault="00515FE0" w14:paraId="3A8123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74E2F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Kamyshin</w:t>
            </w:r>
          </w:p>
        </w:tc>
        <w:tc>
          <w:tcPr>
            <w:tcW w:w="1134" w:type="dxa"/>
          </w:tcPr>
          <w:p w:rsidRPr="006F34CD" w:rsidR="00515FE0" w:rsidP="006F34CD" w:rsidRDefault="00515FE0" w14:paraId="5D6DCC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583E7E2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07AE45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3C0CD37" w14:textId="77777777">
        <w:trPr>
          <w:cantSplit/>
        </w:trPr>
        <w:tc>
          <w:tcPr>
            <w:tcW w:w="2249" w:type="dxa"/>
          </w:tcPr>
          <w:p w:rsidRPr="006F34CD" w:rsidR="00515FE0" w:rsidP="006F34CD" w:rsidRDefault="00515FE0" w14:paraId="05CE5E59" w14:textId="5310078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Kandalaksha</w:t>
            </w:r>
          </w:p>
        </w:tc>
        <w:tc>
          <w:tcPr>
            <w:tcW w:w="836" w:type="dxa"/>
          </w:tcPr>
          <w:p w:rsidRPr="006F34CD" w:rsidR="00515FE0" w:rsidP="006F34CD" w:rsidRDefault="00515FE0" w14:paraId="590628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5C5995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Kandalaksha</w:t>
            </w:r>
          </w:p>
        </w:tc>
        <w:tc>
          <w:tcPr>
            <w:tcW w:w="1134" w:type="dxa"/>
          </w:tcPr>
          <w:p w:rsidRPr="006F34CD" w:rsidR="00515FE0" w:rsidP="006F34CD" w:rsidRDefault="00515FE0" w14:paraId="73D871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89BF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C8F627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F475736" w14:textId="77777777">
        <w:trPr>
          <w:cantSplit/>
        </w:trPr>
        <w:tc>
          <w:tcPr>
            <w:tcW w:w="2249" w:type="dxa"/>
          </w:tcPr>
          <w:p w:rsidRPr="006F34CD" w:rsidR="00515FE0" w:rsidP="006F34CD" w:rsidRDefault="00515FE0" w14:paraId="668D7EFC" w14:textId="331FAF2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Kanevskaya</w:t>
            </w:r>
          </w:p>
        </w:tc>
        <w:tc>
          <w:tcPr>
            <w:tcW w:w="836" w:type="dxa"/>
          </w:tcPr>
          <w:p w:rsidRPr="006F34CD" w:rsidR="00515FE0" w:rsidP="006F34CD" w:rsidRDefault="00515FE0" w14:paraId="5D4D78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01DD9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Kanevskaya</w:t>
            </w:r>
          </w:p>
        </w:tc>
        <w:tc>
          <w:tcPr>
            <w:tcW w:w="1134" w:type="dxa"/>
          </w:tcPr>
          <w:p w:rsidRPr="006F34CD" w:rsidR="00515FE0" w:rsidP="006F34CD" w:rsidRDefault="00515FE0" w14:paraId="14388F7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E3CE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66F1A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9884B1E" w14:textId="77777777">
        <w:trPr>
          <w:cantSplit/>
        </w:trPr>
        <w:tc>
          <w:tcPr>
            <w:tcW w:w="2249" w:type="dxa"/>
          </w:tcPr>
          <w:p w:rsidRPr="006F34CD" w:rsidR="00515FE0" w:rsidP="006F34CD" w:rsidRDefault="00515FE0" w14:paraId="4EE9A16F" w14:textId="73683B8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"Kansk"</w:t>
            </w:r>
          </w:p>
        </w:tc>
        <w:tc>
          <w:tcPr>
            <w:tcW w:w="836" w:type="dxa"/>
          </w:tcPr>
          <w:p w:rsidRPr="006F34CD" w:rsidR="00515FE0" w:rsidP="006F34CD" w:rsidRDefault="00515FE0" w14:paraId="73E311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693507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Chernogorsk</w:t>
            </w:r>
          </w:p>
        </w:tc>
        <w:tc>
          <w:tcPr>
            <w:tcW w:w="1134" w:type="dxa"/>
          </w:tcPr>
          <w:p w:rsidRPr="006F34CD" w:rsidR="00515FE0" w:rsidP="006F34CD" w:rsidRDefault="00515FE0" w14:paraId="325F1A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50,044</w:t>
            </w:r>
          </w:p>
        </w:tc>
        <w:tc>
          <w:tcPr>
            <w:tcW w:w="992" w:type="dxa"/>
          </w:tcPr>
          <w:p w:rsidRPr="006F34CD" w:rsidR="00515FE0" w:rsidP="006F34CD" w:rsidRDefault="00515FE0" w14:paraId="05917C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95E810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2A58374" w14:textId="77777777">
        <w:trPr>
          <w:cantSplit/>
        </w:trPr>
        <w:tc>
          <w:tcPr>
            <w:tcW w:w="2249" w:type="dxa"/>
          </w:tcPr>
          <w:p w:rsidRPr="006F34CD" w:rsidR="00515FE0" w:rsidP="006F34CD" w:rsidRDefault="00515FE0" w14:paraId="7CB6C7D7" w14:textId="068A902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Kazan of the "Administrative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0B1D6C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02D3A7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Kazan</w:t>
            </w:r>
          </w:p>
        </w:tc>
        <w:tc>
          <w:tcPr>
            <w:tcW w:w="1134" w:type="dxa"/>
          </w:tcPr>
          <w:p w:rsidRPr="006F34CD" w:rsidR="00515FE0" w:rsidP="006F34CD" w:rsidRDefault="00515FE0" w14:paraId="0CBB463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55,462</w:t>
            </w:r>
          </w:p>
        </w:tc>
        <w:tc>
          <w:tcPr>
            <w:tcW w:w="992" w:type="dxa"/>
          </w:tcPr>
          <w:p w:rsidRPr="006F34CD" w:rsidR="00515FE0" w:rsidP="006F34CD" w:rsidRDefault="00515FE0" w14:paraId="07820FF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3AC43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E52C819" w14:textId="77777777">
        <w:trPr>
          <w:cantSplit/>
        </w:trPr>
        <w:tc>
          <w:tcPr>
            <w:tcW w:w="2249" w:type="dxa"/>
          </w:tcPr>
          <w:p w:rsidRPr="006F34CD" w:rsidR="00515FE0" w:rsidP="006F34CD" w:rsidRDefault="00515FE0" w14:paraId="42B0CDCF" w14:textId="7C4C44B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Kemerovo"</w:t>
            </w:r>
          </w:p>
        </w:tc>
        <w:tc>
          <w:tcPr>
            <w:tcW w:w="836" w:type="dxa"/>
          </w:tcPr>
          <w:p w:rsidRPr="006F34CD" w:rsidR="00515FE0" w:rsidP="006F34CD" w:rsidRDefault="00515FE0" w14:paraId="13D461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5B7F8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0DC4D4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197E2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40992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DDC494F" w14:textId="77777777">
        <w:trPr>
          <w:cantSplit/>
        </w:trPr>
        <w:tc>
          <w:tcPr>
            <w:tcW w:w="2249" w:type="dxa"/>
          </w:tcPr>
          <w:p w:rsidRPr="006F34CD" w:rsidR="00515FE0" w:rsidP="006F34CD" w:rsidRDefault="00515FE0" w14:paraId="58D3554D" w14:textId="75225EE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Kerch</w:t>
            </w:r>
          </w:p>
        </w:tc>
        <w:tc>
          <w:tcPr>
            <w:tcW w:w="836" w:type="dxa"/>
          </w:tcPr>
          <w:p w:rsidRPr="006F34CD" w:rsidR="00515FE0" w:rsidP="006F34CD" w:rsidRDefault="00515FE0" w14:paraId="3E7C4C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418544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Kerch</w:t>
            </w:r>
          </w:p>
        </w:tc>
        <w:tc>
          <w:tcPr>
            <w:tcW w:w="1134" w:type="dxa"/>
          </w:tcPr>
          <w:p w:rsidRPr="006F34CD" w:rsidR="00515FE0" w:rsidP="006F34CD" w:rsidRDefault="00515FE0" w14:paraId="309F17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254,060</w:t>
            </w:r>
          </w:p>
        </w:tc>
        <w:tc>
          <w:tcPr>
            <w:tcW w:w="992" w:type="dxa"/>
          </w:tcPr>
          <w:p w:rsidRPr="006F34CD" w:rsidR="00515FE0" w:rsidP="006F34CD" w:rsidRDefault="00515FE0" w14:paraId="625017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5AB760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831D507" w14:textId="77777777">
        <w:trPr>
          <w:cantSplit/>
        </w:trPr>
        <w:tc>
          <w:tcPr>
            <w:tcW w:w="2249" w:type="dxa"/>
          </w:tcPr>
          <w:p w:rsidRPr="006F34CD" w:rsidR="00515FE0" w:rsidP="006F34CD" w:rsidRDefault="00515FE0" w14:paraId="56F50FD9" w14:textId="6F03D62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Khabarovsk</w:t>
            </w:r>
          </w:p>
        </w:tc>
        <w:tc>
          <w:tcPr>
            <w:tcW w:w="836" w:type="dxa"/>
          </w:tcPr>
          <w:p w:rsidRPr="006F34CD" w:rsidR="00515FE0" w:rsidP="006F34CD" w:rsidRDefault="00515FE0" w14:paraId="126DE1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C7E69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Khabarovsk</w:t>
            </w:r>
          </w:p>
        </w:tc>
        <w:tc>
          <w:tcPr>
            <w:tcW w:w="1134" w:type="dxa"/>
          </w:tcPr>
          <w:p w:rsidRPr="006F34CD" w:rsidR="00515FE0" w:rsidP="006F34CD" w:rsidRDefault="00515FE0" w14:paraId="3897814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523,617</w:t>
            </w:r>
          </w:p>
        </w:tc>
        <w:tc>
          <w:tcPr>
            <w:tcW w:w="992" w:type="dxa"/>
          </w:tcPr>
          <w:p w:rsidRPr="006F34CD" w:rsidR="00515FE0" w:rsidP="006F34CD" w:rsidRDefault="00515FE0" w14:paraId="27485F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E8E67D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2FD14AD" w14:textId="77777777">
        <w:trPr>
          <w:cantSplit/>
        </w:trPr>
        <w:tc>
          <w:tcPr>
            <w:tcW w:w="2249" w:type="dxa"/>
          </w:tcPr>
          <w:p w:rsidRPr="006F34CD" w:rsidR="00515FE0" w:rsidP="006F34CD" w:rsidRDefault="00515FE0" w14:paraId="0AC66369" w14:textId="500B296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Khanskaya</w:t>
            </w:r>
          </w:p>
        </w:tc>
        <w:tc>
          <w:tcPr>
            <w:tcW w:w="836" w:type="dxa"/>
          </w:tcPr>
          <w:p w:rsidRPr="006F34CD" w:rsidR="00515FE0" w:rsidP="006F34CD" w:rsidRDefault="00515FE0" w14:paraId="77E05B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532A5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Maykop</w:t>
            </w:r>
          </w:p>
        </w:tc>
        <w:tc>
          <w:tcPr>
            <w:tcW w:w="1134" w:type="dxa"/>
          </w:tcPr>
          <w:p w:rsidRPr="006F34CD" w:rsidR="00515FE0" w:rsidP="006F34CD" w:rsidRDefault="00515FE0" w14:paraId="33145C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59,295</w:t>
            </w:r>
          </w:p>
        </w:tc>
        <w:tc>
          <w:tcPr>
            <w:tcW w:w="992" w:type="dxa"/>
          </w:tcPr>
          <w:p w:rsidRPr="006F34CD" w:rsidR="00515FE0" w:rsidP="006F34CD" w:rsidRDefault="00515FE0" w14:paraId="2F2A87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DA30B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DE2EAFA" w14:textId="77777777">
        <w:trPr>
          <w:cantSplit/>
        </w:trPr>
        <w:tc>
          <w:tcPr>
            <w:tcW w:w="2249" w:type="dxa"/>
          </w:tcPr>
          <w:p w:rsidRPr="006F34CD" w:rsidR="00515FE0" w:rsidP="006F34CD" w:rsidRDefault="00515FE0" w14:paraId="020F0F43" w14:textId="744A25E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"Tsentralniy Khazan"</w:t>
            </w:r>
          </w:p>
        </w:tc>
        <w:tc>
          <w:tcPr>
            <w:tcW w:w="836" w:type="dxa"/>
          </w:tcPr>
          <w:p w:rsidRPr="006F34CD" w:rsidR="00515FE0" w:rsidP="006F34CD" w:rsidRDefault="00515FE0" w14:paraId="16C92B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3E9F1C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Tsentralniy Khazan</w:t>
            </w:r>
          </w:p>
        </w:tc>
        <w:tc>
          <w:tcPr>
            <w:tcW w:w="1134" w:type="dxa"/>
          </w:tcPr>
          <w:p w:rsidRPr="006F34CD" w:rsidR="00515FE0" w:rsidP="006F34CD" w:rsidRDefault="00515FE0" w14:paraId="7911246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1AEA2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39107B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FC79CDD" w14:textId="77777777">
        <w:trPr>
          <w:cantSplit/>
        </w:trPr>
        <w:tc>
          <w:tcPr>
            <w:tcW w:w="2249" w:type="dxa"/>
          </w:tcPr>
          <w:p w:rsidRPr="006F34CD" w:rsidR="00515FE0" w:rsidP="006F34CD" w:rsidRDefault="00515FE0" w14:paraId="755D4252" w14:textId="171F6F2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Khimkinskiy District</w:t>
            </w:r>
          </w:p>
        </w:tc>
        <w:tc>
          <w:tcPr>
            <w:tcW w:w="836" w:type="dxa"/>
          </w:tcPr>
          <w:p w:rsidRPr="006F34CD" w:rsidR="00515FE0" w:rsidP="006F34CD" w:rsidRDefault="00515FE0" w14:paraId="15C64B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73420C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Khimki</w:t>
            </w:r>
          </w:p>
        </w:tc>
        <w:tc>
          <w:tcPr>
            <w:tcW w:w="1134" w:type="dxa"/>
          </w:tcPr>
          <w:p w:rsidRPr="006F34CD" w:rsidR="00515FE0" w:rsidP="006F34CD" w:rsidRDefault="00515FE0" w14:paraId="47E294B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6F636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E445D9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76B8BDC" w14:textId="77777777">
        <w:trPr>
          <w:cantSplit/>
        </w:trPr>
        <w:tc>
          <w:tcPr>
            <w:tcW w:w="2249" w:type="dxa"/>
          </w:tcPr>
          <w:p w:rsidRPr="006F34CD" w:rsidR="00515FE0" w:rsidP="006F34CD" w:rsidRDefault="00515FE0" w14:paraId="47D97B83" w14:textId="49768B5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Kholmsk</w:t>
            </w:r>
          </w:p>
        </w:tc>
        <w:tc>
          <w:tcPr>
            <w:tcW w:w="836" w:type="dxa"/>
          </w:tcPr>
          <w:p w:rsidRPr="006F34CD" w:rsidR="00515FE0" w:rsidP="006F34CD" w:rsidRDefault="00515FE0" w14:paraId="7D6437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8ADD9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Kholmsk</w:t>
            </w:r>
          </w:p>
        </w:tc>
        <w:tc>
          <w:tcPr>
            <w:tcW w:w="1134" w:type="dxa"/>
          </w:tcPr>
          <w:p w:rsidRPr="006F34CD" w:rsidR="00515FE0" w:rsidP="006F34CD" w:rsidRDefault="00515FE0" w14:paraId="1074A26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8712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9E5293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0A036D7" w14:textId="77777777">
        <w:trPr>
          <w:cantSplit/>
        </w:trPr>
        <w:tc>
          <w:tcPr>
            <w:tcW w:w="2249" w:type="dxa"/>
          </w:tcPr>
          <w:p w:rsidRPr="006F34CD" w:rsidR="00515FE0" w:rsidP="006F34CD" w:rsidRDefault="00515FE0" w14:paraId="33E13F14" w14:textId="3553854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Kineshma</w:t>
            </w:r>
          </w:p>
        </w:tc>
        <w:tc>
          <w:tcPr>
            <w:tcW w:w="836" w:type="dxa"/>
          </w:tcPr>
          <w:p w:rsidRPr="006F34CD" w:rsidR="00515FE0" w:rsidP="006F34CD" w:rsidRDefault="00515FE0" w14:paraId="633DB9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1F04E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Kineshma</w:t>
            </w:r>
          </w:p>
        </w:tc>
        <w:tc>
          <w:tcPr>
            <w:tcW w:w="1134" w:type="dxa"/>
          </w:tcPr>
          <w:p w:rsidRPr="006F34CD" w:rsidR="00515FE0" w:rsidP="006F34CD" w:rsidRDefault="00515FE0" w14:paraId="0B0B37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85F27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5873F9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760562A" w14:textId="77777777">
        <w:trPr>
          <w:cantSplit/>
        </w:trPr>
        <w:tc>
          <w:tcPr>
            <w:tcW w:w="2249" w:type="dxa"/>
          </w:tcPr>
          <w:p w:rsidRPr="006F34CD" w:rsidR="00515FE0" w:rsidP="006F34CD" w:rsidRDefault="00515FE0" w14:paraId="0D64908E" w14:textId="3721936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Kirishi</w:t>
            </w:r>
          </w:p>
        </w:tc>
        <w:tc>
          <w:tcPr>
            <w:tcW w:w="836" w:type="dxa"/>
          </w:tcPr>
          <w:p w:rsidRPr="006F34CD" w:rsidR="00515FE0" w:rsidP="006F34CD" w:rsidRDefault="00515FE0" w14:paraId="660A3E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32170B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Kirishi</w:t>
            </w:r>
          </w:p>
        </w:tc>
        <w:tc>
          <w:tcPr>
            <w:tcW w:w="1134" w:type="dxa"/>
          </w:tcPr>
          <w:p w:rsidRPr="006F34CD" w:rsidR="00515FE0" w:rsidP="006F34CD" w:rsidRDefault="00515FE0" w14:paraId="392876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146,466</w:t>
            </w:r>
          </w:p>
        </w:tc>
        <w:tc>
          <w:tcPr>
            <w:tcW w:w="992" w:type="dxa"/>
          </w:tcPr>
          <w:p w:rsidRPr="006F34CD" w:rsidR="00515FE0" w:rsidP="006F34CD" w:rsidRDefault="00515FE0" w14:paraId="6051D1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DE50E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20F4481" w14:textId="77777777">
        <w:trPr>
          <w:cantSplit/>
        </w:trPr>
        <w:tc>
          <w:tcPr>
            <w:tcW w:w="2249" w:type="dxa"/>
          </w:tcPr>
          <w:p w:rsidRPr="006F34CD" w:rsidR="00515FE0" w:rsidP="006F34CD" w:rsidRDefault="00515FE0" w14:paraId="65D6437A" w14:textId="033D016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Kirov</w:t>
            </w:r>
          </w:p>
        </w:tc>
        <w:tc>
          <w:tcPr>
            <w:tcW w:w="836" w:type="dxa"/>
          </w:tcPr>
          <w:p w:rsidRPr="006F34CD" w:rsidR="00515FE0" w:rsidP="006F34CD" w:rsidRDefault="00515FE0" w14:paraId="67E77E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6E642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Kirov</w:t>
            </w:r>
          </w:p>
        </w:tc>
        <w:tc>
          <w:tcPr>
            <w:tcW w:w="1134" w:type="dxa"/>
          </w:tcPr>
          <w:p w:rsidRPr="006F34CD" w:rsidR="00515FE0" w:rsidP="006F34CD" w:rsidRDefault="00515FE0" w14:paraId="3A977D8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0B73F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107C4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7AF97B1" w14:textId="77777777">
        <w:trPr>
          <w:cantSplit/>
        </w:trPr>
        <w:tc>
          <w:tcPr>
            <w:tcW w:w="2249" w:type="dxa"/>
          </w:tcPr>
          <w:p w:rsidRPr="006F34CD" w:rsidR="00515FE0" w:rsidP="006F34CD" w:rsidRDefault="00515FE0" w14:paraId="2EC3F7FC" w14:textId="213FA93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Kirovo-Chepetsk</w:t>
            </w:r>
          </w:p>
        </w:tc>
        <w:tc>
          <w:tcPr>
            <w:tcW w:w="836" w:type="dxa"/>
          </w:tcPr>
          <w:p w:rsidRPr="006F34CD" w:rsidR="00515FE0" w:rsidP="006F34CD" w:rsidRDefault="00515FE0" w14:paraId="2F0D40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2A69E9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Kirovo-Chepetsk</w:t>
            </w:r>
          </w:p>
        </w:tc>
        <w:tc>
          <w:tcPr>
            <w:tcW w:w="1134" w:type="dxa"/>
          </w:tcPr>
          <w:p w:rsidRPr="006F34CD" w:rsidR="00515FE0" w:rsidP="006F34CD" w:rsidRDefault="00515FE0" w14:paraId="3C2242B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65BC7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EFB3F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56B11E3" w14:textId="77777777">
        <w:trPr>
          <w:cantSplit/>
        </w:trPr>
        <w:tc>
          <w:tcPr>
            <w:tcW w:w="2249" w:type="dxa"/>
          </w:tcPr>
          <w:p w:rsidRPr="006F34CD" w:rsidR="00515FE0" w:rsidP="006F34CD" w:rsidRDefault="00515FE0" w14:paraId="165B2856" w14:textId="56CF48D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Kirovsk</w:t>
            </w:r>
          </w:p>
        </w:tc>
        <w:tc>
          <w:tcPr>
            <w:tcW w:w="836" w:type="dxa"/>
          </w:tcPr>
          <w:p w:rsidRPr="006F34CD" w:rsidR="00515FE0" w:rsidP="006F34CD" w:rsidRDefault="00515FE0" w14:paraId="422726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2F1BD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Kirovsk</w:t>
            </w:r>
          </w:p>
        </w:tc>
        <w:tc>
          <w:tcPr>
            <w:tcW w:w="1134" w:type="dxa"/>
          </w:tcPr>
          <w:p w:rsidRPr="006F34CD" w:rsidR="00515FE0" w:rsidP="006F34CD" w:rsidRDefault="00515FE0" w14:paraId="3F02E06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67E9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9776B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13C79CE" w14:textId="77777777">
        <w:trPr>
          <w:cantSplit/>
        </w:trPr>
        <w:tc>
          <w:tcPr>
            <w:tcW w:w="2249" w:type="dxa"/>
          </w:tcPr>
          <w:p w:rsidRPr="006F34CD" w:rsidR="00515FE0" w:rsidP="006F34CD" w:rsidRDefault="00515FE0" w14:paraId="1799E7DE" w14:textId="23099D4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Kiselevsk</w:t>
            </w:r>
          </w:p>
        </w:tc>
        <w:tc>
          <w:tcPr>
            <w:tcW w:w="836" w:type="dxa"/>
          </w:tcPr>
          <w:p w:rsidRPr="006F34CD" w:rsidR="00515FE0" w:rsidP="006F34CD" w:rsidRDefault="00515FE0" w14:paraId="0660DE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4D385C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Kiselevsk</w:t>
            </w:r>
          </w:p>
        </w:tc>
        <w:tc>
          <w:tcPr>
            <w:tcW w:w="1134" w:type="dxa"/>
          </w:tcPr>
          <w:p w:rsidRPr="006F34CD" w:rsidR="00515FE0" w:rsidP="006F34CD" w:rsidRDefault="00515FE0" w14:paraId="064E34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35FDD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F58157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DD7E436" w14:textId="77777777">
        <w:trPr>
          <w:cantSplit/>
        </w:trPr>
        <w:tc>
          <w:tcPr>
            <w:tcW w:w="2249" w:type="dxa"/>
          </w:tcPr>
          <w:p w:rsidRPr="006F34CD" w:rsidR="00515FE0" w:rsidP="006F34CD" w:rsidRDefault="00515FE0" w14:paraId="4819B7AD" w14:textId="3F2F3D0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Kislovodsk</w:t>
            </w:r>
          </w:p>
        </w:tc>
        <w:tc>
          <w:tcPr>
            <w:tcW w:w="836" w:type="dxa"/>
          </w:tcPr>
          <w:p w:rsidRPr="006F34CD" w:rsidR="00515FE0" w:rsidP="006F34CD" w:rsidRDefault="00515FE0" w14:paraId="1DA856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5E034B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Kislovodsk</w:t>
            </w:r>
          </w:p>
        </w:tc>
        <w:tc>
          <w:tcPr>
            <w:tcW w:w="1134" w:type="dxa"/>
          </w:tcPr>
          <w:p w:rsidRPr="006F34CD" w:rsidR="00515FE0" w:rsidP="006F34CD" w:rsidRDefault="00515FE0" w14:paraId="3F62CFF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112,296</w:t>
            </w:r>
          </w:p>
        </w:tc>
        <w:tc>
          <w:tcPr>
            <w:tcW w:w="992" w:type="dxa"/>
          </w:tcPr>
          <w:p w:rsidRPr="006F34CD" w:rsidR="00515FE0" w:rsidP="006F34CD" w:rsidRDefault="00515FE0" w14:paraId="4CD22B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5E719D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1475104" w14:textId="77777777">
        <w:trPr>
          <w:cantSplit/>
        </w:trPr>
        <w:tc>
          <w:tcPr>
            <w:tcW w:w="2249" w:type="dxa"/>
          </w:tcPr>
          <w:p w:rsidRPr="006F34CD" w:rsidR="00515FE0" w:rsidP="006F34CD" w:rsidRDefault="00515FE0" w14:paraId="5E5ADCE8" w14:textId="07C388A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Kizlyar</w:t>
            </w:r>
          </w:p>
        </w:tc>
        <w:tc>
          <w:tcPr>
            <w:tcW w:w="836" w:type="dxa"/>
          </w:tcPr>
          <w:p w:rsidRPr="006F34CD" w:rsidR="00515FE0" w:rsidP="006F34CD" w:rsidRDefault="00515FE0" w14:paraId="5ED9A2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5E436E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Kizlyar</w:t>
            </w:r>
          </w:p>
        </w:tc>
        <w:tc>
          <w:tcPr>
            <w:tcW w:w="1134" w:type="dxa"/>
          </w:tcPr>
          <w:p w:rsidRPr="006F34CD" w:rsidR="00515FE0" w:rsidP="006F34CD" w:rsidRDefault="00515FE0" w14:paraId="5BF38E5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A8E8B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FF47C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75071FA" w14:textId="77777777">
        <w:trPr>
          <w:cantSplit/>
        </w:trPr>
        <w:tc>
          <w:tcPr>
            <w:tcW w:w="2249" w:type="dxa"/>
          </w:tcPr>
          <w:p w:rsidRPr="006F34CD" w:rsidR="00515FE0" w:rsidP="006F34CD" w:rsidRDefault="00515FE0" w14:paraId="57FBE7EF" w14:textId="2355C13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Klinskiy District</w:t>
            </w:r>
          </w:p>
        </w:tc>
        <w:tc>
          <w:tcPr>
            <w:tcW w:w="836" w:type="dxa"/>
          </w:tcPr>
          <w:p w:rsidRPr="006F34CD" w:rsidR="00515FE0" w:rsidP="006F34CD" w:rsidRDefault="00515FE0" w14:paraId="75FDA1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1E3517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Klin</w:t>
            </w:r>
          </w:p>
        </w:tc>
        <w:tc>
          <w:tcPr>
            <w:tcW w:w="1134" w:type="dxa"/>
          </w:tcPr>
          <w:p w:rsidRPr="006F34CD" w:rsidR="00515FE0" w:rsidP="006F34CD" w:rsidRDefault="00515FE0" w14:paraId="75D293A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76B8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79B2E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D04A517" w14:textId="77777777">
        <w:trPr>
          <w:cantSplit/>
        </w:trPr>
        <w:tc>
          <w:tcPr>
            <w:tcW w:w="2249" w:type="dxa"/>
          </w:tcPr>
          <w:p w:rsidRPr="006F34CD" w:rsidR="00515FE0" w:rsidP="006F34CD" w:rsidRDefault="00515FE0" w14:paraId="343132A7" w14:textId="218C9CE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Kochubeyevskiy District</w:t>
            </w:r>
          </w:p>
        </w:tc>
        <w:tc>
          <w:tcPr>
            <w:tcW w:w="836" w:type="dxa"/>
          </w:tcPr>
          <w:p w:rsidRPr="006F34CD" w:rsidR="00515FE0" w:rsidP="006F34CD" w:rsidRDefault="00515FE0" w14:paraId="5E70F8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EF26E5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Kochubeyevskoye</w:t>
            </w:r>
          </w:p>
        </w:tc>
        <w:tc>
          <w:tcPr>
            <w:tcW w:w="1134" w:type="dxa"/>
          </w:tcPr>
          <w:p w:rsidRPr="006F34CD" w:rsidR="00515FE0" w:rsidP="006F34CD" w:rsidRDefault="00515FE0" w14:paraId="257F438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60,422</w:t>
            </w:r>
          </w:p>
        </w:tc>
        <w:tc>
          <w:tcPr>
            <w:tcW w:w="992" w:type="dxa"/>
          </w:tcPr>
          <w:p w:rsidRPr="006F34CD" w:rsidR="00515FE0" w:rsidP="006F34CD" w:rsidRDefault="00515FE0" w14:paraId="1E4DDE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C6BC22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170D2AC" w14:textId="77777777">
        <w:trPr>
          <w:cantSplit/>
        </w:trPr>
        <w:tc>
          <w:tcPr>
            <w:tcW w:w="2249" w:type="dxa"/>
          </w:tcPr>
          <w:p w:rsidRPr="006F34CD" w:rsidR="00515FE0" w:rsidP="006F34CD" w:rsidRDefault="00515FE0" w14:paraId="763E4968" w14:textId="7F4BAE7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Kogalym</w:t>
            </w:r>
          </w:p>
        </w:tc>
        <w:tc>
          <w:tcPr>
            <w:tcW w:w="836" w:type="dxa"/>
          </w:tcPr>
          <w:p w:rsidRPr="006F34CD" w:rsidR="00515FE0" w:rsidP="006F34CD" w:rsidRDefault="00515FE0" w14:paraId="4E9303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903EF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Kogalym</w:t>
            </w:r>
          </w:p>
        </w:tc>
        <w:tc>
          <w:tcPr>
            <w:tcW w:w="1134" w:type="dxa"/>
          </w:tcPr>
          <w:p w:rsidRPr="006F34CD" w:rsidR="00515FE0" w:rsidP="006F34CD" w:rsidRDefault="00515FE0" w14:paraId="27036E8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9B2ED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0503E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A4702D2" w14:textId="77777777">
        <w:trPr>
          <w:cantSplit/>
        </w:trPr>
        <w:tc>
          <w:tcPr>
            <w:tcW w:w="2249" w:type="dxa"/>
          </w:tcPr>
          <w:p w:rsidRPr="006F34CD" w:rsidR="00515FE0" w:rsidP="006F34CD" w:rsidRDefault="00515FE0" w14:paraId="704EFDF4" w14:textId="2A07932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Kokhma</w:t>
            </w:r>
          </w:p>
        </w:tc>
        <w:tc>
          <w:tcPr>
            <w:tcW w:w="836" w:type="dxa"/>
          </w:tcPr>
          <w:p w:rsidRPr="006F34CD" w:rsidR="00515FE0" w:rsidP="006F34CD" w:rsidRDefault="00515FE0" w14:paraId="217161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5C72E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Kokhma</w:t>
            </w:r>
          </w:p>
        </w:tc>
        <w:tc>
          <w:tcPr>
            <w:tcW w:w="1134" w:type="dxa"/>
          </w:tcPr>
          <w:p w:rsidRPr="006F34CD" w:rsidR="00515FE0" w:rsidP="006F34CD" w:rsidRDefault="00515FE0" w14:paraId="154BBC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15856C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A9251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B2D286C" w14:textId="77777777">
        <w:trPr>
          <w:cantSplit/>
        </w:trPr>
        <w:tc>
          <w:tcPr>
            <w:tcW w:w="2249" w:type="dxa"/>
          </w:tcPr>
          <w:p w:rsidRPr="006F34CD" w:rsidR="00515FE0" w:rsidP="006F34CD" w:rsidRDefault="00515FE0" w14:paraId="3143FD12" w14:textId="6F26E45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Komsomolsk-on-Amur</w:t>
            </w:r>
          </w:p>
        </w:tc>
        <w:tc>
          <w:tcPr>
            <w:tcW w:w="836" w:type="dxa"/>
          </w:tcPr>
          <w:p w:rsidRPr="006F34CD" w:rsidR="00515FE0" w:rsidP="006F34CD" w:rsidRDefault="00515FE0" w14:paraId="185059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D8C4B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Komsomolsk-on-Amur</w:t>
            </w:r>
          </w:p>
        </w:tc>
        <w:tc>
          <w:tcPr>
            <w:tcW w:w="1134" w:type="dxa"/>
          </w:tcPr>
          <w:p w:rsidRPr="006F34CD" w:rsidR="00515FE0" w:rsidP="006F34CD" w:rsidRDefault="00515FE0" w14:paraId="6A4347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21A637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966E3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6D0AC5E" w14:textId="77777777">
        <w:trPr>
          <w:cantSplit/>
        </w:trPr>
        <w:tc>
          <w:tcPr>
            <w:tcW w:w="2249" w:type="dxa"/>
          </w:tcPr>
          <w:p w:rsidRPr="006F34CD" w:rsidR="00515FE0" w:rsidP="006F34CD" w:rsidRDefault="00515FE0" w14:paraId="4E749592" w14:textId="136DF54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Korenovsk</w:t>
            </w:r>
          </w:p>
        </w:tc>
        <w:tc>
          <w:tcPr>
            <w:tcW w:w="836" w:type="dxa"/>
          </w:tcPr>
          <w:p w:rsidRPr="006F34CD" w:rsidR="00515FE0" w:rsidP="006F34CD" w:rsidRDefault="00515FE0" w14:paraId="699ACF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3234D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Korenovsk</w:t>
            </w:r>
          </w:p>
        </w:tc>
        <w:tc>
          <w:tcPr>
            <w:tcW w:w="1134" w:type="dxa"/>
          </w:tcPr>
          <w:p w:rsidRPr="006F34CD" w:rsidR="00515FE0" w:rsidP="006F34CD" w:rsidRDefault="00515FE0" w14:paraId="2C56B5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6FDE5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FB1E5F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289BD98" w14:textId="77777777">
        <w:trPr>
          <w:cantSplit/>
        </w:trPr>
        <w:tc>
          <w:tcPr>
            <w:tcW w:w="2249" w:type="dxa"/>
          </w:tcPr>
          <w:p w:rsidRPr="006F34CD" w:rsidR="00515FE0" w:rsidP="006F34CD" w:rsidRDefault="00515FE0" w14:paraId="6E71786C" w14:textId="32B553D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Korolev</w:t>
            </w:r>
          </w:p>
        </w:tc>
        <w:tc>
          <w:tcPr>
            <w:tcW w:w="836" w:type="dxa"/>
          </w:tcPr>
          <w:p w:rsidRPr="006F34CD" w:rsidR="00515FE0" w:rsidP="006F34CD" w:rsidRDefault="00515FE0" w14:paraId="1225C5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E07C9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Korolev</w:t>
            </w:r>
          </w:p>
        </w:tc>
        <w:tc>
          <w:tcPr>
            <w:tcW w:w="1134" w:type="dxa"/>
          </w:tcPr>
          <w:p w:rsidRPr="006F34CD" w:rsidR="00515FE0" w:rsidP="006F34CD" w:rsidRDefault="00515FE0" w14:paraId="1BC501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CBEA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CF01C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6F659E9" w14:textId="77777777">
        <w:trPr>
          <w:cantSplit/>
        </w:trPr>
        <w:tc>
          <w:tcPr>
            <w:tcW w:w="2249" w:type="dxa"/>
          </w:tcPr>
          <w:p w:rsidRPr="006F34CD" w:rsidR="00515FE0" w:rsidP="006F34CD" w:rsidRDefault="00515FE0" w14:paraId="193B3D79" w14:textId="37989BE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"Korsakov"</w:t>
            </w:r>
          </w:p>
        </w:tc>
        <w:tc>
          <w:tcPr>
            <w:tcW w:w="836" w:type="dxa"/>
          </w:tcPr>
          <w:p w:rsidRPr="006F34CD" w:rsidR="00515FE0" w:rsidP="006F34CD" w:rsidRDefault="00515FE0" w14:paraId="10B208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190A48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Korsakov</w:t>
            </w:r>
          </w:p>
        </w:tc>
        <w:tc>
          <w:tcPr>
            <w:tcW w:w="1134" w:type="dxa"/>
          </w:tcPr>
          <w:p w:rsidRPr="006F34CD" w:rsidR="00515FE0" w:rsidP="006F34CD" w:rsidRDefault="00515FE0" w14:paraId="3A79C3D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129,991</w:t>
            </w:r>
          </w:p>
        </w:tc>
        <w:tc>
          <w:tcPr>
            <w:tcW w:w="992" w:type="dxa"/>
          </w:tcPr>
          <w:p w:rsidRPr="006F34CD" w:rsidR="00515FE0" w:rsidP="006F34CD" w:rsidRDefault="00515FE0" w14:paraId="6C5A77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5B8A0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6E325A8" w14:textId="77777777">
        <w:trPr>
          <w:cantSplit/>
        </w:trPr>
        <w:tc>
          <w:tcPr>
            <w:tcW w:w="2249" w:type="dxa"/>
          </w:tcPr>
          <w:p w:rsidRPr="006F34CD" w:rsidR="00515FE0" w:rsidP="006F34CD" w:rsidRDefault="00515FE0" w14:paraId="63E4264B" w14:textId="1326D6B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"Kostomuksha"</w:t>
            </w:r>
          </w:p>
        </w:tc>
        <w:tc>
          <w:tcPr>
            <w:tcW w:w="836" w:type="dxa"/>
          </w:tcPr>
          <w:p w:rsidRPr="006F34CD" w:rsidR="00515FE0" w:rsidP="006F34CD" w:rsidRDefault="00515FE0" w14:paraId="429E05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34F96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Kostomuksha</w:t>
            </w:r>
          </w:p>
        </w:tc>
        <w:tc>
          <w:tcPr>
            <w:tcW w:w="1134" w:type="dxa"/>
          </w:tcPr>
          <w:p w:rsidRPr="006F34CD" w:rsidR="00515FE0" w:rsidP="006F34CD" w:rsidRDefault="00515FE0" w14:paraId="5F4501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110,251</w:t>
            </w:r>
          </w:p>
        </w:tc>
        <w:tc>
          <w:tcPr>
            <w:tcW w:w="992" w:type="dxa"/>
          </w:tcPr>
          <w:p w:rsidRPr="006F34CD" w:rsidR="00515FE0" w:rsidP="006F34CD" w:rsidRDefault="00515FE0" w14:paraId="75567D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216FC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DAE11AF" w14:textId="77777777">
        <w:trPr>
          <w:cantSplit/>
        </w:trPr>
        <w:tc>
          <w:tcPr>
            <w:tcW w:w="2249" w:type="dxa"/>
          </w:tcPr>
          <w:p w:rsidRPr="006F34CD" w:rsidR="00515FE0" w:rsidP="006F34CD" w:rsidRDefault="00515FE0" w14:paraId="23286A9C" w14:textId="760A774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Kostroma</w:t>
            </w:r>
          </w:p>
        </w:tc>
        <w:tc>
          <w:tcPr>
            <w:tcW w:w="836" w:type="dxa"/>
          </w:tcPr>
          <w:p w:rsidRPr="006F34CD" w:rsidR="00515FE0" w:rsidP="006F34CD" w:rsidRDefault="00515FE0" w14:paraId="608EAE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CCC17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Kostroma</w:t>
            </w:r>
          </w:p>
        </w:tc>
        <w:tc>
          <w:tcPr>
            <w:tcW w:w="1134" w:type="dxa"/>
          </w:tcPr>
          <w:p w:rsidRPr="006F34CD" w:rsidR="00515FE0" w:rsidP="006F34CD" w:rsidRDefault="00515FE0" w14:paraId="1CA757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C3FC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BB8700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47B295F" w14:textId="77777777">
        <w:trPr>
          <w:cantSplit/>
        </w:trPr>
        <w:tc>
          <w:tcPr>
            <w:tcW w:w="2249" w:type="dxa"/>
          </w:tcPr>
          <w:p w:rsidRPr="006F34CD" w:rsidR="00515FE0" w:rsidP="006F34CD" w:rsidRDefault="00515FE0" w14:paraId="79E9444E" w14:textId="4E18213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Kotelnikovo of the Volgograd Region</w:t>
            </w:r>
          </w:p>
        </w:tc>
        <w:tc>
          <w:tcPr>
            <w:tcW w:w="836" w:type="dxa"/>
          </w:tcPr>
          <w:p w:rsidRPr="006F34CD" w:rsidR="00515FE0" w:rsidP="006F34CD" w:rsidRDefault="00515FE0" w14:paraId="04EE6D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9E9E4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Kotelnikovo</w:t>
            </w:r>
          </w:p>
        </w:tc>
        <w:tc>
          <w:tcPr>
            <w:tcW w:w="1134" w:type="dxa"/>
          </w:tcPr>
          <w:p w:rsidRPr="006F34CD" w:rsidR="00515FE0" w:rsidP="006F34CD" w:rsidRDefault="00515FE0" w14:paraId="2CF257F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251E3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304A6A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3693EA4" w14:textId="77777777">
        <w:trPr>
          <w:cantSplit/>
        </w:trPr>
        <w:tc>
          <w:tcPr>
            <w:tcW w:w="2249" w:type="dxa"/>
          </w:tcPr>
          <w:p w:rsidRPr="006F34CD" w:rsidR="00515FE0" w:rsidP="006F34CD" w:rsidRDefault="00515FE0" w14:paraId="53EED1FD" w14:textId="48A76B8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Kotlas</w:t>
            </w:r>
          </w:p>
        </w:tc>
        <w:tc>
          <w:tcPr>
            <w:tcW w:w="836" w:type="dxa"/>
          </w:tcPr>
          <w:p w:rsidRPr="006F34CD" w:rsidR="00515FE0" w:rsidP="006F34CD" w:rsidRDefault="00515FE0" w14:paraId="0BFAC4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E5B04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Kotlas</w:t>
            </w:r>
          </w:p>
        </w:tc>
        <w:tc>
          <w:tcPr>
            <w:tcW w:w="1134" w:type="dxa"/>
          </w:tcPr>
          <w:p w:rsidRPr="006F34CD" w:rsidR="00515FE0" w:rsidP="006F34CD" w:rsidRDefault="00515FE0" w14:paraId="74D7846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0055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6DC7B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E56D8A5" w14:textId="77777777">
        <w:trPr>
          <w:cantSplit/>
        </w:trPr>
        <w:tc>
          <w:tcPr>
            <w:tcW w:w="2249" w:type="dxa"/>
          </w:tcPr>
          <w:p w:rsidRPr="006F34CD" w:rsidR="00515FE0" w:rsidP="006F34CD" w:rsidRDefault="00515FE0" w14:paraId="27951E21" w14:textId="66CE7ED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Kotovo of the Volgograd Region</w:t>
            </w:r>
          </w:p>
        </w:tc>
        <w:tc>
          <w:tcPr>
            <w:tcW w:w="836" w:type="dxa"/>
          </w:tcPr>
          <w:p w:rsidRPr="006F34CD" w:rsidR="00515FE0" w:rsidP="006F34CD" w:rsidRDefault="00515FE0" w14:paraId="1EB197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E1D50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Kotovo</w:t>
            </w:r>
          </w:p>
        </w:tc>
        <w:tc>
          <w:tcPr>
            <w:tcW w:w="1134" w:type="dxa"/>
          </w:tcPr>
          <w:p w:rsidRPr="006F34CD" w:rsidR="00515FE0" w:rsidP="006F34CD" w:rsidRDefault="00515FE0" w14:paraId="65A392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F2AEE9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D0FB31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9C2566D" w14:textId="77777777">
        <w:trPr>
          <w:cantSplit/>
        </w:trPr>
        <w:tc>
          <w:tcPr>
            <w:tcW w:w="2249" w:type="dxa"/>
          </w:tcPr>
          <w:p w:rsidRPr="006F34CD" w:rsidR="00515FE0" w:rsidP="006F34CD" w:rsidRDefault="00515FE0" w14:paraId="04C1F083" w14:textId="3468AD4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Krasnoarmeysk of the Saratov Region</w:t>
            </w:r>
          </w:p>
        </w:tc>
        <w:tc>
          <w:tcPr>
            <w:tcW w:w="836" w:type="dxa"/>
          </w:tcPr>
          <w:p w:rsidRPr="006F34CD" w:rsidR="00515FE0" w:rsidP="006F34CD" w:rsidRDefault="00515FE0" w14:paraId="1F3478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AFBE4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Krasnoarmeysk</w:t>
            </w:r>
          </w:p>
        </w:tc>
        <w:tc>
          <w:tcPr>
            <w:tcW w:w="1134" w:type="dxa"/>
          </w:tcPr>
          <w:p w:rsidRPr="006F34CD" w:rsidR="00515FE0" w:rsidP="006F34CD" w:rsidRDefault="00515FE0" w14:paraId="6C81AC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195,714</w:t>
            </w:r>
          </w:p>
        </w:tc>
        <w:tc>
          <w:tcPr>
            <w:tcW w:w="992" w:type="dxa"/>
          </w:tcPr>
          <w:p w:rsidRPr="006F34CD" w:rsidR="00515FE0" w:rsidP="006F34CD" w:rsidRDefault="00515FE0" w14:paraId="45CB2A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E309B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D972A49" w14:textId="77777777">
        <w:trPr>
          <w:cantSplit/>
        </w:trPr>
        <w:tc>
          <w:tcPr>
            <w:tcW w:w="2249" w:type="dxa"/>
          </w:tcPr>
          <w:p w:rsidRPr="006F34CD" w:rsidR="00515FE0" w:rsidP="006F34CD" w:rsidRDefault="00515FE0" w14:paraId="3F7A66B2" w14:textId="5D94CC4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Krasnodar</w:t>
            </w:r>
          </w:p>
        </w:tc>
        <w:tc>
          <w:tcPr>
            <w:tcW w:w="836" w:type="dxa"/>
          </w:tcPr>
          <w:p w:rsidRPr="006F34CD" w:rsidR="00515FE0" w:rsidP="006F34CD" w:rsidRDefault="00515FE0" w14:paraId="55C27E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18EEF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Krasnodar</w:t>
            </w:r>
          </w:p>
        </w:tc>
        <w:tc>
          <w:tcPr>
            <w:tcW w:w="1134" w:type="dxa"/>
          </w:tcPr>
          <w:p w:rsidRPr="006F34CD" w:rsidR="00515FE0" w:rsidP="006F34CD" w:rsidRDefault="00515FE0" w14:paraId="038CAC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6C3FF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83E00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38C657B" w14:textId="77777777">
        <w:trPr>
          <w:cantSplit/>
        </w:trPr>
        <w:tc>
          <w:tcPr>
            <w:tcW w:w="2249" w:type="dxa"/>
          </w:tcPr>
          <w:p w:rsidRPr="006F34CD" w:rsidR="00515FE0" w:rsidP="006F34CD" w:rsidRDefault="00515FE0" w14:paraId="1B3DEC84" w14:textId="179D9D9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Krasnogorskiy District</w:t>
            </w:r>
          </w:p>
        </w:tc>
        <w:tc>
          <w:tcPr>
            <w:tcW w:w="836" w:type="dxa"/>
          </w:tcPr>
          <w:p w:rsidRPr="006F34CD" w:rsidR="00515FE0" w:rsidP="006F34CD" w:rsidRDefault="00515FE0" w14:paraId="31A74E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A6A61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Krasnogorsk</w:t>
            </w:r>
          </w:p>
        </w:tc>
        <w:tc>
          <w:tcPr>
            <w:tcW w:w="1134" w:type="dxa"/>
          </w:tcPr>
          <w:p w:rsidRPr="006F34CD" w:rsidR="00515FE0" w:rsidP="006F34CD" w:rsidRDefault="00515FE0" w14:paraId="5E2E33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6FDE0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7A6C2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5B6129C" w14:textId="77777777">
        <w:trPr>
          <w:cantSplit/>
        </w:trPr>
        <w:tc>
          <w:tcPr>
            <w:tcW w:w="2249" w:type="dxa"/>
          </w:tcPr>
          <w:p w:rsidRPr="006F34CD" w:rsidR="00515FE0" w:rsidP="006F34CD" w:rsidRDefault="00515FE0" w14:paraId="0C1DD0D7" w14:textId="47F51CA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Krasnogvardeyskoye</w:t>
            </w:r>
          </w:p>
        </w:tc>
        <w:tc>
          <w:tcPr>
            <w:tcW w:w="836" w:type="dxa"/>
          </w:tcPr>
          <w:p w:rsidRPr="006F34CD" w:rsidR="00515FE0" w:rsidP="006F34CD" w:rsidRDefault="00515FE0" w14:paraId="6EE181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5C34CA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Krasnogvardeyskoe</w:t>
            </w:r>
          </w:p>
        </w:tc>
        <w:tc>
          <w:tcPr>
            <w:tcW w:w="1134" w:type="dxa"/>
          </w:tcPr>
          <w:p w:rsidRPr="006F34CD" w:rsidR="00515FE0" w:rsidP="006F34CD" w:rsidRDefault="00515FE0" w14:paraId="7047AD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8CEDD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31347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F474CE9" w14:textId="77777777">
        <w:trPr>
          <w:cantSplit/>
        </w:trPr>
        <w:tc>
          <w:tcPr>
            <w:tcW w:w="2249" w:type="dxa"/>
          </w:tcPr>
          <w:p w:rsidRPr="006F34CD" w:rsidR="00515FE0" w:rsidP="006F34CD" w:rsidRDefault="00515FE0" w14:paraId="04F4B8AE" w14:textId="5637B4C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Krasnooktyabrskiy of the Maykopskiy District</w:t>
            </w:r>
          </w:p>
        </w:tc>
        <w:tc>
          <w:tcPr>
            <w:tcW w:w="836" w:type="dxa"/>
          </w:tcPr>
          <w:p w:rsidRPr="006F34CD" w:rsidR="00515FE0" w:rsidP="006F34CD" w:rsidRDefault="00515FE0" w14:paraId="3B5D92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FD1AC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pos.Krasnooktyabrskiy</w:t>
            </w:r>
          </w:p>
        </w:tc>
        <w:tc>
          <w:tcPr>
            <w:tcW w:w="1134" w:type="dxa"/>
          </w:tcPr>
          <w:p w:rsidRPr="006F34CD" w:rsidR="00515FE0" w:rsidP="006F34CD" w:rsidRDefault="00515FE0" w14:paraId="79CBE6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E58B4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C15115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5B44A00" w14:textId="77777777">
        <w:trPr>
          <w:cantSplit/>
        </w:trPr>
        <w:tc>
          <w:tcPr>
            <w:tcW w:w="2249" w:type="dxa"/>
          </w:tcPr>
          <w:p w:rsidRPr="006F34CD" w:rsidR="00515FE0" w:rsidP="006F34CD" w:rsidRDefault="00515FE0" w14:paraId="4D5E6EB8" w14:textId="158B83E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Krasnoperekopsk</w:t>
            </w:r>
          </w:p>
        </w:tc>
        <w:tc>
          <w:tcPr>
            <w:tcW w:w="836" w:type="dxa"/>
          </w:tcPr>
          <w:p w:rsidRPr="006F34CD" w:rsidR="00515FE0" w:rsidP="006F34CD" w:rsidRDefault="00515FE0" w14:paraId="3ACA6E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1995</w:t>
            </w:r>
          </w:p>
        </w:tc>
        <w:tc>
          <w:tcPr>
            <w:tcW w:w="1305" w:type="dxa"/>
          </w:tcPr>
          <w:p w:rsidRPr="006F34CD" w:rsidR="00515FE0" w:rsidP="006F34CD" w:rsidRDefault="00515FE0" w14:paraId="02F071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Krasnoperekopsk</w:t>
            </w:r>
          </w:p>
        </w:tc>
        <w:tc>
          <w:tcPr>
            <w:tcW w:w="1134" w:type="dxa"/>
          </w:tcPr>
          <w:p w:rsidRPr="006F34CD" w:rsidR="00515FE0" w:rsidP="006F34CD" w:rsidRDefault="00515FE0" w14:paraId="5D3D848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59,350</w:t>
            </w:r>
          </w:p>
        </w:tc>
        <w:tc>
          <w:tcPr>
            <w:tcW w:w="992" w:type="dxa"/>
          </w:tcPr>
          <w:p w:rsidRPr="006F34CD" w:rsidR="00515FE0" w:rsidP="006F34CD" w:rsidRDefault="00515FE0" w14:paraId="1C12D0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8C4170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CF17699" w14:textId="77777777">
        <w:trPr>
          <w:cantSplit/>
        </w:trPr>
        <w:tc>
          <w:tcPr>
            <w:tcW w:w="2249" w:type="dxa"/>
          </w:tcPr>
          <w:p w:rsidRPr="006F34CD" w:rsidR="00515FE0" w:rsidP="006F34CD" w:rsidRDefault="00515FE0" w14:paraId="6087AF66" w14:textId="4DFFED5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Krasnoselskiy</w:t>
            </w:r>
          </w:p>
        </w:tc>
        <w:tc>
          <w:tcPr>
            <w:tcW w:w="836" w:type="dxa"/>
          </w:tcPr>
          <w:p w:rsidRPr="006F34CD" w:rsidR="00515FE0" w:rsidP="006F34CD" w:rsidRDefault="00515FE0" w14:paraId="5060CE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2CD519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Krasnoselskiy</w:t>
            </w:r>
          </w:p>
        </w:tc>
        <w:tc>
          <w:tcPr>
            <w:tcW w:w="1134" w:type="dxa"/>
          </w:tcPr>
          <w:p w:rsidRPr="006F34CD" w:rsidR="00515FE0" w:rsidP="006F34CD" w:rsidRDefault="00515FE0" w14:paraId="064CDD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96,884</w:t>
            </w:r>
          </w:p>
        </w:tc>
        <w:tc>
          <w:tcPr>
            <w:tcW w:w="992" w:type="dxa"/>
          </w:tcPr>
          <w:p w:rsidRPr="006F34CD" w:rsidR="00515FE0" w:rsidP="006F34CD" w:rsidRDefault="00515FE0" w14:paraId="4DCC82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9C95C9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674529E" w14:textId="77777777">
        <w:trPr>
          <w:cantSplit/>
        </w:trPr>
        <w:tc>
          <w:tcPr>
            <w:tcW w:w="2249" w:type="dxa"/>
          </w:tcPr>
          <w:p w:rsidRPr="006F34CD" w:rsidR="00515FE0" w:rsidP="006F34CD" w:rsidRDefault="00515FE0" w14:paraId="565FCDCE" w14:textId="311AE16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Krasnoturyinsk</w:t>
            </w:r>
          </w:p>
        </w:tc>
        <w:tc>
          <w:tcPr>
            <w:tcW w:w="836" w:type="dxa"/>
          </w:tcPr>
          <w:p w:rsidRPr="006F34CD" w:rsidR="00515FE0" w:rsidP="006F34CD" w:rsidRDefault="00515FE0" w14:paraId="34674C5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9E8DD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Krasnoturinsk</w:t>
            </w:r>
          </w:p>
        </w:tc>
        <w:tc>
          <w:tcPr>
            <w:tcW w:w="1134" w:type="dxa"/>
          </w:tcPr>
          <w:p w:rsidRPr="006F34CD" w:rsidR="00515FE0" w:rsidP="006F34CD" w:rsidRDefault="00515FE0" w14:paraId="758587C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EB6E4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95ED7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E42A697" w14:textId="77777777">
        <w:trPr>
          <w:cantSplit/>
        </w:trPr>
        <w:tc>
          <w:tcPr>
            <w:tcW w:w="2249" w:type="dxa"/>
          </w:tcPr>
          <w:p w:rsidRPr="006F34CD" w:rsidR="00515FE0" w:rsidP="006F34CD" w:rsidRDefault="00515FE0" w14:paraId="67926338" w14:textId="5F0E3D8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"Krasnoyarsk"</w:t>
            </w:r>
          </w:p>
        </w:tc>
        <w:tc>
          <w:tcPr>
            <w:tcW w:w="836" w:type="dxa"/>
          </w:tcPr>
          <w:p w:rsidRPr="006F34CD" w:rsidR="00515FE0" w:rsidP="006F34CD" w:rsidRDefault="00515FE0" w14:paraId="75F543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D3984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Krasnoyarsk</w:t>
            </w:r>
          </w:p>
        </w:tc>
        <w:tc>
          <w:tcPr>
            <w:tcW w:w="1134" w:type="dxa"/>
          </w:tcPr>
          <w:p w:rsidRPr="006F34CD" w:rsidR="00515FE0" w:rsidP="006F34CD" w:rsidRDefault="00515FE0" w14:paraId="029914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39,155</w:t>
            </w:r>
          </w:p>
        </w:tc>
        <w:tc>
          <w:tcPr>
            <w:tcW w:w="992" w:type="dxa"/>
          </w:tcPr>
          <w:p w:rsidRPr="006F34CD" w:rsidR="00515FE0" w:rsidP="006F34CD" w:rsidRDefault="00515FE0" w14:paraId="45B4250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AFC5B2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6880CB4" w14:textId="77777777">
        <w:trPr>
          <w:cantSplit/>
        </w:trPr>
        <w:tc>
          <w:tcPr>
            <w:tcW w:w="2249" w:type="dxa"/>
          </w:tcPr>
          <w:p w:rsidRPr="006F34CD" w:rsidR="00515FE0" w:rsidP="006F34CD" w:rsidRDefault="00515FE0" w14:paraId="4DFDAF25" w14:textId="2318199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Kropotkin</w:t>
            </w:r>
          </w:p>
        </w:tc>
        <w:tc>
          <w:tcPr>
            <w:tcW w:w="836" w:type="dxa"/>
          </w:tcPr>
          <w:p w:rsidRPr="006F34CD" w:rsidR="00515FE0" w:rsidP="006F34CD" w:rsidRDefault="00515FE0" w14:paraId="1834F2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2457D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Kropotkin</w:t>
            </w:r>
          </w:p>
        </w:tc>
        <w:tc>
          <w:tcPr>
            <w:tcW w:w="1134" w:type="dxa"/>
          </w:tcPr>
          <w:p w:rsidRPr="006F34CD" w:rsidR="00515FE0" w:rsidP="006F34CD" w:rsidRDefault="00515FE0" w14:paraId="7EFC61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345E5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B765AD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F8C76EA" w14:textId="77777777">
        <w:trPr>
          <w:cantSplit/>
        </w:trPr>
        <w:tc>
          <w:tcPr>
            <w:tcW w:w="2249" w:type="dxa"/>
          </w:tcPr>
          <w:p w:rsidRPr="006F34CD" w:rsidR="00515FE0" w:rsidP="006F34CD" w:rsidRDefault="00515FE0" w14:paraId="4C5C0F03" w14:textId="4549357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Krymsk</w:t>
            </w:r>
          </w:p>
        </w:tc>
        <w:tc>
          <w:tcPr>
            <w:tcW w:w="836" w:type="dxa"/>
          </w:tcPr>
          <w:p w:rsidRPr="006F34CD" w:rsidR="00515FE0" w:rsidP="006F34CD" w:rsidRDefault="00515FE0" w14:paraId="02B8B3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02D354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Krymsk</w:t>
            </w:r>
          </w:p>
        </w:tc>
        <w:tc>
          <w:tcPr>
            <w:tcW w:w="1134" w:type="dxa"/>
          </w:tcPr>
          <w:p w:rsidRPr="006F34CD" w:rsidR="00515FE0" w:rsidP="006F34CD" w:rsidRDefault="00515FE0" w14:paraId="0052889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46,646</w:t>
            </w:r>
          </w:p>
        </w:tc>
        <w:tc>
          <w:tcPr>
            <w:tcW w:w="992" w:type="dxa"/>
          </w:tcPr>
          <w:p w:rsidRPr="006F34CD" w:rsidR="00515FE0" w:rsidP="006F34CD" w:rsidRDefault="00515FE0" w14:paraId="794DF1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E2AEB2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FF3D7FD" w14:textId="77777777">
        <w:trPr>
          <w:cantSplit/>
        </w:trPr>
        <w:tc>
          <w:tcPr>
            <w:tcW w:w="2249" w:type="dxa"/>
          </w:tcPr>
          <w:p w:rsidRPr="006F34CD" w:rsidR="00515FE0" w:rsidP="006F34CD" w:rsidRDefault="00515FE0" w14:paraId="1ABA9B85" w14:textId="5EBF3C5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"Kumertau"</w:t>
            </w:r>
          </w:p>
        </w:tc>
        <w:tc>
          <w:tcPr>
            <w:tcW w:w="836" w:type="dxa"/>
          </w:tcPr>
          <w:p w:rsidRPr="006F34CD" w:rsidR="00515FE0" w:rsidP="006F34CD" w:rsidRDefault="00515FE0" w14:paraId="03ECEC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34334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Kumertau</w:t>
            </w:r>
          </w:p>
        </w:tc>
        <w:tc>
          <w:tcPr>
            <w:tcW w:w="1134" w:type="dxa"/>
          </w:tcPr>
          <w:p w:rsidRPr="006F34CD" w:rsidR="00515FE0" w:rsidP="006F34CD" w:rsidRDefault="00515FE0" w14:paraId="343E25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249C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A9923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E33E24C" w14:textId="77777777">
        <w:trPr>
          <w:cantSplit/>
        </w:trPr>
        <w:tc>
          <w:tcPr>
            <w:tcW w:w="2249" w:type="dxa"/>
          </w:tcPr>
          <w:p w:rsidRPr="006F34CD" w:rsidR="00515FE0" w:rsidP="006F34CD" w:rsidRDefault="00515FE0" w14:paraId="78B1F3BA" w14:textId="0FA4152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"Kuragino"</w:t>
            </w:r>
          </w:p>
        </w:tc>
        <w:tc>
          <w:tcPr>
            <w:tcW w:w="836" w:type="dxa"/>
          </w:tcPr>
          <w:p w:rsidRPr="006F34CD" w:rsidR="00515FE0" w:rsidP="006F34CD" w:rsidRDefault="00515FE0" w14:paraId="5DE019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936E2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Kuragino</w:t>
            </w:r>
          </w:p>
        </w:tc>
        <w:tc>
          <w:tcPr>
            <w:tcW w:w="1134" w:type="dxa"/>
          </w:tcPr>
          <w:p w:rsidRPr="006F34CD" w:rsidR="00515FE0" w:rsidP="006F34CD" w:rsidRDefault="00515FE0" w14:paraId="49AD97E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47,989</w:t>
            </w:r>
          </w:p>
        </w:tc>
        <w:tc>
          <w:tcPr>
            <w:tcW w:w="992" w:type="dxa"/>
          </w:tcPr>
          <w:p w:rsidRPr="006F34CD" w:rsidR="00515FE0" w:rsidP="006F34CD" w:rsidRDefault="00515FE0" w14:paraId="23A8B3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9E841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04207D4" w14:textId="77777777">
        <w:trPr>
          <w:cantSplit/>
        </w:trPr>
        <w:tc>
          <w:tcPr>
            <w:tcW w:w="2249" w:type="dxa"/>
          </w:tcPr>
          <w:p w:rsidRPr="006F34CD" w:rsidR="00515FE0" w:rsidP="006F34CD" w:rsidRDefault="00515FE0" w14:paraId="277D7918" w14:textId="5E9F015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"Kurdzhinovo"</w:t>
            </w:r>
          </w:p>
        </w:tc>
        <w:tc>
          <w:tcPr>
            <w:tcW w:w="836" w:type="dxa"/>
          </w:tcPr>
          <w:p w:rsidRPr="006F34CD" w:rsidR="00515FE0" w:rsidP="006F34CD" w:rsidRDefault="00515FE0" w14:paraId="139B4E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81AD6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Kurdzhinovo</w:t>
            </w:r>
          </w:p>
        </w:tc>
        <w:tc>
          <w:tcPr>
            <w:tcW w:w="1134" w:type="dxa"/>
          </w:tcPr>
          <w:p w:rsidRPr="006F34CD" w:rsidR="00515FE0" w:rsidP="006F34CD" w:rsidRDefault="00515FE0" w14:paraId="489373E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40,639</w:t>
            </w:r>
          </w:p>
        </w:tc>
        <w:tc>
          <w:tcPr>
            <w:tcW w:w="992" w:type="dxa"/>
          </w:tcPr>
          <w:p w:rsidRPr="006F34CD" w:rsidR="00515FE0" w:rsidP="006F34CD" w:rsidRDefault="00515FE0" w14:paraId="5BD1B5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723B77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6605CE5" w14:textId="77777777">
        <w:trPr>
          <w:cantSplit/>
        </w:trPr>
        <w:tc>
          <w:tcPr>
            <w:tcW w:w="2249" w:type="dxa"/>
          </w:tcPr>
          <w:p w:rsidRPr="006F34CD" w:rsidR="00515FE0" w:rsidP="006F34CD" w:rsidRDefault="00515FE0" w14:paraId="10332151" w14:textId="39955E0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Kurgan</w:t>
            </w:r>
          </w:p>
        </w:tc>
        <w:tc>
          <w:tcPr>
            <w:tcW w:w="836" w:type="dxa"/>
          </w:tcPr>
          <w:p w:rsidRPr="006F34CD" w:rsidR="00515FE0" w:rsidP="006F34CD" w:rsidRDefault="00515FE0" w14:paraId="1491D6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9F0F14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Kurgan</w:t>
            </w:r>
          </w:p>
        </w:tc>
        <w:tc>
          <w:tcPr>
            <w:tcW w:w="1134" w:type="dxa"/>
          </w:tcPr>
          <w:p w:rsidRPr="006F34CD" w:rsidR="00515FE0" w:rsidP="006F34CD" w:rsidRDefault="00515FE0" w14:paraId="6B656DC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2D30AF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FC6BD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8E4D0BA" w14:textId="77777777">
        <w:trPr>
          <w:cantSplit/>
        </w:trPr>
        <w:tc>
          <w:tcPr>
            <w:tcW w:w="2249" w:type="dxa"/>
          </w:tcPr>
          <w:p w:rsidRPr="006F34CD" w:rsidR="00515FE0" w:rsidP="006F34CD" w:rsidRDefault="00515FE0" w14:paraId="79D89A06" w14:textId="266A7C0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Kurganinsk</w:t>
            </w:r>
          </w:p>
        </w:tc>
        <w:tc>
          <w:tcPr>
            <w:tcW w:w="836" w:type="dxa"/>
          </w:tcPr>
          <w:p w:rsidRPr="006F34CD" w:rsidR="00515FE0" w:rsidP="006F34CD" w:rsidRDefault="00515FE0" w14:paraId="0599DA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A5C95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Kurganinsk</w:t>
            </w:r>
          </w:p>
        </w:tc>
        <w:tc>
          <w:tcPr>
            <w:tcW w:w="1134" w:type="dxa"/>
          </w:tcPr>
          <w:p w:rsidRPr="006F34CD" w:rsidR="00515FE0" w:rsidP="006F34CD" w:rsidRDefault="00515FE0" w14:paraId="4CF0B6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99A4E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FD27BD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00417CA" w14:textId="77777777">
        <w:trPr>
          <w:cantSplit/>
        </w:trPr>
        <w:tc>
          <w:tcPr>
            <w:tcW w:w="2249" w:type="dxa"/>
          </w:tcPr>
          <w:p w:rsidRPr="006F34CD" w:rsidR="00515FE0" w:rsidP="006F34CD" w:rsidRDefault="00515FE0" w14:paraId="4D283434" w14:textId="4024A1F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(Kursk)</w:t>
            </w:r>
          </w:p>
        </w:tc>
        <w:tc>
          <w:tcPr>
            <w:tcW w:w="836" w:type="dxa"/>
          </w:tcPr>
          <w:p w:rsidRPr="006F34CD" w:rsidR="00515FE0" w:rsidP="006F34CD" w:rsidRDefault="00515FE0" w14:paraId="1A6797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2003</w:t>
            </w:r>
          </w:p>
        </w:tc>
        <w:tc>
          <w:tcPr>
            <w:tcW w:w="1305" w:type="dxa"/>
          </w:tcPr>
          <w:p w:rsidRPr="006F34CD" w:rsidR="00515FE0" w:rsidP="006F34CD" w:rsidRDefault="00515FE0" w14:paraId="1328A6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Kursk</w:t>
            </w:r>
          </w:p>
        </w:tc>
        <w:tc>
          <w:tcPr>
            <w:tcW w:w="1134" w:type="dxa"/>
          </w:tcPr>
          <w:p w:rsidRPr="006F34CD" w:rsidR="00515FE0" w:rsidP="006F34CD" w:rsidRDefault="00515FE0" w14:paraId="197F094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399366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6E310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03CB45A" w14:textId="77777777">
        <w:trPr>
          <w:cantSplit/>
        </w:trPr>
        <w:tc>
          <w:tcPr>
            <w:tcW w:w="2249" w:type="dxa"/>
          </w:tcPr>
          <w:p w:rsidRPr="006F34CD" w:rsidR="00515FE0" w:rsidP="006F34CD" w:rsidRDefault="00515FE0" w14:paraId="281170C8" w14:textId="1560ED6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Kushchevskaya</w:t>
            </w:r>
          </w:p>
        </w:tc>
        <w:tc>
          <w:tcPr>
            <w:tcW w:w="836" w:type="dxa"/>
          </w:tcPr>
          <w:p w:rsidRPr="006F34CD" w:rsidR="00515FE0" w:rsidP="006F34CD" w:rsidRDefault="00515FE0" w14:paraId="40207E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9A87A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Kushchevskaya</w:t>
            </w:r>
          </w:p>
        </w:tc>
        <w:tc>
          <w:tcPr>
            <w:tcW w:w="1134" w:type="dxa"/>
          </w:tcPr>
          <w:p w:rsidRPr="006F34CD" w:rsidR="00515FE0" w:rsidP="006F34CD" w:rsidRDefault="00515FE0" w14:paraId="0F6CAD2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3C05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4B509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DAEB773" w14:textId="77777777">
        <w:trPr>
          <w:cantSplit/>
        </w:trPr>
        <w:tc>
          <w:tcPr>
            <w:tcW w:w="2249" w:type="dxa"/>
          </w:tcPr>
          <w:p w:rsidRPr="006F34CD" w:rsidR="00515FE0" w:rsidP="006F34CD" w:rsidRDefault="00515FE0" w14:paraId="53DFAEC5" w14:textId="2978659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Christian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"Kuybyshev"</w:t>
            </w:r>
          </w:p>
        </w:tc>
        <w:tc>
          <w:tcPr>
            <w:tcW w:w="836" w:type="dxa"/>
          </w:tcPr>
          <w:p w:rsidRPr="006F34CD" w:rsidR="00515FE0" w:rsidP="006F34CD" w:rsidRDefault="00515FE0" w14:paraId="47409F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53D36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Kuybyshev</w:t>
            </w:r>
          </w:p>
        </w:tc>
        <w:tc>
          <w:tcPr>
            <w:tcW w:w="1134" w:type="dxa"/>
          </w:tcPr>
          <w:p w:rsidRPr="006F34CD" w:rsidR="00515FE0" w:rsidP="006F34CD" w:rsidRDefault="00515FE0" w14:paraId="6864B8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B04A2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BDF39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6981004" w14:textId="77777777">
        <w:trPr>
          <w:cantSplit/>
        </w:trPr>
        <w:tc>
          <w:tcPr>
            <w:tcW w:w="2249" w:type="dxa"/>
          </w:tcPr>
          <w:p w:rsidRPr="006F34CD" w:rsidR="00515FE0" w:rsidP="006F34CD" w:rsidRDefault="00515FE0" w14:paraId="72C094A9" w14:textId="328E360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Kyzyl</w:t>
            </w:r>
          </w:p>
        </w:tc>
        <w:tc>
          <w:tcPr>
            <w:tcW w:w="836" w:type="dxa"/>
          </w:tcPr>
          <w:p w:rsidRPr="006F34CD" w:rsidR="00515FE0" w:rsidP="006F34CD" w:rsidRDefault="00515FE0" w14:paraId="611408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88715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Kyzyl</w:t>
            </w:r>
          </w:p>
        </w:tc>
        <w:tc>
          <w:tcPr>
            <w:tcW w:w="1134" w:type="dxa"/>
          </w:tcPr>
          <w:p w:rsidRPr="006F34CD" w:rsidR="00515FE0" w:rsidP="006F34CD" w:rsidRDefault="00515FE0" w14:paraId="513E69A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675F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2CBFC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DA03AA3" w14:textId="77777777">
        <w:trPr>
          <w:cantSplit/>
        </w:trPr>
        <w:tc>
          <w:tcPr>
            <w:tcW w:w="2249" w:type="dxa"/>
          </w:tcPr>
          <w:p w:rsidRPr="006F34CD" w:rsidR="00515FE0" w:rsidP="006F34CD" w:rsidRDefault="00515FE0" w14:paraId="22AB4637" w14:textId="0599A21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Labinsk</w:t>
            </w:r>
          </w:p>
        </w:tc>
        <w:tc>
          <w:tcPr>
            <w:tcW w:w="836" w:type="dxa"/>
          </w:tcPr>
          <w:p w:rsidRPr="006F34CD" w:rsidR="00515FE0" w:rsidP="006F34CD" w:rsidRDefault="00515FE0" w14:paraId="1FB180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77A9E3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Labinsk</w:t>
            </w:r>
          </w:p>
        </w:tc>
        <w:tc>
          <w:tcPr>
            <w:tcW w:w="1134" w:type="dxa"/>
          </w:tcPr>
          <w:p w:rsidRPr="006F34CD" w:rsidR="00515FE0" w:rsidP="006F34CD" w:rsidRDefault="00515FE0" w14:paraId="4B895B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36,057</w:t>
            </w:r>
          </w:p>
        </w:tc>
        <w:tc>
          <w:tcPr>
            <w:tcW w:w="992" w:type="dxa"/>
          </w:tcPr>
          <w:p w:rsidRPr="006F34CD" w:rsidR="00515FE0" w:rsidP="006F34CD" w:rsidRDefault="00515FE0" w14:paraId="6F9A3B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AE566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BDF25F2" w14:textId="77777777">
        <w:trPr>
          <w:cantSplit/>
        </w:trPr>
        <w:tc>
          <w:tcPr>
            <w:tcW w:w="2249" w:type="dxa"/>
          </w:tcPr>
          <w:p w:rsidRPr="006F34CD" w:rsidR="00515FE0" w:rsidP="006F34CD" w:rsidRDefault="00515FE0" w14:paraId="26F63F81" w14:textId="1B45E84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"Ladozhskoye"</w:t>
            </w:r>
          </w:p>
        </w:tc>
        <w:tc>
          <w:tcPr>
            <w:tcW w:w="836" w:type="dxa"/>
          </w:tcPr>
          <w:p w:rsidRPr="006F34CD" w:rsidR="00515FE0" w:rsidP="006F34CD" w:rsidRDefault="00515FE0" w14:paraId="4FEF0B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2007</w:t>
            </w:r>
          </w:p>
        </w:tc>
        <w:tc>
          <w:tcPr>
            <w:tcW w:w="1305" w:type="dxa"/>
          </w:tcPr>
          <w:p w:rsidRPr="006F34CD" w:rsidR="00515FE0" w:rsidP="006F34CD" w:rsidRDefault="00515FE0" w14:paraId="20A6C2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387313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235,025</w:t>
            </w:r>
          </w:p>
        </w:tc>
        <w:tc>
          <w:tcPr>
            <w:tcW w:w="992" w:type="dxa"/>
          </w:tcPr>
          <w:p w:rsidRPr="006F34CD" w:rsidR="00515FE0" w:rsidP="006F34CD" w:rsidRDefault="00515FE0" w14:paraId="31C8C44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E1F8F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A6C51C3" w14:textId="77777777">
        <w:trPr>
          <w:cantSplit/>
        </w:trPr>
        <w:tc>
          <w:tcPr>
            <w:tcW w:w="2249" w:type="dxa"/>
          </w:tcPr>
          <w:p w:rsidRPr="006F34CD" w:rsidR="00515FE0" w:rsidP="006F34CD" w:rsidRDefault="00515FE0" w14:paraId="5ABF76C6" w14:textId="7764A70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Town of Lazarevskoye</w:t>
            </w:r>
          </w:p>
        </w:tc>
        <w:tc>
          <w:tcPr>
            <w:tcW w:w="836" w:type="dxa"/>
          </w:tcPr>
          <w:p w:rsidRPr="006F34CD" w:rsidR="00515FE0" w:rsidP="006F34CD" w:rsidRDefault="00515FE0" w14:paraId="7E3C7D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719AC2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Sovet-Kvadzhe</w:t>
            </w:r>
          </w:p>
        </w:tc>
        <w:tc>
          <w:tcPr>
            <w:tcW w:w="1134" w:type="dxa"/>
          </w:tcPr>
          <w:p w:rsidRPr="006F34CD" w:rsidR="00515FE0" w:rsidP="006F34CD" w:rsidRDefault="00515FE0" w14:paraId="59208C8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BD2B2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42C816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D0B04E5" w14:textId="77777777">
        <w:trPr>
          <w:cantSplit/>
        </w:trPr>
        <w:tc>
          <w:tcPr>
            <w:tcW w:w="2249" w:type="dxa"/>
          </w:tcPr>
          <w:p w:rsidRPr="006F34CD" w:rsidR="00515FE0" w:rsidP="006F34CD" w:rsidRDefault="00515FE0" w14:paraId="6889726A" w14:textId="00739A6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Leninsk of the Volgograd Region</w:t>
            </w:r>
          </w:p>
        </w:tc>
        <w:tc>
          <w:tcPr>
            <w:tcW w:w="836" w:type="dxa"/>
          </w:tcPr>
          <w:p w:rsidRPr="006F34CD" w:rsidR="00515FE0" w:rsidP="006F34CD" w:rsidRDefault="00515FE0" w14:paraId="7BF73E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7300B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g.Leninsk</w:t>
            </w:r>
          </w:p>
        </w:tc>
        <w:tc>
          <w:tcPr>
            <w:tcW w:w="1134" w:type="dxa"/>
          </w:tcPr>
          <w:p w:rsidRPr="006F34CD" w:rsidR="00515FE0" w:rsidP="006F34CD" w:rsidRDefault="00515FE0" w14:paraId="6943361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7FA5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5FAAE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BCDAA0B" w14:textId="77777777">
        <w:trPr>
          <w:cantSplit/>
        </w:trPr>
        <w:tc>
          <w:tcPr>
            <w:tcW w:w="2249" w:type="dxa"/>
          </w:tcPr>
          <w:p w:rsidRPr="006F34CD" w:rsidR="00515FE0" w:rsidP="006F34CD" w:rsidRDefault="00515FE0" w14:paraId="2AC7C94B" w14:textId="5626ED1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Leninskiy District</w:t>
            </w:r>
          </w:p>
        </w:tc>
        <w:tc>
          <w:tcPr>
            <w:tcW w:w="836" w:type="dxa"/>
          </w:tcPr>
          <w:p w:rsidRPr="006F34CD" w:rsidR="00515FE0" w:rsidP="006F34CD" w:rsidRDefault="00515FE0" w14:paraId="4D81FE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0F157C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Moscow</w:t>
            </w:r>
          </w:p>
        </w:tc>
        <w:tc>
          <w:tcPr>
            <w:tcW w:w="1134" w:type="dxa"/>
          </w:tcPr>
          <w:p w:rsidRPr="006F34CD" w:rsidR="00515FE0" w:rsidP="006F34CD" w:rsidRDefault="00515FE0" w14:paraId="4650B3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F0288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8504E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F532B46" w14:textId="77777777">
        <w:trPr>
          <w:cantSplit/>
        </w:trPr>
        <w:tc>
          <w:tcPr>
            <w:tcW w:w="2249" w:type="dxa"/>
          </w:tcPr>
          <w:p w:rsidRPr="006F34CD" w:rsidR="00515FE0" w:rsidP="006F34CD" w:rsidRDefault="00515FE0" w14:paraId="1C0169D9" w14:textId="3BFD441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Leninsk-Kuznetskiy</w:t>
            </w:r>
          </w:p>
        </w:tc>
        <w:tc>
          <w:tcPr>
            <w:tcW w:w="836" w:type="dxa"/>
          </w:tcPr>
          <w:p w:rsidRPr="006F34CD" w:rsidR="00515FE0" w:rsidP="006F34CD" w:rsidRDefault="00515FE0" w14:paraId="7D467B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13F9FD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Leninsk-Kuznetskiy</w:t>
            </w:r>
          </w:p>
        </w:tc>
        <w:tc>
          <w:tcPr>
            <w:tcW w:w="1134" w:type="dxa"/>
          </w:tcPr>
          <w:p w:rsidRPr="006F34CD" w:rsidR="00515FE0" w:rsidP="006F34CD" w:rsidRDefault="00515FE0" w14:paraId="787A6AF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B65B7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84377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C40852B" w14:textId="77777777">
        <w:trPr>
          <w:cantSplit/>
        </w:trPr>
        <w:tc>
          <w:tcPr>
            <w:tcW w:w="2249" w:type="dxa"/>
          </w:tcPr>
          <w:p w:rsidRPr="006F34CD" w:rsidR="00515FE0" w:rsidP="006F34CD" w:rsidRDefault="00515FE0" w14:paraId="24AFE6D6" w14:textId="0C16C34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Lesosibirsk</w:t>
            </w:r>
          </w:p>
        </w:tc>
        <w:tc>
          <w:tcPr>
            <w:tcW w:w="836" w:type="dxa"/>
          </w:tcPr>
          <w:p w:rsidRPr="006F34CD" w:rsidR="00515FE0" w:rsidP="006F34CD" w:rsidRDefault="00515FE0" w14:paraId="0B3761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69FA4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Lesosibirsk</w:t>
            </w:r>
          </w:p>
        </w:tc>
        <w:tc>
          <w:tcPr>
            <w:tcW w:w="1134" w:type="dxa"/>
          </w:tcPr>
          <w:p w:rsidRPr="006F34CD" w:rsidR="00515FE0" w:rsidP="006F34CD" w:rsidRDefault="00515FE0" w14:paraId="157969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DC4D20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2B9C8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3E6F884" w14:textId="77777777">
        <w:trPr>
          <w:cantSplit/>
        </w:trPr>
        <w:tc>
          <w:tcPr>
            <w:tcW w:w="2249" w:type="dxa"/>
          </w:tcPr>
          <w:p w:rsidRPr="006F34CD" w:rsidR="00515FE0" w:rsidP="006F34CD" w:rsidRDefault="00515FE0" w14:paraId="724185E7" w14:textId="1E3E45F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Lesozavodsk</w:t>
            </w:r>
          </w:p>
        </w:tc>
        <w:tc>
          <w:tcPr>
            <w:tcW w:w="836" w:type="dxa"/>
          </w:tcPr>
          <w:p w:rsidRPr="006F34CD" w:rsidR="00515FE0" w:rsidP="006F34CD" w:rsidRDefault="00515FE0" w14:paraId="56BAF3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5D1B02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Lesozavodsk</w:t>
            </w:r>
          </w:p>
        </w:tc>
        <w:tc>
          <w:tcPr>
            <w:tcW w:w="1134" w:type="dxa"/>
          </w:tcPr>
          <w:p w:rsidRPr="006F34CD" w:rsidR="00515FE0" w:rsidP="006F34CD" w:rsidRDefault="00515FE0" w14:paraId="703C0CB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C1B4D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4441B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65C8E33" w14:textId="77777777">
        <w:trPr>
          <w:cantSplit/>
        </w:trPr>
        <w:tc>
          <w:tcPr>
            <w:tcW w:w="2249" w:type="dxa"/>
          </w:tcPr>
          <w:p w:rsidRPr="006F34CD" w:rsidR="00515FE0" w:rsidP="006F34CD" w:rsidRDefault="00515FE0" w14:paraId="0ED8C808" w14:textId="21B8E06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Christian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Lipetsk</w:t>
            </w:r>
          </w:p>
        </w:tc>
        <w:tc>
          <w:tcPr>
            <w:tcW w:w="836" w:type="dxa"/>
          </w:tcPr>
          <w:p w:rsidRPr="006F34CD" w:rsidR="00515FE0" w:rsidP="006F34CD" w:rsidRDefault="00515FE0" w14:paraId="2D7E99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6CE0E3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Lipetsk</w:t>
            </w:r>
          </w:p>
        </w:tc>
        <w:tc>
          <w:tcPr>
            <w:tcW w:w="1134" w:type="dxa"/>
          </w:tcPr>
          <w:p w:rsidRPr="006F34CD" w:rsidR="00515FE0" w:rsidP="006F34CD" w:rsidRDefault="00515FE0" w14:paraId="0A83FB1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40,000</w:t>
            </w:r>
          </w:p>
        </w:tc>
        <w:tc>
          <w:tcPr>
            <w:tcW w:w="992" w:type="dxa"/>
          </w:tcPr>
          <w:p w:rsidRPr="006F34CD" w:rsidR="00515FE0" w:rsidP="006F34CD" w:rsidRDefault="00515FE0" w14:paraId="044482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35671E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7CEAC09" w14:textId="77777777">
        <w:trPr>
          <w:cantSplit/>
        </w:trPr>
        <w:tc>
          <w:tcPr>
            <w:tcW w:w="2249" w:type="dxa"/>
          </w:tcPr>
          <w:p w:rsidRPr="006F34CD" w:rsidR="00515FE0" w:rsidP="006F34CD" w:rsidRDefault="00515FE0" w14:paraId="17C807DB" w14:textId="3D622A2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Liskinskiy District of the Voronezh Region</w:t>
            </w:r>
          </w:p>
        </w:tc>
        <w:tc>
          <w:tcPr>
            <w:tcW w:w="836" w:type="dxa"/>
          </w:tcPr>
          <w:p w:rsidRPr="006F34CD" w:rsidR="00515FE0" w:rsidP="006F34CD" w:rsidRDefault="00515FE0" w14:paraId="6FE221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128DC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Liski</w:t>
            </w:r>
          </w:p>
        </w:tc>
        <w:tc>
          <w:tcPr>
            <w:tcW w:w="1134" w:type="dxa"/>
          </w:tcPr>
          <w:p w:rsidRPr="006F34CD" w:rsidR="00515FE0" w:rsidP="006F34CD" w:rsidRDefault="00515FE0" w14:paraId="27B0BFB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2B802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84706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7EEFBEF" w14:textId="77777777">
        <w:trPr>
          <w:cantSplit/>
        </w:trPr>
        <w:tc>
          <w:tcPr>
            <w:tcW w:w="2249" w:type="dxa"/>
          </w:tcPr>
          <w:p w:rsidRPr="006F34CD" w:rsidR="00515FE0" w:rsidP="006F34CD" w:rsidRDefault="00515FE0" w14:paraId="5EAABBB2" w14:textId="4EA5818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Luchegorsk</w:t>
            </w:r>
          </w:p>
        </w:tc>
        <w:tc>
          <w:tcPr>
            <w:tcW w:w="836" w:type="dxa"/>
          </w:tcPr>
          <w:p w:rsidRPr="006F34CD" w:rsidR="00515FE0" w:rsidP="006F34CD" w:rsidRDefault="00515FE0" w14:paraId="56EF81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D3933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pgt.Luchegorsk</w:t>
            </w:r>
          </w:p>
        </w:tc>
        <w:tc>
          <w:tcPr>
            <w:tcW w:w="1134" w:type="dxa"/>
          </w:tcPr>
          <w:p w:rsidRPr="006F34CD" w:rsidR="00515FE0" w:rsidP="006F34CD" w:rsidRDefault="00515FE0" w14:paraId="567929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38,482</w:t>
            </w:r>
          </w:p>
        </w:tc>
        <w:tc>
          <w:tcPr>
            <w:tcW w:w="992" w:type="dxa"/>
          </w:tcPr>
          <w:p w:rsidRPr="006F34CD" w:rsidR="00515FE0" w:rsidP="006F34CD" w:rsidRDefault="00515FE0" w14:paraId="012EDE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E1C8A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3641F17" w14:textId="77777777">
        <w:trPr>
          <w:cantSplit/>
        </w:trPr>
        <w:tc>
          <w:tcPr>
            <w:tcW w:w="2249" w:type="dxa"/>
          </w:tcPr>
          <w:p w:rsidRPr="006F34CD" w:rsidR="00515FE0" w:rsidP="006F34CD" w:rsidRDefault="00515FE0" w14:paraId="1643B567" w14:textId="3A52C25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Lysva</w:t>
            </w:r>
          </w:p>
        </w:tc>
        <w:tc>
          <w:tcPr>
            <w:tcW w:w="836" w:type="dxa"/>
          </w:tcPr>
          <w:p w:rsidRPr="006F34CD" w:rsidR="00515FE0" w:rsidP="006F34CD" w:rsidRDefault="00515FE0" w14:paraId="3E92DF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2382C2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g.Lysva</w:t>
            </w:r>
          </w:p>
        </w:tc>
        <w:tc>
          <w:tcPr>
            <w:tcW w:w="1134" w:type="dxa"/>
          </w:tcPr>
          <w:p w:rsidRPr="006F34CD" w:rsidR="00515FE0" w:rsidP="006F34CD" w:rsidRDefault="00515FE0" w14:paraId="6A63A9C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7539E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83AD0A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EC2CECB" w14:textId="77777777">
        <w:trPr>
          <w:cantSplit/>
        </w:trPr>
        <w:tc>
          <w:tcPr>
            <w:tcW w:w="2249" w:type="dxa"/>
          </w:tcPr>
          <w:p w:rsidRPr="006F34CD" w:rsidR="00515FE0" w:rsidP="006F34CD" w:rsidRDefault="00515FE0" w14:paraId="43098F92" w14:textId="63C95F0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Lyubertsy</w:t>
            </w:r>
          </w:p>
        </w:tc>
        <w:tc>
          <w:tcPr>
            <w:tcW w:w="836" w:type="dxa"/>
          </w:tcPr>
          <w:p w:rsidRPr="006F34CD" w:rsidR="00515FE0" w:rsidP="006F34CD" w:rsidRDefault="00515FE0" w14:paraId="60D5A2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7EBBF6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Kotelniki</w:t>
            </w:r>
          </w:p>
        </w:tc>
        <w:tc>
          <w:tcPr>
            <w:tcW w:w="1134" w:type="dxa"/>
          </w:tcPr>
          <w:p w:rsidRPr="006F34CD" w:rsidR="00515FE0" w:rsidP="006F34CD" w:rsidRDefault="00515FE0" w14:paraId="0BEFA89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2389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25C6CB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980781F" w14:textId="77777777">
        <w:trPr>
          <w:cantSplit/>
        </w:trPr>
        <w:tc>
          <w:tcPr>
            <w:tcW w:w="2249" w:type="dxa"/>
          </w:tcPr>
          <w:p w:rsidRPr="006F34CD" w:rsidR="00515FE0" w:rsidP="006F34CD" w:rsidRDefault="00515FE0" w14:paraId="62840B53" w14:textId="022F50D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Maykop</w:t>
            </w:r>
          </w:p>
        </w:tc>
        <w:tc>
          <w:tcPr>
            <w:tcW w:w="836" w:type="dxa"/>
          </w:tcPr>
          <w:p w:rsidRPr="006F34CD" w:rsidR="00515FE0" w:rsidP="006F34CD" w:rsidRDefault="00515FE0" w14:paraId="7EB357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12631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Maykop</w:t>
            </w:r>
          </w:p>
        </w:tc>
        <w:tc>
          <w:tcPr>
            <w:tcW w:w="1134" w:type="dxa"/>
          </w:tcPr>
          <w:p w:rsidRPr="006F34CD" w:rsidR="00515FE0" w:rsidP="006F34CD" w:rsidRDefault="00515FE0" w14:paraId="7140F98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4B19F1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D30F0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2E3FE71" w14:textId="77777777">
        <w:trPr>
          <w:cantSplit/>
        </w:trPr>
        <w:tc>
          <w:tcPr>
            <w:tcW w:w="2249" w:type="dxa"/>
          </w:tcPr>
          <w:p w:rsidRPr="006F34CD" w:rsidR="00515FE0" w:rsidP="006F34CD" w:rsidRDefault="00515FE0" w14:paraId="408CFA2E" w14:textId="13CFF1D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Mayskiy</w:t>
            </w:r>
          </w:p>
        </w:tc>
        <w:tc>
          <w:tcPr>
            <w:tcW w:w="836" w:type="dxa"/>
          </w:tcPr>
          <w:p w:rsidRPr="006F34CD" w:rsidR="00515FE0" w:rsidP="006F34CD" w:rsidRDefault="00515FE0" w14:paraId="7B6684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26E438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Mayskiy</w:t>
            </w:r>
          </w:p>
        </w:tc>
        <w:tc>
          <w:tcPr>
            <w:tcW w:w="1134" w:type="dxa"/>
          </w:tcPr>
          <w:p w:rsidRPr="006F34CD" w:rsidR="00515FE0" w:rsidP="006F34CD" w:rsidRDefault="00515FE0" w14:paraId="1C5810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98DC45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EB2F8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1285225" w14:textId="77777777">
        <w:trPr>
          <w:cantSplit/>
        </w:trPr>
        <w:tc>
          <w:tcPr>
            <w:tcW w:w="2249" w:type="dxa"/>
          </w:tcPr>
          <w:p w:rsidRPr="006F34CD" w:rsidR="00515FE0" w:rsidP="006F34CD" w:rsidRDefault="00515FE0" w14:paraId="3FA51376" w14:textId="6FE7CDE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"Mezhdurechensk"</w:t>
            </w:r>
          </w:p>
        </w:tc>
        <w:tc>
          <w:tcPr>
            <w:tcW w:w="836" w:type="dxa"/>
          </w:tcPr>
          <w:p w:rsidRPr="006F34CD" w:rsidR="00515FE0" w:rsidP="006F34CD" w:rsidRDefault="00515FE0" w14:paraId="3AE86A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1995</w:t>
            </w:r>
          </w:p>
        </w:tc>
        <w:tc>
          <w:tcPr>
            <w:tcW w:w="1305" w:type="dxa"/>
          </w:tcPr>
          <w:p w:rsidRPr="006F34CD" w:rsidR="00515FE0" w:rsidP="006F34CD" w:rsidRDefault="00515FE0" w14:paraId="014ECD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Mezhdurechensk</w:t>
            </w:r>
          </w:p>
        </w:tc>
        <w:tc>
          <w:tcPr>
            <w:tcW w:w="1134" w:type="dxa"/>
          </w:tcPr>
          <w:p w:rsidRPr="006F34CD" w:rsidR="00515FE0" w:rsidP="006F34CD" w:rsidRDefault="00515FE0" w14:paraId="4723C2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1E684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3702A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5AE881A" w14:textId="77777777">
        <w:trPr>
          <w:cantSplit/>
        </w:trPr>
        <w:tc>
          <w:tcPr>
            <w:tcW w:w="2249" w:type="dxa"/>
          </w:tcPr>
          <w:p w:rsidRPr="006F34CD" w:rsidR="00515FE0" w:rsidP="006F34CD" w:rsidRDefault="00515FE0" w14:paraId="42E43FB1" w14:textId="7970D3F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Miass</w:t>
            </w:r>
          </w:p>
        </w:tc>
        <w:tc>
          <w:tcPr>
            <w:tcW w:w="836" w:type="dxa"/>
          </w:tcPr>
          <w:p w:rsidRPr="006F34CD" w:rsidR="00515FE0" w:rsidP="006F34CD" w:rsidRDefault="00515FE0" w14:paraId="496C32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2007</w:t>
            </w:r>
          </w:p>
        </w:tc>
        <w:tc>
          <w:tcPr>
            <w:tcW w:w="1305" w:type="dxa"/>
          </w:tcPr>
          <w:p w:rsidRPr="006F34CD" w:rsidR="00515FE0" w:rsidP="006F34CD" w:rsidRDefault="00515FE0" w14:paraId="56DA6A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Miass</w:t>
            </w:r>
          </w:p>
        </w:tc>
        <w:tc>
          <w:tcPr>
            <w:tcW w:w="1134" w:type="dxa"/>
          </w:tcPr>
          <w:p w:rsidRPr="006F34CD" w:rsidR="00515FE0" w:rsidP="006F34CD" w:rsidRDefault="00515FE0" w14:paraId="143304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121,844</w:t>
            </w:r>
          </w:p>
        </w:tc>
        <w:tc>
          <w:tcPr>
            <w:tcW w:w="992" w:type="dxa"/>
          </w:tcPr>
          <w:p w:rsidRPr="006F34CD" w:rsidR="00515FE0" w:rsidP="006F34CD" w:rsidRDefault="00515FE0" w14:paraId="043D1E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7BFD7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A5E296D" w14:textId="77777777">
        <w:trPr>
          <w:cantSplit/>
        </w:trPr>
        <w:tc>
          <w:tcPr>
            <w:tcW w:w="2249" w:type="dxa"/>
          </w:tcPr>
          <w:p w:rsidRPr="006F34CD" w:rsidR="00515FE0" w:rsidP="006F34CD" w:rsidRDefault="00515FE0" w14:paraId="23A83479" w14:textId="752889A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Mikhaylovka of the Volgograd Region</w:t>
            </w:r>
          </w:p>
        </w:tc>
        <w:tc>
          <w:tcPr>
            <w:tcW w:w="836" w:type="dxa"/>
          </w:tcPr>
          <w:p w:rsidRPr="006F34CD" w:rsidR="00515FE0" w:rsidP="006F34CD" w:rsidRDefault="00515FE0" w14:paraId="06F1D6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6BC16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Mikhaylovka</w:t>
            </w:r>
          </w:p>
        </w:tc>
        <w:tc>
          <w:tcPr>
            <w:tcW w:w="1134" w:type="dxa"/>
          </w:tcPr>
          <w:p w:rsidRPr="006F34CD" w:rsidR="00515FE0" w:rsidP="006F34CD" w:rsidRDefault="00515FE0" w14:paraId="78C92BB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589ED1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FCDEF3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C8C1702" w14:textId="77777777">
        <w:trPr>
          <w:cantSplit/>
        </w:trPr>
        <w:tc>
          <w:tcPr>
            <w:tcW w:w="2249" w:type="dxa"/>
          </w:tcPr>
          <w:p w:rsidRPr="006F34CD" w:rsidR="00515FE0" w:rsidP="006F34CD" w:rsidRDefault="00515FE0" w14:paraId="096839C1" w14:textId="68BF8DB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"Mikun"</w:t>
            </w:r>
          </w:p>
        </w:tc>
        <w:tc>
          <w:tcPr>
            <w:tcW w:w="836" w:type="dxa"/>
          </w:tcPr>
          <w:p w:rsidRPr="006F34CD" w:rsidR="00515FE0" w:rsidP="006F34CD" w:rsidRDefault="00515FE0" w14:paraId="7E7C5E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43026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Mikun</w:t>
            </w:r>
          </w:p>
        </w:tc>
        <w:tc>
          <w:tcPr>
            <w:tcW w:w="1134" w:type="dxa"/>
          </w:tcPr>
          <w:p w:rsidRPr="006F34CD" w:rsidR="00515FE0" w:rsidP="006F34CD" w:rsidRDefault="00515FE0" w14:paraId="463790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CB554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3681F7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94E99F8" w14:textId="77777777">
        <w:trPr>
          <w:cantSplit/>
        </w:trPr>
        <w:tc>
          <w:tcPr>
            <w:tcW w:w="2249" w:type="dxa"/>
          </w:tcPr>
          <w:p w:rsidRPr="006F34CD" w:rsidR="00515FE0" w:rsidP="006F34CD" w:rsidRDefault="00515FE0" w14:paraId="655B8E74" w14:textId="6B509F6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Millerovo</w:t>
            </w:r>
          </w:p>
        </w:tc>
        <w:tc>
          <w:tcPr>
            <w:tcW w:w="836" w:type="dxa"/>
          </w:tcPr>
          <w:p w:rsidRPr="006F34CD" w:rsidR="00515FE0" w:rsidP="006F34CD" w:rsidRDefault="00515FE0" w14:paraId="0474D3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10D379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Millerovo</w:t>
            </w:r>
          </w:p>
        </w:tc>
        <w:tc>
          <w:tcPr>
            <w:tcW w:w="1134" w:type="dxa"/>
          </w:tcPr>
          <w:p w:rsidRPr="006F34CD" w:rsidR="00515FE0" w:rsidP="006F34CD" w:rsidRDefault="00515FE0" w14:paraId="1BF8EE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7DB20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C7C58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B3B3316" w14:textId="77777777">
        <w:trPr>
          <w:cantSplit/>
        </w:trPr>
        <w:tc>
          <w:tcPr>
            <w:tcW w:w="2249" w:type="dxa"/>
          </w:tcPr>
          <w:p w:rsidRPr="006F34CD" w:rsidR="00515FE0" w:rsidP="006F34CD" w:rsidRDefault="00515FE0" w14:paraId="5775BC26" w14:textId="2102AC6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Mineralniye Vody"</w:t>
            </w:r>
          </w:p>
        </w:tc>
        <w:tc>
          <w:tcPr>
            <w:tcW w:w="836" w:type="dxa"/>
          </w:tcPr>
          <w:p w:rsidRPr="006F34CD" w:rsidR="00515FE0" w:rsidP="006F34CD" w:rsidRDefault="00515FE0" w14:paraId="5ABFDD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DAC5C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Mineralnye Vody</w:t>
            </w:r>
          </w:p>
        </w:tc>
        <w:tc>
          <w:tcPr>
            <w:tcW w:w="1134" w:type="dxa"/>
          </w:tcPr>
          <w:p w:rsidRPr="006F34CD" w:rsidR="00515FE0" w:rsidP="006F34CD" w:rsidRDefault="00515FE0" w14:paraId="285299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184,184</w:t>
            </w:r>
          </w:p>
        </w:tc>
        <w:tc>
          <w:tcPr>
            <w:tcW w:w="992" w:type="dxa"/>
          </w:tcPr>
          <w:p w:rsidRPr="006F34CD" w:rsidR="00515FE0" w:rsidP="006F34CD" w:rsidRDefault="00515FE0" w14:paraId="03D60A7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55BBB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3934AC8" w14:textId="77777777">
        <w:trPr>
          <w:cantSplit/>
        </w:trPr>
        <w:tc>
          <w:tcPr>
            <w:tcW w:w="2249" w:type="dxa"/>
          </w:tcPr>
          <w:p w:rsidRPr="006F34CD" w:rsidR="00515FE0" w:rsidP="006F34CD" w:rsidRDefault="00515FE0" w14:paraId="5923B406" w14:textId="02C0CE1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Minusinsk</w:t>
            </w:r>
          </w:p>
        </w:tc>
        <w:tc>
          <w:tcPr>
            <w:tcW w:w="836" w:type="dxa"/>
          </w:tcPr>
          <w:p w:rsidRPr="006F34CD" w:rsidR="00515FE0" w:rsidP="006F34CD" w:rsidRDefault="00515FE0" w14:paraId="49BE2C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FC616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Minusinsk</w:t>
            </w:r>
          </w:p>
        </w:tc>
        <w:tc>
          <w:tcPr>
            <w:tcW w:w="1134" w:type="dxa"/>
          </w:tcPr>
          <w:p w:rsidRPr="006F34CD" w:rsidR="00515FE0" w:rsidP="006F34CD" w:rsidRDefault="00515FE0" w14:paraId="0D5981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197,690</w:t>
            </w:r>
          </w:p>
        </w:tc>
        <w:tc>
          <w:tcPr>
            <w:tcW w:w="992" w:type="dxa"/>
          </w:tcPr>
          <w:p w:rsidRPr="006F34CD" w:rsidR="00515FE0" w:rsidP="006F34CD" w:rsidRDefault="00515FE0" w14:paraId="3DBB2F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10F509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C9C639A" w14:textId="77777777">
        <w:trPr>
          <w:cantSplit/>
        </w:trPr>
        <w:tc>
          <w:tcPr>
            <w:tcW w:w="2249" w:type="dxa"/>
          </w:tcPr>
          <w:p w:rsidRPr="006F34CD" w:rsidR="00515FE0" w:rsidP="006F34CD" w:rsidRDefault="00515FE0" w14:paraId="54A8AEA6" w14:textId="2973364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Mirniy</w:t>
            </w:r>
          </w:p>
        </w:tc>
        <w:tc>
          <w:tcPr>
            <w:tcW w:w="836" w:type="dxa"/>
          </w:tcPr>
          <w:p w:rsidRPr="006F34CD" w:rsidR="00515FE0" w:rsidP="006F34CD" w:rsidRDefault="00515FE0" w14:paraId="664107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67D8C4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Yevpatoriya</w:t>
            </w:r>
          </w:p>
        </w:tc>
        <w:tc>
          <w:tcPr>
            <w:tcW w:w="1134" w:type="dxa"/>
          </w:tcPr>
          <w:p w:rsidRPr="006F34CD" w:rsidR="00515FE0" w:rsidP="006F34CD" w:rsidRDefault="00515FE0" w14:paraId="01E88A4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10D24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041EF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91AC27E" w14:textId="77777777">
        <w:trPr>
          <w:cantSplit/>
        </w:trPr>
        <w:tc>
          <w:tcPr>
            <w:tcW w:w="2249" w:type="dxa"/>
          </w:tcPr>
          <w:p w:rsidRPr="006F34CD" w:rsidR="00515FE0" w:rsidP="006F34CD" w:rsidRDefault="00515FE0" w14:paraId="16A5F51F" w14:textId="76D9710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Monchegorsk</w:t>
            </w:r>
          </w:p>
        </w:tc>
        <w:tc>
          <w:tcPr>
            <w:tcW w:w="836" w:type="dxa"/>
          </w:tcPr>
          <w:p w:rsidRPr="006F34CD" w:rsidR="00515FE0" w:rsidP="006F34CD" w:rsidRDefault="00515FE0" w14:paraId="77B976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211586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Monchegorsk</w:t>
            </w:r>
          </w:p>
        </w:tc>
        <w:tc>
          <w:tcPr>
            <w:tcW w:w="1134" w:type="dxa"/>
          </w:tcPr>
          <w:p w:rsidRPr="006F34CD" w:rsidR="00515FE0" w:rsidP="006F34CD" w:rsidRDefault="00515FE0" w14:paraId="51E4DCA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F0D3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8E9B6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BE3976B" w14:textId="77777777">
        <w:trPr>
          <w:cantSplit/>
        </w:trPr>
        <w:tc>
          <w:tcPr>
            <w:tcW w:w="2249" w:type="dxa"/>
          </w:tcPr>
          <w:p w:rsidRPr="006F34CD" w:rsidR="00515FE0" w:rsidP="006F34CD" w:rsidRDefault="00515FE0" w14:paraId="32A417F1" w14:textId="4C05030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"Monolit, Volgograd"</w:t>
            </w:r>
          </w:p>
        </w:tc>
        <w:tc>
          <w:tcPr>
            <w:tcW w:w="836" w:type="dxa"/>
          </w:tcPr>
          <w:p w:rsidRPr="006F34CD" w:rsidR="00515FE0" w:rsidP="006F34CD" w:rsidRDefault="00515FE0" w14:paraId="5C374C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508EC1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0F9FDF6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4918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64764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F3F313C" w14:textId="77777777">
        <w:trPr>
          <w:cantSplit/>
        </w:trPr>
        <w:tc>
          <w:tcPr>
            <w:tcW w:w="2249" w:type="dxa"/>
          </w:tcPr>
          <w:p w:rsidRPr="006F34CD" w:rsidR="00515FE0" w:rsidP="006F34CD" w:rsidRDefault="00515FE0" w14:paraId="05349FBE" w14:textId="4E19F0E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Moscow</w:t>
            </w:r>
          </w:p>
        </w:tc>
        <w:tc>
          <w:tcPr>
            <w:tcW w:w="836" w:type="dxa"/>
          </w:tcPr>
          <w:p w:rsidRPr="006F34CD" w:rsidR="00515FE0" w:rsidP="006F34CD" w:rsidRDefault="00515FE0" w14:paraId="4EE0F4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2015</w:t>
            </w:r>
          </w:p>
        </w:tc>
        <w:tc>
          <w:tcPr>
            <w:tcW w:w="1305" w:type="dxa"/>
          </w:tcPr>
          <w:p w:rsidRPr="006F34CD" w:rsidR="00515FE0" w:rsidP="006F34CD" w:rsidRDefault="00515FE0" w14:paraId="27116A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Moscow</w:t>
            </w:r>
          </w:p>
        </w:tc>
        <w:tc>
          <w:tcPr>
            <w:tcW w:w="1134" w:type="dxa"/>
          </w:tcPr>
          <w:p w:rsidRPr="006F34CD" w:rsidR="00515FE0" w:rsidP="006F34CD" w:rsidRDefault="00515FE0" w14:paraId="622FCF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5F26E6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26CB3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D1E304E" w14:textId="77777777">
        <w:trPr>
          <w:cantSplit/>
        </w:trPr>
        <w:tc>
          <w:tcPr>
            <w:tcW w:w="2249" w:type="dxa"/>
          </w:tcPr>
          <w:p w:rsidRPr="006F34CD" w:rsidR="00515FE0" w:rsidP="006F34CD" w:rsidRDefault="00515FE0" w14:paraId="4650B62B" w14:textId="301E58E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Mozdok</w:t>
            </w:r>
          </w:p>
        </w:tc>
        <w:tc>
          <w:tcPr>
            <w:tcW w:w="836" w:type="dxa"/>
          </w:tcPr>
          <w:p w:rsidRPr="006F34CD" w:rsidR="00515FE0" w:rsidP="006F34CD" w:rsidRDefault="00515FE0" w14:paraId="216974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65ABF2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Mozdok</w:t>
            </w:r>
          </w:p>
        </w:tc>
        <w:tc>
          <w:tcPr>
            <w:tcW w:w="1134" w:type="dxa"/>
          </w:tcPr>
          <w:p w:rsidRPr="006F34CD" w:rsidR="00515FE0" w:rsidP="006F34CD" w:rsidRDefault="00515FE0" w14:paraId="107A1A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4D29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62F3C0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E99913C" w14:textId="77777777">
        <w:trPr>
          <w:cantSplit/>
        </w:trPr>
        <w:tc>
          <w:tcPr>
            <w:tcW w:w="2249" w:type="dxa"/>
          </w:tcPr>
          <w:p w:rsidRPr="006F34CD" w:rsidR="00515FE0" w:rsidP="006F34CD" w:rsidRDefault="00515FE0" w14:paraId="0A300BC9" w14:textId="3BFFBD3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Murmansk"</w:t>
            </w:r>
          </w:p>
        </w:tc>
        <w:tc>
          <w:tcPr>
            <w:tcW w:w="836" w:type="dxa"/>
          </w:tcPr>
          <w:p w:rsidRPr="006F34CD" w:rsidR="00515FE0" w:rsidP="006F34CD" w:rsidRDefault="00515FE0" w14:paraId="7040E3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46F274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Murmansk</w:t>
            </w:r>
          </w:p>
        </w:tc>
        <w:tc>
          <w:tcPr>
            <w:tcW w:w="1134" w:type="dxa"/>
          </w:tcPr>
          <w:p w:rsidRPr="006F34CD" w:rsidR="00515FE0" w:rsidP="006F34CD" w:rsidRDefault="00515FE0" w14:paraId="3741BA1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8BBC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EC38A3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7A8E4B9" w14:textId="77777777">
        <w:trPr>
          <w:cantSplit/>
        </w:trPr>
        <w:tc>
          <w:tcPr>
            <w:tcW w:w="2249" w:type="dxa"/>
          </w:tcPr>
          <w:p w:rsidRPr="006F34CD" w:rsidR="00515FE0" w:rsidP="006F34CD" w:rsidRDefault="00515FE0" w14:paraId="346561F2" w14:textId="63AD16D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"Myski"</w:t>
            </w:r>
          </w:p>
        </w:tc>
        <w:tc>
          <w:tcPr>
            <w:tcW w:w="836" w:type="dxa"/>
          </w:tcPr>
          <w:p w:rsidRPr="006F34CD" w:rsidR="00515FE0" w:rsidP="006F34CD" w:rsidRDefault="00515FE0" w14:paraId="306B4E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FB984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Myski</w:t>
            </w:r>
          </w:p>
        </w:tc>
        <w:tc>
          <w:tcPr>
            <w:tcW w:w="1134" w:type="dxa"/>
          </w:tcPr>
          <w:p w:rsidRPr="006F34CD" w:rsidR="00515FE0" w:rsidP="006F34CD" w:rsidRDefault="00515FE0" w14:paraId="2B1C1C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08DA8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596723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F72C9F1" w14:textId="77777777">
        <w:trPr>
          <w:cantSplit/>
        </w:trPr>
        <w:tc>
          <w:tcPr>
            <w:tcW w:w="2249" w:type="dxa"/>
          </w:tcPr>
          <w:p w:rsidRPr="006F34CD" w:rsidR="00515FE0" w:rsidP="006F34CD" w:rsidRDefault="00515FE0" w14:paraId="255B7C41" w14:textId="29CEA5C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Mytishchinskiy District</w:t>
            </w:r>
          </w:p>
        </w:tc>
        <w:tc>
          <w:tcPr>
            <w:tcW w:w="836" w:type="dxa"/>
          </w:tcPr>
          <w:p w:rsidRPr="006F34CD" w:rsidR="00515FE0" w:rsidP="006F34CD" w:rsidRDefault="00515FE0" w14:paraId="41BA84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2B7D20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Mytishchi</w:t>
            </w:r>
          </w:p>
        </w:tc>
        <w:tc>
          <w:tcPr>
            <w:tcW w:w="1134" w:type="dxa"/>
          </w:tcPr>
          <w:p w:rsidRPr="006F34CD" w:rsidR="00515FE0" w:rsidP="006F34CD" w:rsidRDefault="00515FE0" w14:paraId="7A451BF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4FF9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F1CD0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147A184" w14:textId="77777777">
        <w:trPr>
          <w:cantSplit/>
        </w:trPr>
        <w:tc>
          <w:tcPr>
            <w:tcW w:w="2249" w:type="dxa"/>
          </w:tcPr>
          <w:p w:rsidRPr="006F34CD" w:rsidR="00515FE0" w:rsidP="006F34CD" w:rsidRDefault="00515FE0" w14:paraId="01B9FEF1" w14:textId="5F29F8D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Naberezhniye Chelny of the "Administrative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577615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68279B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Naberezhnye Chelny</w:t>
            </w:r>
          </w:p>
        </w:tc>
        <w:tc>
          <w:tcPr>
            <w:tcW w:w="1134" w:type="dxa"/>
          </w:tcPr>
          <w:p w:rsidRPr="006F34CD" w:rsidR="00515FE0" w:rsidP="006F34CD" w:rsidRDefault="00515FE0" w14:paraId="528C077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06AB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7E1EC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91230DB" w14:textId="77777777">
        <w:trPr>
          <w:cantSplit/>
        </w:trPr>
        <w:tc>
          <w:tcPr>
            <w:tcW w:w="2249" w:type="dxa"/>
          </w:tcPr>
          <w:p w:rsidRPr="006F34CD" w:rsidR="00515FE0" w:rsidP="006F34CD" w:rsidRDefault="00515FE0" w14:paraId="040BFB48" w14:textId="119391B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Nakhodka</w:t>
            </w:r>
          </w:p>
        </w:tc>
        <w:tc>
          <w:tcPr>
            <w:tcW w:w="836" w:type="dxa"/>
          </w:tcPr>
          <w:p w:rsidRPr="006F34CD" w:rsidR="00515FE0" w:rsidP="006F34CD" w:rsidRDefault="00515FE0" w14:paraId="5AB3A0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82989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Nakhodka</w:t>
            </w:r>
          </w:p>
        </w:tc>
        <w:tc>
          <w:tcPr>
            <w:tcW w:w="1134" w:type="dxa"/>
          </w:tcPr>
          <w:p w:rsidRPr="006F34CD" w:rsidR="00515FE0" w:rsidP="006F34CD" w:rsidRDefault="00515FE0" w14:paraId="2C7CED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AE5A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ED3A94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91182C8" w14:textId="77777777">
        <w:trPr>
          <w:cantSplit/>
        </w:trPr>
        <w:tc>
          <w:tcPr>
            <w:tcW w:w="2249" w:type="dxa"/>
          </w:tcPr>
          <w:p w:rsidRPr="006F34CD" w:rsidR="00515FE0" w:rsidP="006F34CD" w:rsidRDefault="00515FE0" w14:paraId="59E92B95" w14:textId="7D655BC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Nalchik</w:t>
            </w:r>
          </w:p>
        </w:tc>
        <w:tc>
          <w:tcPr>
            <w:tcW w:w="836" w:type="dxa"/>
          </w:tcPr>
          <w:p w:rsidRPr="006F34CD" w:rsidR="00515FE0" w:rsidP="006F34CD" w:rsidRDefault="00515FE0" w14:paraId="6139CD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0198B6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Nalchik</w:t>
            </w:r>
          </w:p>
        </w:tc>
        <w:tc>
          <w:tcPr>
            <w:tcW w:w="1134" w:type="dxa"/>
          </w:tcPr>
          <w:p w:rsidRPr="006F34CD" w:rsidR="00515FE0" w:rsidP="006F34CD" w:rsidRDefault="00515FE0" w14:paraId="5A9820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91F6E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5E5B9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5670732" w14:textId="77777777">
        <w:trPr>
          <w:cantSplit/>
        </w:trPr>
        <w:tc>
          <w:tcPr>
            <w:tcW w:w="2249" w:type="dxa"/>
          </w:tcPr>
          <w:p w:rsidRPr="006F34CD" w:rsidR="00515FE0" w:rsidP="006F34CD" w:rsidRDefault="00515FE0" w14:paraId="6FD3176F" w14:textId="064C6C7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Nartkala</w:t>
            </w:r>
          </w:p>
        </w:tc>
        <w:tc>
          <w:tcPr>
            <w:tcW w:w="836" w:type="dxa"/>
          </w:tcPr>
          <w:p w:rsidRPr="006F34CD" w:rsidR="00515FE0" w:rsidP="006F34CD" w:rsidRDefault="00515FE0" w14:paraId="1036E2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24AC83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Nartkala</w:t>
            </w:r>
          </w:p>
        </w:tc>
        <w:tc>
          <w:tcPr>
            <w:tcW w:w="1134" w:type="dxa"/>
          </w:tcPr>
          <w:p w:rsidRPr="006F34CD" w:rsidR="00515FE0" w:rsidP="006F34CD" w:rsidRDefault="00515FE0" w14:paraId="09426F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81,868</w:t>
            </w:r>
          </w:p>
        </w:tc>
        <w:tc>
          <w:tcPr>
            <w:tcW w:w="992" w:type="dxa"/>
          </w:tcPr>
          <w:p w:rsidRPr="006F34CD" w:rsidR="00515FE0" w:rsidP="006F34CD" w:rsidRDefault="00515FE0" w14:paraId="54C36F4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88FF2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51F6C7F" w14:textId="77777777">
        <w:trPr>
          <w:cantSplit/>
        </w:trPr>
        <w:tc>
          <w:tcPr>
            <w:tcW w:w="2249" w:type="dxa"/>
          </w:tcPr>
          <w:p w:rsidRPr="006F34CD" w:rsidR="00515FE0" w:rsidP="006F34CD" w:rsidRDefault="00515FE0" w14:paraId="0C8C039A" w14:textId="748D077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Nazarovo</w:t>
            </w:r>
          </w:p>
        </w:tc>
        <w:tc>
          <w:tcPr>
            <w:tcW w:w="836" w:type="dxa"/>
          </w:tcPr>
          <w:p w:rsidRPr="006F34CD" w:rsidR="00515FE0" w:rsidP="006F34CD" w:rsidRDefault="00515FE0" w14:paraId="7272D6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AAC33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Nazarovo</w:t>
            </w:r>
          </w:p>
        </w:tc>
        <w:tc>
          <w:tcPr>
            <w:tcW w:w="1134" w:type="dxa"/>
          </w:tcPr>
          <w:p w:rsidRPr="006F34CD" w:rsidR="00515FE0" w:rsidP="006F34CD" w:rsidRDefault="00515FE0" w14:paraId="7B4D8E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696A5F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0D20BE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6138F22" w14:textId="77777777">
        <w:trPr>
          <w:cantSplit/>
        </w:trPr>
        <w:tc>
          <w:tcPr>
            <w:tcW w:w="2249" w:type="dxa"/>
          </w:tcPr>
          <w:p w:rsidRPr="006F34CD" w:rsidR="00515FE0" w:rsidP="006F34CD" w:rsidRDefault="00515FE0" w14:paraId="2191F3DE" w14:textId="71648C4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Neftekamsk</w:t>
            </w:r>
          </w:p>
        </w:tc>
        <w:tc>
          <w:tcPr>
            <w:tcW w:w="836" w:type="dxa"/>
          </w:tcPr>
          <w:p w:rsidRPr="006F34CD" w:rsidR="00515FE0" w:rsidP="006F34CD" w:rsidRDefault="00515FE0" w14:paraId="77455A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3AA131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Neftekamsk</w:t>
            </w:r>
          </w:p>
        </w:tc>
        <w:tc>
          <w:tcPr>
            <w:tcW w:w="1134" w:type="dxa"/>
          </w:tcPr>
          <w:p w:rsidRPr="006F34CD" w:rsidR="00515FE0" w:rsidP="006F34CD" w:rsidRDefault="00515FE0" w14:paraId="54F90F9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D870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758D5E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F0AC987" w14:textId="77777777">
        <w:trPr>
          <w:cantSplit/>
        </w:trPr>
        <w:tc>
          <w:tcPr>
            <w:tcW w:w="2249" w:type="dxa"/>
          </w:tcPr>
          <w:p w:rsidRPr="006F34CD" w:rsidR="00515FE0" w:rsidP="006F34CD" w:rsidRDefault="00515FE0" w14:paraId="7766E15E" w14:textId="0D992CE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Nefteyugansk</w:t>
            </w:r>
          </w:p>
        </w:tc>
        <w:tc>
          <w:tcPr>
            <w:tcW w:w="836" w:type="dxa"/>
          </w:tcPr>
          <w:p w:rsidRPr="006F34CD" w:rsidR="00515FE0" w:rsidP="006F34CD" w:rsidRDefault="00515FE0" w14:paraId="40E0C1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095B95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Nefteyugansk</w:t>
            </w:r>
          </w:p>
        </w:tc>
        <w:tc>
          <w:tcPr>
            <w:tcW w:w="1134" w:type="dxa"/>
          </w:tcPr>
          <w:p w:rsidRPr="006F34CD" w:rsidR="00515FE0" w:rsidP="006F34CD" w:rsidRDefault="00515FE0" w14:paraId="196FE31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467A4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7291B5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CBE0B26" w14:textId="77777777">
        <w:trPr>
          <w:cantSplit/>
        </w:trPr>
        <w:tc>
          <w:tcPr>
            <w:tcW w:w="2249" w:type="dxa"/>
          </w:tcPr>
          <w:p w:rsidRPr="006F34CD" w:rsidR="00515FE0" w:rsidP="006F34CD" w:rsidRDefault="00515FE0" w14:paraId="2BE1E941" w14:textId="23328D3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Neman of the Kaliningrad Region</w:t>
            </w:r>
          </w:p>
        </w:tc>
        <w:tc>
          <w:tcPr>
            <w:tcW w:w="836" w:type="dxa"/>
          </w:tcPr>
          <w:p w:rsidRPr="006F34CD" w:rsidR="00515FE0" w:rsidP="006F34CD" w:rsidRDefault="00515FE0" w14:paraId="14BE38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09246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Neman</w:t>
            </w:r>
          </w:p>
        </w:tc>
        <w:tc>
          <w:tcPr>
            <w:tcW w:w="1134" w:type="dxa"/>
          </w:tcPr>
          <w:p w:rsidRPr="006F34CD" w:rsidR="00515FE0" w:rsidP="006F34CD" w:rsidRDefault="00515FE0" w14:paraId="669EF9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D35FB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70C44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6B91C7D" w14:textId="77777777">
        <w:trPr>
          <w:cantSplit/>
        </w:trPr>
        <w:tc>
          <w:tcPr>
            <w:tcW w:w="2249" w:type="dxa"/>
          </w:tcPr>
          <w:p w:rsidRPr="006F34CD" w:rsidR="00515FE0" w:rsidP="006F34CD" w:rsidRDefault="00515FE0" w14:paraId="11BE87CD" w14:textId="271B1F8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Neryungri</w:t>
            </w:r>
          </w:p>
        </w:tc>
        <w:tc>
          <w:tcPr>
            <w:tcW w:w="836" w:type="dxa"/>
          </w:tcPr>
          <w:p w:rsidRPr="006F34CD" w:rsidR="00515FE0" w:rsidP="006F34CD" w:rsidRDefault="00515FE0" w14:paraId="556C72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C7281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Neryungri</w:t>
            </w:r>
          </w:p>
        </w:tc>
        <w:tc>
          <w:tcPr>
            <w:tcW w:w="1134" w:type="dxa"/>
          </w:tcPr>
          <w:p w:rsidRPr="006F34CD" w:rsidR="00515FE0" w:rsidP="006F34CD" w:rsidRDefault="00515FE0" w14:paraId="0FE1F1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69EBEA6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A8B8D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F3565A7" w14:textId="77777777">
        <w:trPr>
          <w:cantSplit/>
        </w:trPr>
        <w:tc>
          <w:tcPr>
            <w:tcW w:w="2249" w:type="dxa"/>
          </w:tcPr>
          <w:p w:rsidRPr="006F34CD" w:rsidR="00515FE0" w:rsidP="006F34CD" w:rsidRDefault="00515FE0" w14:paraId="3686CCDD" w14:textId="2728C7C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Nevinnomyssk</w:t>
            </w:r>
          </w:p>
        </w:tc>
        <w:tc>
          <w:tcPr>
            <w:tcW w:w="836" w:type="dxa"/>
          </w:tcPr>
          <w:p w:rsidRPr="006F34CD" w:rsidR="00515FE0" w:rsidP="006F34CD" w:rsidRDefault="00515FE0" w14:paraId="6C6E12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5B664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Nevinnomyssk</w:t>
            </w:r>
          </w:p>
        </w:tc>
        <w:tc>
          <w:tcPr>
            <w:tcW w:w="1134" w:type="dxa"/>
          </w:tcPr>
          <w:p w:rsidRPr="006F34CD" w:rsidR="00515FE0" w:rsidP="006F34CD" w:rsidRDefault="00515FE0" w14:paraId="514A65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372,334</w:t>
            </w:r>
          </w:p>
        </w:tc>
        <w:tc>
          <w:tcPr>
            <w:tcW w:w="992" w:type="dxa"/>
          </w:tcPr>
          <w:p w:rsidRPr="006F34CD" w:rsidR="00515FE0" w:rsidP="006F34CD" w:rsidRDefault="00515FE0" w14:paraId="2E199A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740E24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CAF52E4" w14:textId="77777777">
        <w:trPr>
          <w:cantSplit/>
        </w:trPr>
        <w:tc>
          <w:tcPr>
            <w:tcW w:w="2249" w:type="dxa"/>
          </w:tcPr>
          <w:p w:rsidRPr="006F34CD" w:rsidR="00515FE0" w:rsidP="006F34CD" w:rsidRDefault="00515FE0" w14:paraId="3E89A9C9" w14:textId="3693187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"Nevskoye"</w:t>
            </w:r>
          </w:p>
        </w:tc>
        <w:tc>
          <w:tcPr>
            <w:tcW w:w="836" w:type="dxa"/>
          </w:tcPr>
          <w:p w:rsidRPr="006F34CD" w:rsidR="00515FE0" w:rsidP="006F34CD" w:rsidRDefault="00515FE0" w14:paraId="424350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2007</w:t>
            </w:r>
          </w:p>
        </w:tc>
        <w:tc>
          <w:tcPr>
            <w:tcW w:w="1305" w:type="dxa"/>
          </w:tcPr>
          <w:p w:rsidRPr="006F34CD" w:rsidR="00515FE0" w:rsidP="006F34CD" w:rsidRDefault="00515FE0" w14:paraId="2B63AA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298C8EB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4C4B9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9FCA7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700B6B4" w14:textId="77777777">
        <w:trPr>
          <w:cantSplit/>
        </w:trPr>
        <w:tc>
          <w:tcPr>
            <w:tcW w:w="2249" w:type="dxa"/>
          </w:tcPr>
          <w:p w:rsidRPr="006F34CD" w:rsidR="00515FE0" w:rsidP="006F34CD" w:rsidRDefault="00515FE0" w14:paraId="7D0BD64E" w14:textId="7D17A21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Nezlobnaya of the Georgiyevskiy District</w:t>
            </w:r>
          </w:p>
        </w:tc>
        <w:tc>
          <w:tcPr>
            <w:tcW w:w="836" w:type="dxa"/>
          </w:tcPr>
          <w:p w:rsidRPr="006F34CD" w:rsidR="00515FE0" w:rsidP="006F34CD" w:rsidRDefault="00515FE0" w14:paraId="4A297A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345140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st.Â Nezlobnaya</w:t>
            </w:r>
          </w:p>
        </w:tc>
        <w:tc>
          <w:tcPr>
            <w:tcW w:w="1134" w:type="dxa"/>
          </w:tcPr>
          <w:p w:rsidRPr="006F34CD" w:rsidR="00515FE0" w:rsidP="006F34CD" w:rsidRDefault="00515FE0" w14:paraId="2C36D1A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683,284</w:t>
            </w:r>
          </w:p>
        </w:tc>
        <w:tc>
          <w:tcPr>
            <w:tcW w:w="992" w:type="dxa"/>
          </w:tcPr>
          <w:p w:rsidRPr="006F34CD" w:rsidR="00515FE0" w:rsidP="006F34CD" w:rsidRDefault="00515FE0" w14:paraId="4E14A4F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90885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EDCC53E" w14:textId="77777777">
        <w:trPr>
          <w:cantSplit/>
        </w:trPr>
        <w:tc>
          <w:tcPr>
            <w:tcW w:w="2249" w:type="dxa"/>
          </w:tcPr>
          <w:p w:rsidRPr="006F34CD" w:rsidR="00515FE0" w:rsidP="006F34CD" w:rsidRDefault="00515FE0" w14:paraId="616DCC97" w14:textId="15A9BB5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Nikolayevsk-on-Amur</w:t>
            </w:r>
          </w:p>
        </w:tc>
        <w:tc>
          <w:tcPr>
            <w:tcW w:w="836" w:type="dxa"/>
          </w:tcPr>
          <w:p w:rsidRPr="006F34CD" w:rsidR="00515FE0" w:rsidP="006F34CD" w:rsidRDefault="00515FE0" w14:paraId="4C4E95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7DC43E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Nikolayevsk-on-Amur</w:t>
            </w:r>
          </w:p>
        </w:tc>
        <w:tc>
          <w:tcPr>
            <w:tcW w:w="1134" w:type="dxa"/>
          </w:tcPr>
          <w:p w:rsidRPr="006F34CD" w:rsidR="00515FE0" w:rsidP="006F34CD" w:rsidRDefault="00515FE0" w14:paraId="6CA4D69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C999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312AF5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E4D6022" w14:textId="77777777">
        <w:trPr>
          <w:cantSplit/>
        </w:trPr>
        <w:tc>
          <w:tcPr>
            <w:tcW w:w="2249" w:type="dxa"/>
          </w:tcPr>
          <w:p w:rsidRPr="006F34CD" w:rsidR="00515FE0" w:rsidP="006F34CD" w:rsidRDefault="00515FE0" w14:paraId="66879717" w14:textId="411A658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"Nikolsk"</w:t>
            </w:r>
          </w:p>
        </w:tc>
        <w:tc>
          <w:tcPr>
            <w:tcW w:w="836" w:type="dxa"/>
          </w:tcPr>
          <w:p w:rsidRPr="006F34CD" w:rsidR="00515FE0" w:rsidP="006F34CD" w:rsidRDefault="00515FE0" w14:paraId="7ABC36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218B80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Nikolsk</w:t>
            </w:r>
          </w:p>
        </w:tc>
        <w:tc>
          <w:tcPr>
            <w:tcW w:w="1134" w:type="dxa"/>
          </w:tcPr>
          <w:p w:rsidRPr="006F34CD" w:rsidR="00515FE0" w:rsidP="006F34CD" w:rsidRDefault="00515FE0" w14:paraId="7FBCDC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66C9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149FB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88E5229" w14:textId="77777777">
        <w:trPr>
          <w:cantSplit/>
        </w:trPr>
        <w:tc>
          <w:tcPr>
            <w:tcW w:w="2249" w:type="dxa"/>
          </w:tcPr>
          <w:p w:rsidRPr="006F34CD" w:rsidR="00515FE0" w:rsidP="006F34CD" w:rsidRDefault="00515FE0" w14:paraId="496DB379" w14:textId="771911C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Nizhnegorskiy</w:t>
            </w:r>
          </w:p>
        </w:tc>
        <w:tc>
          <w:tcPr>
            <w:tcW w:w="836" w:type="dxa"/>
          </w:tcPr>
          <w:p w:rsidRPr="006F34CD" w:rsidR="00515FE0" w:rsidP="006F34CD" w:rsidRDefault="00515FE0" w14:paraId="108AF4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3DBF67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Nizhnegorskiy</w:t>
            </w:r>
          </w:p>
        </w:tc>
        <w:tc>
          <w:tcPr>
            <w:tcW w:w="1134" w:type="dxa"/>
          </w:tcPr>
          <w:p w:rsidRPr="006F34CD" w:rsidR="00515FE0" w:rsidP="006F34CD" w:rsidRDefault="00515FE0" w14:paraId="72EA39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EB4949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0B55B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39E8BCD" w14:textId="77777777">
        <w:trPr>
          <w:cantSplit/>
        </w:trPr>
        <w:tc>
          <w:tcPr>
            <w:tcW w:w="2249" w:type="dxa"/>
          </w:tcPr>
          <w:p w:rsidRPr="006F34CD" w:rsidR="00515FE0" w:rsidP="006F34CD" w:rsidRDefault="00515FE0" w14:paraId="26F2AE36" w14:textId="7573396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Nizhnekamsk and the Nizhnekamskiy District of the "Administrative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471213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1B8C87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Nizhnekamsk</w:t>
            </w:r>
          </w:p>
        </w:tc>
        <w:tc>
          <w:tcPr>
            <w:tcW w:w="1134" w:type="dxa"/>
          </w:tcPr>
          <w:p w:rsidRPr="006F34CD" w:rsidR="00515FE0" w:rsidP="006F34CD" w:rsidRDefault="00515FE0" w14:paraId="792B1F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22,398</w:t>
            </w:r>
          </w:p>
        </w:tc>
        <w:tc>
          <w:tcPr>
            <w:tcW w:w="992" w:type="dxa"/>
          </w:tcPr>
          <w:p w:rsidRPr="006F34CD" w:rsidR="00515FE0" w:rsidP="006F34CD" w:rsidRDefault="00515FE0" w14:paraId="066403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5E9563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EA85C61" w14:textId="77777777">
        <w:trPr>
          <w:cantSplit/>
        </w:trPr>
        <w:tc>
          <w:tcPr>
            <w:tcW w:w="2249" w:type="dxa"/>
          </w:tcPr>
          <w:p w:rsidRPr="006F34CD" w:rsidR="00515FE0" w:rsidP="006F34CD" w:rsidRDefault="00515FE0" w14:paraId="1465F3F1" w14:textId="5912BCF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Nizhneudinsk</w:t>
            </w:r>
          </w:p>
        </w:tc>
        <w:tc>
          <w:tcPr>
            <w:tcW w:w="836" w:type="dxa"/>
          </w:tcPr>
          <w:p w:rsidRPr="006F34CD" w:rsidR="00515FE0" w:rsidP="006F34CD" w:rsidRDefault="00515FE0" w14:paraId="264C2E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539E0F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Nizhneudinsk</w:t>
            </w:r>
          </w:p>
        </w:tc>
        <w:tc>
          <w:tcPr>
            <w:tcW w:w="1134" w:type="dxa"/>
          </w:tcPr>
          <w:p w:rsidRPr="006F34CD" w:rsidR="00515FE0" w:rsidP="006F34CD" w:rsidRDefault="00515FE0" w14:paraId="71C742A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455D8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C5A48D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10E65B1" w14:textId="77777777">
        <w:trPr>
          <w:cantSplit/>
        </w:trPr>
        <w:tc>
          <w:tcPr>
            <w:tcW w:w="2249" w:type="dxa"/>
          </w:tcPr>
          <w:p w:rsidRPr="006F34CD" w:rsidR="00515FE0" w:rsidP="006F34CD" w:rsidRDefault="00515FE0" w14:paraId="7BECE926" w14:textId="18D86E2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Nizhnevartovsk</w:t>
            </w:r>
          </w:p>
        </w:tc>
        <w:tc>
          <w:tcPr>
            <w:tcW w:w="836" w:type="dxa"/>
          </w:tcPr>
          <w:p w:rsidRPr="006F34CD" w:rsidR="00515FE0" w:rsidP="006F34CD" w:rsidRDefault="00515FE0" w14:paraId="4AB956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348D9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Nizhnevartovsk</w:t>
            </w:r>
          </w:p>
        </w:tc>
        <w:tc>
          <w:tcPr>
            <w:tcW w:w="1134" w:type="dxa"/>
          </w:tcPr>
          <w:p w:rsidRPr="006F34CD" w:rsidR="00515FE0" w:rsidP="006F34CD" w:rsidRDefault="00515FE0" w14:paraId="5CD3AD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145,247</w:t>
            </w:r>
          </w:p>
        </w:tc>
        <w:tc>
          <w:tcPr>
            <w:tcW w:w="992" w:type="dxa"/>
          </w:tcPr>
          <w:p w:rsidRPr="006F34CD" w:rsidR="00515FE0" w:rsidP="006F34CD" w:rsidRDefault="00515FE0" w14:paraId="3FAC02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4DDEE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F79C1D7" w14:textId="77777777">
        <w:trPr>
          <w:cantSplit/>
        </w:trPr>
        <w:tc>
          <w:tcPr>
            <w:tcW w:w="2249" w:type="dxa"/>
          </w:tcPr>
          <w:p w:rsidRPr="006F34CD" w:rsidR="00515FE0" w:rsidP="006F34CD" w:rsidRDefault="00515FE0" w14:paraId="705FED19" w14:textId="01C19D3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Nizhniy Novgorod"</w:t>
            </w:r>
          </w:p>
        </w:tc>
        <w:tc>
          <w:tcPr>
            <w:tcW w:w="836" w:type="dxa"/>
          </w:tcPr>
          <w:p w:rsidRPr="006F34CD" w:rsidR="00515FE0" w:rsidP="006F34CD" w:rsidRDefault="00515FE0" w14:paraId="2B17C1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4978A0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Nizhniy Novgorod</w:t>
            </w:r>
          </w:p>
        </w:tc>
        <w:tc>
          <w:tcPr>
            <w:tcW w:w="1134" w:type="dxa"/>
          </w:tcPr>
          <w:p w:rsidRPr="006F34CD" w:rsidR="00515FE0" w:rsidP="006F34CD" w:rsidRDefault="00515FE0" w14:paraId="33BDDFA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6398A7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882DD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98CB65D" w14:textId="77777777">
        <w:trPr>
          <w:cantSplit/>
        </w:trPr>
        <w:tc>
          <w:tcPr>
            <w:tcW w:w="2249" w:type="dxa"/>
          </w:tcPr>
          <w:p w:rsidRPr="006F34CD" w:rsidR="00515FE0" w:rsidP="006F34CD" w:rsidRDefault="00515FE0" w14:paraId="4D0E0C41" w14:textId="7F11B2D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"Nizhniy Tagil"</w:t>
            </w:r>
          </w:p>
        </w:tc>
        <w:tc>
          <w:tcPr>
            <w:tcW w:w="836" w:type="dxa"/>
          </w:tcPr>
          <w:p w:rsidRPr="006F34CD" w:rsidR="00515FE0" w:rsidP="006F34CD" w:rsidRDefault="00515FE0" w14:paraId="2EF8E7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1DD48F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Nizhniy Tagil</w:t>
            </w:r>
          </w:p>
        </w:tc>
        <w:tc>
          <w:tcPr>
            <w:tcW w:w="1134" w:type="dxa"/>
          </w:tcPr>
          <w:p w:rsidRPr="006F34CD" w:rsidR="00515FE0" w:rsidP="006F34CD" w:rsidRDefault="00515FE0" w14:paraId="7E9228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8267C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78021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510FE4F" w14:textId="77777777">
        <w:trPr>
          <w:cantSplit/>
        </w:trPr>
        <w:tc>
          <w:tcPr>
            <w:tcW w:w="2249" w:type="dxa"/>
          </w:tcPr>
          <w:p w:rsidRPr="006F34CD" w:rsidR="00515FE0" w:rsidP="006F34CD" w:rsidRDefault="00515FE0" w14:paraId="063CF5DD" w14:textId="583553A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Nizhnyaya Tura</w:t>
            </w:r>
          </w:p>
        </w:tc>
        <w:tc>
          <w:tcPr>
            <w:tcW w:w="836" w:type="dxa"/>
          </w:tcPr>
          <w:p w:rsidRPr="006F34CD" w:rsidR="00515FE0" w:rsidP="006F34CD" w:rsidRDefault="00515FE0" w14:paraId="6BB0DE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B4A20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Nizhnyaya Tura</w:t>
            </w:r>
          </w:p>
        </w:tc>
        <w:tc>
          <w:tcPr>
            <w:tcW w:w="1134" w:type="dxa"/>
          </w:tcPr>
          <w:p w:rsidRPr="006F34CD" w:rsidR="00515FE0" w:rsidP="006F34CD" w:rsidRDefault="00515FE0" w14:paraId="65D648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8A180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6C6D6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7E53470" w14:textId="77777777">
        <w:trPr>
          <w:cantSplit/>
        </w:trPr>
        <w:tc>
          <w:tcPr>
            <w:tcW w:w="2249" w:type="dxa"/>
          </w:tcPr>
          <w:p w:rsidRPr="006F34CD" w:rsidR="00515FE0" w:rsidP="006F34CD" w:rsidRDefault="00515FE0" w14:paraId="57F90C7E" w14:textId="036A327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Nogliki of the Sakhalin Region</w:t>
            </w:r>
          </w:p>
        </w:tc>
        <w:tc>
          <w:tcPr>
            <w:tcW w:w="836" w:type="dxa"/>
          </w:tcPr>
          <w:p w:rsidRPr="006F34CD" w:rsidR="00515FE0" w:rsidP="006F34CD" w:rsidRDefault="00515FE0" w14:paraId="086117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FDF33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pgt.Â Nogliki</w:t>
            </w:r>
          </w:p>
        </w:tc>
        <w:tc>
          <w:tcPr>
            <w:tcW w:w="1134" w:type="dxa"/>
          </w:tcPr>
          <w:p w:rsidRPr="006F34CD" w:rsidR="00515FE0" w:rsidP="006F34CD" w:rsidRDefault="00515FE0" w14:paraId="00BBA7B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1D9A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CBC1E5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91BFDC4" w14:textId="77777777">
        <w:trPr>
          <w:cantSplit/>
        </w:trPr>
        <w:tc>
          <w:tcPr>
            <w:tcW w:w="2249" w:type="dxa"/>
          </w:tcPr>
          <w:p w:rsidRPr="006F34CD" w:rsidR="00515FE0" w:rsidP="006F34CD" w:rsidRDefault="00515FE0" w14:paraId="2F19B369" w14:textId="3ADAEFA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"Norilsk"</w:t>
            </w:r>
          </w:p>
        </w:tc>
        <w:tc>
          <w:tcPr>
            <w:tcW w:w="836" w:type="dxa"/>
          </w:tcPr>
          <w:p w:rsidRPr="006F34CD" w:rsidR="00515FE0" w:rsidP="006F34CD" w:rsidRDefault="00515FE0" w14:paraId="08048D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1995</w:t>
            </w:r>
          </w:p>
        </w:tc>
        <w:tc>
          <w:tcPr>
            <w:tcW w:w="1305" w:type="dxa"/>
          </w:tcPr>
          <w:p w:rsidRPr="006F34CD" w:rsidR="00515FE0" w:rsidP="006F34CD" w:rsidRDefault="00515FE0" w14:paraId="31B15C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Norilsk</w:t>
            </w:r>
          </w:p>
        </w:tc>
        <w:tc>
          <w:tcPr>
            <w:tcW w:w="1134" w:type="dxa"/>
          </w:tcPr>
          <w:p w:rsidRPr="006F34CD" w:rsidR="00515FE0" w:rsidP="006F34CD" w:rsidRDefault="00515FE0" w14:paraId="7C27D1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9C02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212DF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C037E66" w14:textId="77777777">
        <w:trPr>
          <w:cantSplit/>
        </w:trPr>
        <w:tc>
          <w:tcPr>
            <w:tcW w:w="2249" w:type="dxa"/>
          </w:tcPr>
          <w:p w:rsidRPr="006F34CD" w:rsidR="00515FE0" w:rsidP="006F34CD" w:rsidRDefault="00515FE0" w14:paraId="11E2FCBB" w14:textId="3116653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Novoaleksandrovsk</w:t>
            </w:r>
          </w:p>
        </w:tc>
        <w:tc>
          <w:tcPr>
            <w:tcW w:w="836" w:type="dxa"/>
          </w:tcPr>
          <w:p w:rsidRPr="006F34CD" w:rsidR="00515FE0" w:rsidP="006F34CD" w:rsidRDefault="00515FE0" w14:paraId="4C0652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98768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Novoaleksandrovsk</w:t>
            </w:r>
          </w:p>
        </w:tc>
        <w:tc>
          <w:tcPr>
            <w:tcW w:w="1134" w:type="dxa"/>
          </w:tcPr>
          <w:p w:rsidRPr="006F34CD" w:rsidR="00515FE0" w:rsidP="006F34CD" w:rsidRDefault="00515FE0" w14:paraId="4AD278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48,987</w:t>
            </w:r>
          </w:p>
        </w:tc>
        <w:tc>
          <w:tcPr>
            <w:tcW w:w="992" w:type="dxa"/>
          </w:tcPr>
          <w:p w:rsidRPr="006F34CD" w:rsidR="00515FE0" w:rsidP="006F34CD" w:rsidRDefault="00515FE0" w14:paraId="077290E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12E65C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13A08A1" w14:textId="77777777">
        <w:trPr>
          <w:cantSplit/>
        </w:trPr>
        <w:tc>
          <w:tcPr>
            <w:tcW w:w="2249" w:type="dxa"/>
          </w:tcPr>
          <w:p w:rsidRPr="006F34CD" w:rsidR="00515FE0" w:rsidP="006F34CD" w:rsidRDefault="00515FE0" w14:paraId="2D14F99B" w14:textId="71ADA70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Novocherkassk</w:t>
            </w:r>
          </w:p>
        </w:tc>
        <w:tc>
          <w:tcPr>
            <w:tcW w:w="836" w:type="dxa"/>
          </w:tcPr>
          <w:p w:rsidRPr="006F34CD" w:rsidR="00515FE0" w:rsidP="006F34CD" w:rsidRDefault="00515FE0" w14:paraId="18B86E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66777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Novocherkassk</w:t>
            </w:r>
          </w:p>
        </w:tc>
        <w:tc>
          <w:tcPr>
            <w:tcW w:w="1134" w:type="dxa"/>
          </w:tcPr>
          <w:p w:rsidRPr="006F34CD" w:rsidR="00515FE0" w:rsidP="006F34CD" w:rsidRDefault="00515FE0" w14:paraId="7A4E611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EED0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3BE93D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C040406" w14:textId="77777777">
        <w:trPr>
          <w:cantSplit/>
        </w:trPr>
        <w:tc>
          <w:tcPr>
            <w:tcW w:w="2249" w:type="dxa"/>
          </w:tcPr>
          <w:p w:rsidRPr="006F34CD" w:rsidR="00515FE0" w:rsidP="006F34CD" w:rsidRDefault="00515FE0" w14:paraId="6A69CF71" w14:textId="7EDD9BE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Novokubansk and the Novokubanskiy District</w:t>
            </w:r>
          </w:p>
        </w:tc>
        <w:tc>
          <w:tcPr>
            <w:tcW w:w="836" w:type="dxa"/>
          </w:tcPr>
          <w:p w:rsidRPr="006F34CD" w:rsidR="00515FE0" w:rsidP="006F34CD" w:rsidRDefault="00515FE0" w14:paraId="784822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26B08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Novokubansk</w:t>
            </w:r>
          </w:p>
        </w:tc>
        <w:tc>
          <w:tcPr>
            <w:tcW w:w="1134" w:type="dxa"/>
          </w:tcPr>
          <w:p w:rsidRPr="006F34CD" w:rsidR="00515FE0" w:rsidP="006F34CD" w:rsidRDefault="00515FE0" w14:paraId="5F2D54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82,742</w:t>
            </w:r>
          </w:p>
        </w:tc>
        <w:tc>
          <w:tcPr>
            <w:tcW w:w="992" w:type="dxa"/>
          </w:tcPr>
          <w:p w:rsidRPr="006F34CD" w:rsidR="00515FE0" w:rsidP="006F34CD" w:rsidRDefault="00515FE0" w14:paraId="6904C0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64CD1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DB613C8" w14:textId="77777777">
        <w:trPr>
          <w:cantSplit/>
        </w:trPr>
        <w:tc>
          <w:tcPr>
            <w:tcW w:w="2249" w:type="dxa"/>
          </w:tcPr>
          <w:p w:rsidRPr="006F34CD" w:rsidR="00515FE0" w:rsidP="006F34CD" w:rsidRDefault="00515FE0" w14:paraId="411B458D" w14:textId="65659C4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"Novokuznetsk"</w:t>
            </w:r>
          </w:p>
        </w:tc>
        <w:tc>
          <w:tcPr>
            <w:tcW w:w="836" w:type="dxa"/>
          </w:tcPr>
          <w:p w:rsidRPr="006F34CD" w:rsidR="00515FE0" w:rsidP="006F34CD" w:rsidRDefault="00515FE0" w14:paraId="4E4817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EB2C0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Novokuznetsk</w:t>
            </w:r>
          </w:p>
        </w:tc>
        <w:tc>
          <w:tcPr>
            <w:tcW w:w="1134" w:type="dxa"/>
          </w:tcPr>
          <w:p w:rsidRPr="006F34CD" w:rsidR="00515FE0" w:rsidP="006F34CD" w:rsidRDefault="00515FE0" w14:paraId="6A7FE1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60,337</w:t>
            </w:r>
          </w:p>
        </w:tc>
        <w:tc>
          <w:tcPr>
            <w:tcW w:w="992" w:type="dxa"/>
          </w:tcPr>
          <w:p w:rsidRPr="006F34CD" w:rsidR="00515FE0" w:rsidP="006F34CD" w:rsidRDefault="00515FE0" w14:paraId="46E8F6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23EC91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DEA9815" w14:textId="77777777">
        <w:trPr>
          <w:cantSplit/>
        </w:trPr>
        <w:tc>
          <w:tcPr>
            <w:tcW w:w="2249" w:type="dxa"/>
          </w:tcPr>
          <w:p w:rsidRPr="006F34CD" w:rsidR="00515FE0" w:rsidP="006F34CD" w:rsidRDefault="00515FE0" w14:paraId="7D21CCF9" w14:textId="0A399FA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Novopavlovsk</w:t>
            </w:r>
          </w:p>
        </w:tc>
        <w:tc>
          <w:tcPr>
            <w:tcW w:w="836" w:type="dxa"/>
          </w:tcPr>
          <w:p w:rsidRPr="006F34CD" w:rsidR="00515FE0" w:rsidP="006F34CD" w:rsidRDefault="00515FE0" w14:paraId="14C16D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B8960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Novopavlovsk</w:t>
            </w:r>
          </w:p>
        </w:tc>
        <w:tc>
          <w:tcPr>
            <w:tcW w:w="1134" w:type="dxa"/>
          </w:tcPr>
          <w:p w:rsidRPr="006F34CD" w:rsidR="00515FE0" w:rsidP="006F34CD" w:rsidRDefault="00515FE0" w14:paraId="4038D1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45,673</w:t>
            </w:r>
          </w:p>
        </w:tc>
        <w:tc>
          <w:tcPr>
            <w:tcW w:w="992" w:type="dxa"/>
          </w:tcPr>
          <w:p w:rsidRPr="006F34CD" w:rsidR="00515FE0" w:rsidP="006F34CD" w:rsidRDefault="00515FE0" w14:paraId="5ECC4E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EE90ED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3439FCA" w14:textId="77777777">
        <w:trPr>
          <w:cantSplit/>
        </w:trPr>
        <w:tc>
          <w:tcPr>
            <w:tcW w:w="2249" w:type="dxa"/>
          </w:tcPr>
          <w:p w:rsidRPr="006F34CD" w:rsidR="00515FE0" w:rsidP="006F34CD" w:rsidRDefault="00515FE0" w14:paraId="1BD938E5" w14:textId="503299C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Novorossiysk</w:t>
            </w:r>
          </w:p>
        </w:tc>
        <w:tc>
          <w:tcPr>
            <w:tcW w:w="836" w:type="dxa"/>
          </w:tcPr>
          <w:p w:rsidRPr="006F34CD" w:rsidR="00515FE0" w:rsidP="006F34CD" w:rsidRDefault="00515FE0" w14:paraId="776865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B168E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Novorossiysk</w:t>
            </w:r>
          </w:p>
        </w:tc>
        <w:tc>
          <w:tcPr>
            <w:tcW w:w="1134" w:type="dxa"/>
          </w:tcPr>
          <w:p w:rsidRPr="006F34CD" w:rsidR="00515FE0" w:rsidP="006F34CD" w:rsidRDefault="00515FE0" w14:paraId="2B5304C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EBDB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55A46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8DF3BB5" w14:textId="77777777">
        <w:trPr>
          <w:cantSplit/>
        </w:trPr>
        <w:tc>
          <w:tcPr>
            <w:tcW w:w="2249" w:type="dxa"/>
          </w:tcPr>
          <w:p w:rsidRPr="006F34CD" w:rsidR="00515FE0" w:rsidP="006F34CD" w:rsidRDefault="00515FE0" w14:paraId="3455E7FE" w14:textId="6249815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"Novoshakhtinsk"</w:t>
            </w:r>
          </w:p>
        </w:tc>
        <w:tc>
          <w:tcPr>
            <w:tcW w:w="836" w:type="dxa"/>
          </w:tcPr>
          <w:p w:rsidRPr="006F34CD" w:rsidR="00515FE0" w:rsidP="006F34CD" w:rsidRDefault="00515FE0" w14:paraId="5EB1CC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65FC1A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Novoshakhtinsk</w:t>
            </w:r>
          </w:p>
        </w:tc>
        <w:tc>
          <w:tcPr>
            <w:tcW w:w="1134" w:type="dxa"/>
          </w:tcPr>
          <w:p w:rsidRPr="006F34CD" w:rsidR="00515FE0" w:rsidP="006F34CD" w:rsidRDefault="00515FE0" w14:paraId="13864E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277B5A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5805F9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1121918" w14:textId="77777777">
        <w:trPr>
          <w:cantSplit/>
        </w:trPr>
        <w:tc>
          <w:tcPr>
            <w:tcW w:w="2249" w:type="dxa"/>
          </w:tcPr>
          <w:p w:rsidRPr="006F34CD" w:rsidR="00515FE0" w:rsidP="006F34CD" w:rsidRDefault="00515FE0" w14:paraId="77025628" w14:textId="635C8DB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Novotitarovskaya</w:t>
            </w:r>
          </w:p>
        </w:tc>
        <w:tc>
          <w:tcPr>
            <w:tcW w:w="836" w:type="dxa"/>
          </w:tcPr>
          <w:p w:rsidRPr="006F34CD" w:rsidR="00515FE0" w:rsidP="006F34CD" w:rsidRDefault="00515FE0" w14:paraId="2FB040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7AF23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Novotitarovskaya</w:t>
            </w:r>
          </w:p>
        </w:tc>
        <w:tc>
          <w:tcPr>
            <w:tcW w:w="1134" w:type="dxa"/>
          </w:tcPr>
          <w:p w:rsidRPr="006F34CD" w:rsidR="00515FE0" w:rsidP="006F34CD" w:rsidRDefault="00515FE0" w14:paraId="34E2F4B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D1E6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C721E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3D31535" w14:textId="77777777">
        <w:trPr>
          <w:cantSplit/>
        </w:trPr>
        <w:tc>
          <w:tcPr>
            <w:tcW w:w="2249" w:type="dxa"/>
          </w:tcPr>
          <w:p w:rsidRPr="006F34CD" w:rsidR="00515FE0" w:rsidP="006F34CD" w:rsidRDefault="00515FE0" w14:paraId="5E5995CB" w14:textId="2CCEC20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Noyabrsk</w:t>
            </w:r>
          </w:p>
        </w:tc>
        <w:tc>
          <w:tcPr>
            <w:tcW w:w="836" w:type="dxa"/>
          </w:tcPr>
          <w:p w:rsidRPr="006F34CD" w:rsidR="00515FE0" w:rsidP="006F34CD" w:rsidRDefault="00515FE0" w14:paraId="2DD472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4A2B06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Noyabrsk</w:t>
            </w:r>
          </w:p>
        </w:tc>
        <w:tc>
          <w:tcPr>
            <w:tcW w:w="1134" w:type="dxa"/>
          </w:tcPr>
          <w:p w:rsidRPr="006F34CD" w:rsidR="00515FE0" w:rsidP="006F34CD" w:rsidRDefault="00515FE0" w14:paraId="6F9B89C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02AB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A83F8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79EAA4E" w14:textId="77777777">
        <w:trPr>
          <w:cantSplit/>
        </w:trPr>
        <w:tc>
          <w:tcPr>
            <w:tcW w:w="2249" w:type="dxa"/>
          </w:tcPr>
          <w:p w:rsidRPr="006F34CD" w:rsidR="00515FE0" w:rsidP="006F34CD" w:rsidRDefault="00515FE0" w14:paraId="73E15875" w14:textId="748AE76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Odintsovskiy District</w:t>
            </w:r>
          </w:p>
        </w:tc>
        <w:tc>
          <w:tcPr>
            <w:tcW w:w="836" w:type="dxa"/>
          </w:tcPr>
          <w:p w:rsidRPr="006F34CD" w:rsidR="00515FE0" w:rsidP="006F34CD" w:rsidRDefault="00515FE0" w14:paraId="270B88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077C4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Vlasikha</w:t>
            </w:r>
          </w:p>
        </w:tc>
        <w:tc>
          <w:tcPr>
            <w:tcW w:w="1134" w:type="dxa"/>
          </w:tcPr>
          <w:p w:rsidRPr="006F34CD" w:rsidR="00515FE0" w:rsidP="006F34CD" w:rsidRDefault="00515FE0" w14:paraId="0DB502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3ECB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81639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01B156B" w14:textId="77777777">
        <w:trPr>
          <w:cantSplit/>
        </w:trPr>
        <w:tc>
          <w:tcPr>
            <w:tcW w:w="2249" w:type="dxa"/>
          </w:tcPr>
          <w:p w:rsidRPr="006F34CD" w:rsidR="00515FE0" w:rsidP="006F34CD" w:rsidRDefault="00515FE0" w14:paraId="1CF867AD" w14:textId="3B418E3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Okha</w:t>
            </w:r>
          </w:p>
        </w:tc>
        <w:tc>
          <w:tcPr>
            <w:tcW w:w="836" w:type="dxa"/>
          </w:tcPr>
          <w:p w:rsidRPr="006F34CD" w:rsidR="00515FE0" w:rsidP="006F34CD" w:rsidRDefault="00515FE0" w14:paraId="00AE1C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29022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Okha</w:t>
            </w:r>
          </w:p>
        </w:tc>
        <w:tc>
          <w:tcPr>
            <w:tcW w:w="1134" w:type="dxa"/>
          </w:tcPr>
          <w:p w:rsidRPr="006F34CD" w:rsidR="00515FE0" w:rsidP="006F34CD" w:rsidRDefault="00515FE0" w14:paraId="5E94AE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FE06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4565C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A87B1BB" w14:textId="77777777">
        <w:trPr>
          <w:cantSplit/>
        </w:trPr>
        <w:tc>
          <w:tcPr>
            <w:tcW w:w="2249" w:type="dxa"/>
          </w:tcPr>
          <w:p w:rsidRPr="006F34CD" w:rsidR="00515FE0" w:rsidP="006F34CD" w:rsidRDefault="00515FE0" w14:paraId="3A11995D" w14:textId="6DAE6F9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Oktyabrskiy</w:t>
            </w:r>
          </w:p>
        </w:tc>
        <w:tc>
          <w:tcPr>
            <w:tcW w:w="836" w:type="dxa"/>
          </w:tcPr>
          <w:p w:rsidRPr="006F34CD" w:rsidR="00515FE0" w:rsidP="006F34CD" w:rsidRDefault="00515FE0" w14:paraId="503569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C19DF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r.pos. Oktyabrskiy</w:t>
            </w:r>
          </w:p>
        </w:tc>
        <w:tc>
          <w:tcPr>
            <w:tcW w:w="1134" w:type="dxa"/>
          </w:tcPr>
          <w:p w:rsidRPr="006F34CD" w:rsidR="00515FE0" w:rsidP="006F34CD" w:rsidRDefault="00515FE0" w14:paraId="779388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1F231E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372147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2C84A67" w14:textId="77777777">
        <w:trPr>
          <w:cantSplit/>
        </w:trPr>
        <w:tc>
          <w:tcPr>
            <w:tcW w:w="2249" w:type="dxa"/>
          </w:tcPr>
          <w:p w:rsidRPr="006F34CD" w:rsidR="00515FE0" w:rsidP="006F34CD" w:rsidRDefault="00515FE0" w14:paraId="42BA3C0F" w14:textId="61179AB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"Omsk"</w:t>
            </w:r>
          </w:p>
        </w:tc>
        <w:tc>
          <w:tcPr>
            <w:tcW w:w="836" w:type="dxa"/>
          </w:tcPr>
          <w:p w:rsidRPr="006F34CD" w:rsidR="00515FE0" w:rsidP="006F34CD" w:rsidRDefault="00515FE0" w14:paraId="7D9EDF4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52E923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Omsk</w:t>
            </w:r>
          </w:p>
        </w:tc>
        <w:tc>
          <w:tcPr>
            <w:tcW w:w="1134" w:type="dxa"/>
          </w:tcPr>
          <w:p w:rsidRPr="006F34CD" w:rsidR="00515FE0" w:rsidP="006F34CD" w:rsidRDefault="00515FE0" w14:paraId="55131E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9435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5D7CC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18DE91A" w14:textId="77777777">
        <w:trPr>
          <w:cantSplit/>
        </w:trPr>
        <w:tc>
          <w:tcPr>
            <w:tcW w:w="2249" w:type="dxa"/>
          </w:tcPr>
          <w:p w:rsidRPr="006F34CD" w:rsidR="00515FE0" w:rsidP="006F34CD" w:rsidRDefault="00515FE0" w14:paraId="38DB2EDB" w14:textId="3113EDB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Orekhovo-Zuyevskiy District of the Moscow Region</w:t>
            </w:r>
          </w:p>
        </w:tc>
        <w:tc>
          <w:tcPr>
            <w:tcW w:w="836" w:type="dxa"/>
          </w:tcPr>
          <w:p w:rsidRPr="006F34CD" w:rsidR="00515FE0" w:rsidP="006F34CD" w:rsidRDefault="00515FE0" w14:paraId="4BA14E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064B18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Vereya</w:t>
            </w:r>
          </w:p>
        </w:tc>
        <w:tc>
          <w:tcPr>
            <w:tcW w:w="1134" w:type="dxa"/>
          </w:tcPr>
          <w:p w:rsidRPr="006F34CD" w:rsidR="00515FE0" w:rsidP="006F34CD" w:rsidRDefault="00515FE0" w14:paraId="09F5ADA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128F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010049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06FDC42" w14:textId="77777777">
        <w:trPr>
          <w:cantSplit/>
        </w:trPr>
        <w:tc>
          <w:tcPr>
            <w:tcW w:w="2249" w:type="dxa"/>
          </w:tcPr>
          <w:p w:rsidRPr="006F34CD" w:rsidR="00515FE0" w:rsidP="006F34CD" w:rsidRDefault="00515FE0" w14:paraId="6C348420" w14:textId="69EF332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Orenburg"</w:t>
            </w:r>
          </w:p>
        </w:tc>
        <w:tc>
          <w:tcPr>
            <w:tcW w:w="836" w:type="dxa"/>
          </w:tcPr>
          <w:p w:rsidRPr="006F34CD" w:rsidR="00515FE0" w:rsidP="006F34CD" w:rsidRDefault="00515FE0" w14:paraId="35BDBF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4B5DFA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Orenburg</w:t>
            </w:r>
          </w:p>
        </w:tc>
        <w:tc>
          <w:tcPr>
            <w:tcW w:w="1134" w:type="dxa"/>
          </w:tcPr>
          <w:p w:rsidRPr="006F34CD" w:rsidR="00515FE0" w:rsidP="006F34CD" w:rsidRDefault="00515FE0" w14:paraId="6F6B3F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5F830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B31CC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35143D9" w14:textId="77777777">
        <w:trPr>
          <w:cantSplit/>
        </w:trPr>
        <w:tc>
          <w:tcPr>
            <w:tcW w:w="2249" w:type="dxa"/>
          </w:tcPr>
          <w:p w:rsidRPr="006F34CD" w:rsidR="00515FE0" w:rsidP="006F34CD" w:rsidRDefault="00515FE0" w14:paraId="0E61BDE6" w14:textId="178C543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Orsk</w:t>
            </w:r>
          </w:p>
        </w:tc>
        <w:tc>
          <w:tcPr>
            <w:tcW w:w="836" w:type="dxa"/>
          </w:tcPr>
          <w:p w:rsidRPr="006F34CD" w:rsidR="00515FE0" w:rsidP="006F34CD" w:rsidRDefault="00515FE0" w14:paraId="56BEE6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48AE9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Orsk</w:t>
            </w:r>
          </w:p>
        </w:tc>
        <w:tc>
          <w:tcPr>
            <w:tcW w:w="1134" w:type="dxa"/>
          </w:tcPr>
          <w:p w:rsidRPr="006F34CD" w:rsidR="00515FE0" w:rsidP="006F34CD" w:rsidRDefault="00515FE0" w14:paraId="102E34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7B0D0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53B69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63ABF17" w14:textId="77777777">
        <w:trPr>
          <w:cantSplit/>
        </w:trPr>
        <w:tc>
          <w:tcPr>
            <w:tcW w:w="2249" w:type="dxa"/>
          </w:tcPr>
          <w:p w:rsidRPr="006F34CD" w:rsidR="00515FE0" w:rsidP="006F34CD" w:rsidRDefault="00515FE0" w14:paraId="1FA4B24D" w14:textId="3E05923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Osinniki</w:t>
            </w:r>
          </w:p>
        </w:tc>
        <w:tc>
          <w:tcPr>
            <w:tcW w:w="836" w:type="dxa"/>
          </w:tcPr>
          <w:p w:rsidRPr="006F34CD" w:rsidR="00515FE0" w:rsidP="006F34CD" w:rsidRDefault="00515FE0" w14:paraId="0C58FE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4D3A8F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Osinniki</w:t>
            </w:r>
          </w:p>
        </w:tc>
        <w:tc>
          <w:tcPr>
            <w:tcW w:w="1134" w:type="dxa"/>
          </w:tcPr>
          <w:p w:rsidRPr="006F34CD" w:rsidR="00515FE0" w:rsidP="006F34CD" w:rsidRDefault="00515FE0" w14:paraId="5AAD0ED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65,299</w:t>
            </w:r>
          </w:p>
        </w:tc>
        <w:tc>
          <w:tcPr>
            <w:tcW w:w="992" w:type="dxa"/>
          </w:tcPr>
          <w:p w:rsidRPr="006F34CD" w:rsidR="00515FE0" w:rsidP="006F34CD" w:rsidRDefault="00515FE0" w14:paraId="3C1EF88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B30B27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76F01F8" w14:textId="77777777">
        <w:trPr>
          <w:cantSplit/>
        </w:trPr>
        <w:tc>
          <w:tcPr>
            <w:tcW w:w="2249" w:type="dxa"/>
          </w:tcPr>
          <w:p w:rsidRPr="006F34CD" w:rsidR="00515FE0" w:rsidP="006F34CD" w:rsidRDefault="00515FE0" w14:paraId="76C1C2F9" w14:textId="7C4ACD8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Otradnaya</w:t>
            </w:r>
          </w:p>
        </w:tc>
        <w:tc>
          <w:tcPr>
            <w:tcW w:w="836" w:type="dxa"/>
          </w:tcPr>
          <w:p w:rsidRPr="006F34CD" w:rsidR="00515FE0" w:rsidP="006F34CD" w:rsidRDefault="00515FE0" w14:paraId="0261C0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B2A38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st.Otradnaya</w:t>
            </w:r>
          </w:p>
        </w:tc>
        <w:tc>
          <w:tcPr>
            <w:tcW w:w="1134" w:type="dxa"/>
          </w:tcPr>
          <w:p w:rsidRPr="006F34CD" w:rsidR="00515FE0" w:rsidP="006F34CD" w:rsidRDefault="00515FE0" w14:paraId="1DC32CD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56,234</w:t>
            </w:r>
          </w:p>
        </w:tc>
        <w:tc>
          <w:tcPr>
            <w:tcW w:w="992" w:type="dxa"/>
          </w:tcPr>
          <w:p w:rsidRPr="006F34CD" w:rsidR="00515FE0" w:rsidP="006F34CD" w:rsidRDefault="00515FE0" w14:paraId="639C78C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4D2D6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8D7D1C7" w14:textId="77777777">
        <w:trPr>
          <w:cantSplit/>
        </w:trPr>
        <w:tc>
          <w:tcPr>
            <w:tcW w:w="2249" w:type="dxa"/>
          </w:tcPr>
          <w:p w:rsidRPr="006F34CD" w:rsidR="00515FE0" w:rsidP="006F34CD" w:rsidRDefault="00515FE0" w14:paraId="68AB5278" w14:textId="4B910CE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Ozersk</w:t>
            </w:r>
          </w:p>
        </w:tc>
        <w:tc>
          <w:tcPr>
            <w:tcW w:w="836" w:type="dxa"/>
          </w:tcPr>
          <w:p w:rsidRPr="006F34CD" w:rsidR="00515FE0" w:rsidP="006F34CD" w:rsidRDefault="00515FE0" w14:paraId="0F87BB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2007</w:t>
            </w:r>
          </w:p>
        </w:tc>
        <w:tc>
          <w:tcPr>
            <w:tcW w:w="1305" w:type="dxa"/>
          </w:tcPr>
          <w:p w:rsidRPr="006F34CD" w:rsidR="00515FE0" w:rsidP="006F34CD" w:rsidRDefault="00515FE0" w14:paraId="652F46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Ozersk</w:t>
            </w:r>
          </w:p>
        </w:tc>
        <w:tc>
          <w:tcPr>
            <w:tcW w:w="1134" w:type="dxa"/>
          </w:tcPr>
          <w:p w:rsidRPr="006F34CD" w:rsidR="00515FE0" w:rsidP="006F34CD" w:rsidRDefault="00515FE0" w14:paraId="61B5612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65C3C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B8DC5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9F31F6F" w14:textId="77777777">
        <w:trPr>
          <w:cantSplit/>
        </w:trPr>
        <w:tc>
          <w:tcPr>
            <w:tcW w:w="2249" w:type="dxa"/>
          </w:tcPr>
          <w:p w:rsidRPr="006F34CD" w:rsidR="00515FE0" w:rsidP="006F34CD" w:rsidRDefault="00515FE0" w14:paraId="7A9783D9" w14:textId="0D3CE51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Ozerskiy District</w:t>
            </w:r>
          </w:p>
        </w:tc>
        <w:tc>
          <w:tcPr>
            <w:tcW w:w="836" w:type="dxa"/>
          </w:tcPr>
          <w:p w:rsidRPr="006F34CD" w:rsidR="00515FE0" w:rsidP="006F34CD" w:rsidRDefault="00515FE0" w14:paraId="21AA23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172A69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Ozery</w:t>
            </w:r>
          </w:p>
        </w:tc>
        <w:tc>
          <w:tcPr>
            <w:tcW w:w="1134" w:type="dxa"/>
          </w:tcPr>
          <w:p w:rsidRPr="006F34CD" w:rsidR="00515FE0" w:rsidP="006F34CD" w:rsidRDefault="00515FE0" w14:paraId="51288F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12E8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C6C18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B99CA94" w14:textId="77777777">
        <w:trPr>
          <w:cantSplit/>
        </w:trPr>
        <w:tc>
          <w:tcPr>
            <w:tcW w:w="2249" w:type="dxa"/>
          </w:tcPr>
          <w:p w:rsidRPr="006F34CD" w:rsidR="00515FE0" w:rsidP="006F34CD" w:rsidRDefault="00515FE0" w14:paraId="7F09EAD8" w14:textId="096EE64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Pavlovskaya</w:t>
            </w:r>
          </w:p>
        </w:tc>
        <w:tc>
          <w:tcPr>
            <w:tcW w:w="836" w:type="dxa"/>
          </w:tcPr>
          <w:p w:rsidRPr="006F34CD" w:rsidR="00515FE0" w:rsidP="006F34CD" w:rsidRDefault="00515FE0" w14:paraId="3A8354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B548C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Pavlovskaya</w:t>
            </w:r>
          </w:p>
        </w:tc>
        <w:tc>
          <w:tcPr>
            <w:tcW w:w="1134" w:type="dxa"/>
          </w:tcPr>
          <w:p w:rsidRPr="006F34CD" w:rsidR="00515FE0" w:rsidP="006F34CD" w:rsidRDefault="00515FE0" w14:paraId="55AF214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9CC8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BC124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B037B40" w14:textId="77777777">
        <w:trPr>
          <w:cantSplit/>
        </w:trPr>
        <w:tc>
          <w:tcPr>
            <w:tcW w:w="2249" w:type="dxa"/>
          </w:tcPr>
          <w:p w:rsidRPr="006F34CD" w:rsidR="00515FE0" w:rsidP="006F34CD" w:rsidRDefault="00515FE0" w14:paraId="45FD633C" w14:textId="7588F3F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"Pechora"</w:t>
            </w:r>
          </w:p>
        </w:tc>
        <w:tc>
          <w:tcPr>
            <w:tcW w:w="836" w:type="dxa"/>
          </w:tcPr>
          <w:p w:rsidRPr="006F34CD" w:rsidR="00515FE0" w:rsidP="006F34CD" w:rsidRDefault="00515FE0" w14:paraId="24D4DB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1507BD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Pechora</w:t>
            </w:r>
          </w:p>
        </w:tc>
        <w:tc>
          <w:tcPr>
            <w:tcW w:w="1134" w:type="dxa"/>
          </w:tcPr>
          <w:p w:rsidRPr="006F34CD" w:rsidR="00515FE0" w:rsidP="006F34CD" w:rsidRDefault="00515FE0" w14:paraId="650BC2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F2D60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AEA567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F6F39F7" w14:textId="77777777">
        <w:trPr>
          <w:cantSplit/>
        </w:trPr>
        <w:tc>
          <w:tcPr>
            <w:tcW w:w="2249" w:type="dxa"/>
          </w:tcPr>
          <w:p w:rsidRPr="006F34CD" w:rsidR="00515FE0" w:rsidP="006F34CD" w:rsidRDefault="00515FE0" w14:paraId="7F9C41A7" w14:textId="3971175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Penza"</w:t>
            </w:r>
          </w:p>
        </w:tc>
        <w:tc>
          <w:tcPr>
            <w:tcW w:w="836" w:type="dxa"/>
          </w:tcPr>
          <w:p w:rsidRPr="006F34CD" w:rsidR="00515FE0" w:rsidP="006F34CD" w:rsidRDefault="00515FE0" w14:paraId="288FAA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2A7FE8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Penza</w:t>
            </w:r>
          </w:p>
        </w:tc>
        <w:tc>
          <w:tcPr>
            <w:tcW w:w="1134" w:type="dxa"/>
          </w:tcPr>
          <w:p w:rsidRPr="006F34CD" w:rsidR="00515FE0" w:rsidP="006F34CD" w:rsidRDefault="00515FE0" w14:paraId="081678A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1F61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BFACBF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DD42493" w14:textId="77777777">
        <w:trPr>
          <w:cantSplit/>
        </w:trPr>
        <w:tc>
          <w:tcPr>
            <w:tcW w:w="2249" w:type="dxa"/>
          </w:tcPr>
          <w:p w:rsidRPr="006F34CD" w:rsidR="00515FE0" w:rsidP="006F34CD" w:rsidRDefault="00515FE0" w14:paraId="590F88E7" w14:textId="21E590C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Pereyaslavka</w:t>
            </w:r>
          </w:p>
        </w:tc>
        <w:tc>
          <w:tcPr>
            <w:tcW w:w="836" w:type="dxa"/>
          </w:tcPr>
          <w:p w:rsidRPr="006F34CD" w:rsidR="00515FE0" w:rsidP="006F34CD" w:rsidRDefault="00515FE0" w14:paraId="4403ED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65B70F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 pos. Pereyaslavka</w:t>
            </w:r>
          </w:p>
        </w:tc>
        <w:tc>
          <w:tcPr>
            <w:tcW w:w="1134" w:type="dxa"/>
          </w:tcPr>
          <w:p w:rsidRPr="006F34CD" w:rsidR="00515FE0" w:rsidP="006F34CD" w:rsidRDefault="00515FE0" w14:paraId="3ADEBE4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51,062</w:t>
            </w:r>
          </w:p>
        </w:tc>
        <w:tc>
          <w:tcPr>
            <w:tcW w:w="992" w:type="dxa"/>
          </w:tcPr>
          <w:p w:rsidRPr="006F34CD" w:rsidR="00515FE0" w:rsidP="006F34CD" w:rsidRDefault="00515FE0" w14:paraId="0E372F4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61E273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7609342" w14:textId="77777777">
        <w:trPr>
          <w:cantSplit/>
        </w:trPr>
        <w:tc>
          <w:tcPr>
            <w:tcW w:w="2249" w:type="dxa"/>
          </w:tcPr>
          <w:p w:rsidRPr="006F34CD" w:rsidR="00515FE0" w:rsidP="006F34CD" w:rsidRDefault="00515FE0" w14:paraId="4E8C1E4D" w14:textId="4E81BF6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Perm</w:t>
            </w:r>
          </w:p>
        </w:tc>
        <w:tc>
          <w:tcPr>
            <w:tcW w:w="836" w:type="dxa"/>
          </w:tcPr>
          <w:p w:rsidRPr="006F34CD" w:rsidR="00515FE0" w:rsidP="006F34CD" w:rsidRDefault="00515FE0" w14:paraId="707356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3C66C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Perm</w:t>
            </w:r>
          </w:p>
        </w:tc>
        <w:tc>
          <w:tcPr>
            <w:tcW w:w="1134" w:type="dxa"/>
          </w:tcPr>
          <w:p w:rsidRPr="006F34CD" w:rsidR="00515FE0" w:rsidP="006F34CD" w:rsidRDefault="00515FE0" w14:paraId="3E3D8E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33,307</w:t>
            </w:r>
          </w:p>
        </w:tc>
        <w:tc>
          <w:tcPr>
            <w:tcW w:w="992" w:type="dxa"/>
          </w:tcPr>
          <w:p w:rsidRPr="006F34CD" w:rsidR="00515FE0" w:rsidP="006F34CD" w:rsidRDefault="00515FE0" w14:paraId="5AA28E7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9406B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4113D1A" w14:textId="77777777">
        <w:trPr>
          <w:cantSplit/>
        </w:trPr>
        <w:tc>
          <w:tcPr>
            <w:tcW w:w="2249" w:type="dxa"/>
          </w:tcPr>
          <w:p w:rsidRPr="006F34CD" w:rsidR="00515FE0" w:rsidP="006F34CD" w:rsidRDefault="00515FE0" w14:paraId="3EFE063F" w14:textId="35ED42E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Pervomayskoye</w:t>
            </w:r>
          </w:p>
        </w:tc>
        <w:tc>
          <w:tcPr>
            <w:tcW w:w="836" w:type="dxa"/>
          </w:tcPr>
          <w:p w:rsidRPr="006F34CD" w:rsidR="00515FE0" w:rsidP="006F34CD" w:rsidRDefault="00515FE0" w14:paraId="32426C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3943FE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Pervomayskoye</w:t>
            </w:r>
          </w:p>
        </w:tc>
        <w:tc>
          <w:tcPr>
            <w:tcW w:w="1134" w:type="dxa"/>
          </w:tcPr>
          <w:p w:rsidRPr="006F34CD" w:rsidR="00515FE0" w:rsidP="006F34CD" w:rsidRDefault="00515FE0" w14:paraId="008A68F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94,600</w:t>
            </w:r>
          </w:p>
        </w:tc>
        <w:tc>
          <w:tcPr>
            <w:tcW w:w="992" w:type="dxa"/>
          </w:tcPr>
          <w:p w:rsidRPr="006F34CD" w:rsidR="00515FE0" w:rsidP="006F34CD" w:rsidRDefault="00515FE0" w14:paraId="58E935C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5C0E4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EA380E2" w14:textId="77777777">
        <w:trPr>
          <w:cantSplit/>
        </w:trPr>
        <w:tc>
          <w:tcPr>
            <w:tcW w:w="2249" w:type="dxa"/>
          </w:tcPr>
          <w:p w:rsidRPr="006F34CD" w:rsidR="00515FE0" w:rsidP="006F34CD" w:rsidRDefault="00515FE0" w14:paraId="3461E523" w14:textId="258AA7F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Pervouralsk</w:t>
            </w:r>
          </w:p>
        </w:tc>
        <w:tc>
          <w:tcPr>
            <w:tcW w:w="836" w:type="dxa"/>
          </w:tcPr>
          <w:p w:rsidRPr="006F34CD" w:rsidR="00515FE0" w:rsidP="006F34CD" w:rsidRDefault="00515FE0" w14:paraId="2AA04F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631B73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Pervouralsk</w:t>
            </w:r>
          </w:p>
        </w:tc>
        <w:tc>
          <w:tcPr>
            <w:tcW w:w="1134" w:type="dxa"/>
          </w:tcPr>
          <w:p w:rsidRPr="006F34CD" w:rsidR="00515FE0" w:rsidP="006F34CD" w:rsidRDefault="00515FE0" w14:paraId="2F35A4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F4FB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C6CA28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849D889" w14:textId="77777777">
        <w:trPr>
          <w:cantSplit/>
        </w:trPr>
        <w:tc>
          <w:tcPr>
            <w:tcW w:w="2249" w:type="dxa"/>
          </w:tcPr>
          <w:p w:rsidRPr="006F34CD" w:rsidR="00515FE0" w:rsidP="006F34CD" w:rsidRDefault="00515FE0" w14:paraId="6194639F" w14:textId="26ED18C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"Petropavlovsk-Kamchatskiy"</w:t>
            </w:r>
          </w:p>
        </w:tc>
        <w:tc>
          <w:tcPr>
            <w:tcW w:w="836" w:type="dxa"/>
          </w:tcPr>
          <w:p w:rsidRPr="006F34CD" w:rsidR="00515FE0" w:rsidP="006F34CD" w:rsidRDefault="00515FE0" w14:paraId="14BEBE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4B14C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Petropavlovsk-Kamchatskiy</w:t>
            </w:r>
          </w:p>
        </w:tc>
        <w:tc>
          <w:tcPr>
            <w:tcW w:w="1134" w:type="dxa"/>
          </w:tcPr>
          <w:p w:rsidRPr="006F34CD" w:rsidR="00515FE0" w:rsidP="006F34CD" w:rsidRDefault="00515FE0" w14:paraId="50C1154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5B0A0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19DA82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4BB8168" w14:textId="77777777">
        <w:trPr>
          <w:cantSplit/>
        </w:trPr>
        <w:tc>
          <w:tcPr>
            <w:tcW w:w="2249" w:type="dxa"/>
          </w:tcPr>
          <w:p w:rsidRPr="006F34CD" w:rsidR="00515FE0" w:rsidP="006F34CD" w:rsidRDefault="00515FE0" w14:paraId="1404C1DC" w14:textId="4A4656B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"Petrozavodsk"</w:t>
            </w:r>
          </w:p>
        </w:tc>
        <w:tc>
          <w:tcPr>
            <w:tcW w:w="836" w:type="dxa"/>
          </w:tcPr>
          <w:p w:rsidRPr="006F34CD" w:rsidR="00515FE0" w:rsidP="006F34CD" w:rsidRDefault="00515FE0" w14:paraId="158DD0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C7E75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Petrozavodsk</w:t>
            </w:r>
          </w:p>
        </w:tc>
        <w:tc>
          <w:tcPr>
            <w:tcW w:w="1134" w:type="dxa"/>
          </w:tcPr>
          <w:p w:rsidRPr="006F34CD" w:rsidR="00515FE0" w:rsidP="006F34CD" w:rsidRDefault="00515FE0" w14:paraId="1A5C0B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230,242</w:t>
            </w:r>
          </w:p>
        </w:tc>
        <w:tc>
          <w:tcPr>
            <w:tcW w:w="992" w:type="dxa"/>
          </w:tcPr>
          <w:p w:rsidRPr="006F34CD" w:rsidR="00515FE0" w:rsidP="006F34CD" w:rsidRDefault="00515FE0" w14:paraId="582D0B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31200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E205D2D" w14:textId="77777777">
        <w:trPr>
          <w:cantSplit/>
        </w:trPr>
        <w:tc>
          <w:tcPr>
            <w:tcW w:w="2249" w:type="dxa"/>
          </w:tcPr>
          <w:p w:rsidRPr="006F34CD" w:rsidR="00515FE0" w:rsidP="006F34CD" w:rsidRDefault="00515FE0" w14:paraId="58605AC8" w14:textId="023CD52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Podolsk</w:t>
            </w:r>
          </w:p>
        </w:tc>
        <w:tc>
          <w:tcPr>
            <w:tcW w:w="836" w:type="dxa"/>
          </w:tcPr>
          <w:p w:rsidRPr="006F34CD" w:rsidR="00515FE0" w:rsidP="006F34CD" w:rsidRDefault="00515FE0" w14:paraId="038788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19F46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Podolsk</w:t>
            </w:r>
          </w:p>
        </w:tc>
        <w:tc>
          <w:tcPr>
            <w:tcW w:w="1134" w:type="dxa"/>
          </w:tcPr>
          <w:p w:rsidRPr="006F34CD" w:rsidR="00515FE0" w:rsidP="006F34CD" w:rsidRDefault="00515FE0" w14:paraId="564F290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5E5D64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D5918F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89B8157" w14:textId="77777777">
        <w:trPr>
          <w:cantSplit/>
        </w:trPr>
        <w:tc>
          <w:tcPr>
            <w:tcW w:w="2249" w:type="dxa"/>
          </w:tcPr>
          <w:p w:rsidRPr="006F34CD" w:rsidR="00515FE0" w:rsidP="006F34CD" w:rsidRDefault="00515FE0" w14:paraId="6AA37B2F" w14:textId="620256A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Polyarniy</w:t>
            </w:r>
          </w:p>
        </w:tc>
        <w:tc>
          <w:tcPr>
            <w:tcW w:w="836" w:type="dxa"/>
          </w:tcPr>
          <w:p w:rsidRPr="006F34CD" w:rsidR="00515FE0" w:rsidP="006F34CD" w:rsidRDefault="00515FE0" w14:paraId="1CB9B3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1B2393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Polyarniy</w:t>
            </w:r>
          </w:p>
        </w:tc>
        <w:tc>
          <w:tcPr>
            <w:tcW w:w="1134" w:type="dxa"/>
          </w:tcPr>
          <w:p w:rsidRPr="006F34CD" w:rsidR="00515FE0" w:rsidP="006F34CD" w:rsidRDefault="00515FE0" w14:paraId="3ED92BA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6D84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07A8D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7F2F8A0" w14:textId="77777777">
        <w:trPr>
          <w:cantSplit/>
        </w:trPr>
        <w:tc>
          <w:tcPr>
            <w:tcW w:w="2249" w:type="dxa"/>
          </w:tcPr>
          <w:p w:rsidRPr="006F34CD" w:rsidR="00515FE0" w:rsidP="006F34CD" w:rsidRDefault="00515FE0" w14:paraId="00BDDAF9" w14:textId="015ED91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Primorsko-Akhtarsk</w:t>
            </w:r>
          </w:p>
        </w:tc>
        <w:tc>
          <w:tcPr>
            <w:tcW w:w="836" w:type="dxa"/>
          </w:tcPr>
          <w:p w:rsidRPr="006F34CD" w:rsidR="00515FE0" w:rsidP="006F34CD" w:rsidRDefault="00515FE0" w14:paraId="0E8644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00EC9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Primorsko-Akhtarsk</w:t>
            </w:r>
          </w:p>
        </w:tc>
        <w:tc>
          <w:tcPr>
            <w:tcW w:w="1134" w:type="dxa"/>
          </w:tcPr>
          <w:p w:rsidRPr="006F34CD" w:rsidR="00515FE0" w:rsidP="006F34CD" w:rsidRDefault="00515FE0" w14:paraId="625A1E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55,881</w:t>
            </w:r>
          </w:p>
        </w:tc>
        <w:tc>
          <w:tcPr>
            <w:tcW w:w="992" w:type="dxa"/>
          </w:tcPr>
          <w:p w:rsidRPr="006F34CD" w:rsidR="00515FE0" w:rsidP="006F34CD" w:rsidRDefault="00515FE0" w14:paraId="3643E60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5DBAF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850EC34" w14:textId="77777777">
        <w:trPr>
          <w:cantSplit/>
        </w:trPr>
        <w:tc>
          <w:tcPr>
            <w:tcW w:w="2249" w:type="dxa"/>
          </w:tcPr>
          <w:p w:rsidRPr="006F34CD" w:rsidR="00515FE0" w:rsidP="006F34CD" w:rsidRDefault="00515FE0" w14:paraId="7F38E6B7" w14:textId="7EF7F99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Christian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"Primorskoye"</w:t>
            </w:r>
          </w:p>
        </w:tc>
        <w:tc>
          <w:tcPr>
            <w:tcW w:w="836" w:type="dxa"/>
          </w:tcPr>
          <w:p w:rsidRPr="006F34CD" w:rsidR="00515FE0" w:rsidP="006F34CD" w:rsidRDefault="00515FE0" w14:paraId="44F7FD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78C338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Sevastopol</w:t>
            </w:r>
          </w:p>
        </w:tc>
        <w:tc>
          <w:tcPr>
            <w:tcW w:w="1134" w:type="dxa"/>
          </w:tcPr>
          <w:p w:rsidRPr="006F34CD" w:rsidR="00515FE0" w:rsidP="006F34CD" w:rsidRDefault="00515FE0" w14:paraId="7459E1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329,284</w:t>
            </w:r>
          </w:p>
        </w:tc>
        <w:tc>
          <w:tcPr>
            <w:tcW w:w="992" w:type="dxa"/>
          </w:tcPr>
          <w:p w:rsidRPr="006F34CD" w:rsidR="00515FE0" w:rsidP="006F34CD" w:rsidRDefault="00515FE0" w14:paraId="372270A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F49410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D6CDEA9" w14:textId="77777777">
        <w:trPr>
          <w:cantSplit/>
        </w:trPr>
        <w:tc>
          <w:tcPr>
            <w:tcW w:w="2249" w:type="dxa"/>
          </w:tcPr>
          <w:p w:rsidRPr="006F34CD" w:rsidR="00515FE0" w:rsidP="006F34CD" w:rsidRDefault="00515FE0" w14:paraId="53828358" w14:textId="532C061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Town of Priyutovo of the Belebeyevskiy District of the Republic of Bashkortostan</w:t>
            </w:r>
          </w:p>
        </w:tc>
        <w:tc>
          <w:tcPr>
            <w:tcW w:w="836" w:type="dxa"/>
          </w:tcPr>
          <w:p w:rsidRPr="006F34CD" w:rsidR="00515FE0" w:rsidP="006F34CD" w:rsidRDefault="00515FE0" w14:paraId="50F5BB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2005</w:t>
            </w:r>
          </w:p>
        </w:tc>
        <w:tc>
          <w:tcPr>
            <w:tcW w:w="1305" w:type="dxa"/>
          </w:tcPr>
          <w:p w:rsidRPr="006F34CD" w:rsidR="00515FE0" w:rsidP="006F34CD" w:rsidRDefault="00515FE0" w14:paraId="7E3788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r.pos. Priyutovo</w:t>
            </w:r>
          </w:p>
        </w:tc>
        <w:tc>
          <w:tcPr>
            <w:tcW w:w="1134" w:type="dxa"/>
          </w:tcPr>
          <w:p w:rsidRPr="006F34CD" w:rsidR="00515FE0" w:rsidP="006F34CD" w:rsidRDefault="00515FE0" w14:paraId="336B5ED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921811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5634C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CFC6DD6" w14:textId="77777777">
        <w:trPr>
          <w:cantSplit/>
        </w:trPr>
        <w:tc>
          <w:tcPr>
            <w:tcW w:w="2249" w:type="dxa"/>
          </w:tcPr>
          <w:p w:rsidRPr="006F34CD" w:rsidR="00515FE0" w:rsidP="006F34CD" w:rsidRDefault="00515FE0" w14:paraId="34A6F494" w14:textId="7C25048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Prokhladniy</w:t>
            </w:r>
          </w:p>
        </w:tc>
        <w:tc>
          <w:tcPr>
            <w:tcW w:w="836" w:type="dxa"/>
          </w:tcPr>
          <w:p w:rsidRPr="006F34CD" w:rsidR="00515FE0" w:rsidP="006F34CD" w:rsidRDefault="00515FE0" w14:paraId="04019C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4CEDC4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Prokhladniy</w:t>
            </w:r>
          </w:p>
        </w:tc>
        <w:tc>
          <w:tcPr>
            <w:tcW w:w="1134" w:type="dxa"/>
          </w:tcPr>
          <w:p w:rsidRPr="006F34CD" w:rsidR="00515FE0" w:rsidP="006F34CD" w:rsidRDefault="00515FE0" w14:paraId="5891A60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9A45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777E0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0D3BB4B" w14:textId="77777777">
        <w:trPr>
          <w:cantSplit/>
        </w:trPr>
        <w:tc>
          <w:tcPr>
            <w:tcW w:w="2249" w:type="dxa"/>
          </w:tcPr>
          <w:p w:rsidRPr="006F34CD" w:rsidR="00515FE0" w:rsidP="006F34CD" w:rsidRDefault="00515FE0" w14:paraId="5B0E9C1B" w14:textId="35B6DBF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"Prokopyevsk"</w:t>
            </w:r>
          </w:p>
        </w:tc>
        <w:tc>
          <w:tcPr>
            <w:tcW w:w="836" w:type="dxa"/>
          </w:tcPr>
          <w:p w:rsidRPr="006F34CD" w:rsidR="00515FE0" w:rsidP="006F34CD" w:rsidRDefault="00515FE0" w14:paraId="5A87B1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2A588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Prokopyevsk</w:t>
            </w:r>
          </w:p>
        </w:tc>
        <w:tc>
          <w:tcPr>
            <w:tcW w:w="1134" w:type="dxa"/>
          </w:tcPr>
          <w:p w:rsidRPr="006F34CD" w:rsidR="00515FE0" w:rsidP="006F34CD" w:rsidRDefault="00515FE0" w14:paraId="43739A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110,503</w:t>
            </w:r>
          </w:p>
        </w:tc>
        <w:tc>
          <w:tcPr>
            <w:tcW w:w="992" w:type="dxa"/>
          </w:tcPr>
          <w:p w:rsidRPr="006F34CD" w:rsidR="00515FE0" w:rsidP="006F34CD" w:rsidRDefault="00515FE0" w14:paraId="44EEA93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2DE2F9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18E2127" w14:textId="77777777">
        <w:trPr>
          <w:cantSplit/>
        </w:trPr>
        <w:tc>
          <w:tcPr>
            <w:tcW w:w="2249" w:type="dxa"/>
          </w:tcPr>
          <w:p w:rsidRPr="006F34CD" w:rsidR="00515FE0" w:rsidP="006F34CD" w:rsidRDefault="00515FE0" w14:paraId="05C5227D" w14:textId="4972FC5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Pskov</w:t>
            </w:r>
          </w:p>
        </w:tc>
        <w:tc>
          <w:tcPr>
            <w:tcW w:w="836" w:type="dxa"/>
          </w:tcPr>
          <w:p w:rsidRPr="006F34CD" w:rsidR="00515FE0" w:rsidP="006F34CD" w:rsidRDefault="00515FE0" w14:paraId="76C8BA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0DB316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Pskov</w:t>
            </w:r>
          </w:p>
        </w:tc>
        <w:tc>
          <w:tcPr>
            <w:tcW w:w="1134" w:type="dxa"/>
          </w:tcPr>
          <w:p w:rsidRPr="006F34CD" w:rsidR="00515FE0" w:rsidP="006F34CD" w:rsidRDefault="00515FE0" w14:paraId="2A711A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01E59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7624F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5B79119" w14:textId="77777777">
        <w:trPr>
          <w:cantSplit/>
        </w:trPr>
        <w:tc>
          <w:tcPr>
            <w:tcW w:w="2249" w:type="dxa"/>
          </w:tcPr>
          <w:p w:rsidRPr="006F34CD" w:rsidR="00515FE0" w:rsidP="006F34CD" w:rsidRDefault="00515FE0" w14:paraId="549AA81D" w14:textId="6A24947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Pushkinskiy District</w:t>
            </w:r>
          </w:p>
        </w:tc>
        <w:tc>
          <w:tcPr>
            <w:tcW w:w="836" w:type="dxa"/>
          </w:tcPr>
          <w:p w:rsidRPr="006F34CD" w:rsidR="00515FE0" w:rsidP="006F34CD" w:rsidRDefault="00515FE0" w14:paraId="4C303D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71AC61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Pushkino</w:t>
            </w:r>
          </w:p>
        </w:tc>
        <w:tc>
          <w:tcPr>
            <w:tcW w:w="1134" w:type="dxa"/>
          </w:tcPr>
          <w:p w:rsidRPr="006F34CD" w:rsidR="00515FE0" w:rsidP="006F34CD" w:rsidRDefault="00515FE0" w14:paraId="7D2563F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7997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9B166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B1E79C7" w14:textId="77777777">
        <w:trPr>
          <w:cantSplit/>
        </w:trPr>
        <w:tc>
          <w:tcPr>
            <w:tcW w:w="2249" w:type="dxa"/>
          </w:tcPr>
          <w:p w:rsidRPr="006F34CD" w:rsidR="00515FE0" w:rsidP="006F34CD" w:rsidRDefault="00515FE0" w14:paraId="4E466B89" w14:textId="6F891A4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Pyatigorsk</w:t>
            </w:r>
          </w:p>
        </w:tc>
        <w:tc>
          <w:tcPr>
            <w:tcW w:w="836" w:type="dxa"/>
          </w:tcPr>
          <w:p w:rsidRPr="006F34CD" w:rsidR="00515FE0" w:rsidP="006F34CD" w:rsidRDefault="00515FE0" w14:paraId="7E983F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1C854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Pyatigorsk</w:t>
            </w:r>
          </w:p>
        </w:tc>
        <w:tc>
          <w:tcPr>
            <w:tcW w:w="1134" w:type="dxa"/>
          </w:tcPr>
          <w:p w:rsidRPr="006F34CD" w:rsidR="00515FE0" w:rsidP="006F34CD" w:rsidRDefault="00515FE0" w14:paraId="6D563F1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0BE8B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8F99D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16C5B28" w14:textId="77777777">
        <w:trPr>
          <w:cantSplit/>
        </w:trPr>
        <w:tc>
          <w:tcPr>
            <w:tcW w:w="2249" w:type="dxa"/>
          </w:tcPr>
          <w:p w:rsidRPr="006F34CD" w:rsidR="00515FE0" w:rsidP="006F34CD" w:rsidRDefault="00515FE0" w14:paraId="4B328050" w14:textId="2A75D3E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Raduzhniy</w:t>
            </w:r>
          </w:p>
        </w:tc>
        <w:tc>
          <w:tcPr>
            <w:tcW w:w="836" w:type="dxa"/>
          </w:tcPr>
          <w:p w:rsidRPr="006F34CD" w:rsidR="00515FE0" w:rsidP="006F34CD" w:rsidRDefault="00515FE0" w14:paraId="6B715F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76FFE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Raduzhniy</w:t>
            </w:r>
          </w:p>
        </w:tc>
        <w:tc>
          <w:tcPr>
            <w:tcW w:w="1134" w:type="dxa"/>
          </w:tcPr>
          <w:p w:rsidRPr="006F34CD" w:rsidR="00515FE0" w:rsidP="006F34CD" w:rsidRDefault="00515FE0" w14:paraId="1E81B8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190EDC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FFEEA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C30DE53" w14:textId="77777777">
        <w:trPr>
          <w:cantSplit/>
        </w:trPr>
        <w:tc>
          <w:tcPr>
            <w:tcW w:w="2249" w:type="dxa"/>
          </w:tcPr>
          <w:p w:rsidRPr="006F34CD" w:rsidR="00515FE0" w:rsidP="006F34CD" w:rsidRDefault="00515FE0" w14:paraId="44F1EE30" w14:textId="3F74253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Razdolnoye</w:t>
            </w:r>
          </w:p>
        </w:tc>
        <w:tc>
          <w:tcPr>
            <w:tcW w:w="836" w:type="dxa"/>
          </w:tcPr>
          <w:p w:rsidRPr="006F34CD" w:rsidR="00515FE0" w:rsidP="006F34CD" w:rsidRDefault="00515FE0" w14:paraId="104B8D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3D7CFD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Razdolnoye</w:t>
            </w:r>
          </w:p>
        </w:tc>
        <w:tc>
          <w:tcPr>
            <w:tcW w:w="1134" w:type="dxa"/>
          </w:tcPr>
          <w:p w:rsidRPr="006F34CD" w:rsidR="00515FE0" w:rsidP="006F34CD" w:rsidRDefault="00515FE0" w14:paraId="7F167AE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C75FAD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524B4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8867FB4" w14:textId="77777777">
        <w:trPr>
          <w:cantSplit/>
        </w:trPr>
        <w:tc>
          <w:tcPr>
            <w:tcW w:w="2249" w:type="dxa"/>
          </w:tcPr>
          <w:p w:rsidRPr="006F34CD" w:rsidR="00515FE0" w:rsidP="006F34CD" w:rsidRDefault="00515FE0" w14:paraId="19CDC523" w14:textId="20C9D6A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Rostov</w:t>
            </w:r>
          </w:p>
        </w:tc>
        <w:tc>
          <w:tcPr>
            <w:tcW w:w="836" w:type="dxa"/>
          </w:tcPr>
          <w:p w:rsidRPr="006F34CD" w:rsidR="00515FE0" w:rsidP="006F34CD" w:rsidRDefault="00515FE0" w14:paraId="06107E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1E1E7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Rostov</w:t>
            </w:r>
          </w:p>
        </w:tc>
        <w:tc>
          <w:tcPr>
            <w:tcW w:w="1134" w:type="dxa"/>
          </w:tcPr>
          <w:p w:rsidRPr="006F34CD" w:rsidR="00515FE0" w:rsidP="006F34CD" w:rsidRDefault="00515FE0" w14:paraId="1288279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63380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5682CA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0F56BF5" w14:textId="77777777">
        <w:trPr>
          <w:cantSplit/>
        </w:trPr>
        <w:tc>
          <w:tcPr>
            <w:tcW w:w="2249" w:type="dxa"/>
          </w:tcPr>
          <w:p w:rsidRPr="006F34CD" w:rsidR="00515FE0" w:rsidP="006F34CD" w:rsidRDefault="00515FE0" w14:paraId="7ADDDF39" w14:textId="72D5E87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of the City of Rostov-on-Don"</w:t>
            </w:r>
          </w:p>
        </w:tc>
        <w:tc>
          <w:tcPr>
            <w:tcW w:w="836" w:type="dxa"/>
          </w:tcPr>
          <w:p w:rsidRPr="006F34CD" w:rsidR="00515FE0" w:rsidP="006F34CD" w:rsidRDefault="00515FE0" w14:paraId="2CC98E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B7873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Rostov-on-Don</w:t>
            </w:r>
          </w:p>
        </w:tc>
        <w:tc>
          <w:tcPr>
            <w:tcW w:w="1134" w:type="dxa"/>
          </w:tcPr>
          <w:p w:rsidRPr="006F34CD" w:rsidR="00515FE0" w:rsidP="006F34CD" w:rsidRDefault="00515FE0" w14:paraId="6700D45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E035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57051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05DC6B8" w14:textId="77777777">
        <w:trPr>
          <w:cantSplit/>
        </w:trPr>
        <w:tc>
          <w:tcPr>
            <w:tcW w:w="2249" w:type="dxa"/>
          </w:tcPr>
          <w:p w:rsidRPr="006F34CD" w:rsidR="00515FE0" w:rsidP="006F34CD" w:rsidRDefault="00515FE0" w14:paraId="423B78C2" w14:textId="3BD5C74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"Rubtsovsk"</w:t>
            </w:r>
          </w:p>
        </w:tc>
        <w:tc>
          <w:tcPr>
            <w:tcW w:w="836" w:type="dxa"/>
          </w:tcPr>
          <w:p w:rsidRPr="006F34CD" w:rsidR="00515FE0" w:rsidP="006F34CD" w:rsidRDefault="00515FE0" w14:paraId="7E9493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24F50E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Rubtsovsk</w:t>
            </w:r>
          </w:p>
        </w:tc>
        <w:tc>
          <w:tcPr>
            <w:tcW w:w="1134" w:type="dxa"/>
          </w:tcPr>
          <w:p w:rsidRPr="006F34CD" w:rsidR="00515FE0" w:rsidP="006F34CD" w:rsidRDefault="00515FE0" w14:paraId="683872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9EA2F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8DE39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BDA065D" w14:textId="77777777">
        <w:trPr>
          <w:cantSplit/>
        </w:trPr>
        <w:tc>
          <w:tcPr>
            <w:tcW w:w="2249" w:type="dxa"/>
          </w:tcPr>
          <w:p w:rsidRPr="006F34CD" w:rsidR="00515FE0" w:rsidP="006F34CD" w:rsidRDefault="00515FE0" w14:paraId="089D63FA" w14:textId="2E46450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Rybinsk</w:t>
            </w:r>
          </w:p>
        </w:tc>
        <w:tc>
          <w:tcPr>
            <w:tcW w:w="836" w:type="dxa"/>
          </w:tcPr>
          <w:p w:rsidRPr="006F34CD" w:rsidR="00515FE0" w:rsidP="006F34CD" w:rsidRDefault="00515FE0" w14:paraId="19112D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3003D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Rybinsk</w:t>
            </w:r>
          </w:p>
        </w:tc>
        <w:tc>
          <w:tcPr>
            <w:tcW w:w="1134" w:type="dxa"/>
          </w:tcPr>
          <w:p w:rsidRPr="006F34CD" w:rsidR="00515FE0" w:rsidP="006F34CD" w:rsidRDefault="00515FE0" w14:paraId="7B4C922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87,000</w:t>
            </w:r>
          </w:p>
        </w:tc>
        <w:tc>
          <w:tcPr>
            <w:tcW w:w="992" w:type="dxa"/>
          </w:tcPr>
          <w:p w:rsidRPr="006F34CD" w:rsidR="00515FE0" w:rsidP="006F34CD" w:rsidRDefault="00515FE0" w14:paraId="439012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91BD5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FFC3AFD" w14:textId="77777777">
        <w:trPr>
          <w:cantSplit/>
        </w:trPr>
        <w:tc>
          <w:tcPr>
            <w:tcW w:w="2249" w:type="dxa"/>
          </w:tcPr>
          <w:p w:rsidRPr="006F34CD" w:rsidR="00515FE0" w:rsidP="006F34CD" w:rsidRDefault="00515FE0" w14:paraId="4632CB1E" w14:textId="1648493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Saki</w:t>
            </w:r>
          </w:p>
        </w:tc>
        <w:tc>
          <w:tcPr>
            <w:tcW w:w="836" w:type="dxa"/>
          </w:tcPr>
          <w:p w:rsidRPr="006F34CD" w:rsidR="00515FE0" w:rsidP="006F34CD" w:rsidRDefault="00515FE0" w14:paraId="25A713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15A866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Saki</w:t>
            </w:r>
          </w:p>
        </w:tc>
        <w:tc>
          <w:tcPr>
            <w:tcW w:w="1134" w:type="dxa"/>
          </w:tcPr>
          <w:p w:rsidRPr="006F34CD" w:rsidR="00515FE0" w:rsidP="006F34CD" w:rsidRDefault="00515FE0" w14:paraId="786EF94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197,530</w:t>
            </w:r>
          </w:p>
        </w:tc>
        <w:tc>
          <w:tcPr>
            <w:tcW w:w="992" w:type="dxa"/>
          </w:tcPr>
          <w:p w:rsidRPr="006F34CD" w:rsidR="00515FE0" w:rsidP="006F34CD" w:rsidRDefault="00515FE0" w14:paraId="545E1F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9DD75C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54798E0" w14:textId="77777777">
        <w:trPr>
          <w:cantSplit/>
        </w:trPr>
        <w:tc>
          <w:tcPr>
            <w:tcW w:w="2249" w:type="dxa"/>
          </w:tcPr>
          <w:p w:rsidRPr="006F34CD" w:rsidR="00515FE0" w:rsidP="006F34CD" w:rsidRDefault="00515FE0" w14:paraId="0A700B1A" w14:textId="66A998A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"Salavat"</w:t>
            </w:r>
          </w:p>
        </w:tc>
        <w:tc>
          <w:tcPr>
            <w:tcW w:w="836" w:type="dxa"/>
          </w:tcPr>
          <w:p w:rsidRPr="006F34CD" w:rsidR="00515FE0" w:rsidP="006F34CD" w:rsidRDefault="00515FE0" w14:paraId="07669C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68B82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Salavat</w:t>
            </w:r>
          </w:p>
        </w:tc>
        <w:tc>
          <w:tcPr>
            <w:tcW w:w="1134" w:type="dxa"/>
          </w:tcPr>
          <w:p w:rsidRPr="006F34CD" w:rsidR="00515FE0" w:rsidP="006F34CD" w:rsidRDefault="00515FE0" w14:paraId="311FE2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455F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368C4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ED281C7" w14:textId="77777777">
        <w:trPr>
          <w:cantSplit/>
        </w:trPr>
        <w:tc>
          <w:tcPr>
            <w:tcW w:w="2249" w:type="dxa"/>
          </w:tcPr>
          <w:p w:rsidRPr="006F34CD" w:rsidR="00515FE0" w:rsidP="006F34CD" w:rsidRDefault="00515FE0" w14:paraId="16C0A790" w14:textId="736BA75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Salsk</w:t>
            </w:r>
          </w:p>
        </w:tc>
        <w:tc>
          <w:tcPr>
            <w:tcW w:w="836" w:type="dxa"/>
          </w:tcPr>
          <w:p w:rsidRPr="006F34CD" w:rsidR="00515FE0" w:rsidP="006F34CD" w:rsidRDefault="00515FE0" w14:paraId="77E8FF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0914B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Salsk</w:t>
            </w:r>
          </w:p>
        </w:tc>
        <w:tc>
          <w:tcPr>
            <w:tcW w:w="1134" w:type="dxa"/>
          </w:tcPr>
          <w:p w:rsidRPr="006F34CD" w:rsidR="00515FE0" w:rsidP="006F34CD" w:rsidRDefault="00515FE0" w14:paraId="21128F8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52,892</w:t>
            </w:r>
          </w:p>
        </w:tc>
        <w:tc>
          <w:tcPr>
            <w:tcW w:w="992" w:type="dxa"/>
          </w:tcPr>
          <w:p w:rsidRPr="006F34CD" w:rsidR="00515FE0" w:rsidP="006F34CD" w:rsidRDefault="00515FE0" w14:paraId="60185A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16305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9056582" w14:textId="77777777">
        <w:trPr>
          <w:cantSplit/>
        </w:trPr>
        <w:tc>
          <w:tcPr>
            <w:tcW w:w="2249" w:type="dxa"/>
          </w:tcPr>
          <w:p w:rsidRPr="006F34CD" w:rsidR="00515FE0" w:rsidP="006F34CD" w:rsidRDefault="00515FE0" w14:paraId="1CC98ED4" w14:textId="58652EA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"Saransk"</w:t>
            </w:r>
          </w:p>
        </w:tc>
        <w:tc>
          <w:tcPr>
            <w:tcW w:w="836" w:type="dxa"/>
          </w:tcPr>
          <w:p w:rsidRPr="006F34CD" w:rsidR="00515FE0" w:rsidP="006F34CD" w:rsidRDefault="00515FE0" w14:paraId="7B7925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197A2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Saransk</w:t>
            </w:r>
          </w:p>
        </w:tc>
        <w:tc>
          <w:tcPr>
            <w:tcW w:w="1134" w:type="dxa"/>
          </w:tcPr>
          <w:p w:rsidRPr="006F34CD" w:rsidR="00515FE0" w:rsidP="006F34CD" w:rsidRDefault="00515FE0" w14:paraId="6133B2B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75BF1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D4D49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40EC4BA" w14:textId="77777777">
        <w:trPr>
          <w:cantSplit/>
        </w:trPr>
        <w:tc>
          <w:tcPr>
            <w:tcW w:w="2249" w:type="dxa"/>
          </w:tcPr>
          <w:p w:rsidRPr="006F34CD" w:rsidR="00515FE0" w:rsidP="006F34CD" w:rsidRDefault="00515FE0" w14:paraId="3F140072" w14:textId="1076560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Sarapul</w:t>
            </w:r>
          </w:p>
        </w:tc>
        <w:tc>
          <w:tcPr>
            <w:tcW w:w="836" w:type="dxa"/>
          </w:tcPr>
          <w:p w:rsidRPr="006F34CD" w:rsidR="00515FE0" w:rsidP="006F34CD" w:rsidRDefault="00515FE0" w14:paraId="7D61F5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3215D7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Sarapul</w:t>
            </w:r>
          </w:p>
        </w:tc>
        <w:tc>
          <w:tcPr>
            <w:tcW w:w="1134" w:type="dxa"/>
          </w:tcPr>
          <w:p w:rsidRPr="006F34CD" w:rsidR="00515FE0" w:rsidP="006F34CD" w:rsidRDefault="00515FE0" w14:paraId="0AF622E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FA4C0A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E7F48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CE88F89" w14:textId="77777777">
        <w:trPr>
          <w:cantSplit/>
        </w:trPr>
        <w:tc>
          <w:tcPr>
            <w:tcW w:w="2249" w:type="dxa"/>
          </w:tcPr>
          <w:p w:rsidRPr="006F34CD" w:rsidR="00515FE0" w:rsidP="006F34CD" w:rsidRDefault="00515FE0" w14:paraId="059DF14F" w14:textId="0CAF558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Saratov</w:t>
            </w:r>
          </w:p>
        </w:tc>
        <w:tc>
          <w:tcPr>
            <w:tcW w:w="836" w:type="dxa"/>
          </w:tcPr>
          <w:p w:rsidRPr="006F34CD" w:rsidR="00515FE0" w:rsidP="006F34CD" w:rsidRDefault="00515FE0" w14:paraId="173F20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6BBEFB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Saratov</w:t>
            </w:r>
          </w:p>
        </w:tc>
        <w:tc>
          <w:tcPr>
            <w:tcW w:w="1134" w:type="dxa"/>
          </w:tcPr>
          <w:p w:rsidRPr="006F34CD" w:rsidR="00515FE0" w:rsidP="006F34CD" w:rsidRDefault="00515FE0" w14:paraId="18C8313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141F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60D725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FE67C03" w14:textId="77777777">
        <w:trPr>
          <w:cantSplit/>
        </w:trPr>
        <w:tc>
          <w:tcPr>
            <w:tcW w:w="2249" w:type="dxa"/>
          </w:tcPr>
          <w:p w:rsidRPr="006F34CD" w:rsidR="00515FE0" w:rsidP="006F34CD" w:rsidRDefault="00515FE0" w14:paraId="50D72E05" w14:textId="2BB094A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Sayanogorsk</w:t>
            </w:r>
          </w:p>
        </w:tc>
        <w:tc>
          <w:tcPr>
            <w:tcW w:w="836" w:type="dxa"/>
          </w:tcPr>
          <w:p w:rsidRPr="006F34CD" w:rsidR="00515FE0" w:rsidP="006F34CD" w:rsidRDefault="00515FE0" w14:paraId="6A0D58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1D1A21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Sayanogorsk</w:t>
            </w:r>
          </w:p>
        </w:tc>
        <w:tc>
          <w:tcPr>
            <w:tcW w:w="1134" w:type="dxa"/>
          </w:tcPr>
          <w:p w:rsidRPr="006F34CD" w:rsidR="00515FE0" w:rsidP="006F34CD" w:rsidRDefault="00515FE0" w14:paraId="0E8A6A3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50,385</w:t>
            </w:r>
          </w:p>
        </w:tc>
        <w:tc>
          <w:tcPr>
            <w:tcW w:w="992" w:type="dxa"/>
          </w:tcPr>
          <w:p w:rsidRPr="006F34CD" w:rsidR="00515FE0" w:rsidP="006F34CD" w:rsidRDefault="00515FE0" w14:paraId="6F19E3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F2740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160299E" w14:textId="77777777">
        <w:trPr>
          <w:cantSplit/>
        </w:trPr>
        <w:tc>
          <w:tcPr>
            <w:tcW w:w="2249" w:type="dxa"/>
          </w:tcPr>
          <w:p w:rsidRPr="006F34CD" w:rsidR="00515FE0" w:rsidP="006F34CD" w:rsidRDefault="00515FE0" w14:paraId="383042AD" w14:textId="47401E9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"Sayansk"</w:t>
            </w:r>
          </w:p>
        </w:tc>
        <w:tc>
          <w:tcPr>
            <w:tcW w:w="836" w:type="dxa"/>
          </w:tcPr>
          <w:p w:rsidRPr="006F34CD" w:rsidR="00515FE0" w:rsidP="006F34CD" w:rsidRDefault="00515FE0" w14:paraId="2E7ABA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5533C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Sayansk</w:t>
            </w:r>
          </w:p>
        </w:tc>
        <w:tc>
          <w:tcPr>
            <w:tcW w:w="1134" w:type="dxa"/>
          </w:tcPr>
          <w:p w:rsidRPr="006F34CD" w:rsidR="00515FE0" w:rsidP="006F34CD" w:rsidRDefault="00515FE0" w14:paraId="5539DC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BACE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48D722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096A0CA" w14:textId="77777777">
        <w:trPr>
          <w:cantSplit/>
        </w:trPr>
        <w:tc>
          <w:tcPr>
            <w:tcW w:w="2249" w:type="dxa"/>
          </w:tcPr>
          <w:p w:rsidRPr="006F34CD" w:rsidR="00515FE0" w:rsidP="006F34CD" w:rsidRDefault="00515FE0" w14:paraId="61294CC4" w14:textId="3B66595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Sergiyevo-Posadskiy District</w:t>
            </w:r>
          </w:p>
        </w:tc>
        <w:tc>
          <w:tcPr>
            <w:tcW w:w="836" w:type="dxa"/>
          </w:tcPr>
          <w:p w:rsidRPr="006F34CD" w:rsidR="00515FE0" w:rsidP="006F34CD" w:rsidRDefault="00515FE0" w14:paraId="0872E8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3B40E3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Sergiyevo-Posad</w:t>
            </w:r>
          </w:p>
        </w:tc>
        <w:tc>
          <w:tcPr>
            <w:tcW w:w="1134" w:type="dxa"/>
          </w:tcPr>
          <w:p w:rsidRPr="006F34CD" w:rsidR="00515FE0" w:rsidP="006F34CD" w:rsidRDefault="00515FE0" w14:paraId="435737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0629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B7E1FC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6605A2F" w14:textId="77777777">
        <w:trPr>
          <w:cantSplit/>
        </w:trPr>
        <w:tc>
          <w:tcPr>
            <w:tcW w:w="2249" w:type="dxa"/>
          </w:tcPr>
          <w:p w:rsidRPr="006F34CD" w:rsidR="00515FE0" w:rsidP="006F34CD" w:rsidRDefault="00515FE0" w14:paraId="1DA32A8B" w14:textId="73EF8D5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"Serov"</w:t>
            </w:r>
          </w:p>
        </w:tc>
        <w:tc>
          <w:tcPr>
            <w:tcW w:w="836" w:type="dxa"/>
          </w:tcPr>
          <w:p w:rsidRPr="006F34CD" w:rsidR="00515FE0" w:rsidP="006F34CD" w:rsidRDefault="00515FE0" w14:paraId="17A3E3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054B1B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Serov</w:t>
            </w:r>
          </w:p>
        </w:tc>
        <w:tc>
          <w:tcPr>
            <w:tcW w:w="1134" w:type="dxa"/>
          </w:tcPr>
          <w:p w:rsidRPr="006F34CD" w:rsidR="00515FE0" w:rsidP="006F34CD" w:rsidRDefault="00515FE0" w14:paraId="2D7687C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42A96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36936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FE8681C" w14:textId="77777777">
        <w:trPr>
          <w:cantSplit/>
        </w:trPr>
        <w:tc>
          <w:tcPr>
            <w:tcW w:w="2249" w:type="dxa"/>
          </w:tcPr>
          <w:p w:rsidRPr="006F34CD" w:rsidR="00515FE0" w:rsidP="006F34CD" w:rsidRDefault="00515FE0" w14:paraId="7970854D" w14:textId="41293AF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Serpukhov and the Serpukhovskiy District</w:t>
            </w:r>
          </w:p>
        </w:tc>
        <w:tc>
          <w:tcPr>
            <w:tcW w:w="836" w:type="dxa"/>
          </w:tcPr>
          <w:p w:rsidRPr="006F34CD" w:rsidR="00515FE0" w:rsidP="006F34CD" w:rsidRDefault="00515FE0" w14:paraId="6CB6DF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E9898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Serpukhov</w:t>
            </w:r>
          </w:p>
        </w:tc>
        <w:tc>
          <w:tcPr>
            <w:tcW w:w="1134" w:type="dxa"/>
          </w:tcPr>
          <w:p w:rsidRPr="006F34CD" w:rsidR="00515FE0" w:rsidP="006F34CD" w:rsidRDefault="00515FE0" w14:paraId="7F1A3E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DB3F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22AD2D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B00B542" w14:textId="77777777">
        <w:trPr>
          <w:cantSplit/>
        </w:trPr>
        <w:tc>
          <w:tcPr>
            <w:tcW w:w="2249" w:type="dxa"/>
          </w:tcPr>
          <w:p w:rsidRPr="006F34CD" w:rsidR="00515FE0" w:rsidP="006F34CD" w:rsidRDefault="00515FE0" w14:paraId="41EEF5E1" w14:textId="2599AFA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Christian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Sevastopol</w:t>
            </w:r>
          </w:p>
        </w:tc>
        <w:tc>
          <w:tcPr>
            <w:tcW w:w="836" w:type="dxa"/>
          </w:tcPr>
          <w:p w:rsidRPr="006F34CD" w:rsidR="00515FE0" w:rsidP="006F34CD" w:rsidRDefault="00515FE0" w14:paraId="075B8E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5E7210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Sevastopol</w:t>
            </w:r>
          </w:p>
        </w:tc>
        <w:tc>
          <w:tcPr>
            <w:tcW w:w="1134" w:type="dxa"/>
          </w:tcPr>
          <w:p w:rsidRPr="006F34CD" w:rsidR="00515FE0" w:rsidP="006F34CD" w:rsidRDefault="00515FE0" w14:paraId="58F6BD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312,283</w:t>
            </w:r>
          </w:p>
        </w:tc>
        <w:tc>
          <w:tcPr>
            <w:tcW w:w="992" w:type="dxa"/>
          </w:tcPr>
          <w:p w:rsidRPr="006F34CD" w:rsidR="00515FE0" w:rsidP="006F34CD" w:rsidRDefault="00515FE0" w14:paraId="0CC52D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36168D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86BBE0D" w14:textId="77777777">
        <w:trPr>
          <w:cantSplit/>
        </w:trPr>
        <w:tc>
          <w:tcPr>
            <w:tcW w:w="2249" w:type="dxa"/>
          </w:tcPr>
          <w:p w:rsidRPr="006F34CD" w:rsidR="00515FE0" w:rsidP="006F34CD" w:rsidRDefault="00515FE0" w14:paraId="7536900C" w14:textId="7621C43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"Severnaya, Tomsk"</w:t>
            </w:r>
          </w:p>
        </w:tc>
        <w:tc>
          <w:tcPr>
            <w:tcW w:w="836" w:type="dxa"/>
          </w:tcPr>
          <w:p w:rsidRPr="006F34CD" w:rsidR="00515FE0" w:rsidP="006F34CD" w:rsidRDefault="00515FE0" w14:paraId="49410B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1991</w:t>
            </w:r>
          </w:p>
        </w:tc>
        <w:tc>
          <w:tcPr>
            <w:tcW w:w="1305" w:type="dxa"/>
          </w:tcPr>
          <w:p w:rsidRPr="006F34CD" w:rsidR="00515FE0" w:rsidP="006F34CD" w:rsidRDefault="00515FE0" w14:paraId="5F708E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Tomsk</w:t>
            </w:r>
          </w:p>
        </w:tc>
        <w:tc>
          <w:tcPr>
            <w:tcW w:w="1134" w:type="dxa"/>
          </w:tcPr>
          <w:p w:rsidRPr="006F34CD" w:rsidR="00515FE0" w:rsidP="006F34CD" w:rsidRDefault="00515FE0" w14:paraId="7C240C5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214,439</w:t>
            </w:r>
          </w:p>
        </w:tc>
        <w:tc>
          <w:tcPr>
            <w:tcW w:w="992" w:type="dxa"/>
          </w:tcPr>
          <w:p w:rsidRPr="006F34CD" w:rsidR="00515FE0" w:rsidP="006F34CD" w:rsidRDefault="00515FE0" w14:paraId="0DF96D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4DEF5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8D6F76A" w14:textId="77777777">
        <w:trPr>
          <w:cantSplit/>
        </w:trPr>
        <w:tc>
          <w:tcPr>
            <w:tcW w:w="2249" w:type="dxa"/>
          </w:tcPr>
          <w:p w:rsidRPr="006F34CD" w:rsidR="00515FE0" w:rsidP="006F34CD" w:rsidRDefault="00515FE0" w14:paraId="0866D9C2" w14:textId="5F9B40D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"Severnaya, Usolye-Sibirskoye"</w:t>
            </w:r>
          </w:p>
        </w:tc>
        <w:tc>
          <w:tcPr>
            <w:tcW w:w="836" w:type="dxa"/>
          </w:tcPr>
          <w:p w:rsidRPr="006F34CD" w:rsidR="00515FE0" w:rsidP="006F34CD" w:rsidRDefault="00515FE0" w14:paraId="6CBCA3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1BDBE5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Usolye-Sibirskoye</w:t>
            </w:r>
          </w:p>
        </w:tc>
        <w:tc>
          <w:tcPr>
            <w:tcW w:w="1134" w:type="dxa"/>
          </w:tcPr>
          <w:p w:rsidRPr="006F34CD" w:rsidR="00515FE0" w:rsidP="006F34CD" w:rsidRDefault="00515FE0" w14:paraId="5DFDEB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175,633</w:t>
            </w:r>
          </w:p>
        </w:tc>
        <w:tc>
          <w:tcPr>
            <w:tcW w:w="992" w:type="dxa"/>
          </w:tcPr>
          <w:p w:rsidRPr="006F34CD" w:rsidR="00515FE0" w:rsidP="006F34CD" w:rsidRDefault="00515FE0" w14:paraId="7151C9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9AE253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9233722" w14:textId="77777777">
        <w:trPr>
          <w:cantSplit/>
        </w:trPr>
        <w:tc>
          <w:tcPr>
            <w:tcW w:w="2249" w:type="dxa"/>
          </w:tcPr>
          <w:p w:rsidRPr="006F34CD" w:rsidR="00515FE0" w:rsidP="006F34CD" w:rsidRDefault="00515FE0" w14:paraId="49DE7313" w14:textId="1810BB8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Severodvinsk</w:t>
            </w:r>
          </w:p>
        </w:tc>
        <w:tc>
          <w:tcPr>
            <w:tcW w:w="836" w:type="dxa"/>
          </w:tcPr>
          <w:p w:rsidRPr="006F34CD" w:rsidR="00515FE0" w:rsidP="006F34CD" w:rsidRDefault="00515FE0" w14:paraId="75F18A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E5662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Severodvinsk</w:t>
            </w:r>
          </w:p>
        </w:tc>
        <w:tc>
          <w:tcPr>
            <w:tcW w:w="1134" w:type="dxa"/>
          </w:tcPr>
          <w:p w:rsidRPr="006F34CD" w:rsidR="00515FE0" w:rsidP="006F34CD" w:rsidRDefault="00515FE0" w14:paraId="63203CC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C899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8AEE8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AF25416" w14:textId="77777777">
        <w:trPr>
          <w:cantSplit/>
        </w:trPr>
        <w:tc>
          <w:tcPr>
            <w:tcW w:w="2249" w:type="dxa"/>
          </w:tcPr>
          <w:p w:rsidRPr="006F34CD" w:rsidR="00515FE0" w:rsidP="006F34CD" w:rsidRDefault="00515FE0" w14:paraId="4706EE17" w14:textId="3E806E3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Severomorsk</w:t>
            </w:r>
          </w:p>
        </w:tc>
        <w:tc>
          <w:tcPr>
            <w:tcW w:w="836" w:type="dxa"/>
          </w:tcPr>
          <w:p w:rsidRPr="006F34CD" w:rsidR="00515FE0" w:rsidP="006F34CD" w:rsidRDefault="00515FE0" w14:paraId="6FE8C0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4F3DEC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Severomorsk</w:t>
            </w:r>
          </w:p>
        </w:tc>
        <w:tc>
          <w:tcPr>
            <w:tcW w:w="1134" w:type="dxa"/>
          </w:tcPr>
          <w:p w:rsidRPr="006F34CD" w:rsidR="00515FE0" w:rsidP="006F34CD" w:rsidRDefault="00515FE0" w14:paraId="1594E81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C97A30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05514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D7642BF" w14:textId="77777777">
        <w:trPr>
          <w:cantSplit/>
        </w:trPr>
        <w:tc>
          <w:tcPr>
            <w:tcW w:w="2249" w:type="dxa"/>
          </w:tcPr>
          <w:p w:rsidRPr="006F34CD" w:rsidR="00515FE0" w:rsidP="006F34CD" w:rsidRDefault="00515FE0" w14:paraId="4D90B3DF" w14:textId="68D0191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"Severouralsk"</w:t>
            </w:r>
          </w:p>
        </w:tc>
        <w:tc>
          <w:tcPr>
            <w:tcW w:w="836" w:type="dxa"/>
          </w:tcPr>
          <w:p w:rsidRPr="006F34CD" w:rsidR="00515FE0" w:rsidP="006F34CD" w:rsidRDefault="00515FE0" w14:paraId="435150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19293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Severouralsk</w:t>
            </w:r>
          </w:p>
        </w:tc>
        <w:tc>
          <w:tcPr>
            <w:tcW w:w="1134" w:type="dxa"/>
          </w:tcPr>
          <w:p w:rsidRPr="006F34CD" w:rsidR="00515FE0" w:rsidP="006F34CD" w:rsidRDefault="00515FE0" w14:paraId="0F2FEFE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D14640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24EA0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3E7762B" w14:textId="77777777">
        <w:trPr>
          <w:cantSplit/>
        </w:trPr>
        <w:tc>
          <w:tcPr>
            <w:tcW w:w="2249" w:type="dxa"/>
          </w:tcPr>
          <w:p w:rsidRPr="006F34CD" w:rsidR="00515FE0" w:rsidP="006F34CD" w:rsidRDefault="00515FE0" w14:paraId="2CEB5A93" w14:textId="7FFE361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Seversk</w:t>
            </w:r>
          </w:p>
        </w:tc>
        <w:tc>
          <w:tcPr>
            <w:tcW w:w="836" w:type="dxa"/>
          </w:tcPr>
          <w:p w:rsidRPr="006F34CD" w:rsidR="00515FE0" w:rsidP="006F34CD" w:rsidRDefault="00515FE0" w14:paraId="5BFE944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508BC1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Seversk</w:t>
            </w:r>
          </w:p>
        </w:tc>
        <w:tc>
          <w:tcPr>
            <w:tcW w:w="1134" w:type="dxa"/>
          </w:tcPr>
          <w:p w:rsidRPr="006F34CD" w:rsidR="00515FE0" w:rsidP="006F34CD" w:rsidRDefault="00515FE0" w14:paraId="1C86B9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52,238</w:t>
            </w:r>
          </w:p>
        </w:tc>
        <w:tc>
          <w:tcPr>
            <w:tcW w:w="992" w:type="dxa"/>
          </w:tcPr>
          <w:p w:rsidRPr="006F34CD" w:rsidR="00515FE0" w:rsidP="006F34CD" w:rsidRDefault="00515FE0" w14:paraId="7774EEA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BF43D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EC0B8A1" w14:textId="77777777">
        <w:trPr>
          <w:cantSplit/>
        </w:trPr>
        <w:tc>
          <w:tcPr>
            <w:tcW w:w="2249" w:type="dxa"/>
          </w:tcPr>
          <w:p w:rsidRPr="006F34CD" w:rsidR="00515FE0" w:rsidP="006F34CD" w:rsidRDefault="00515FE0" w14:paraId="21AD2B56" w14:textId="5E65E03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Shadrinsk</w:t>
            </w:r>
          </w:p>
        </w:tc>
        <w:tc>
          <w:tcPr>
            <w:tcW w:w="836" w:type="dxa"/>
          </w:tcPr>
          <w:p w:rsidRPr="006F34CD" w:rsidR="00515FE0" w:rsidP="006F34CD" w:rsidRDefault="00515FE0" w14:paraId="0B6442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0508F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Shadrinsk</w:t>
            </w:r>
          </w:p>
        </w:tc>
        <w:tc>
          <w:tcPr>
            <w:tcW w:w="1134" w:type="dxa"/>
          </w:tcPr>
          <w:p w:rsidRPr="006F34CD" w:rsidR="00515FE0" w:rsidP="006F34CD" w:rsidRDefault="00515FE0" w14:paraId="4DA90F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9D6AA4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B4E87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50F897C" w14:textId="77777777">
        <w:trPr>
          <w:cantSplit/>
        </w:trPr>
        <w:tc>
          <w:tcPr>
            <w:tcW w:w="2249" w:type="dxa"/>
          </w:tcPr>
          <w:p w:rsidRPr="006F34CD" w:rsidR="00515FE0" w:rsidP="006F34CD" w:rsidRDefault="00515FE0" w14:paraId="0277E151" w14:textId="2601C6E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Shakhty</w:t>
            </w:r>
          </w:p>
        </w:tc>
        <w:tc>
          <w:tcPr>
            <w:tcW w:w="836" w:type="dxa"/>
          </w:tcPr>
          <w:p w:rsidRPr="006F34CD" w:rsidR="00515FE0" w:rsidP="006F34CD" w:rsidRDefault="00515FE0" w14:paraId="4C0B98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3DF6E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Shakhty</w:t>
            </w:r>
          </w:p>
        </w:tc>
        <w:tc>
          <w:tcPr>
            <w:tcW w:w="1134" w:type="dxa"/>
          </w:tcPr>
          <w:p w:rsidRPr="006F34CD" w:rsidR="00515FE0" w:rsidP="006F34CD" w:rsidRDefault="00515FE0" w14:paraId="5DB0B6C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F618B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C2F7E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683F1D5" w14:textId="77777777">
        <w:trPr>
          <w:cantSplit/>
        </w:trPr>
        <w:tc>
          <w:tcPr>
            <w:tcW w:w="2249" w:type="dxa"/>
          </w:tcPr>
          <w:p w:rsidRPr="006F34CD" w:rsidR="00515FE0" w:rsidP="006F34CD" w:rsidRDefault="00515FE0" w14:paraId="401A0967" w14:textId="4088B79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Sharya of the Kostroma Region</w:t>
            </w:r>
          </w:p>
        </w:tc>
        <w:tc>
          <w:tcPr>
            <w:tcW w:w="836" w:type="dxa"/>
          </w:tcPr>
          <w:p w:rsidRPr="006F34CD" w:rsidR="00515FE0" w:rsidP="006F34CD" w:rsidRDefault="00515FE0" w14:paraId="41E786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A1E59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Sharya</w:t>
            </w:r>
          </w:p>
        </w:tc>
        <w:tc>
          <w:tcPr>
            <w:tcW w:w="1134" w:type="dxa"/>
          </w:tcPr>
          <w:p w:rsidRPr="006F34CD" w:rsidR="00515FE0" w:rsidP="006F34CD" w:rsidRDefault="00515FE0" w14:paraId="294CF41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36,367</w:t>
            </w:r>
          </w:p>
        </w:tc>
        <w:tc>
          <w:tcPr>
            <w:tcW w:w="992" w:type="dxa"/>
          </w:tcPr>
          <w:p w:rsidRPr="006F34CD" w:rsidR="00515FE0" w:rsidP="006F34CD" w:rsidRDefault="00515FE0" w14:paraId="083BFD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084823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61D8A0B" w14:textId="77777777">
        <w:trPr>
          <w:cantSplit/>
        </w:trPr>
        <w:tc>
          <w:tcPr>
            <w:tcW w:w="2249" w:type="dxa"/>
          </w:tcPr>
          <w:p w:rsidRPr="006F34CD" w:rsidR="00515FE0" w:rsidP="006F34CD" w:rsidRDefault="00515FE0" w14:paraId="3EE17CA1" w14:textId="5F65962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Sharypovo</w:t>
            </w:r>
          </w:p>
        </w:tc>
        <w:tc>
          <w:tcPr>
            <w:tcW w:w="836" w:type="dxa"/>
          </w:tcPr>
          <w:p w:rsidRPr="006F34CD" w:rsidR="00515FE0" w:rsidP="006F34CD" w:rsidRDefault="00515FE0" w14:paraId="6B7702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FA51C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Sharypovo</w:t>
            </w:r>
          </w:p>
        </w:tc>
        <w:tc>
          <w:tcPr>
            <w:tcW w:w="1134" w:type="dxa"/>
          </w:tcPr>
          <w:p w:rsidRPr="006F34CD" w:rsidR="00515FE0" w:rsidP="006F34CD" w:rsidRDefault="00515FE0" w14:paraId="0C5306A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78,272</w:t>
            </w:r>
          </w:p>
        </w:tc>
        <w:tc>
          <w:tcPr>
            <w:tcW w:w="992" w:type="dxa"/>
          </w:tcPr>
          <w:p w:rsidRPr="006F34CD" w:rsidR="00515FE0" w:rsidP="006F34CD" w:rsidRDefault="00515FE0" w14:paraId="6833707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86D59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5EC8BA9" w14:textId="77777777">
        <w:trPr>
          <w:cantSplit/>
        </w:trPr>
        <w:tc>
          <w:tcPr>
            <w:tcW w:w="2249" w:type="dxa"/>
          </w:tcPr>
          <w:p w:rsidRPr="006F34CD" w:rsidR="00515FE0" w:rsidP="006F34CD" w:rsidRDefault="00515FE0" w14:paraId="26458D28" w14:textId="09D8567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Shaturskiy District</w:t>
            </w:r>
          </w:p>
        </w:tc>
        <w:tc>
          <w:tcPr>
            <w:tcW w:w="836" w:type="dxa"/>
          </w:tcPr>
          <w:p w:rsidRPr="006F34CD" w:rsidR="00515FE0" w:rsidP="006F34CD" w:rsidRDefault="00515FE0" w14:paraId="554504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53BB72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Shatura</w:t>
            </w:r>
          </w:p>
        </w:tc>
        <w:tc>
          <w:tcPr>
            <w:tcW w:w="1134" w:type="dxa"/>
          </w:tcPr>
          <w:p w:rsidRPr="006F34CD" w:rsidR="00515FE0" w:rsidP="006F34CD" w:rsidRDefault="00515FE0" w14:paraId="59141CD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73A256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5DFCDF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D4E38A0" w14:textId="77777777">
        <w:trPr>
          <w:cantSplit/>
        </w:trPr>
        <w:tc>
          <w:tcPr>
            <w:tcW w:w="2249" w:type="dxa"/>
          </w:tcPr>
          <w:p w:rsidRPr="006F34CD" w:rsidR="00515FE0" w:rsidP="006F34CD" w:rsidRDefault="00515FE0" w14:paraId="3EB6CEED" w14:textId="2BB1B12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Shchelkino</w:t>
            </w:r>
          </w:p>
        </w:tc>
        <w:tc>
          <w:tcPr>
            <w:tcW w:w="836" w:type="dxa"/>
          </w:tcPr>
          <w:p w:rsidRPr="006F34CD" w:rsidR="00515FE0" w:rsidP="006F34CD" w:rsidRDefault="00515FE0" w14:paraId="062D2F9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E8797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Shchelkino</w:t>
            </w:r>
          </w:p>
        </w:tc>
        <w:tc>
          <w:tcPr>
            <w:tcW w:w="1134" w:type="dxa"/>
          </w:tcPr>
          <w:p w:rsidRPr="006F34CD" w:rsidR="00515FE0" w:rsidP="006F34CD" w:rsidRDefault="00515FE0" w14:paraId="02C686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101,650</w:t>
            </w:r>
          </w:p>
        </w:tc>
        <w:tc>
          <w:tcPr>
            <w:tcW w:w="992" w:type="dxa"/>
          </w:tcPr>
          <w:p w:rsidRPr="006F34CD" w:rsidR="00515FE0" w:rsidP="006F34CD" w:rsidRDefault="00515FE0" w14:paraId="152893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0B07A3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4675590" w14:textId="77777777">
        <w:trPr>
          <w:cantSplit/>
        </w:trPr>
        <w:tc>
          <w:tcPr>
            <w:tcW w:w="2249" w:type="dxa"/>
          </w:tcPr>
          <w:p w:rsidRPr="006F34CD" w:rsidR="00515FE0" w:rsidP="006F34CD" w:rsidRDefault="00515FE0" w14:paraId="5CDF0A05" w14:textId="4272388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Shchelkovskiy District</w:t>
            </w:r>
          </w:p>
        </w:tc>
        <w:tc>
          <w:tcPr>
            <w:tcW w:w="836" w:type="dxa"/>
          </w:tcPr>
          <w:p w:rsidRPr="006F34CD" w:rsidR="00515FE0" w:rsidP="006F34CD" w:rsidRDefault="00515FE0" w14:paraId="73904E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2330C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Shchelkovo</w:t>
            </w:r>
          </w:p>
        </w:tc>
        <w:tc>
          <w:tcPr>
            <w:tcW w:w="1134" w:type="dxa"/>
          </w:tcPr>
          <w:p w:rsidRPr="006F34CD" w:rsidR="00515FE0" w:rsidP="006F34CD" w:rsidRDefault="00515FE0" w14:paraId="7B6D23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FA7A3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82EBF2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AE8ECF2" w14:textId="77777777">
        <w:trPr>
          <w:cantSplit/>
        </w:trPr>
        <w:tc>
          <w:tcPr>
            <w:tcW w:w="2249" w:type="dxa"/>
          </w:tcPr>
          <w:p w:rsidRPr="006F34CD" w:rsidR="00515FE0" w:rsidP="006F34CD" w:rsidRDefault="00515FE0" w14:paraId="3B4A69D4" w14:textId="442EB25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Shebekino of the Belgorod Region</w:t>
            </w:r>
          </w:p>
        </w:tc>
        <w:tc>
          <w:tcPr>
            <w:tcW w:w="836" w:type="dxa"/>
          </w:tcPr>
          <w:p w:rsidRPr="006F34CD" w:rsidR="00515FE0" w:rsidP="006F34CD" w:rsidRDefault="00515FE0" w14:paraId="30CAAE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AA39E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Shebekino</w:t>
            </w:r>
          </w:p>
        </w:tc>
        <w:tc>
          <w:tcPr>
            <w:tcW w:w="1134" w:type="dxa"/>
          </w:tcPr>
          <w:p w:rsidRPr="006F34CD" w:rsidR="00515FE0" w:rsidP="006F34CD" w:rsidRDefault="00515FE0" w14:paraId="2202317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92F6E1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B9FC2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2A30778" w14:textId="77777777">
        <w:trPr>
          <w:cantSplit/>
        </w:trPr>
        <w:tc>
          <w:tcPr>
            <w:tcW w:w="2249" w:type="dxa"/>
          </w:tcPr>
          <w:p w:rsidRPr="006F34CD" w:rsidR="00515FE0" w:rsidP="006F34CD" w:rsidRDefault="00515FE0" w14:paraId="54D6ED62" w14:textId="2169B99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Shelekhov</w:t>
            </w:r>
          </w:p>
        </w:tc>
        <w:tc>
          <w:tcPr>
            <w:tcW w:w="836" w:type="dxa"/>
          </w:tcPr>
          <w:p w:rsidRPr="006F34CD" w:rsidR="00515FE0" w:rsidP="006F34CD" w:rsidRDefault="00515FE0" w14:paraId="545DB0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295B41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Shelekhov</w:t>
            </w:r>
          </w:p>
        </w:tc>
        <w:tc>
          <w:tcPr>
            <w:tcW w:w="1134" w:type="dxa"/>
          </w:tcPr>
          <w:p w:rsidRPr="006F34CD" w:rsidR="00515FE0" w:rsidP="006F34CD" w:rsidRDefault="00515FE0" w14:paraId="2CF1C3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1E177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1A4998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E2F87E8" w14:textId="77777777">
        <w:trPr>
          <w:cantSplit/>
        </w:trPr>
        <w:tc>
          <w:tcPr>
            <w:tcW w:w="2249" w:type="dxa"/>
          </w:tcPr>
          <w:p w:rsidRPr="006F34CD" w:rsidR="00515FE0" w:rsidP="006F34CD" w:rsidRDefault="00515FE0" w14:paraId="3362533F" w14:textId="1F89CD5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Shirinskiy District</w:t>
            </w:r>
          </w:p>
        </w:tc>
        <w:tc>
          <w:tcPr>
            <w:tcW w:w="836" w:type="dxa"/>
          </w:tcPr>
          <w:p w:rsidRPr="006F34CD" w:rsidR="00515FE0" w:rsidP="006F34CD" w:rsidRDefault="00515FE0" w14:paraId="5E206A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CAC6A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Shira</w:t>
            </w:r>
          </w:p>
        </w:tc>
        <w:tc>
          <w:tcPr>
            <w:tcW w:w="1134" w:type="dxa"/>
          </w:tcPr>
          <w:p w:rsidRPr="006F34CD" w:rsidR="00515FE0" w:rsidP="006F34CD" w:rsidRDefault="00515FE0" w14:paraId="1D75B21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73DA1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264C03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3E57114" w14:textId="77777777">
        <w:trPr>
          <w:cantSplit/>
        </w:trPr>
        <w:tc>
          <w:tcPr>
            <w:tcW w:w="2249" w:type="dxa"/>
          </w:tcPr>
          <w:p w:rsidRPr="006F34CD" w:rsidR="00515FE0" w:rsidP="006F34CD" w:rsidRDefault="00515FE0" w14:paraId="507D750B" w14:textId="35BDEF6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Shushenskoye</w:t>
            </w:r>
          </w:p>
        </w:tc>
        <w:tc>
          <w:tcPr>
            <w:tcW w:w="836" w:type="dxa"/>
          </w:tcPr>
          <w:p w:rsidRPr="006F34CD" w:rsidR="00515FE0" w:rsidP="006F34CD" w:rsidRDefault="00515FE0" w14:paraId="780015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651BF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Shushenskoye</w:t>
            </w:r>
          </w:p>
        </w:tc>
        <w:tc>
          <w:tcPr>
            <w:tcW w:w="1134" w:type="dxa"/>
          </w:tcPr>
          <w:p w:rsidRPr="006F34CD" w:rsidR="00515FE0" w:rsidP="006F34CD" w:rsidRDefault="00515FE0" w14:paraId="7921046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2B3E84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AE37AA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AC95E94" w14:textId="77777777">
        <w:trPr>
          <w:cantSplit/>
        </w:trPr>
        <w:tc>
          <w:tcPr>
            <w:tcW w:w="2249" w:type="dxa"/>
          </w:tcPr>
          <w:p w:rsidRPr="006F34CD" w:rsidR="00515FE0" w:rsidP="006F34CD" w:rsidRDefault="00515FE0" w14:paraId="642FC1EA" w14:textId="0479690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Simferopol</w:t>
            </w:r>
          </w:p>
        </w:tc>
        <w:tc>
          <w:tcPr>
            <w:tcW w:w="836" w:type="dxa"/>
          </w:tcPr>
          <w:p w:rsidRPr="006F34CD" w:rsidR="00515FE0" w:rsidP="006F34CD" w:rsidRDefault="00515FE0" w14:paraId="172F09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029D5D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Simferopol</w:t>
            </w:r>
          </w:p>
        </w:tc>
        <w:tc>
          <w:tcPr>
            <w:tcW w:w="1134" w:type="dxa"/>
          </w:tcPr>
          <w:p w:rsidRPr="006F34CD" w:rsidR="00515FE0" w:rsidP="006F34CD" w:rsidRDefault="00515FE0" w14:paraId="6A27803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1,271,060</w:t>
            </w:r>
          </w:p>
        </w:tc>
        <w:tc>
          <w:tcPr>
            <w:tcW w:w="992" w:type="dxa"/>
          </w:tcPr>
          <w:p w:rsidRPr="006F34CD" w:rsidR="00515FE0" w:rsidP="006F34CD" w:rsidRDefault="00515FE0" w14:paraId="086DB0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319AB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6CECAB5" w14:textId="77777777">
        <w:trPr>
          <w:cantSplit/>
        </w:trPr>
        <w:tc>
          <w:tcPr>
            <w:tcW w:w="2249" w:type="dxa"/>
          </w:tcPr>
          <w:p w:rsidRPr="006F34CD" w:rsidR="00515FE0" w:rsidP="006F34CD" w:rsidRDefault="00515FE0" w14:paraId="5A3E1D45" w14:textId="1FA5A75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"Sivash"</w:t>
            </w:r>
          </w:p>
        </w:tc>
        <w:tc>
          <w:tcPr>
            <w:tcW w:w="836" w:type="dxa"/>
          </w:tcPr>
          <w:p w:rsidRPr="006F34CD" w:rsidR="00515FE0" w:rsidP="006F34CD" w:rsidRDefault="00515FE0" w14:paraId="1BF5C1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3E009E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Dzhankoy</w:t>
            </w:r>
          </w:p>
        </w:tc>
        <w:tc>
          <w:tcPr>
            <w:tcW w:w="1134" w:type="dxa"/>
          </w:tcPr>
          <w:p w:rsidRPr="006F34CD" w:rsidR="00515FE0" w:rsidP="006F34CD" w:rsidRDefault="00515FE0" w14:paraId="38C9EB6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55980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5AF07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BF802D7" w14:textId="77777777">
        <w:trPr>
          <w:cantSplit/>
        </w:trPr>
        <w:tc>
          <w:tcPr>
            <w:tcW w:w="2249" w:type="dxa"/>
          </w:tcPr>
          <w:p w:rsidRPr="006F34CD" w:rsidR="00515FE0" w:rsidP="006F34CD" w:rsidRDefault="00515FE0" w14:paraId="26437EE3" w14:textId="1129A5A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"Skovorodino"</w:t>
            </w:r>
          </w:p>
        </w:tc>
        <w:tc>
          <w:tcPr>
            <w:tcW w:w="836" w:type="dxa"/>
          </w:tcPr>
          <w:p w:rsidRPr="006F34CD" w:rsidR="00515FE0" w:rsidP="006F34CD" w:rsidRDefault="00515FE0" w14:paraId="06678A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D4B81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Skovorodino</w:t>
            </w:r>
          </w:p>
        </w:tc>
        <w:tc>
          <w:tcPr>
            <w:tcW w:w="1134" w:type="dxa"/>
          </w:tcPr>
          <w:p w:rsidRPr="006F34CD" w:rsidR="00515FE0" w:rsidP="006F34CD" w:rsidRDefault="00515FE0" w14:paraId="64BC55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187C9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E7079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73379B3" w14:textId="77777777">
        <w:trPr>
          <w:cantSplit/>
        </w:trPr>
        <w:tc>
          <w:tcPr>
            <w:tcW w:w="2249" w:type="dxa"/>
          </w:tcPr>
          <w:p w:rsidRPr="006F34CD" w:rsidR="00515FE0" w:rsidP="006F34CD" w:rsidRDefault="00515FE0" w14:paraId="0491BFA9" w14:textId="7847DCE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Slantsy</w:t>
            </w:r>
          </w:p>
        </w:tc>
        <w:tc>
          <w:tcPr>
            <w:tcW w:w="836" w:type="dxa"/>
          </w:tcPr>
          <w:p w:rsidRPr="006F34CD" w:rsidR="00515FE0" w:rsidP="006F34CD" w:rsidRDefault="00515FE0" w14:paraId="667269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4E5181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Slantsy</w:t>
            </w:r>
          </w:p>
        </w:tc>
        <w:tc>
          <w:tcPr>
            <w:tcW w:w="1134" w:type="dxa"/>
          </w:tcPr>
          <w:p w:rsidRPr="006F34CD" w:rsidR="00515FE0" w:rsidP="006F34CD" w:rsidRDefault="00515FE0" w14:paraId="27EDE61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A034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9149F6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0384F3B" w14:textId="77777777">
        <w:trPr>
          <w:cantSplit/>
        </w:trPr>
        <w:tc>
          <w:tcPr>
            <w:tcW w:w="2249" w:type="dxa"/>
          </w:tcPr>
          <w:p w:rsidRPr="006F34CD" w:rsidR="00515FE0" w:rsidP="006F34CD" w:rsidRDefault="00515FE0" w14:paraId="5CD08E9C" w14:textId="20BD396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"Slavgorod"</w:t>
            </w:r>
          </w:p>
        </w:tc>
        <w:tc>
          <w:tcPr>
            <w:tcW w:w="836" w:type="dxa"/>
          </w:tcPr>
          <w:p w:rsidRPr="006F34CD" w:rsidR="00515FE0" w:rsidP="006F34CD" w:rsidRDefault="00515FE0" w14:paraId="47FBD4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23163C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Slavgorod</w:t>
            </w:r>
          </w:p>
        </w:tc>
        <w:tc>
          <w:tcPr>
            <w:tcW w:w="1134" w:type="dxa"/>
          </w:tcPr>
          <w:p w:rsidRPr="006F34CD" w:rsidR="00515FE0" w:rsidP="006F34CD" w:rsidRDefault="00515FE0" w14:paraId="271350D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46,377</w:t>
            </w:r>
          </w:p>
        </w:tc>
        <w:tc>
          <w:tcPr>
            <w:tcW w:w="992" w:type="dxa"/>
          </w:tcPr>
          <w:p w:rsidRPr="006F34CD" w:rsidR="00515FE0" w:rsidP="006F34CD" w:rsidRDefault="00515FE0" w14:paraId="2B1091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59BAC9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927338D" w14:textId="77777777">
        <w:trPr>
          <w:cantSplit/>
        </w:trPr>
        <w:tc>
          <w:tcPr>
            <w:tcW w:w="2249" w:type="dxa"/>
          </w:tcPr>
          <w:p w:rsidRPr="006F34CD" w:rsidR="00515FE0" w:rsidP="006F34CD" w:rsidRDefault="00515FE0" w14:paraId="7B445D60" w14:textId="6A03F48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Slavyansk-on-Kuban and the Slavyanskiy District</w:t>
            </w:r>
          </w:p>
        </w:tc>
        <w:tc>
          <w:tcPr>
            <w:tcW w:w="836" w:type="dxa"/>
          </w:tcPr>
          <w:p w:rsidRPr="006F34CD" w:rsidR="00515FE0" w:rsidP="006F34CD" w:rsidRDefault="00515FE0" w14:paraId="08BF2F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97AE8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Slavyansk-on-Kuban</w:t>
            </w:r>
          </w:p>
        </w:tc>
        <w:tc>
          <w:tcPr>
            <w:tcW w:w="1134" w:type="dxa"/>
          </w:tcPr>
          <w:p w:rsidRPr="006F34CD" w:rsidR="00515FE0" w:rsidP="006F34CD" w:rsidRDefault="00515FE0" w14:paraId="6B24CE0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01C3A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4BCC6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92CA935" w14:textId="77777777">
        <w:trPr>
          <w:cantSplit/>
        </w:trPr>
        <w:tc>
          <w:tcPr>
            <w:tcW w:w="2249" w:type="dxa"/>
          </w:tcPr>
          <w:p w:rsidRPr="006F34CD" w:rsidR="00515FE0" w:rsidP="006F34CD" w:rsidRDefault="00515FE0" w14:paraId="6FF1ABCB" w14:textId="20FFAB4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Slyudyanka</w:t>
            </w:r>
          </w:p>
        </w:tc>
        <w:tc>
          <w:tcPr>
            <w:tcW w:w="836" w:type="dxa"/>
          </w:tcPr>
          <w:p w:rsidRPr="006F34CD" w:rsidR="00515FE0" w:rsidP="006F34CD" w:rsidRDefault="00515FE0" w14:paraId="255889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509DE0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Slyudyanka</w:t>
            </w:r>
          </w:p>
        </w:tc>
        <w:tc>
          <w:tcPr>
            <w:tcW w:w="1134" w:type="dxa"/>
          </w:tcPr>
          <w:p w:rsidRPr="006F34CD" w:rsidR="00515FE0" w:rsidP="006F34CD" w:rsidRDefault="00515FE0" w14:paraId="53BEA6B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40EF0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C2100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BC13562" w14:textId="77777777">
        <w:trPr>
          <w:cantSplit/>
        </w:trPr>
        <w:tc>
          <w:tcPr>
            <w:tcW w:w="2249" w:type="dxa"/>
          </w:tcPr>
          <w:p w:rsidRPr="006F34CD" w:rsidR="00515FE0" w:rsidP="006F34CD" w:rsidRDefault="00515FE0" w14:paraId="416449CB" w14:textId="3F827D5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Smolensk</w:t>
            </w:r>
          </w:p>
        </w:tc>
        <w:tc>
          <w:tcPr>
            <w:tcW w:w="836" w:type="dxa"/>
          </w:tcPr>
          <w:p w:rsidRPr="006F34CD" w:rsidR="00515FE0" w:rsidP="006F34CD" w:rsidRDefault="00515FE0" w14:paraId="3F6FCE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F45A7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der. Novoseltsy (s/pos. Gnezdovskoye)</w:t>
            </w:r>
          </w:p>
        </w:tc>
        <w:tc>
          <w:tcPr>
            <w:tcW w:w="1134" w:type="dxa"/>
          </w:tcPr>
          <w:p w:rsidRPr="006F34CD" w:rsidR="00515FE0" w:rsidP="006F34CD" w:rsidRDefault="00515FE0" w14:paraId="6E49356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926A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1036E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4C7481A" w14:textId="77777777">
        <w:trPr>
          <w:cantSplit/>
        </w:trPr>
        <w:tc>
          <w:tcPr>
            <w:tcW w:w="2249" w:type="dxa"/>
          </w:tcPr>
          <w:p w:rsidRPr="006F34CD" w:rsidR="00515FE0" w:rsidP="006F34CD" w:rsidRDefault="00515FE0" w14:paraId="0E29B850" w14:textId="61E9530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"Snezhnogorsk"</w:t>
            </w:r>
          </w:p>
        </w:tc>
        <w:tc>
          <w:tcPr>
            <w:tcW w:w="836" w:type="dxa"/>
          </w:tcPr>
          <w:p w:rsidRPr="006F34CD" w:rsidR="00515FE0" w:rsidP="006F34CD" w:rsidRDefault="00515FE0" w14:paraId="719082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FD8D3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Snezhnogorsk</w:t>
            </w:r>
          </w:p>
        </w:tc>
        <w:tc>
          <w:tcPr>
            <w:tcW w:w="1134" w:type="dxa"/>
          </w:tcPr>
          <w:p w:rsidRPr="006F34CD" w:rsidR="00515FE0" w:rsidP="006F34CD" w:rsidRDefault="00515FE0" w14:paraId="4C25A6D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7D54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22086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F633119" w14:textId="77777777">
        <w:trPr>
          <w:cantSplit/>
        </w:trPr>
        <w:tc>
          <w:tcPr>
            <w:tcW w:w="2249" w:type="dxa"/>
          </w:tcPr>
          <w:p w:rsidRPr="006F34CD" w:rsidR="00515FE0" w:rsidP="006F34CD" w:rsidRDefault="00515FE0" w14:paraId="4C2607A7" w14:textId="0A8C6AE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Sochi"</w:t>
            </w:r>
          </w:p>
        </w:tc>
        <w:tc>
          <w:tcPr>
            <w:tcW w:w="836" w:type="dxa"/>
          </w:tcPr>
          <w:p w:rsidRPr="006F34CD" w:rsidR="00515FE0" w:rsidP="006F34CD" w:rsidRDefault="00515FE0" w14:paraId="6A0075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1995</w:t>
            </w:r>
          </w:p>
        </w:tc>
        <w:tc>
          <w:tcPr>
            <w:tcW w:w="1305" w:type="dxa"/>
          </w:tcPr>
          <w:p w:rsidRPr="006F34CD" w:rsidR="00515FE0" w:rsidP="006F34CD" w:rsidRDefault="00515FE0" w14:paraId="2EA1BA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Sochi</w:t>
            </w:r>
          </w:p>
        </w:tc>
        <w:tc>
          <w:tcPr>
            <w:tcW w:w="1134" w:type="dxa"/>
          </w:tcPr>
          <w:p w:rsidRPr="006F34CD" w:rsidR="00515FE0" w:rsidP="006F34CD" w:rsidRDefault="00515FE0" w14:paraId="0D8E1FA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112,634</w:t>
            </w:r>
          </w:p>
        </w:tc>
        <w:tc>
          <w:tcPr>
            <w:tcW w:w="992" w:type="dxa"/>
          </w:tcPr>
          <w:p w:rsidRPr="006F34CD" w:rsidR="00515FE0" w:rsidP="006F34CD" w:rsidRDefault="00515FE0" w14:paraId="205FEF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B7B972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9A2AA2A" w14:textId="77777777">
        <w:trPr>
          <w:cantSplit/>
        </w:trPr>
        <w:tc>
          <w:tcPr>
            <w:tcW w:w="2249" w:type="dxa"/>
          </w:tcPr>
          <w:p w:rsidRPr="006F34CD" w:rsidR="00515FE0" w:rsidP="006F34CD" w:rsidRDefault="00515FE0" w14:paraId="4B5F7C2D" w14:textId="0C01424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Solikamsk</w:t>
            </w:r>
          </w:p>
        </w:tc>
        <w:tc>
          <w:tcPr>
            <w:tcW w:w="836" w:type="dxa"/>
          </w:tcPr>
          <w:p w:rsidRPr="006F34CD" w:rsidR="00515FE0" w:rsidP="006F34CD" w:rsidRDefault="00515FE0" w14:paraId="292B9A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08BFA8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Solikamsk</w:t>
            </w:r>
          </w:p>
        </w:tc>
        <w:tc>
          <w:tcPr>
            <w:tcW w:w="1134" w:type="dxa"/>
          </w:tcPr>
          <w:p w:rsidRPr="006F34CD" w:rsidR="00515FE0" w:rsidP="006F34CD" w:rsidRDefault="00515FE0" w14:paraId="3BB7A5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53,936</w:t>
            </w:r>
          </w:p>
        </w:tc>
        <w:tc>
          <w:tcPr>
            <w:tcW w:w="992" w:type="dxa"/>
          </w:tcPr>
          <w:p w:rsidRPr="006F34CD" w:rsidR="00515FE0" w:rsidP="006F34CD" w:rsidRDefault="00515FE0" w14:paraId="0F5254F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4923F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62994A0" w14:textId="77777777">
        <w:trPr>
          <w:cantSplit/>
        </w:trPr>
        <w:tc>
          <w:tcPr>
            <w:tcW w:w="2249" w:type="dxa"/>
          </w:tcPr>
          <w:p w:rsidRPr="006F34CD" w:rsidR="00515FE0" w:rsidP="006F34CD" w:rsidRDefault="00515FE0" w14:paraId="5066FBED" w14:textId="030D0BE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Solnechnodolsk</w:t>
            </w:r>
          </w:p>
        </w:tc>
        <w:tc>
          <w:tcPr>
            <w:tcW w:w="836" w:type="dxa"/>
          </w:tcPr>
          <w:p w:rsidRPr="006F34CD" w:rsidR="00515FE0" w:rsidP="006F34CD" w:rsidRDefault="00515FE0" w14:paraId="19DB97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85B72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pos.Â Solnechnodolsk</w:t>
            </w:r>
          </w:p>
        </w:tc>
        <w:tc>
          <w:tcPr>
            <w:tcW w:w="1134" w:type="dxa"/>
          </w:tcPr>
          <w:p w:rsidRPr="006F34CD" w:rsidR="00515FE0" w:rsidP="006F34CD" w:rsidRDefault="00515FE0" w14:paraId="07355F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9BE9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960EB2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FFDE438" w14:textId="77777777">
        <w:trPr>
          <w:cantSplit/>
        </w:trPr>
        <w:tc>
          <w:tcPr>
            <w:tcW w:w="2249" w:type="dxa"/>
          </w:tcPr>
          <w:p w:rsidRPr="006F34CD" w:rsidR="00515FE0" w:rsidP="006F34CD" w:rsidRDefault="00515FE0" w14:paraId="4437A214" w14:textId="4CEB895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Solnechnogorskiy District</w:t>
            </w:r>
          </w:p>
        </w:tc>
        <w:tc>
          <w:tcPr>
            <w:tcW w:w="836" w:type="dxa"/>
          </w:tcPr>
          <w:p w:rsidRPr="006F34CD" w:rsidR="00515FE0" w:rsidP="006F34CD" w:rsidRDefault="00515FE0" w14:paraId="2551BE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4C1710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Solnechnogorsk</w:t>
            </w:r>
          </w:p>
        </w:tc>
        <w:tc>
          <w:tcPr>
            <w:tcW w:w="1134" w:type="dxa"/>
          </w:tcPr>
          <w:p w:rsidRPr="006F34CD" w:rsidR="00515FE0" w:rsidP="006F34CD" w:rsidRDefault="00515FE0" w14:paraId="2BCF76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10D532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73C510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ECFF6CE" w14:textId="77777777">
        <w:trPr>
          <w:cantSplit/>
        </w:trPr>
        <w:tc>
          <w:tcPr>
            <w:tcW w:w="2249" w:type="dxa"/>
          </w:tcPr>
          <w:p w:rsidRPr="006F34CD" w:rsidR="00515FE0" w:rsidP="006F34CD" w:rsidRDefault="00515FE0" w14:paraId="3A290E4A" w14:textId="6982331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Sorsk</w:t>
            </w:r>
          </w:p>
        </w:tc>
        <w:tc>
          <w:tcPr>
            <w:tcW w:w="836" w:type="dxa"/>
          </w:tcPr>
          <w:p w:rsidRPr="006F34CD" w:rsidR="00515FE0" w:rsidP="006F34CD" w:rsidRDefault="00515FE0" w14:paraId="5415ED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684404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Sorsk</w:t>
            </w:r>
          </w:p>
        </w:tc>
        <w:tc>
          <w:tcPr>
            <w:tcW w:w="1134" w:type="dxa"/>
          </w:tcPr>
          <w:p w:rsidRPr="006F34CD" w:rsidR="00515FE0" w:rsidP="006F34CD" w:rsidRDefault="00515FE0" w14:paraId="146C03F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19,747</w:t>
            </w:r>
          </w:p>
        </w:tc>
        <w:tc>
          <w:tcPr>
            <w:tcW w:w="992" w:type="dxa"/>
          </w:tcPr>
          <w:p w:rsidRPr="006F34CD" w:rsidR="00515FE0" w:rsidP="006F34CD" w:rsidRDefault="00515FE0" w14:paraId="0EE150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4E8B76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E5C0DC1" w14:textId="77777777">
        <w:trPr>
          <w:cantSplit/>
        </w:trPr>
        <w:tc>
          <w:tcPr>
            <w:tcW w:w="2249" w:type="dxa"/>
          </w:tcPr>
          <w:p w:rsidRPr="006F34CD" w:rsidR="00515FE0" w:rsidP="006F34CD" w:rsidRDefault="00515FE0" w14:paraId="2B3C0C56" w14:textId="41EEBE7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Sortavala</w:t>
            </w:r>
          </w:p>
        </w:tc>
        <w:tc>
          <w:tcPr>
            <w:tcW w:w="836" w:type="dxa"/>
          </w:tcPr>
          <w:p w:rsidRPr="006F34CD" w:rsidR="00515FE0" w:rsidP="006F34CD" w:rsidRDefault="00515FE0" w14:paraId="39B20E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EDDFE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Sortavala</w:t>
            </w:r>
          </w:p>
        </w:tc>
        <w:tc>
          <w:tcPr>
            <w:tcW w:w="1134" w:type="dxa"/>
          </w:tcPr>
          <w:p w:rsidRPr="006F34CD" w:rsidR="00515FE0" w:rsidP="006F34CD" w:rsidRDefault="00515FE0" w14:paraId="2584990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AEE542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41FADD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24E1C41" w14:textId="77777777">
        <w:trPr>
          <w:cantSplit/>
        </w:trPr>
        <w:tc>
          <w:tcPr>
            <w:tcW w:w="2249" w:type="dxa"/>
          </w:tcPr>
          <w:p w:rsidRPr="006F34CD" w:rsidR="00515FE0" w:rsidP="006F34CD" w:rsidRDefault="00515FE0" w14:paraId="0C88955C" w14:textId="5989E83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Sosnoviy Bor</w:t>
            </w:r>
          </w:p>
        </w:tc>
        <w:tc>
          <w:tcPr>
            <w:tcW w:w="836" w:type="dxa"/>
          </w:tcPr>
          <w:p w:rsidRPr="006F34CD" w:rsidR="00515FE0" w:rsidP="006F34CD" w:rsidRDefault="00515FE0" w14:paraId="6ED6A1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3B040B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Sosnoviy Bor</w:t>
            </w:r>
          </w:p>
        </w:tc>
        <w:tc>
          <w:tcPr>
            <w:tcW w:w="1134" w:type="dxa"/>
          </w:tcPr>
          <w:p w:rsidRPr="006F34CD" w:rsidR="00515FE0" w:rsidP="006F34CD" w:rsidRDefault="00515FE0" w14:paraId="254402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3D33AB3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23CD1E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2F8CC46" w14:textId="77777777">
        <w:trPr>
          <w:cantSplit/>
        </w:trPr>
        <w:tc>
          <w:tcPr>
            <w:tcW w:w="2249" w:type="dxa"/>
          </w:tcPr>
          <w:p w:rsidRPr="006F34CD" w:rsidR="00515FE0" w:rsidP="006F34CD" w:rsidRDefault="00515FE0" w14:paraId="399EDB6F" w14:textId="40A22B1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"Sosnovoborsk"</w:t>
            </w:r>
          </w:p>
        </w:tc>
        <w:tc>
          <w:tcPr>
            <w:tcW w:w="836" w:type="dxa"/>
          </w:tcPr>
          <w:p w:rsidRPr="006F34CD" w:rsidR="00515FE0" w:rsidP="006F34CD" w:rsidRDefault="00515FE0" w14:paraId="1E54F8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CCB7C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Sosnovoborsk</w:t>
            </w:r>
          </w:p>
        </w:tc>
        <w:tc>
          <w:tcPr>
            <w:tcW w:w="1134" w:type="dxa"/>
          </w:tcPr>
          <w:p w:rsidRPr="006F34CD" w:rsidR="00515FE0" w:rsidP="006F34CD" w:rsidRDefault="00515FE0" w14:paraId="656AEA2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A6F0B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C6DFFB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B6C5402" w14:textId="77777777">
        <w:trPr>
          <w:cantSplit/>
        </w:trPr>
        <w:tc>
          <w:tcPr>
            <w:tcW w:w="2249" w:type="dxa"/>
          </w:tcPr>
          <w:p w:rsidRPr="006F34CD" w:rsidR="00515FE0" w:rsidP="006F34CD" w:rsidRDefault="00515FE0" w14:paraId="4DC198BB" w14:textId="0733171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Sovetsk of the Kaliningrad Region</w:t>
            </w:r>
          </w:p>
        </w:tc>
        <w:tc>
          <w:tcPr>
            <w:tcW w:w="836" w:type="dxa"/>
          </w:tcPr>
          <w:p w:rsidRPr="006F34CD" w:rsidR="00515FE0" w:rsidP="006F34CD" w:rsidRDefault="00515FE0" w14:paraId="170D2F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6FD6B0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Sovetsk</w:t>
            </w:r>
          </w:p>
        </w:tc>
        <w:tc>
          <w:tcPr>
            <w:tcW w:w="1134" w:type="dxa"/>
          </w:tcPr>
          <w:p w:rsidRPr="006F34CD" w:rsidR="00515FE0" w:rsidP="006F34CD" w:rsidRDefault="00515FE0" w14:paraId="1A34733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93521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65EBC5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E22681F" w14:textId="77777777">
        <w:trPr>
          <w:cantSplit/>
        </w:trPr>
        <w:tc>
          <w:tcPr>
            <w:tcW w:w="2249" w:type="dxa"/>
          </w:tcPr>
          <w:p w:rsidRPr="006F34CD" w:rsidR="00515FE0" w:rsidP="006F34CD" w:rsidRDefault="00515FE0" w14:paraId="35DFBAFA" w14:textId="60469E8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Sovetskaya Gavan</w:t>
            </w:r>
          </w:p>
        </w:tc>
        <w:tc>
          <w:tcPr>
            <w:tcW w:w="836" w:type="dxa"/>
          </w:tcPr>
          <w:p w:rsidRPr="006F34CD" w:rsidR="00515FE0" w:rsidP="006F34CD" w:rsidRDefault="00515FE0" w14:paraId="6314D2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0CFDB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Sovetskaya Gavan</w:t>
            </w:r>
          </w:p>
        </w:tc>
        <w:tc>
          <w:tcPr>
            <w:tcW w:w="1134" w:type="dxa"/>
          </w:tcPr>
          <w:p w:rsidRPr="006F34CD" w:rsidR="00515FE0" w:rsidP="006F34CD" w:rsidRDefault="00515FE0" w14:paraId="312548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37,241</w:t>
            </w:r>
          </w:p>
        </w:tc>
        <w:tc>
          <w:tcPr>
            <w:tcW w:w="992" w:type="dxa"/>
          </w:tcPr>
          <w:p w:rsidRPr="006F34CD" w:rsidR="00515FE0" w:rsidP="006F34CD" w:rsidRDefault="00515FE0" w14:paraId="7E5FC4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AFA44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B361357" w14:textId="77777777">
        <w:trPr>
          <w:cantSplit/>
        </w:trPr>
        <w:tc>
          <w:tcPr>
            <w:tcW w:w="2249" w:type="dxa"/>
          </w:tcPr>
          <w:p w:rsidRPr="006F34CD" w:rsidR="00515FE0" w:rsidP="006F34CD" w:rsidRDefault="00515FE0" w14:paraId="790138A3" w14:textId="7EEC179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Spassk-Dalniy</w:t>
            </w:r>
          </w:p>
        </w:tc>
        <w:tc>
          <w:tcPr>
            <w:tcW w:w="836" w:type="dxa"/>
          </w:tcPr>
          <w:p w:rsidRPr="006F34CD" w:rsidR="00515FE0" w:rsidP="006F34CD" w:rsidRDefault="00515FE0" w14:paraId="3EE6BB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34A3BD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Spassk-Dalniy</w:t>
            </w:r>
          </w:p>
        </w:tc>
        <w:tc>
          <w:tcPr>
            <w:tcW w:w="1134" w:type="dxa"/>
          </w:tcPr>
          <w:p w:rsidRPr="006F34CD" w:rsidR="00515FE0" w:rsidP="006F34CD" w:rsidRDefault="00515FE0" w14:paraId="08A857D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3EDC9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FA1BF5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6A4DF17" w14:textId="77777777">
        <w:trPr>
          <w:cantSplit/>
        </w:trPr>
        <w:tc>
          <w:tcPr>
            <w:tcW w:w="2249" w:type="dxa"/>
          </w:tcPr>
          <w:p w:rsidRPr="006F34CD" w:rsidR="00515FE0" w:rsidP="006F34CD" w:rsidRDefault="00515FE0" w14:paraId="1490ED4A" w14:textId="7AD0543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Saint-Petersburg</w:t>
            </w:r>
          </w:p>
        </w:tc>
        <w:tc>
          <w:tcPr>
            <w:tcW w:w="836" w:type="dxa"/>
          </w:tcPr>
          <w:p w:rsidRPr="006F34CD" w:rsidR="00515FE0" w:rsidP="006F34CD" w:rsidRDefault="00515FE0" w14:paraId="16EBEC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73EE01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0CBDEE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1,765,972</w:t>
            </w:r>
          </w:p>
        </w:tc>
        <w:tc>
          <w:tcPr>
            <w:tcW w:w="992" w:type="dxa"/>
          </w:tcPr>
          <w:p w:rsidRPr="006F34CD" w:rsidR="00515FE0" w:rsidP="006F34CD" w:rsidRDefault="00515FE0" w14:paraId="6D64A6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9517FE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C0AC731" w14:textId="77777777">
        <w:trPr>
          <w:cantSplit/>
        </w:trPr>
        <w:tc>
          <w:tcPr>
            <w:tcW w:w="2249" w:type="dxa"/>
          </w:tcPr>
          <w:p w:rsidRPr="006F34CD" w:rsidR="00515FE0" w:rsidP="006F34CD" w:rsidRDefault="00515FE0" w14:paraId="0E0F6035" w14:textId="57B34DC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Stariy Krym</w:t>
            </w:r>
          </w:p>
        </w:tc>
        <w:tc>
          <w:tcPr>
            <w:tcW w:w="836" w:type="dxa"/>
          </w:tcPr>
          <w:p w:rsidRPr="006F34CD" w:rsidR="00515FE0" w:rsidP="006F34CD" w:rsidRDefault="00515FE0" w14:paraId="7EEA85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060F8A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Stariy Krym</w:t>
            </w:r>
          </w:p>
        </w:tc>
        <w:tc>
          <w:tcPr>
            <w:tcW w:w="1134" w:type="dxa"/>
          </w:tcPr>
          <w:p w:rsidRPr="006F34CD" w:rsidR="00515FE0" w:rsidP="006F34CD" w:rsidRDefault="00515FE0" w14:paraId="1D39F5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270,980</w:t>
            </w:r>
          </w:p>
        </w:tc>
        <w:tc>
          <w:tcPr>
            <w:tcW w:w="992" w:type="dxa"/>
          </w:tcPr>
          <w:p w:rsidRPr="006F34CD" w:rsidR="00515FE0" w:rsidP="006F34CD" w:rsidRDefault="00515FE0" w14:paraId="53900D4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85A52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E025A51" w14:textId="77777777">
        <w:trPr>
          <w:cantSplit/>
        </w:trPr>
        <w:tc>
          <w:tcPr>
            <w:tcW w:w="2249" w:type="dxa"/>
          </w:tcPr>
          <w:p w:rsidRPr="006F34CD" w:rsidR="00515FE0" w:rsidP="006F34CD" w:rsidRDefault="00515FE0" w14:paraId="6488700D" w14:textId="74F5E00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Staronizhestebliyevskaya of the Krasnoarmeyskiy District</w:t>
            </w:r>
          </w:p>
        </w:tc>
        <w:tc>
          <w:tcPr>
            <w:tcW w:w="836" w:type="dxa"/>
          </w:tcPr>
          <w:p w:rsidRPr="006F34CD" w:rsidR="00515FE0" w:rsidP="006F34CD" w:rsidRDefault="00515FE0" w14:paraId="613F86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D2A00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Staronizhestebliyevskaya</w:t>
            </w:r>
          </w:p>
        </w:tc>
        <w:tc>
          <w:tcPr>
            <w:tcW w:w="1134" w:type="dxa"/>
          </w:tcPr>
          <w:p w:rsidRPr="006F34CD" w:rsidR="00515FE0" w:rsidP="006F34CD" w:rsidRDefault="00515FE0" w14:paraId="2F4F28B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DAB69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39BE0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39ED47C" w14:textId="77777777">
        <w:trPr>
          <w:cantSplit/>
        </w:trPr>
        <w:tc>
          <w:tcPr>
            <w:tcW w:w="2249" w:type="dxa"/>
          </w:tcPr>
          <w:p w:rsidRPr="006F34CD" w:rsidR="00515FE0" w:rsidP="006F34CD" w:rsidRDefault="00515FE0" w14:paraId="0B4F87C8" w14:textId="7A0F56E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Staroshcherbinovskaya</w:t>
            </w:r>
          </w:p>
        </w:tc>
        <w:tc>
          <w:tcPr>
            <w:tcW w:w="836" w:type="dxa"/>
          </w:tcPr>
          <w:p w:rsidRPr="006F34CD" w:rsidR="00515FE0" w:rsidP="006F34CD" w:rsidRDefault="00515FE0" w14:paraId="0518B9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09260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Staroshcherbinovskaya</w:t>
            </w:r>
          </w:p>
        </w:tc>
        <w:tc>
          <w:tcPr>
            <w:tcW w:w="1134" w:type="dxa"/>
          </w:tcPr>
          <w:p w:rsidRPr="006F34CD" w:rsidR="00515FE0" w:rsidP="006F34CD" w:rsidRDefault="00515FE0" w14:paraId="2A9BAD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4B65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48B6B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4566B6B" w14:textId="77777777">
        <w:trPr>
          <w:cantSplit/>
        </w:trPr>
        <w:tc>
          <w:tcPr>
            <w:tcW w:w="2249" w:type="dxa"/>
          </w:tcPr>
          <w:p w:rsidRPr="006F34CD" w:rsidR="00515FE0" w:rsidP="006F34CD" w:rsidRDefault="00515FE0" w14:paraId="5F4A8F82" w14:textId="5B7AAFB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 "Tsentralnaya, Stavropol"</w:t>
            </w:r>
          </w:p>
        </w:tc>
        <w:tc>
          <w:tcPr>
            <w:tcW w:w="836" w:type="dxa"/>
          </w:tcPr>
          <w:p w:rsidRPr="006F34CD" w:rsidR="00515FE0" w:rsidP="006F34CD" w:rsidRDefault="00515FE0" w14:paraId="4A704E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1895A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Stavropol</w:t>
            </w:r>
          </w:p>
        </w:tc>
        <w:tc>
          <w:tcPr>
            <w:tcW w:w="1134" w:type="dxa"/>
          </w:tcPr>
          <w:p w:rsidRPr="006F34CD" w:rsidR="00515FE0" w:rsidP="006F34CD" w:rsidRDefault="00515FE0" w14:paraId="1D5B7F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36CDF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388DB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BE71571" w14:textId="77777777">
        <w:trPr>
          <w:cantSplit/>
        </w:trPr>
        <w:tc>
          <w:tcPr>
            <w:tcW w:w="2249" w:type="dxa"/>
          </w:tcPr>
          <w:p w:rsidRPr="006F34CD" w:rsidR="00515FE0" w:rsidP="006F34CD" w:rsidRDefault="00515FE0" w14:paraId="7263AFA6" w14:textId="56047E0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Surgut</w:t>
            </w:r>
          </w:p>
        </w:tc>
        <w:tc>
          <w:tcPr>
            <w:tcW w:w="836" w:type="dxa"/>
          </w:tcPr>
          <w:p w:rsidRPr="006F34CD" w:rsidR="00515FE0" w:rsidP="006F34CD" w:rsidRDefault="00515FE0" w14:paraId="755673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10AB53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Surgut</w:t>
            </w:r>
          </w:p>
        </w:tc>
        <w:tc>
          <w:tcPr>
            <w:tcW w:w="1134" w:type="dxa"/>
          </w:tcPr>
          <w:p w:rsidRPr="006F34CD" w:rsidR="00515FE0" w:rsidP="006F34CD" w:rsidRDefault="00515FE0" w14:paraId="17A393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40,000</w:t>
            </w:r>
          </w:p>
        </w:tc>
        <w:tc>
          <w:tcPr>
            <w:tcW w:w="992" w:type="dxa"/>
          </w:tcPr>
          <w:p w:rsidRPr="006F34CD" w:rsidR="00515FE0" w:rsidP="006F34CD" w:rsidRDefault="00515FE0" w14:paraId="7954381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EF9B0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1564BDE" w14:textId="77777777">
        <w:trPr>
          <w:cantSplit/>
        </w:trPr>
        <w:tc>
          <w:tcPr>
            <w:tcW w:w="2249" w:type="dxa"/>
          </w:tcPr>
          <w:p w:rsidRPr="006F34CD" w:rsidR="00515FE0" w:rsidP="006F34CD" w:rsidRDefault="00515FE0" w14:paraId="2B2E6B04" w14:textId="637305B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Surovikino</w:t>
            </w:r>
          </w:p>
        </w:tc>
        <w:tc>
          <w:tcPr>
            <w:tcW w:w="836" w:type="dxa"/>
          </w:tcPr>
          <w:p w:rsidRPr="006F34CD" w:rsidR="00515FE0" w:rsidP="006F34CD" w:rsidRDefault="00515FE0" w14:paraId="2ECC3F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CAF39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Surovikino</w:t>
            </w:r>
          </w:p>
        </w:tc>
        <w:tc>
          <w:tcPr>
            <w:tcW w:w="1134" w:type="dxa"/>
          </w:tcPr>
          <w:p w:rsidRPr="006F34CD" w:rsidR="00515FE0" w:rsidP="006F34CD" w:rsidRDefault="00515FE0" w14:paraId="193420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FC01C7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810388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171A536" w14:textId="77777777">
        <w:trPr>
          <w:cantSplit/>
        </w:trPr>
        <w:tc>
          <w:tcPr>
            <w:tcW w:w="2249" w:type="dxa"/>
          </w:tcPr>
          <w:p w:rsidRPr="006F34CD" w:rsidR="00515FE0" w:rsidP="006F34CD" w:rsidRDefault="00515FE0" w14:paraId="16A96AE7" w14:textId="356242C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Svetliy Yar of the Volgograd Region</w:t>
            </w:r>
          </w:p>
        </w:tc>
        <w:tc>
          <w:tcPr>
            <w:tcW w:w="836" w:type="dxa"/>
          </w:tcPr>
          <w:p w:rsidRPr="006F34CD" w:rsidR="00515FE0" w:rsidP="006F34CD" w:rsidRDefault="00515FE0" w14:paraId="7C76DF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75907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r.pos. Svetliy Yar</w:t>
            </w:r>
          </w:p>
        </w:tc>
        <w:tc>
          <w:tcPr>
            <w:tcW w:w="1134" w:type="dxa"/>
          </w:tcPr>
          <w:p w:rsidRPr="006F34CD" w:rsidR="00515FE0" w:rsidP="006F34CD" w:rsidRDefault="00515FE0" w14:paraId="2D759F4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46BE4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A1778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5317894" w14:textId="77777777">
        <w:trPr>
          <w:cantSplit/>
        </w:trPr>
        <w:tc>
          <w:tcPr>
            <w:tcW w:w="2249" w:type="dxa"/>
          </w:tcPr>
          <w:p w:rsidRPr="006F34CD" w:rsidR="00515FE0" w:rsidP="006F34CD" w:rsidRDefault="00515FE0" w14:paraId="3FDBD425" w14:textId="1045736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Svetlograd</w:t>
            </w:r>
          </w:p>
        </w:tc>
        <w:tc>
          <w:tcPr>
            <w:tcW w:w="836" w:type="dxa"/>
          </w:tcPr>
          <w:p w:rsidRPr="006F34CD" w:rsidR="00515FE0" w:rsidP="006F34CD" w:rsidRDefault="00515FE0" w14:paraId="6F666C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76BBA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Svetlograd</w:t>
            </w:r>
          </w:p>
        </w:tc>
        <w:tc>
          <w:tcPr>
            <w:tcW w:w="1134" w:type="dxa"/>
          </w:tcPr>
          <w:p w:rsidRPr="006F34CD" w:rsidR="00515FE0" w:rsidP="006F34CD" w:rsidRDefault="00515FE0" w14:paraId="0AE339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28,965</w:t>
            </w:r>
          </w:p>
        </w:tc>
        <w:tc>
          <w:tcPr>
            <w:tcW w:w="992" w:type="dxa"/>
          </w:tcPr>
          <w:p w:rsidRPr="006F34CD" w:rsidR="00515FE0" w:rsidP="006F34CD" w:rsidRDefault="00515FE0" w14:paraId="4A1A53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F016FF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310093A" w14:textId="77777777">
        <w:trPr>
          <w:cantSplit/>
        </w:trPr>
        <w:tc>
          <w:tcPr>
            <w:tcW w:w="2249" w:type="dxa"/>
          </w:tcPr>
          <w:p w:rsidRPr="006F34CD" w:rsidR="00515FE0" w:rsidP="006F34CD" w:rsidRDefault="00515FE0" w14:paraId="75EB866D" w14:textId="70C3DC6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"Syktyvkar"</w:t>
            </w:r>
          </w:p>
        </w:tc>
        <w:tc>
          <w:tcPr>
            <w:tcW w:w="836" w:type="dxa"/>
          </w:tcPr>
          <w:p w:rsidRPr="006F34CD" w:rsidR="00515FE0" w:rsidP="006F34CD" w:rsidRDefault="00515FE0" w14:paraId="6790FA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3FE451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Syktyvkar</w:t>
            </w:r>
          </w:p>
        </w:tc>
        <w:tc>
          <w:tcPr>
            <w:tcW w:w="1134" w:type="dxa"/>
          </w:tcPr>
          <w:p w:rsidRPr="006F34CD" w:rsidR="00515FE0" w:rsidP="006F34CD" w:rsidRDefault="00515FE0" w14:paraId="3515ED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168,486</w:t>
            </w:r>
          </w:p>
        </w:tc>
        <w:tc>
          <w:tcPr>
            <w:tcW w:w="992" w:type="dxa"/>
          </w:tcPr>
          <w:p w:rsidRPr="006F34CD" w:rsidR="00515FE0" w:rsidP="006F34CD" w:rsidRDefault="00515FE0" w14:paraId="253B210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86F5B5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3AD9774" w14:textId="77777777">
        <w:trPr>
          <w:cantSplit/>
        </w:trPr>
        <w:tc>
          <w:tcPr>
            <w:tcW w:w="2249" w:type="dxa"/>
          </w:tcPr>
          <w:p w:rsidRPr="006F34CD" w:rsidR="00515FE0" w:rsidP="006F34CD" w:rsidRDefault="00515FE0" w14:paraId="693EA9C5" w14:textId="561D6E6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Syzran</w:t>
            </w:r>
          </w:p>
        </w:tc>
        <w:tc>
          <w:tcPr>
            <w:tcW w:w="836" w:type="dxa"/>
          </w:tcPr>
          <w:p w:rsidRPr="006F34CD" w:rsidR="00515FE0" w:rsidP="006F34CD" w:rsidRDefault="00515FE0" w14:paraId="2403D1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417B45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Syzran</w:t>
            </w:r>
          </w:p>
        </w:tc>
        <w:tc>
          <w:tcPr>
            <w:tcW w:w="1134" w:type="dxa"/>
          </w:tcPr>
          <w:p w:rsidRPr="006F34CD" w:rsidR="00515FE0" w:rsidP="006F34CD" w:rsidRDefault="00515FE0" w14:paraId="3124DBF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E1694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33C845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4DF2E7D" w14:textId="77777777">
        <w:trPr>
          <w:cantSplit/>
        </w:trPr>
        <w:tc>
          <w:tcPr>
            <w:tcW w:w="2249" w:type="dxa"/>
          </w:tcPr>
          <w:p w:rsidRPr="006F34CD" w:rsidR="00515FE0" w:rsidP="006F34CD" w:rsidRDefault="00515FE0" w14:paraId="6598309A" w14:textId="6FFD2F4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Town of Talmenka</w:t>
            </w:r>
          </w:p>
        </w:tc>
        <w:tc>
          <w:tcPr>
            <w:tcW w:w="836" w:type="dxa"/>
          </w:tcPr>
          <w:p w:rsidRPr="006F34CD" w:rsidR="00515FE0" w:rsidP="006F34CD" w:rsidRDefault="00515FE0" w14:paraId="1A8D80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2009</w:t>
            </w:r>
          </w:p>
        </w:tc>
        <w:tc>
          <w:tcPr>
            <w:tcW w:w="1305" w:type="dxa"/>
          </w:tcPr>
          <w:p w:rsidRPr="006F34CD" w:rsidR="00515FE0" w:rsidP="006F34CD" w:rsidRDefault="00515FE0" w14:paraId="418F3D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Talmenka</w:t>
            </w:r>
          </w:p>
        </w:tc>
        <w:tc>
          <w:tcPr>
            <w:tcW w:w="1134" w:type="dxa"/>
          </w:tcPr>
          <w:p w:rsidRPr="006F34CD" w:rsidR="00515FE0" w:rsidP="006F34CD" w:rsidRDefault="00515FE0" w14:paraId="2F3455B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CA170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4E1C8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8583C6C" w14:textId="77777777">
        <w:trPr>
          <w:cantSplit/>
        </w:trPr>
        <w:tc>
          <w:tcPr>
            <w:tcW w:w="2249" w:type="dxa"/>
          </w:tcPr>
          <w:p w:rsidRPr="006F34CD" w:rsidR="00515FE0" w:rsidP="006F34CD" w:rsidRDefault="00515FE0" w14:paraId="110748DB" w14:textId="030D6C7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Tashtagol</w:t>
            </w:r>
          </w:p>
        </w:tc>
        <w:tc>
          <w:tcPr>
            <w:tcW w:w="836" w:type="dxa"/>
          </w:tcPr>
          <w:p w:rsidRPr="006F34CD" w:rsidR="00515FE0" w:rsidP="006F34CD" w:rsidRDefault="00515FE0" w14:paraId="5F82AC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1995</w:t>
            </w:r>
          </w:p>
        </w:tc>
        <w:tc>
          <w:tcPr>
            <w:tcW w:w="1305" w:type="dxa"/>
          </w:tcPr>
          <w:p w:rsidRPr="006F34CD" w:rsidR="00515FE0" w:rsidP="006F34CD" w:rsidRDefault="00515FE0" w14:paraId="330FA5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Tashtagol</w:t>
            </w:r>
          </w:p>
        </w:tc>
        <w:tc>
          <w:tcPr>
            <w:tcW w:w="1134" w:type="dxa"/>
          </w:tcPr>
          <w:p w:rsidRPr="006F34CD" w:rsidR="00515FE0" w:rsidP="006F34CD" w:rsidRDefault="00515FE0" w14:paraId="7A51AD5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14,008</w:t>
            </w:r>
          </w:p>
        </w:tc>
        <w:tc>
          <w:tcPr>
            <w:tcW w:w="992" w:type="dxa"/>
          </w:tcPr>
          <w:p w:rsidRPr="006F34CD" w:rsidR="00515FE0" w:rsidP="006F34CD" w:rsidRDefault="00515FE0" w14:paraId="2A7492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51742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5011B49" w14:textId="77777777">
        <w:trPr>
          <w:cantSplit/>
        </w:trPr>
        <w:tc>
          <w:tcPr>
            <w:tcW w:w="2249" w:type="dxa"/>
          </w:tcPr>
          <w:p w:rsidRPr="006F34CD" w:rsidR="00515FE0" w:rsidP="006F34CD" w:rsidRDefault="00515FE0" w14:paraId="6C12E601" w14:textId="7438D92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"Tayshet"</w:t>
            </w:r>
          </w:p>
        </w:tc>
        <w:tc>
          <w:tcPr>
            <w:tcW w:w="836" w:type="dxa"/>
          </w:tcPr>
          <w:p w:rsidRPr="006F34CD" w:rsidR="00515FE0" w:rsidP="006F34CD" w:rsidRDefault="00515FE0" w14:paraId="2C0EAE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4A463B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Tayshet</w:t>
            </w:r>
          </w:p>
        </w:tc>
        <w:tc>
          <w:tcPr>
            <w:tcW w:w="1134" w:type="dxa"/>
          </w:tcPr>
          <w:p w:rsidRPr="006F34CD" w:rsidR="00515FE0" w:rsidP="006F34CD" w:rsidRDefault="00515FE0" w14:paraId="0353549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2EDFC3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96364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8A7C23A" w14:textId="77777777">
        <w:trPr>
          <w:cantSplit/>
        </w:trPr>
        <w:tc>
          <w:tcPr>
            <w:tcW w:w="2249" w:type="dxa"/>
          </w:tcPr>
          <w:p w:rsidRPr="006F34CD" w:rsidR="00515FE0" w:rsidP="006F34CD" w:rsidRDefault="00515FE0" w14:paraId="2680A8F2" w14:textId="533E55F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Tbilisskaya</w:t>
            </w:r>
          </w:p>
        </w:tc>
        <w:tc>
          <w:tcPr>
            <w:tcW w:w="836" w:type="dxa"/>
          </w:tcPr>
          <w:p w:rsidRPr="006F34CD" w:rsidR="00515FE0" w:rsidP="006F34CD" w:rsidRDefault="00515FE0" w14:paraId="30DE15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52DFEB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Tbilisskaya</w:t>
            </w:r>
          </w:p>
        </w:tc>
        <w:tc>
          <w:tcPr>
            <w:tcW w:w="1134" w:type="dxa"/>
          </w:tcPr>
          <w:p w:rsidRPr="006F34CD" w:rsidR="00515FE0" w:rsidP="006F34CD" w:rsidRDefault="00515FE0" w14:paraId="7355449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50,622</w:t>
            </w:r>
          </w:p>
        </w:tc>
        <w:tc>
          <w:tcPr>
            <w:tcW w:w="992" w:type="dxa"/>
          </w:tcPr>
          <w:p w:rsidRPr="006F34CD" w:rsidR="00515FE0" w:rsidP="006F34CD" w:rsidRDefault="00515FE0" w14:paraId="293483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EA7DBC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54E698D" w14:textId="77777777">
        <w:trPr>
          <w:cantSplit/>
        </w:trPr>
        <w:tc>
          <w:tcPr>
            <w:tcW w:w="2249" w:type="dxa"/>
          </w:tcPr>
          <w:p w:rsidRPr="006F34CD" w:rsidR="00515FE0" w:rsidP="006F34CD" w:rsidRDefault="00515FE0" w14:paraId="06D30FDA" w14:textId="29B512C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Temryuk</w:t>
            </w:r>
          </w:p>
        </w:tc>
        <w:tc>
          <w:tcPr>
            <w:tcW w:w="836" w:type="dxa"/>
          </w:tcPr>
          <w:p w:rsidRPr="006F34CD" w:rsidR="00515FE0" w:rsidP="006F34CD" w:rsidRDefault="00515FE0" w14:paraId="6A13DD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1722D0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Temryuk</w:t>
            </w:r>
          </w:p>
        </w:tc>
        <w:tc>
          <w:tcPr>
            <w:tcW w:w="1134" w:type="dxa"/>
          </w:tcPr>
          <w:p w:rsidRPr="006F34CD" w:rsidR="00515FE0" w:rsidP="006F34CD" w:rsidRDefault="00515FE0" w14:paraId="2DB319C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147,690</w:t>
            </w:r>
          </w:p>
        </w:tc>
        <w:tc>
          <w:tcPr>
            <w:tcW w:w="992" w:type="dxa"/>
          </w:tcPr>
          <w:p w:rsidRPr="006F34CD" w:rsidR="00515FE0" w:rsidP="006F34CD" w:rsidRDefault="00515FE0" w14:paraId="4AEFE3C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002C5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51E1E12" w14:textId="77777777">
        <w:trPr>
          <w:cantSplit/>
        </w:trPr>
        <w:tc>
          <w:tcPr>
            <w:tcW w:w="2249" w:type="dxa"/>
          </w:tcPr>
          <w:p w:rsidRPr="006F34CD" w:rsidR="00515FE0" w:rsidP="006F34CD" w:rsidRDefault="00515FE0" w14:paraId="1C341A5F" w14:textId="2BD4596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Teykovo</w:t>
            </w:r>
          </w:p>
        </w:tc>
        <w:tc>
          <w:tcPr>
            <w:tcW w:w="836" w:type="dxa"/>
          </w:tcPr>
          <w:p w:rsidRPr="006F34CD" w:rsidR="00515FE0" w:rsidP="006F34CD" w:rsidRDefault="00515FE0" w14:paraId="15E461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57619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Teykovo</w:t>
            </w:r>
          </w:p>
        </w:tc>
        <w:tc>
          <w:tcPr>
            <w:tcW w:w="1134" w:type="dxa"/>
          </w:tcPr>
          <w:p w:rsidRPr="006F34CD" w:rsidR="00515FE0" w:rsidP="006F34CD" w:rsidRDefault="00515FE0" w14:paraId="4EC68C8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208FBB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DAD86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E804FE5" w14:textId="77777777">
        <w:trPr>
          <w:cantSplit/>
        </w:trPr>
        <w:tc>
          <w:tcPr>
            <w:tcW w:w="2249" w:type="dxa"/>
          </w:tcPr>
          <w:p w:rsidRPr="006F34CD" w:rsidR="00515FE0" w:rsidP="006F34CD" w:rsidRDefault="00515FE0" w14:paraId="0F746891" w14:textId="4844412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Tikhoretsk</w:t>
            </w:r>
          </w:p>
        </w:tc>
        <w:tc>
          <w:tcPr>
            <w:tcW w:w="836" w:type="dxa"/>
          </w:tcPr>
          <w:p w:rsidRPr="006F34CD" w:rsidR="00515FE0" w:rsidP="006F34CD" w:rsidRDefault="00515FE0" w14:paraId="7FDC35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E0AC8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Tikhoretsk</w:t>
            </w:r>
          </w:p>
        </w:tc>
        <w:tc>
          <w:tcPr>
            <w:tcW w:w="1134" w:type="dxa"/>
          </w:tcPr>
          <w:p w:rsidRPr="006F34CD" w:rsidR="00515FE0" w:rsidP="006F34CD" w:rsidRDefault="00515FE0" w14:paraId="3EB5351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C241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F4FAB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88B83AC" w14:textId="77777777">
        <w:trPr>
          <w:cantSplit/>
        </w:trPr>
        <w:tc>
          <w:tcPr>
            <w:tcW w:w="2249" w:type="dxa"/>
          </w:tcPr>
          <w:p w:rsidRPr="006F34CD" w:rsidR="00515FE0" w:rsidP="006F34CD" w:rsidRDefault="00515FE0" w14:paraId="6B85B02C" w14:textId="7BD492E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Timashevsk</w:t>
            </w:r>
          </w:p>
        </w:tc>
        <w:tc>
          <w:tcPr>
            <w:tcW w:w="836" w:type="dxa"/>
          </w:tcPr>
          <w:p w:rsidRPr="006F34CD" w:rsidR="00515FE0" w:rsidP="006F34CD" w:rsidRDefault="00515FE0" w14:paraId="02C479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67EA4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Timashevsk</w:t>
            </w:r>
          </w:p>
        </w:tc>
        <w:tc>
          <w:tcPr>
            <w:tcW w:w="1134" w:type="dxa"/>
          </w:tcPr>
          <w:p w:rsidRPr="006F34CD" w:rsidR="00515FE0" w:rsidP="006F34CD" w:rsidRDefault="00515FE0" w14:paraId="036ED56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FDD83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E5B88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1B84654" w14:textId="77777777">
        <w:trPr>
          <w:cantSplit/>
        </w:trPr>
        <w:tc>
          <w:tcPr>
            <w:tcW w:w="2249" w:type="dxa"/>
          </w:tcPr>
          <w:p w:rsidRPr="006F34CD" w:rsidR="00515FE0" w:rsidP="006F34CD" w:rsidRDefault="00515FE0" w14:paraId="5B472B2F" w14:textId="288D507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"Tolyatti"</w:t>
            </w:r>
          </w:p>
        </w:tc>
        <w:tc>
          <w:tcPr>
            <w:tcW w:w="836" w:type="dxa"/>
          </w:tcPr>
          <w:p w:rsidRPr="006F34CD" w:rsidR="00515FE0" w:rsidP="006F34CD" w:rsidRDefault="00515FE0" w14:paraId="545091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1F541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Tolyatti</w:t>
            </w:r>
          </w:p>
        </w:tc>
        <w:tc>
          <w:tcPr>
            <w:tcW w:w="1134" w:type="dxa"/>
          </w:tcPr>
          <w:p w:rsidRPr="006F34CD" w:rsidR="00515FE0" w:rsidP="006F34CD" w:rsidRDefault="00515FE0" w14:paraId="28E867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65,853</w:t>
            </w:r>
          </w:p>
        </w:tc>
        <w:tc>
          <w:tcPr>
            <w:tcW w:w="992" w:type="dxa"/>
          </w:tcPr>
          <w:p w:rsidRPr="006F34CD" w:rsidR="00515FE0" w:rsidP="006F34CD" w:rsidRDefault="00515FE0" w14:paraId="76D294A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79ECA0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0638618" w14:textId="77777777">
        <w:trPr>
          <w:cantSplit/>
        </w:trPr>
        <w:tc>
          <w:tcPr>
            <w:tcW w:w="2249" w:type="dxa"/>
          </w:tcPr>
          <w:p w:rsidRPr="006F34CD" w:rsidR="00515FE0" w:rsidP="006F34CD" w:rsidRDefault="00515FE0" w14:paraId="456EE6AC" w14:textId="4A10EF1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Tsimlyansk</w:t>
            </w:r>
          </w:p>
        </w:tc>
        <w:tc>
          <w:tcPr>
            <w:tcW w:w="836" w:type="dxa"/>
          </w:tcPr>
          <w:p w:rsidRPr="006F34CD" w:rsidR="00515FE0" w:rsidP="006F34CD" w:rsidRDefault="00515FE0" w14:paraId="4A942C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17CFA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Tsimlyansk</w:t>
            </w:r>
          </w:p>
        </w:tc>
        <w:tc>
          <w:tcPr>
            <w:tcW w:w="1134" w:type="dxa"/>
          </w:tcPr>
          <w:p w:rsidRPr="006F34CD" w:rsidR="00515FE0" w:rsidP="006F34CD" w:rsidRDefault="00515FE0" w14:paraId="22B345A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84765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EBD54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3A52632" w14:textId="77777777">
        <w:trPr>
          <w:cantSplit/>
        </w:trPr>
        <w:tc>
          <w:tcPr>
            <w:tcW w:w="2249" w:type="dxa"/>
          </w:tcPr>
          <w:p w:rsidRPr="006F34CD" w:rsidR="00515FE0" w:rsidP="006F34CD" w:rsidRDefault="00515FE0" w14:paraId="051BFAA6" w14:textId="57734B6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Tuapse</w:t>
            </w:r>
          </w:p>
        </w:tc>
        <w:tc>
          <w:tcPr>
            <w:tcW w:w="836" w:type="dxa"/>
          </w:tcPr>
          <w:p w:rsidRPr="006F34CD" w:rsidR="00515FE0" w:rsidP="006F34CD" w:rsidRDefault="00515FE0" w14:paraId="1D6B61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B7771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Tuapse</w:t>
            </w:r>
          </w:p>
        </w:tc>
        <w:tc>
          <w:tcPr>
            <w:tcW w:w="1134" w:type="dxa"/>
          </w:tcPr>
          <w:p w:rsidRPr="006F34CD" w:rsidR="00515FE0" w:rsidP="006F34CD" w:rsidRDefault="00515FE0" w14:paraId="70576CF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4FCC4E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01BC01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3012E12" w14:textId="77777777">
        <w:trPr>
          <w:cantSplit/>
        </w:trPr>
        <w:tc>
          <w:tcPr>
            <w:tcW w:w="2249" w:type="dxa"/>
          </w:tcPr>
          <w:p w:rsidRPr="006F34CD" w:rsidR="00515FE0" w:rsidP="006F34CD" w:rsidRDefault="00515FE0" w14:paraId="01B71EF7" w14:textId="5423756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Tula</w:t>
            </w:r>
          </w:p>
        </w:tc>
        <w:tc>
          <w:tcPr>
            <w:tcW w:w="836" w:type="dxa"/>
          </w:tcPr>
          <w:p w:rsidRPr="006F34CD" w:rsidR="00515FE0" w:rsidP="006F34CD" w:rsidRDefault="00515FE0" w14:paraId="692B92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47943E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Tula</w:t>
            </w:r>
          </w:p>
        </w:tc>
        <w:tc>
          <w:tcPr>
            <w:tcW w:w="1134" w:type="dxa"/>
          </w:tcPr>
          <w:p w:rsidRPr="006F34CD" w:rsidR="00515FE0" w:rsidP="006F34CD" w:rsidRDefault="00515FE0" w14:paraId="1D3F659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50,000</w:t>
            </w:r>
          </w:p>
        </w:tc>
        <w:tc>
          <w:tcPr>
            <w:tcW w:w="992" w:type="dxa"/>
          </w:tcPr>
          <w:p w:rsidRPr="006F34CD" w:rsidR="00515FE0" w:rsidP="006F34CD" w:rsidRDefault="00515FE0" w14:paraId="2428202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2654B2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5B157CF" w14:textId="77777777">
        <w:trPr>
          <w:cantSplit/>
        </w:trPr>
        <w:tc>
          <w:tcPr>
            <w:tcW w:w="2249" w:type="dxa"/>
          </w:tcPr>
          <w:p w:rsidRPr="006F34CD" w:rsidR="00515FE0" w:rsidP="006F34CD" w:rsidRDefault="00515FE0" w14:paraId="0F516200" w14:textId="4A1324A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Tulskiy</w:t>
            </w:r>
          </w:p>
        </w:tc>
        <w:tc>
          <w:tcPr>
            <w:tcW w:w="836" w:type="dxa"/>
          </w:tcPr>
          <w:p w:rsidRPr="006F34CD" w:rsidR="00515FE0" w:rsidP="006F34CD" w:rsidRDefault="00515FE0" w14:paraId="40295E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0E17B5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Tulskiy</w:t>
            </w:r>
          </w:p>
        </w:tc>
        <w:tc>
          <w:tcPr>
            <w:tcW w:w="1134" w:type="dxa"/>
          </w:tcPr>
          <w:p w:rsidRPr="006F34CD" w:rsidR="00515FE0" w:rsidP="006F34CD" w:rsidRDefault="00515FE0" w14:paraId="3EA4EE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586FDCC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676C6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17ED570" w14:textId="77777777">
        <w:trPr>
          <w:cantSplit/>
        </w:trPr>
        <w:tc>
          <w:tcPr>
            <w:tcW w:w="2249" w:type="dxa"/>
          </w:tcPr>
          <w:p w:rsidRPr="006F34CD" w:rsidR="00515FE0" w:rsidP="006F34CD" w:rsidRDefault="00515FE0" w14:paraId="1F825C12" w14:textId="1B11804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Tulun</w:t>
            </w:r>
          </w:p>
        </w:tc>
        <w:tc>
          <w:tcPr>
            <w:tcW w:w="836" w:type="dxa"/>
          </w:tcPr>
          <w:p w:rsidRPr="006F34CD" w:rsidR="00515FE0" w:rsidP="006F34CD" w:rsidRDefault="00515FE0" w14:paraId="6712D7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8D04C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Tulun</w:t>
            </w:r>
          </w:p>
        </w:tc>
        <w:tc>
          <w:tcPr>
            <w:tcW w:w="1134" w:type="dxa"/>
          </w:tcPr>
          <w:p w:rsidRPr="006F34CD" w:rsidR="00515FE0" w:rsidP="006F34CD" w:rsidRDefault="00515FE0" w14:paraId="4A121C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3E373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7C9BD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6634C96" w14:textId="77777777">
        <w:trPr>
          <w:cantSplit/>
        </w:trPr>
        <w:tc>
          <w:tcPr>
            <w:tcW w:w="2249" w:type="dxa"/>
          </w:tcPr>
          <w:p w:rsidRPr="006F34CD" w:rsidR="00515FE0" w:rsidP="006F34CD" w:rsidRDefault="00515FE0" w14:paraId="09CF14FD" w14:textId="7D0B1FF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Tutayev</w:t>
            </w:r>
          </w:p>
        </w:tc>
        <w:tc>
          <w:tcPr>
            <w:tcW w:w="836" w:type="dxa"/>
          </w:tcPr>
          <w:p w:rsidRPr="006F34CD" w:rsidR="00515FE0" w:rsidP="006F34CD" w:rsidRDefault="00515FE0" w14:paraId="6864E5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01C85D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Tutayev</w:t>
            </w:r>
          </w:p>
        </w:tc>
        <w:tc>
          <w:tcPr>
            <w:tcW w:w="1134" w:type="dxa"/>
          </w:tcPr>
          <w:p w:rsidRPr="006F34CD" w:rsidR="00515FE0" w:rsidP="006F34CD" w:rsidRDefault="00515FE0" w14:paraId="7EB3C47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8585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A6E59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7E15378" w14:textId="77777777">
        <w:trPr>
          <w:cantSplit/>
        </w:trPr>
        <w:tc>
          <w:tcPr>
            <w:tcW w:w="2249" w:type="dxa"/>
          </w:tcPr>
          <w:p w:rsidRPr="006F34CD" w:rsidR="00515FE0" w:rsidP="006F34CD" w:rsidRDefault="00515FE0" w14:paraId="6A7DE9E3" w14:textId="163FBA5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Tynda</w:t>
            </w:r>
          </w:p>
        </w:tc>
        <w:tc>
          <w:tcPr>
            <w:tcW w:w="836" w:type="dxa"/>
          </w:tcPr>
          <w:p w:rsidRPr="006F34CD" w:rsidR="00515FE0" w:rsidP="006F34CD" w:rsidRDefault="00515FE0" w14:paraId="7B8289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9E86E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Tynda</w:t>
            </w:r>
          </w:p>
        </w:tc>
        <w:tc>
          <w:tcPr>
            <w:tcW w:w="1134" w:type="dxa"/>
          </w:tcPr>
          <w:p w:rsidRPr="006F34CD" w:rsidR="00515FE0" w:rsidP="006F34CD" w:rsidRDefault="00515FE0" w14:paraId="44D163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FF23D3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B23CF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890A327" w14:textId="77777777">
        <w:trPr>
          <w:cantSplit/>
        </w:trPr>
        <w:tc>
          <w:tcPr>
            <w:tcW w:w="2249" w:type="dxa"/>
          </w:tcPr>
          <w:p w:rsidRPr="006F34CD" w:rsidR="00515FE0" w:rsidP="006F34CD" w:rsidRDefault="00515FE0" w14:paraId="0A4BDF5D" w14:textId="18EDE16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Uchaly</w:t>
            </w:r>
          </w:p>
        </w:tc>
        <w:tc>
          <w:tcPr>
            <w:tcW w:w="836" w:type="dxa"/>
          </w:tcPr>
          <w:p w:rsidRPr="006F34CD" w:rsidR="00515FE0" w:rsidP="006F34CD" w:rsidRDefault="00515FE0" w14:paraId="1BC4B2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3F435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Uchaly</w:t>
            </w:r>
          </w:p>
        </w:tc>
        <w:tc>
          <w:tcPr>
            <w:tcW w:w="1134" w:type="dxa"/>
          </w:tcPr>
          <w:p w:rsidRPr="006F34CD" w:rsidR="00515FE0" w:rsidP="006F34CD" w:rsidRDefault="00515FE0" w14:paraId="2AB3531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87A32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A8AC41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8CC745A" w14:textId="77777777">
        <w:trPr>
          <w:cantSplit/>
        </w:trPr>
        <w:tc>
          <w:tcPr>
            <w:tcW w:w="2249" w:type="dxa"/>
          </w:tcPr>
          <w:p w:rsidRPr="006F34CD" w:rsidR="00515FE0" w:rsidP="006F34CD" w:rsidRDefault="00515FE0" w14:paraId="5FD00D58" w14:textId="4E54437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"Udachniy"</w:t>
            </w:r>
          </w:p>
        </w:tc>
        <w:tc>
          <w:tcPr>
            <w:tcW w:w="836" w:type="dxa"/>
          </w:tcPr>
          <w:p w:rsidRPr="006F34CD" w:rsidR="00515FE0" w:rsidP="006F34CD" w:rsidRDefault="00515FE0" w14:paraId="4B9CE4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CFD96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Udachniy</w:t>
            </w:r>
          </w:p>
        </w:tc>
        <w:tc>
          <w:tcPr>
            <w:tcW w:w="1134" w:type="dxa"/>
          </w:tcPr>
          <w:p w:rsidRPr="006F34CD" w:rsidR="00515FE0" w:rsidP="006F34CD" w:rsidRDefault="00515FE0" w14:paraId="07804AF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C95D4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B0CE57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9FCE3B4" w14:textId="77777777">
        <w:trPr>
          <w:cantSplit/>
        </w:trPr>
        <w:tc>
          <w:tcPr>
            <w:tcW w:w="2249" w:type="dxa"/>
          </w:tcPr>
          <w:p w:rsidRPr="006F34CD" w:rsidR="00515FE0" w:rsidP="006F34CD" w:rsidRDefault="00515FE0" w14:paraId="66988446" w14:textId="25A36C7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"Ufa"</w:t>
            </w:r>
          </w:p>
        </w:tc>
        <w:tc>
          <w:tcPr>
            <w:tcW w:w="836" w:type="dxa"/>
          </w:tcPr>
          <w:p w:rsidRPr="006F34CD" w:rsidR="00515FE0" w:rsidP="006F34CD" w:rsidRDefault="00515FE0" w14:paraId="04175A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EFCAD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Ufa</w:t>
            </w:r>
          </w:p>
        </w:tc>
        <w:tc>
          <w:tcPr>
            <w:tcW w:w="1134" w:type="dxa"/>
          </w:tcPr>
          <w:p w:rsidRPr="006F34CD" w:rsidR="00515FE0" w:rsidP="006F34CD" w:rsidRDefault="00515FE0" w14:paraId="0E8E62A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6AD58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88DFBA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4CF874C" w14:textId="77777777">
        <w:trPr>
          <w:cantSplit/>
        </w:trPr>
        <w:tc>
          <w:tcPr>
            <w:tcW w:w="2249" w:type="dxa"/>
          </w:tcPr>
          <w:p w:rsidRPr="006F34CD" w:rsidR="00515FE0" w:rsidP="006F34CD" w:rsidRDefault="00515FE0" w14:paraId="25B851A6" w14:textId="26DF45F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"Ukhta"</w:t>
            </w:r>
          </w:p>
        </w:tc>
        <w:tc>
          <w:tcPr>
            <w:tcW w:w="836" w:type="dxa"/>
          </w:tcPr>
          <w:p w:rsidRPr="006F34CD" w:rsidR="00515FE0" w:rsidP="006F34CD" w:rsidRDefault="00515FE0" w14:paraId="2B211E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309457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Ukhta</w:t>
            </w:r>
          </w:p>
        </w:tc>
        <w:tc>
          <w:tcPr>
            <w:tcW w:w="1134" w:type="dxa"/>
          </w:tcPr>
          <w:p w:rsidRPr="006F34CD" w:rsidR="00515FE0" w:rsidP="006F34CD" w:rsidRDefault="00515FE0" w14:paraId="45E8CAD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40,000</w:t>
            </w:r>
          </w:p>
        </w:tc>
        <w:tc>
          <w:tcPr>
            <w:tcW w:w="992" w:type="dxa"/>
          </w:tcPr>
          <w:p w:rsidRPr="006F34CD" w:rsidR="00515FE0" w:rsidP="006F34CD" w:rsidRDefault="00515FE0" w14:paraId="0EB9EF6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E21E15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D0EACD7" w14:textId="77777777">
        <w:trPr>
          <w:cantSplit/>
        </w:trPr>
        <w:tc>
          <w:tcPr>
            <w:tcW w:w="2249" w:type="dxa"/>
          </w:tcPr>
          <w:p w:rsidRPr="006F34CD" w:rsidR="00515FE0" w:rsidP="006F34CD" w:rsidRDefault="00515FE0" w14:paraId="688658A1" w14:textId="3E03726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Yarega</w:t>
            </w:r>
          </w:p>
        </w:tc>
        <w:tc>
          <w:tcPr>
            <w:tcW w:w="836" w:type="dxa"/>
          </w:tcPr>
          <w:p w:rsidRPr="006F34CD" w:rsidR="00515FE0" w:rsidP="006F34CD" w:rsidRDefault="00515FE0" w14:paraId="050319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62F6AE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Ukhta</w:t>
            </w:r>
          </w:p>
        </w:tc>
        <w:tc>
          <w:tcPr>
            <w:tcW w:w="1134" w:type="dxa"/>
          </w:tcPr>
          <w:p w:rsidRPr="006F34CD" w:rsidR="00515FE0" w:rsidP="006F34CD" w:rsidRDefault="00515FE0" w14:paraId="2C9329A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24B171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653EF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5392ECB" w14:textId="77777777">
        <w:trPr>
          <w:cantSplit/>
        </w:trPr>
        <w:tc>
          <w:tcPr>
            <w:tcW w:w="2249" w:type="dxa"/>
          </w:tcPr>
          <w:p w:rsidRPr="006F34CD" w:rsidR="00515FE0" w:rsidP="006F34CD" w:rsidRDefault="00515FE0" w14:paraId="5709833B" w14:textId="64D4899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Ulan-Ude</w:t>
            </w:r>
          </w:p>
        </w:tc>
        <w:tc>
          <w:tcPr>
            <w:tcW w:w="836" w:type="dxa"/>
          </w:tcPr>
          <w:p w:rsidRPr="006F34CD" w:rsidR="00515FE0" w:rsidP="006F34CD" w:rsidRDefault="00515FE0" w14:paraId="22FC41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25983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Ulan-Ude</w:t>
            </w:r>
          </w:p>
        </w:tc>
        <w:tc>
          <w:tcPr>
            <w:tcW w:w="1134" w:type="dxa"/>
          </w:tcPr>
          <w:p w:rsidRPr="006F34CD" w:rsidR="00515FE0" w:rsidP="006F34CD" w:rsidRDefault="00515FE0" w14:paraId="7F1744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176,239</w:t>
            </w:r>
          </w:p>
        </w:tc>
        <w:tc>
          <w:tcPr>
            <w:tcW w:w="992" w:type="dxa"/>
          </w:tcPr>
          <w:p w:rsidRPr="006F34CD" w:rsidR="00515FE0" w:rsidP="006F34CD" w:rsidRDefault="00515FE0" w14:paraId="3AA5418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0CEB66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8A75280" w14:textId="77777777">
        <w:trPr>
          <w:cantSplit/>
        </w:trPr>
        <w:tc>
          <w:tcPr>
            <w:tcW w:w="2249" w:type="dxa"/>
          </w:tcPr>
          <w:p w:rsidRPr="006F34CD" w:rsidR="00515FE0" w:rsidP="006F34CD" w:rsidRDefault="00515FE0" w14:paraId="3DC4E867" w14:textId="291CCEE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Ulyanovsk</w:t>
            </w:r>
          </w:p>
        </w:tc>
        <w:tc>
          <w:tcPr>
            <w:tcW w:w="836" w:type="dxa"/>
          </w:tcPr>
          <w:p w:rsidRPr="006F34CD" w:rsidR="00515FE0" w:rsidP="006F34CD" w:rsidRDefault="00515FE0" w14:paraId="46149C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FBBEF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Ulyanovsk</w:t>
            </w:r>
          </w:p>
        </w:tc>
        <w:tc>
          <w:tcPr>
            <w:tcW w:w="1134" w:type="dxa"/>
          </w:tcPr>
          <w:p w:rsidRPr="006F34CD" w:rsidR="00515FE0" w:rsidP="006F34CD" w:rsidRDefault="00515FE0" w14:paraId="07E521A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109,442</w:t>
            </w:r>
          </w:p>
        </w:tc>
        <w:tc>
          <w:tcPr>
            <w:tcW w:w="992" w:type="dxa"/>
          </w:tcPr>
          <w:p w:rsidRPr="006F34CD" w:rsidR="00515FE0" w:rsidP="006F34CD" w:rsidRDefault="00515FE0" w14:paraId="7C47AF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52C1E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FA8936B" w14:textId="77777777">
        <w:trPr>
          <w:cantSplit/>
        </w:trPr>
        <w:tc>
          <w:tcPr>
            <w:tcW w:w="2249" w:type="dxa"/>
          </w:tcPr>
          <w:p w:rsidRPr="006F34CD" w:rsidR="00515FE0" w:rsidP="006F34CD" w:rsidRDefault="00515FE0" w14:paraId="7614EE22" w14:textId="1AC1811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"Usinsk"</w:t>
            </w:r>
          </w:p>
        </w:tc>
        <w:tc>
          <w:tcPr>
            <w:tcW w:w="836" w:type="dxa"/>
          </w:tcPr>
          <w:p w:rsidRPr="006F34CD" w:rsidR="00515FE0" w:rsidP="006F34CD" w:rsidRDefault="00515FE0" w14:paraId="1C0095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D6C63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Usinsk</w:t>
            </w:r>
          </w:p>
        </w:tc>
        <w:tc>
          <w:tcPr>
            <w:tcW w:w="1134" w:type="dxa"/>
          </w:tcPr>
          <w:p w:rsidRPr="006F34CD" w:rsidR="00515FE0" w:rsidP="006F34CD" w:rsidRDefault="00515FE0" w14:paraId="22396A6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B3908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6BBDA0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2E04F56" w14:textId="77777777">
        <w:trPr>
          <w:cantSplit/>
        </w:trPr>
        <w:tc>
          <w:tcPr>
            <w:tcW w:w="2249" w:type="dxa"/>
          </w:tcPr>
          <w:p w:rsidRPr="006F34CD" w:rsidR="00515FE0" w:rsidP="006F34CD" w:rsidRDefault="00515FE0" w14:paraId="212C24FF" w14:textId="7279F9A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Uspenskiy District</w:t>
            </w:r>
          </w:p>
        </w:tc>
        <w:tc>
          <w:tcPr>
            <w:tcW w:w="836" w:type="dxa"/>
          </w:tcPr>
          <w:p w:rsidRPr="006F34CD" w:rsidR="00515FE0" w:rsidP="006F34CD" w:rsidRDefault="00515FE0" w14:paraId="35941C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0E091C5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Volnoye</w:t>
            </w:r>
          </w:p>
        </w:tc>
        <w:tc>
          <w:tcPr>
            <w:tcW w:w="1134" w:type="dxa"/>
          </w:tcPr>
          <w:p w:rsidRPr="006F34CD" w:rsidR="00515FE0" w:rsidP="006F34CD" w:rsidRDefault="00515FE0" w14:paraId="0E9158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90,500</w:t>
            </w:r>
          </w:p>
        </w:tc>
        <w:tc>
          <w:tcPr>
            <w:tcW w:w="992" w:type="dxa"/>
          </w:tcPr>
          <w:p w:rsidRPr="006F34CD" w:rsidR="00515FE0" w:rsidP="006F34CD" w:rsidRDefault="00515FE0" w14:paraId="79087B7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575CA5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E4BAFE8" w14:textId="77777777">
        <w:trPr>
          <w:cantSplit/>
        </w:trPr>
        <w:tc>
          <w:tcPr>
            <w:tcW w:w="2249" w:type="dxa"/>
          </w:tcPr>
          <w:p w:rsidRPr="006F34CD" w:rsidR="00515FE0" w:rsidP="006F34CD" w:rsidRDefault="00515FE0" w14:paraId="12506705" w14:textId="36866DC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Ussuriysk</w:t>
            </w:r>
          </w:p>
        </w:tc>
        <w:tc>
          <w:tcPr>
            <w:tcW w:w="836" w:type="dxa"/>
          </w:tcPr>
          <w:p w:rsidRPr="006F34CD" w:rsidR="00515FE0" w:rsidP="006F34CD" w:rsidRDefault="00515FE0" w14:paraId="318CD6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31F01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Ussuriysk</w:t>
            </w:r>
          </w:p>
        </w:tc>
        <w:tc>
          <w:tcPr>
            <w:tcW w:w="1134" w:type="dxa"/>
          </w:tcPr>
          <w:p w:rsidRPr="006F34CD" w:rsidR="00515FE0" w:rsidP="006F34CD" w:rsidRDefault="00515FE0" w14:paraId="578CEB7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432773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F139B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877804A" w14:textId="77777777">
        <w:trPr>
          <w:cantSplit/>
        </w:trPr>
        <w:tc>
          <w:tcPr>
            <w:tcW w:w="2249" w:type="dxa"/>
          </w:tcPr>
          <w:p w:rsidRPr="006F34CD" w:rsidR="00515FE0" w:rsidP="006F34CD" w:rsidRDefault="00515FE0" w14:paraId="58A81ADE" w14:textId="33DC2FF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"Ust-Ilimsk"</w:t>
            </w:r>
          </w:p>
        </w:tc>
        <w:tc>
          <w:tcPr>
            <w:tcW w:w="836" w:type="dxa"/>
          </w:tcPr>
          <w:p w:rsidRPr="006F34CD" w:rsidR="00515FE0" w:rsidP="006F34CD" w:rsidRDefault="00515FE0" w14:paraId="441B8A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1994</w:t>
            </w:r>
          </w:p>
        </w:tc>
        <w:tc>
          <w:tcPr>
            <w:tcW w:w="1305" w:type="dxa"/>
          </w:tcPr>
          <w:p w:rsidRPr="006F34CD" w:rsidR="00515FE0" w:rsidP="006F34CD" w:rsidRDefault="00515FE0" w14:paraId="6F9727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Ust-Ilimsk</w:t>
            </w:r>
          </w:p>
        </w:tc>
        <w:tc>
          <w:tcPr>
            <w:tcW w:w="1134" w:type="dxa"/>
          </w:tcPr>
          <w:p w:rsidRPr="006F34CD" w:rsidR="00515FE0" w:rsidP="006F34CD" w:rsidRDefault="00515FE0" w14:paraId="14DA5CF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182E057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895735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CA800AB" w14:textId="77777777">
        <w:trPr>
          <w:cantSplit/>
        </w:trPr>
        <w:tc>
          <w:tcPr>
            <w:tcW w:w="2249" w:type="dxa"/>
          </w:tcPr>
          <w:p w:rsidRPr="006F34CD" w:rsidR="00515FE0" w:rsidP="006F34CD" w:rsidRDefault="00515FE0" w14:paraId="7B8177FD" w14:textId="306178C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Ust-Kut</w:t>
            </w:r>
          </w:p>
        </w:tc>
        <w:tc>
          <w:tcPr>
            <w:tcW w:w="836" w:type="dxa"/>
          </w:tcPr>
          <w:p w:rsidRPr="006F34CD" w:rsidR="00515FE0" w:rsidP="006F34CD" w:rsidRDefault="00515FE0" w14:paraId="30E50E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2005</w:t>
            </w:r>
          </w:p>
        </w:tc>
        <w:tc>
          <w:tcPr>
            <w:tcW w:w="1305" w:type="dxa"/>
          </w:tcPr>
          <w:p w:rsidRPr="006F34CD" w:rsidR="00515FE0" w:rsidP="006F34CD" w:rsidRDefault="00515FE0" w14:paraId="5E63C29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Ust-Kut</w:t>
            </w:r>
          </w:p>
        </w:tc>
        <w:tc>
          <w:tcPr>
            <w:tcW w:w="1134" w:type="dxa"/>
          </w:tcPr>
          <w:p w:rsidRPr="006F34CD" w:rsidR="00515FE0" w:rsidP="006F34CD" w:rsidRDefault="00515FE0" w14:paraId="342D3A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633C9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BC2D6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392C998" w14:textId="77777777">
        <w:trPr>
          <w:cantSplit/>
        </w:trPr>
        <w:tc>
          <w:tcPr>
            <w:tcW w:w="2249" w:type="dxa"/>
          </w:tcPr>
          <w:p w:rsidRPr="006F34CD" w:rsidR="00515FE0" w:rsidP="006F34CD" w:rsidRDefault="00515FE0" w14:paraId="242E4C08" w14:textId="5517F55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Ust-Labinsk</w:t>
            </w:r>
          </w:p>
        </w:tc>
        <w:tc>
          <w:tcPr>
            <w:tcW w:w="836" w:type="dxa"/>
          </w:tcPr>
          <w:p w:rsidRPr="006F34CD" w:rsidR="00515FE0" w:rsidP="006F34CD" w:rsidRDefault="00515FE0" w14:paraId="1F2793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4C4B5E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Ust-Labinsk</w:t>
            </w:r>
          </w:p>
        </w:tc>
        <w:tc>
          <w:tcPr>
            <w:tcW w:w="1134" w:type="dxa"/>
          </w:tcPr>
          <w:p w:rsidRPr="006F34CD" w:rsidR="00515FE0" w:rsidP="006F34CD" w:rsidRDefault="00515FE0" w14:paraId="0263C11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106,250</w:t>
            </w:r>
          </w:p>
        </w:tc>
        <w:tc>
          <w:tcPr>
            <w:tcW w:w="992" w:type="dxa"/>
          </w:tcPr>
          <w:p w:rsidRPr="006F34CD" w:rsidR="00515FE0" w:rsidP="006F34CD" w:rsidRDefault="00515FE0" w14:paraId="47F4255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C4950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C72D97D" w14:textId="77777777">
        <w:trPr>
          <w:cantSplit/>
        </w:trPr>
        <w:tc>
          <w:tcPr>
            <w:tcW w:w="2249" w:type="dxa"/>
          </w:tcPr>
          <w:p w:rsidRPr="006F34CD" w:rsidR="00515FE0" w:rsidP="006F34CD" w:rsidRDefault="00515FE0" w14:paraId="514C7F18" w14:textId="0175469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Valuyskiy District of the Belgorod Region</w:t>
            </w:r>
          </w:p>
        </w:tc>
        <w:tc>
          <w:tcPr>
            <w:tcW w:w="836" w:type="dxa"/>
          </w:tcPr>
          <w:p w:rsidRPr="006F34CD" w:rsidR="00515FE0" w:rsidP="006F34CD" w:rsidRDefault="00515FE0" w14:paraId="7EB4A2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72C5EA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Valuyki</w:t>
            </w:r>
          </w:p>
        </w:tc>
        <w:tc>
          <w:tcPr>
            <w:tcW w:w="1134" w:type="dxa"/>
          </w:tcPr>
          <w:p w:rsidRPr="006F34CD" w:rsidR="00515FE0" w:rsidP="006F34CD" w:rsidRDefault="00515FE0" w14:paraId="2DC2488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65520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708174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D201D1E" w14:textId="77777777">
        <w:trPr>
          <w:cantSplit/>
        </w:trPr>
        <w:tc>
          <w:tcPr>
            <w:tcW w:w="2249" w:type="dxa"/>
          </w:tcPr>
          <w:p w:rsidRPr="006F34CD" w:rsidR="00515FE0" w:rsidP="006F34CD" w:rsidRDefault="00515FE0" w14:paraId="2D0E5545" w14:textId="2CA1409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"VelikiyeLuki"</w:t>
            </w:r>
          </w:p>
        </w:tc>
        <w:tc>
          <w:tcPr>
            <w:tcW w:w="836" w:type="dxa"/>
          </w:tcPr>
          <w:p w:rsidRPr="006F34CD" w:rsidR="00515FE0" w:rsidP="006F34CD" w:rsidRDefault="00515FE0" w14:paraId="19EA0F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35367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VelikiyeLuki</w:t>
            </w:r>
          </w:p>
        </w:tc>
        <w:tc>
          <w:tcPr>
            <w:tcW w:w="1134" w:type="dxa"/>
          </w:tcPr>
          <w:p w:rsidRPr="006F34CD" w:rsidR="00515FE0" w:rsidP="006F34CD" w:rsidRDefault="00515FE0" w14:paraId="71BF961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DED3DA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162248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E0A0987" w14:textId="77777777">
        <w:trPr>
          <w:cantSplit/>
        </w:trPr>
        <w:tc>
          <w:tcPr>
            <w:tcW w:w="2249" w:type="dxa"/>
          </w:tcPr>
          <w:p w:rsidRPr="006F34CD" w:rsidR="00515FE0" w:rsidP="006F34CD" w:rsidRDefault="00515FE0" w14:paraId="3409EC3A" w14:textId="128D7A1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Verkhnyaya Pyshma</w:t>
            </w:r>
          </w:p>
        </w:tc>
        <w:tc>
          <w:tcPr>
            <w:tcW w:w="836" w:type="dxa"/>
          </w:tcPr>
          <w:p w:rsidRPr="006F34CD" w:rsidR="00515FE0" w:rsidP="006F34CD" w:rsidRDefault="00515FE0" w14:paraId="7BB84F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2002</w:t>
            </w:r>
          </w:p>
        </w:tc>
        <w:tc>
          <w:tcPr>
            <w:tcW w:w="1305" w:type="dxa"/>
          </w:tcPr>
          <w:p w:rsidRPr="006F34CD" w:rsidR="00515FE0" w:rsidP="006F34CD" w:rsidRDefault="00515FE0" w14:paraId="68C43B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Verkhnyaya Pyshma</w:t>
            </w:r>
          </w:p>
        </w:tc>
        <w:tc>
          <w:tcPr>
            <w:tcW w:w="1134" w:type="dxa"/>
          </w:tcPr>
          <w:p w:rsidRPr="006F34CD" w:rsidR="00515FE0" w:rsidP="006F34CD" w:rsidRDefault="00515FE0" w14:paraId="4B3D28C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4514C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DF1BDC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3AC5AB0" w14:textId="77777777">
        <w:trPr>
          <w:cantSplit/>
        </w:trPr>
        <w:tc>
          <w:tcPr>
            <w:tcW w:w="2249" w:type="dxa"/>
          </w:tcPr>
          <w:p w:rsidRPr="006F34CD" w:rsidR="00515FE0" w:rsidP="006F34CD" w:rsidRDefault="00515FE0" w14:paraId="621C6D83" w14:textId="3ECB92D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Vichuga</w:t>
            </w:r>
          </w:p>
        </w:tc>
        <w:tc>
          <w:tcPr>
            <w:tcW w:w="836" w:type="dxa"/>
          </w:tcPr>
          <w:p w:rsidRPr="006F34CD" w:rsidR="00515FE0" w:rsidP="006F34CD" w:rsidRDefault="00515FE0" w14:paraId="77A222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22438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Vichuga</w:t>
            </w:r>
          </w:p>
        </w:tc>
        <w:tc>
          <w:tcPr>
            <w:tcW w:w="1134" w:type="dxa"/>
          </w:tcPr>
          <w:p w:rsidRPr="006F34CD" w:rsidR="00515FE0" w:rsidP="006F34CD" w:rsidRDefault="00515FE0" w14:paraId="629A0C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CC591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C82741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221F293" w14:textId="77777777">
        <w:trPr>
          <w:cantSplit/>
        </w:trPr>
        <w:tc>
          <w:tcPr>
            <w:tcW w:w="2249" w:type="dxa"/>
          </w:tcPr>
          <w:p w:rsidRPr="006F34CD" w:rsidR="00515FE0" w:rsidP="006F34CD" w:rsidRDefault="00515FE0" w14:paraId="162004F5" w14:textId="3B1058D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"Vikhorevka"</w:t>
            </w:r>
          </w:p>
        </w:tc>
        <w:tc>
          <w:tcPr>
            <w:tcW w:w="836" w:type="dxa"/>
          </w:tcPr>
          <w:p w:rsidRPr="006F34CD" w:rsidR="00515FE0" w:rsidP="006F34CD" w:rsidRDefault="00515FE0" w14:paraId="656AD7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4EDA92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Vikhorevka</w:t>
            </w:r>
          </w:p>
        </w:tc>
        <w:tc>
          <w:tcPr>
            <w:tcW w:w="1134" w:type="dxa"/>
          </w:tcPr>
          <w:p w:rsidRPr="006F34CD" w:rsidR="00515FE0" w:rsidP="006F34CD" w:rsidRDefault="00515FE0" w14:paraId="322E929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26,021</w:t>
            </w:r>
          </w:p>
        </w:tc>
        <w:tc>
          <w:tcPr>
            <w:tcW w:w="992" w:type="dxa"/>
          </w:tcPr>
          <w:p w:rsidRPr="006F34CD" w:rsidR="00515FE0" w:rsidP="006F34CD" w:rsidRDefault="00515FE0" w14:paraId="3FBB892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88930C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A95341E" w14:textId="77777777">
        <w:trPr>
          <w:cantSplit/>
        </w:trPr>
        <w:tc>
          <w:tcPr>
            <w:tcW w:w="2249" w:type="dxa"/>
          </w:tcPr>
          <w:p w:rsidRPr="006F34CD" w:rsidR="00515FE0" w:rsidP="006F34CD" w:rsidRDefault="00515FE0" w14:paraId="4B63E3E4" w14:textId="5DCAD03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"Vilyuchinsk"</w:t>
            </w:r>
          </w:p>
        </w:tc>
        <w:tc>
          <w:tcPr>
            <w:tcW w:w="836" w:type="dxa"/>
          </w:tcPr>
          <w:p w:rsidRPr="006F34CD" w:rsidR="00515FE0" w:rsidP="006F34CD" w:rsidRDefault="00515FE0" w14:paraId="522A90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45FBFC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Vilyuchinsk</w:t>
            </w:r>
          </w:p>
        </w:tc>
        <w:tc>
          <w:tcPr>
            <w:tcW w:w="1134" w:type="dxa"/>
          </w:tcPr>
          <w:p w:rsidRPr="006F34CD" w:rsidR="00515FE0" w:rsidP="006F34CD" w:rsidRDefault="00515FE0" w14:paraId="6F15B68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07F6B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F90A19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418FB46" w14:textId="77777777">
        <w:trPr>
          <w:cantSplit/>
        </w:trPr>
        <w:tc>
          <w:tcPr>
            <w:tcW w:w="2249" w:type="dxa"/>
          </w:tcPr>
          <w:p w:rsidRPr="006F34CD" w:rsidR="00515FE0" w:rsidP="006F34CD" w:rsidRDefault="00515FE0" w14:paraId="58FD3731" w14:textId="3B0320F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Vladikavkaz</w:t>
            </w:r>
          </w:p>
        </w:tc>
        <w:tc>
          <w:tcPr>
            <w:tcW w:w="836" w:type="dxa"/>
          </w:tcPr>
          <w:p w:rsidRPr="006F34CD" w:rsidR="00515FE0" w:rsidP="006F34CD" w:rsidRDefault="00515FE0" w14:paraId="053B39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C292A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Vladikavkaz</w:t>
            </w:r>
          </w:p>
        </w:tc>
        <w:tc>
          <w:tcPr>
            <w:tcW w:w="1134" w:type="dxa"/>
          </w:tcPr>
          <w:p w:rsidRPr="006F34CD" w:rsidR="00515FE0" w:rsidP="006F34CD" w:rsidRDefault="00515FE0" w14:paraId="624AE44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248,684</w:t>
            </w:r>
          </w:p>
        </w:tc>
        <w:tc>
          <w:tcPr>
            <w:tcW w:w="992" w:type="dxa"/>
          </w:tcPr>
          <w:p w:rsidRPr="006F34CD" w:rsidR="00515FE0" w:rsidP="006F34CD" w:rsidRDefault="00515FE0" w14:paraId="6E24AEB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04EA4E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C26673D" w14:textId="77777777">
        <w:trPr>
          <w:cantSplit/>
        </w:trPr>
        <w:tc>
          <w:tcPr>
            <w:tcW w:w="2249" w:type="dxa"/>
          </w:tcPr>
          <w:p w:rsidRPr="006F34CD" w:rsidR="00515FE0" w:rsidP="006F34CD" w:rsidRDefault="00515FE0" w14:paraId="3D6C7F9A" w14:textId="7CB1236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Vladimir</w:t>
            </w:r>
          </w:p>
        </w:tc>
        <w:tc>
          <w:tcPr>
            <w:tcW w:w="836" w:type="dxa"/>
          </w:tcPr>
          <w:p w:rsidRPr="006F34CD" w:rsidR="00515FE0" w:rsidP="006F34CD" w:rsidRDefault="00515FE0" w14:paraId="066802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F2B19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w:t>
            </w:r>
          </w:p>
        </w:tc>
        <w:tc>
          <w:tcPr>
            <w:tcW w:w="1134" w:type="dxa"/>
          </w:tcPr>
          <w:p w:rsidRPr="006F34CD" w:rsidR="00515FE0" w:rsidP="006F34CD" w:rsidRDefault="00515FE0" w14:paraId="1388E0E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65,182</w:t>
            </w:r>
          </w:p>
        </w:tc>
        <w:tc>
          <w:tcPr>
            <w:tcW w:w="992" w:type="dxa"/>
          </w:tcPr>
          <w:p w:rsidRPr="006F34CD" w:rsidR="00515FE0" w:rsidP="006F34CD" w:rsidRDefault="00515FE0" w14:paraId="0528D031"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9C7AC3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01A94C8" w14:textId="77777777">
        <w:trPr>
          <w:cantSplit/>
        </w:trPr>
        <w:tc>
          <w:tcPr>
            <w:tcW w:w="2249" w:type="dxa"/>
          </w:tcPr>
          <w:p w:rsidRPr="006F34CD" w:rsidR="00515FE0" w:rsidP="006F34CD" w:rsidRDefault="00515FE0" w14:paraId="78535DE8" w14:textId="765D5BC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Kovrov of the Vladimir Region</w:t>
            </w:r>
          </w:p>
        </w:tc>
        <w:tc>
          <w:tcPr>
            <w:tcW w:w="836" w:type="dxa"/>
          </w:tcPr>
          <w:p w:rsidRPr="006F34CD" w:rsidR="00515FE0" w:rsidP="006F34CD" w:rsidRDefault="00515FE0" w14:paraId="314689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7A21C6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Kovrov</w:t>
            </w:r>
          </w:p>
        </w:tc>
        <w:tc>
          <w:tcPr>
            <w:tcW w:w="1134" w:type="dxa"/>
          </w:tcPr>
          <w:p w:rsidRPr="006F34CD" w:rsidR="00515FE0" w:rsidP="006F34CD" w:rsidRDefault="00515FE0" w14:paraId="7CBDAA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62,436</w:t>
            </w:r>
          </w:p>
        </w:tc>
        <w:tc>
          <w:tcPr>
            <w:tcW w:w="992" w:type="dxa"/>
          </w:tcPr>
          <w:p w:rsidRPr="006F34CD" w:rsidR="00515FE0" w:rsidP="006F34CD" w:rsidRDefault="00515FE0" w14:paraId="133C590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D2FDC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8C37A47" w14:textId="77777777">
        <w:trPr>
          <w:cantSplit/>
        </w:trPr>
        <w:tc>
          <w:tcPr>
            <w:tcW w:w="2249" w:type="dxa"/>
          </w:tcPr>
          <w:p w:rsidRPr="006F34CD" w:rsidR="00515FE0" w:rsidP="006F34CD" w:rsidRDefault="00515FE0" w14:paraId="16CA61E6" w14:textId="7F2E361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Vladivostok</w:t>
            </w:r>
          </w:p>
        </w:tc>
        <w:tc>
          <w:tcPr>
            <w:tcW w:w="836" w:type="dxa"/>
          </w:tcPr>
          <w:p w:rsidRPr="006F34CD" w:rsidR="00515FE0" w:rsidP="006F34CD" w:rsidRDefault="00515FE0" w14:paraId="6D1A729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AAB28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Vladivostok</w:t>
            </w:r>
          </w:p>
        </w:tc>
        <w:tc>
          <w:tcPr>
            <w:tcW w:w="1134" w:type="dxa"/>
          </w:tcPr>
          <w:p w:rsidRPr="006F34CD" w:rsidR="00515FE0" w:rsidP="006F34CD" w:rsidRDefault="00515FE0" w14:paraId="0345A4F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402,698</w:t>
            </w:r>
          </w:p>
        </w:tc>
        <w:tc>
          <w:tcPr>
            <w:tcW w:w="992" w:type="dxa"/>
          </w:tcPr>
          <w:p w:rsidRPr="006F34CD" w:rsidR="00515FE0" w:rsidP="006F34CD" w:rsidRDefault="00515FE0" w14:paraId="21D638D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24FC19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2E1347A" w14:textId="77777777">
        <w:trPr>
          <w:cantSplit/>
        </w:trPr>
        <w:tc>
          <w:tcPr>
            <w:tcW w:w="2249" w:type="dxa"/>
          </w:tcPr>
          <w:p w:rsidRPr="006F34CD" w:rsidR="00515FE0" w:rsidP="006F34CD" w:rsidRDefault="00515FE0" w14:paraId="3E36D241" w14:textId="48616EC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Volgodonsk</w:t>
            </w:r>
          </w:p>
        </w:tc>
        <w:tc>
          <w:tcPr>
            <w:tcW w:w="836" w:type="dxa"/>
          </w:tcPr>
          <w:p w:rsidRPr="006F34CD" w:rsidR="00515FE0" w:rsidP="006F34CD" w:rsidRDefault="00515FE0" w14:paraId="582CE6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DA6A7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Volgodonsk</w:t>
            </w:r>
          </w:p>
        </w:tc>
        <w:tc>
          <w:tcPr>
            <w:tcW w:w="1134" w:type="dxa"/>
          </w:tcPr>
          <w:p w:rsidRPr="006F34CD" w:rsidR="00515FE0" w:rsidP="006F34CD" w:rsidRDefault="00515FE0" w14:paraId="0D6AD0D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DB71D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EAC4BB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DCEE34E" w14:textId="77777777">
        <w:trPr>
          <w:cantSplit/>
        </w:trPr>
        <w:tc>
          <w:tcPr>
            <w:tcW w:w="2249" w:type="dxa"/>
          </w:tcPr>
          <w:p w:rsidRPr="006F34CD" w:rsidR="00515FE0" w:rsidP="006F34CD" w:rsidRDefault="00515FE0" w14:paraId="64A6D800" w14:textId="7AA8BE0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Volgograd of the Krasnooktyabrskiy District</w:t>
            </w:r>
          </w:p>
        </w:tc>
        <w:tc>
          <w:tcPr>
            <w:tcW w:w="836" w:type="dxa"/>
          </w:tcPr>
          <w:p w:rsidRPr="006F34CD" w:rsidR="00515FE0" w:rsidP="006F34CD" w:rsidRDefault="00515FE0" w14:paraId="6FB974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8ACDB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5A6A65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EC779B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596307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433A066" w14:textId="77777777">
        <w:trPr>
          <w:cantSplit/>
        </w:trPr>
        <w:tc>
          <w:tcPr>
            <w:tcW w:w="2249" w:type="dxa"/>
          </w:tcPr>
          <w:p w:rsidRPr="006F34CD" w:rsidR="00515FE0" w:rsidP="006F34CD" w:rsidRDefault="00515FE0" w14:paraId="34F31482" w14:textId="7FC7BF1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Volgograd of the Krasnooktyabrskiy District</w:t>
            </w:r>
          </w:p>
        </w:tc>
        <w:tc>
          <w:tcPr>
            <w:tcW w:w="836" w:type="dxa"/>
          </w:tcPr>
          <w:p w:rsidRPr="006F34CD" w:rsidR="00515FE0" w:rsidP="006F34CD" w:rsidRDefault="00515FE0" w14:paraId="6C668B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50B49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0D1DA7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97,138</w:t>
            </w:r>
          </w:p>
        </w:tc>
        <w:tc>
          <w:tcPr>
            <w:tcW w:w="992" w:type="dxa"/>
          </w:tcPr>
          <w:p w:rsidRPr="006F34CD" w:rsidR="00515FE0" w:rsidP="006F34CD" w:rsidRDefault="00515FE0" w14:paraId="45B6BCD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E775CE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57294DD" w14:textId="77777777">
        <w:trPr>
          <w:cantSplit/>
        </w:trPr>
        <w:tc>
          <w:tcPr>
            <w:tcW w:w="2249" w:type="dxa"/>
          </w:tcPr>
          <w:p w:rsidRPr="006F34CD" w:rsidR="00515FE0" w:rsidP="006F34CD" w:rsidRDefault="00515FE0" w14:paraId="1B9D2F6A" w14:textId="5C422A8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Volgograd of the Traktorozavodskiy District</w:t>
            </w:r>
          </w:p>
        </w:tc>
        <w:tc>
          <w:tcPr>
            <w:tcW w:w="836" w:type="dxa"/>
          </w:tcPr>
          <w:p w:rsidRPr="006F34CD" w:rsidR="00515FE0" w:rsidP="006F34CD" w:rsidRDefault="00515FE0" w14:paraId="7830BE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010898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41BFFD6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D6A329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E2390B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80C9B72" w14:textId="77777777">
        <w:trPr>
          <w:cantSplit/>
        </w:trPr>
        <w:tc>
          <w:tcPr>
            <w:tcW w:w="2249" w:type="dxa"/>
          </w:tcPr>
          <w:p w:rsidRPr="006F34CD" w:rsidR="00515FE0" w:rsidP="006F34CD" w:rsidRDefault="00515FE0" w14:paraId="77C5D5E5" w14:textId="7BC728C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"Vologda"</w:t>
            </w:r>
          </w:p>
        </w:tc>
        <w:tc>
          <w:tcPr>
            <w:tcW w:w="836" w:type="dxa"/>
          </w:tcPr>
          <w:p w:rsidRPr="006F34CD" w:rsidR="00515FE0" w:rsidP="006F34CD" w:rsidRDefault="00515FE0" w14:paraId="7BABBC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06772C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Vologda</w:t>
            </w:r>
          </w:p>
        </w:tc>
        <w:tc>
          <w:tcPr>
            <w:tcW w:w="1134" w:type="dxa"/>
          </w:tcPr>
          <w:p w:rsidRPr="006F34CD" w:rsidR="00515FE0" w:rsidP="006F34CD" w:rsidRDefault="00515FE0" w14:paraId="24F46DC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24DF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19B90B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5ABDD26" w14:textId="77777777">
        <w:trPr>
          <w:cantSplit/>
        </w:trPr>
        <w:tc>
          <w:tcPr>
            <w:tcW w:w="2249" w:type="dxa"/>
          </w:tcPr>
          <w:p w:rsidRPr="006F34CD" w:rsidR="00515FE0" w:rsidP="006F34CD" w:rsidRDefault="00515FE0" w14:paraId="56B436C2" w14:textId="0408E39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Volokolamsk</w:t>
            </w:r>
          </w:p>
        </w:tc>
        <w:tc>
          <w:tcPr>
            <w:tcW w:w="836" w:type="dxa"/>
          </w:tcPr>
          <w:p w:rsidRPr="006F34CD" w:rsidR="00515FE0" w:rsidP="006F34CD" w:rsidRDefault="00515FE0" w14:paraId="5AA5A2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F4D0D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Volokolamsk</w:t>
            </w:r>
          </w:p>
        </w:tc>
        <w:tc>
          <w:tcPr>
            <w:tcW w:w="1134" w:type="dxa"/>
          </w:tcPr>
          <w:p w:rsidRPr="006F34CD" w:rsidR="00515FE0" w:rsidP="006F34CD" w:rsidRDefault="00515FE0" w14:paraId="6A18E69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5327D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92D30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825895C" w14:textId="77777777">
        <w:trPr>
          <w:cantSplit/>
        </w:trPr>
        <w:tc>
          <w:tcPr>
            <w:tcW w:w="2249" w:type="dxa"/>
          </w:tcPr>
          <w:p w:rsidRPr="006F34CD" w:rsidR="00515FE0" w:rsidP="006F34CD" w:rsidRDefault="00515FE0" w14:paraId="4D4FCB6D" w14:textId="469A76E1">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Volsk of the Saratov Region</w:t>
            </w:r>
          </w:p>
        </w:tc>
        <w:tc>
          <w:tcPr>
            <w:tcW w:w="836" w:type="dxa"/>
          </w:tcPr>
          <w:p w:rsidRPr="006F34CD" w:rsidR="00515FE0" w:rsidP="006F34CD" w:rsidRDefault="00515FE0" w14:paraId="093BFF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5DC672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Volsk</w:t>
            </w:r>
          </w:p>
        </w:tc>
        <w:tc>
          <w:tcPr>
            <w:tcW w:w="1134" w:type="dxa"/>
          </w:tcPr>
          <w:p w:rsidRPr="006F34CD" w:rsidR="00515FE0" w:rsidP="006F34CD" w:rsidRDefault="00515FE0" w14:paraId="2131C1E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56,530</w:t>
            </w:r>
          </w:p>
        </w:tc>
        <w:tc>
          <w:tcPr>
            <w:tcW w:w="992" w:type="dxa"/>
          </w:tcPr>
          <w:p w:rsidRPr="006F34CD" w:rsidR="00515FE0" w:rsidP="006F34CD" w:rsidRDefault="00515FE0" w14:paraId="0CE7D2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470D84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229D7F4" w14:textId="77777777">
        <w:trPr>
          <w:cantSplit/>
        </w:trPr>
        <w:tc>
          <w:tcPr>
            <w:tcW w:w="2249" w:type="dxa"/>
          </w:tcPr>
          <w:p w:rsidRPr="006F34CD" w:rsidR="00515FE0" w:rsidP="006F34CD" w:rsidRDefault="00515FE0" w14:paraId="03137467" w14:textId="665FF94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Volzhskiy of the Volgograd Region</w:t>
            </w:r>
          </w:p>
        </w:tc>
        <w:tc>
          <w:tcPr>
            <w:tcW w:w="836" w:type="dxa"/>
          </w:tcPr>
          <w:p w:rsidRPr="006F34CD" w:rsidR="00515FE0" w:rsidP="006F34CD" w:rsidRDefault="00515FE0" w14:paraId="1C654F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596E2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Volzhskiy</w:t>
            </w:r>
          </w:p>
        </w:tc>
        <w:tc>
          <w:tcPr>
            <w:tcW w:w="1134" w:type="dxa"/>
          </w:tcPr>
          <w:p w:rsidRPr="006F34CD" w:rsidR="00515FE0" w:rsidP="006F34CD" w:rsidRDefault="00515FE0" w14:paraId="388674C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93A248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698E22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4350C96" w14:textId="77777777">
        <w:trPr>
          <w:cantSplit/>
        </w:trPr>
        <w:tc>
          <w:tcPr>
            <w:tcW w:w="2249" w:type="dxa"/>
          </w:tcPr>
          <w:p w:rsidRPr="006F34CD" w:rsidR="00515FE0" w:rsidP="006F34CD" w:rsidRDefault="00515FE0" w14:paraId="6A4E6BED" w14:textId="07956EB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Vorkuta</w:t>
            </w:r>
          </w:p>
        </w:tc>
        <w:tc>
          <w:tcPr>
            <w:tcW w:w="836" w:type="dxa"/>
          </w:tcPr>
          <w:p w:rsidRPr="006F34CD" w:rsidR="00515FE0" w:rsidP="006F34CD" w:rsidRDefault="00515FE0" w14:paraId="5D8F5D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1995</w:t>
            </w:r>
          </w:p>
        </w:tc>
        <w:tc>
          <w:tcPr>
            <w:tcW w:w="1305" w:type="dxa"/>
          </w:tcPr>
          <w:p w:rsidRPr="006F34CD" w:rsidR="00515FE0" w:rsidP="006F34CD" w:rsidRDefault="00515FE0" w14:paraId="60011C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Vorkuta</w:t>
            </w:r>
          </w:p>
        </w:tc>
        <w:tc>
          <w:tcPr>
            <w:tcW w:w="1134" w:type="dxa"/>
          </w:tcPr>
          <w:p w:rsidRPr="006F34CD" w:rsidR="00515FE0" w:rsidP="006F34CD" w:rsidRDefault="00515FE0" w14:paraId="25B819D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22C4E4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676BCC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9954E12" w14:textId="77777777">
        <w:trPr>
          <w:cantSplit/>
        </w:trPr>
        <w:tc>
          <w:tcPr>
            <w:tcW w:w="2249" w:type="dxa"/>
          </w:tcPr>
          <w:p w:rsidRPr="006F34CD" w:rsidR="00515FE0" w:rsidP="006F34CD" w:rsidRDefault="00515FE0" w14:paraId="4230BEB8" w14:textId="76C316F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Voronezh"</w:t>
            </w:r>
          </w:p>
        </w:tc>
        <w:tc>
          <w:tcPr>
            <w:tcW w:w="836" w:type="dxa"/>
          </w:tcPr>
          <w:p w:rsidRPr="006F34CD" w:rsidR="00515FE0" w:rsidP="006F34CD" w:rsidRDefault="00515FE0" w14:paraId="631165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D782B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Voronezh</w:t>
            </w:r>
          </w:p>
        </w:tc>
        <w:tc>
          <w:tcPr>
            <w:tcW w:w="1134" w:type="dxa"/>
          </w:tcPr>
          <w:p w:rsidRPr="006F34CD" w:rsidR="00515FE0" w:rsidP="006F34CD" w:rsidRDefault="00515FE0" w14:paraId="762E3C3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C7FDF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165CDC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936A574" w14:textId="77777777">
        <w:trPr>
          <w:cantSplit/>
        </w:trPr>
        <w:tc>
          <w:tcPr>
            <w:tcW w:w="2249" w:type="dxa"/>
          </w:tcPr>
          <w:p w:rsidRPr="006F34CD" w:rsidR="00515FE0" w:rsidP="006F34CD" w:rsidRDefault="00515FE0" w14:paraId="4FE0FA81" w14:textId="282433A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Voskhod</w:t>
            </w:r>
          </w:p>
        </w:tc>
        <w:tc>
          <w:tcPr>
            <w:tcW w:w="836" w:type="dxa"/>
          </w:tcPr>
          <w:p w:rsidRPr="006F34CD" w:rsidR="00515FE0" w:rsidP="006F34CD" w:rsidRDefault="00515FE0" w14:paraId="04F70B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1996</w:t>
            </w:r>
          </w:p>
        </w:tc>
        <w:tc>
          <w:tcPr>
            <w:tcW w:w="1305" w:type="dxa"/>
          </w:tcPr>
          <w:p w:rsidRPr="006F34CD" w:rsidR="00515FE0" w:rsidP="006F34CD" w:rsidRDefault="00515FE0" w14:paraId="147818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Voskhod</w:t>
            </w:r>
          </w:p>
        </w:tc>
        <w:tc>
          <w:tcPr>
            <w:tcW w:w="1134" w:type="dxa"/>
          </w:tcPr>
          <w:p w:rsidRPr="006F34CD" w:rsidR="00515FE0" w:rsidP="006F34CD" w:rsidRDefault="00515FE0" w14:paraId="5E5D50C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3CF10BB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65AECA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F232CB2" w14:textId="77777777">
        <w:trPr>
          <w:cantSplit/>
        </w:trPr>
        <w:tc>
          <w:tcPr>
            <w:tcW w:w="2249" w:type="dxa"/>
          </w:tcPr>
          <w:p w:rsidRPr="006F34CD" w:rsidR="00515FE0" w:rsidP="006F34CD" w:rsidRDefault="00515FE0" w14:paraId="70762F99" w14:textId="35825AB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Voskresenskiy District</w:t>
            </w:r>
          </w:p>
        </w:tc>
        <w:tc>
          <w:tcPr>
            <w:tcW w:w="836" w:type="dxa"/>
          </w:tcPr>
          <w:p w:rsidRPr="006F34CD" w:rsidR="00515FE0" w:rsidP="006F34CD" w:rsidRDefault="00515FE0" w14:paraId="010D06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6BB8A7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Voskresensk</w:t>
            </w:r>
          </w:p>
        </w:tc>
        <w:tc>
          <w:tcPr>
            <w:tcW w:w="1134" w:type="dxa"/>
          </w:tcPr>
          <w:p w:rsidRPr="006F34CD" w:rsidR="00515FE0" w:rsidP="006F34CD" w:rsidRDefault="00515FE0" w14:paraId="25F30B7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80BEBF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C680F6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3B98475" w14:textId="77777777">
        <w:trPr>
          <w:cantSplit/>
        </w:trPr>
        <w:tc>
          <w:tcPr>
            <w:tcW w:w="2249" w:type="dxa"/>
          </w:tcPr>
          <w:p w:rsidRPr="006F34CD" w:rsidR="00515FE0" w:rsidP="006F34CD" w:rsidRDefault="00515FE0" w14:paraId="43767983" w14:textId="04CD99E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Votkinsk</w:t>
            </w:r>
          </w:p>
        </w:tc>
        <w:tc>
          <w:tcPr>
            <w:tcW w:w="836" w:type="dxa"/>
          </w:tcPr>
          <w:p w:rsidRPr="006F34CD" w:rsidR="00515FE0" w:rsidP="006F34CD" w:rsidRDefault="00515FE0" w14:paraId="332070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E779E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Votkinsk</w:t>
            </w:r>
          </w:p>
        </w:tc>
        <w:tc>
          <w:tcPr>
            <w:tcW w:w="1134" w:type="dxa"/>
          </w:tcPr>
          <w:p w:rsidRPr="006F34CD" w:rsidR="00515FE0" w:rsidP="006F34CD" w:rsidRDefault="00515FE0" w14:paraId="4DFFF7C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6FD1CCB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EA825A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DBAD499" w14:textId="77777777">
        <w:trPr>
          <w:cantSplit/>
        </w:trPr>
        <w:tc>
          <w:tcPr>
            <w:tcW w:w="2249" w:type="dxa"/>
          </w:tcPr>
          <w:p w:rsidRPr="006F34CD" w:rsidR="00515FE0" w:rsidP="006F34CD" w:rsidRDefault="00515FE0" w14:paraId="2F1B61F5" w14:textId="6062CDD0">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Vyborg</w:t>
            </w:r>
          </w:p>
        </w:tc>
        <w:tc>
          <w:tcPr>
            <w:tcW w:w="836" w:type="dxa"/>
          </w:tcPr>
          <w:p w:rsidRPr="006F34CD" w:rsidR="00515FE0" w:rsidP="006F34CD" w:rsidRDefault="00515FE0" w14:paraId="4889CB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695A2C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Vyborg</w:t>
            </w:r>
          </w:p>
        </w:tc>
        <w:tc>
          <w:tcPr>
            <w:tcW w:w="1134" w:type="dxa"/>
          </w:tcPr>
          <w:p w:rsidRPr="006F34CD" w:rsidR="00515FE0" w:rsidP="006F34CD" w:rsidRDefault="00515FE0" w14:paraId="43740E8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565E3B2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80FB5B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23F487F" w14:textId="77777777">
        <w:trPr>
          <w:cantSplit/>
        </w:trPr>
        <w:tc>
          <w:tcPr>
            <w:tcW w:w="2249" w:type="dxa"/>
          </w:tcPr>
          <w:p w:rsidRPr="006F34CD" w:rsidR="00515FE0" w:rsidP="006F34CD" w:rsidRDefault="00515FE0" w14:paraId="537A9E2A" w14:textId="195BB23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Vyselki</w:t>
            </w:r>
          </w:p>
        </w:tc>
        <w:tc>
          <w:tcPr>
            <w:tcW w:w="836" w:type="dxa"/>
          </w:tcPr>
          <w:p w:rsidRPr="006F34CD" w:rsidR="00515FE0" w:rsidP="006F34CD" w:rsidRDefault="00515FE0" w14:paraId="22128E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CDF2A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Vyselki</w:t>
            </w:r>
          </w:p>
        </w:tc>
        <w:tc>
          <w:tcPr>
            <w:tcW w:w="1134" w:type="dxa"/>
          </w:tcPr>
          <w:p w:rsidRPr="006F34CD" w:rsidR="00515FE0" w:rsidP="006F34CD" w:rsidRDefault="00515FE0" w14:paraId="58765A3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36,720</w:t>
            </w:r>
          </w:p>
        </w:tc>
        <w:tc>
          <w:tcPr>
            <w:tcW w:w="992" w:type="dxa"/>
          </w:tcPr>
          <w:p w:rsidRPr="006F34CD" w:rsidR="00515FE0" w:rsidP="006F34CD" w:rsidRDefault="00515FE0" w14:paraId="4F70B2F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18FBC8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39826B8" w14:textId="77777777">
        <w:trPr>
          <w:cantSplit/>
        </w:trPr>
        <w:tc>
          <w:tcPr>
            <w:tcW w:w="2249" w:type="dxa"/>
          </w:tcPr>
          <w:p w:rsidRPr="006F34CD" w:rsidR="00515FE0" w:rsidP="006F34CD" w:rsidRDefault="00515FE0" w14:paraId="00CD33B7" w14:textId="60374E8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Yalta</w:t>
            </w:r>
          </w:p>
        </w:tc>
        <w:tc>
          <w:tcPr>
            <w:tcW w:w="836" w:type="dxa"/>
          </w:tcPr>
          <w:p w:rsidRPr="006F34CD" w:rsidR="00515FE0" w:rsidP="006F34CD" w:rsidRDefault="00515FE0" w14:paraId="5B45A5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19E959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Yalta</w:t>
            </w:r>
          </w:p>
        </w:tc>
        <w:tc>
          <w:tcPr>
            <w:tcW w:w="1134" w:type="dxa"/>
          </w:tcPr>
          <w:p w:rsidRPr="006F34CD" w:rsidR="00515FE0" w:rsidP="006F34CD" w:rsidRDefault="00515FE0" w14:paraId="281249E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60A96E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F02A59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BA1828A" w14:textId="77777777">
        <w:trPr>
          <w:cantSplit/>
        </w:trPr>
        <w:tc>
          <w:tcPr>
            <w:tcW w:w="2249" w:type="dxa"/>
          </w:tcPr>
          <w:p w:rsidRPr="006F34CD" w:rsidR="00515FE0" w:rsidP="006F34CD" w:rsidRDefault="00515FE0" w14:paraId="7F121A89" w14:textId="08B062F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Yaroslavl</w:t>
            </w:r>
          </w:p>
        </w:tc>
        <w:tc>
          <w:tcPr>
            <w:tcW w:w="836" w:type="dxa"/>
          </w:tcPr>
          <w:p w:rsidRPr="006F34CD" w:rsidR="00515FE0" w:rsidP="006F34CD" w:rsidRDefault="00515FE0" w14:paraId="7490F4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780960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Yaroslavl</w:t>
            </w:r>
          </w:p>
        </w:tc>
        <w:tc>
          <w:tcPr>
            <w:tcW w:w="1134" w:type="dxa"/>
          </w:tcPr>
          <w:p w:rsidRPr="006F34CD" w:rsidR="00515FE0" w:rsidP="006F34CD" w:rsidRDefault="00515FE0" w14:paraId="1ABE91F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F3011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47E48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1E24610" w14:textId="77777777">
        <w:trPr>
          <w:cantSplit/>
        </w:trPr>
        <w:tc>
          <w:tcPr>
            <w:tcW w:w="2249" w:type="dxa"/>
          </w:tcPr>
          <w:p w:rsidRPr="006F34CD" w:rsidR="00515FE0" w:rsidP="006F34CD" w:rsidRDefault="00515FE0" w14:paraId="4E19A13A" w14:textId="0C29EA9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Yasniy</w:t>
            </w:r>
          </w:p>
        </w:tc>
        <w:tc>
          <w:tcPr>
            <w:tcW w:w="836" w:type="dxa"/>
          </w:tcPr>
          <w:p w:rsidRPr="006F34CD" w:rsidR="00515FE0" w:rsidP="006F34CD" w:rsidRDefault="00515FE0" w14:paraId="484B17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03D6EC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Yasniy</w:t>
            </w:r>
          </w:p>
        </w:tc>
        <w:tc>
          <w:tcPr>
            <w:tcW w:w="1134" w:type="dxa"/>
          </w:tcPr>
          <w:p w:rsidRPr="006F34CD" w:rsidR="00515FE0" w:rsidP="006F34CD" w:rsidRDefault="00515FE0" w14:paraId="672EA4D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037735B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F552E6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45E7EE5" w14:textId="77777777">
        <w:trPr>
          <w:cantSplit/>
        </w:trPr>
        <w:tc>
          <w:tcPr>
            <w:tcW w:w="2249" w:type="dxa"/>
          </w:tcPr>
          <w:p w:rsidRPr="006F34CD" w:rsidR="00515FE0" w:rsidP="006F34CD" w:rsidRDefault="00515FE0" w14:paraId="70A6BE6F" w14:textId="6931E60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Yekaterinburg</w:t>
            </w:r>
          </w:p>
        </w:tc>
        <w:tc>
          <w:tcPr>
            <w:tcW w:w="836" w:type="dxa"/>
          </w:tcPr>
          <w:p w:rsidRPr="006F34CD" w:rsidR="00515FE0" w:rsidP="006F34CD" w:rsidRDefault="00515FE0" w14:paraId="47E494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271CD7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Yekaterinburg</w:t>
            </w:r>
          </w:p>
        </w:tc>
        <w:tc>
          <w:tcPr>
            <w:tcW w:w="1134" w:type="dxa"/>
          </w:tcPr>
          <w:p w:rsidRPr="006F34CD" w:rsidR="00515FE0" w:rsidP="006F34CD" w:rsidRDefault="00515FE0" w14:paraId="188A05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EF8B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DC6880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683705C" w14:textId="77777777">
        <w:trPr>
          <w:cantSplit/>
        </w:trPr>
        <w:tc>
          <w:tcPr>
            <w:tcW w:w="2249" w:type="dxa"/>
          </w:tcPr>
          <w:p w:rsidRPr="006F34CD" w:rsidR="00515FE0" w:rsidP="006F34CD" w:rsidRDefault="00515FE0" w14:paraId="5836E0B2" w14:textId="3781C55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Yelizovo</w:t>
            </w:r>
          </w:p>
        </w:tc>
        <w:tc>
          <w:tcPr>
            <w:tcW w:w="836" w:type="dxa"/>
          </w:tcPr>
          <w:p w:rsidRPr="006F34CD" w:rsidR="00515FE0" w:rsidP="006F34CD" w:rsidRDefault="00515FE0" w14:paraId="4C56ED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DEC87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Yelizovo</w:t>
            </w:r>
          </w:p>
        </w:tc>
        <w:tc>
          <w:tcPr>
            <w:tcW w:w="1134" w:type="dxa"/>
          </w:tcPr>
          <w:p w:rsidRPr="006F34CD" w:rsidR="00515FE0" w:rsidP="006F34CD" w:rsidRDefault="00515FE0" w14:paraId="3629E48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31E7C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595FFC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48DB174" w14:textId="77777777">
        <w:trPr>
          <w:cantSplit/>
        </w:trPr>
        <w:tc>
          <w:tcPr>
            <w:tcW w:w="2249" w:type="dxa"/>
          </w:tcPr>
          <w:p w:rsidRPr="006F34CD" w:rsidR="00515FE0" w:rsidP="006F34CD" w:rsidRDefault="00515FE0" w14:paraId="6B7A3831" w14:textId="1949C65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"Yelshanskaya, Volgograd"</w:t>
            </w:r>
          </w:p>
        </w:tc>
        <w:tc>
          <w:tcPr>
            <w:tcW w:w="836" w:type="dxa"/>
          </w:tcPr>
          <w:p w:rsidRPr="006F34CD" w:rsidR="00515FE0" w:rsidP="006F34CD" w:rsidRDefault="00515FE0" w14:paraId="4ACA99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9792E9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18FD60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B7A3B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B3D2A5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F63889D" w14:textId="77777777">
        <w:trPr>
          <w:cantSplit/>
        </w:trPr>
        <w:tc>
          <w:tcPr>
            <w:tcW w:w="2249" w:type="dxa"/>
          </w:tcPr>
          <w:p w:rsidRPr="006F34CD" w:rsidR="00515FE0" w:rsidP="006F34CD" w:rsidRDefault="00515FE0" w14:paraId="2ADDA049" w14:textId="65E4EC38">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Yessentuki</w:t>
            </w:r>
          </w:p>
        </w:tc>
        <w:tc>
          <w:tcPr>
            <w:tcW w:w="836" w:type="dxa"/>
          </w:tcPr>
          <w:p w:rsidRPr="006F34CD" w:rsidR="00515FE0" w:rsidP="006F34CD" w:rsidRDefault="00515FE0" w14:paraId="135ACE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1992</w:t>
            </w:r>
          </w:p>
        </w:tc>
        <w:tc>
          <w:tcPr>
            <w:tcW w:w="1305" w:type="dxa"/>
          </w:tcPr>
          <w:p w:rsidRPr="006F34CD" w:rsidR="00515FE0" w:rsidP="006F34CD" w:rsidRDefault="00515FE0" w14:paraId="1DB60C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Yessentuki</w:t>
            </w:r>
          </w:p>
        </w:tc>
        <w:tc>
          <w:tcPr>
            <w:tcW w:w="1134" w:type="dxa"/>
          </w:tcPr>
          <w:p w:rsidRPr="006F34CD" w:rsidR="00515FE0" w:rsidP="006F34CD" w:rsidRDefault="00515FE0" w14:paraId="6C1B6F8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186,507</w:t>
            </w:r>
          </w:p>
        </w:tc>
        <w:tc>
          <w:tcPr>
            <w:tcW w:w="992" w:type="dxa"/>
          </w:tcPr>
          <w:p w:rsidRPr="006F34CD" w:rsidR="00515FE0" w:rsidP="006F34CD" w:rsidRDefault="00515FE0" w14:paraId="7393C45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6E1616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935750D" w14:textId="77777777">
        <w:trPr>
          <w:cantSplit/>
        </w:trPr>
        <w:tc>
          <w:tcPr>
            <w:tcW w:w="2249" w:type="dxa"/>
          </w:tcPr>
          <w:p w:rsidRPr="006F34CD" w:rsidR="00515FE0" w:rsidP="006F34CD" w:rsidRDefault="00515FE0" w14:paraId="787CA5BB" w14:textId="33290A0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"Tsentralnaya, Yeysk"</w:t>
            </w:r>
          </w:p>
        </w:tc>
        <w:tc>
          <w:tcPr>
            <w:tcW w:w="836" w:type="dxa"/>
          </w:tcPr>
          <w:p w:rsidRPr="006F34CD" w:rsidR="00515FE0" w:rsidP="006F34CD" w:rsidRDefault="00515FE0" w14:paraId="60EEE7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1998</w:t>
            </w:r>
          </w:p>
        </w:tc>
        <w:tc>
          <w:tcPr>
            <w:tcW w:w="1305" w:type="dxa"/>
          </w:tcPr>
          <w:p w:rsidRPr="006F34CD" w:rsidR="00515FE0" w:rsidP="006F34CD" w:rsidRDefault="00515FE0" w14:paraId="483BA6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Yeysk</w:t>
            </w:r>
          </w:p>
        </w:tc>
        <w:tc>
          <w:tcPr>
            <w:tcW w:w="1134" w:type="dxa"/>
          </w:tcPr>
          <w:p w:rsidRPr="006F34CD" w:rsidR="00515FE0" w:rsidP="006F34CD" w:rsidRDefault="00515FE0" w14:paraId="336018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65,876</w:t>
            </w:r>
          </w:p>
        </w:tc>
        <w:tc>
          <w:tcPr>
            <w:tcW w:w="992" w:type="dxa"/>
          </w:tcPr>
          <w:p w:rsidRPr="006F34CD" w:rsidR="00515FE0" w:rsidP="006F34CD" w:rsidRDefault="00515FE0" w14:paraId="08A2476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49A29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BAD3AB8" w14:textId="77777777">
        <w:trPr>
          <w:cantSplit/>
        </w:trPr>
        <w:tc>
          <w:tcPr>
            <w:tcW w:w="2249" w:type="dxa"/>
          </w:tcPr>
          <w:p w:rsidRPr="006F34CD" w:rsidR="00515FE0" w:rsidP="006F34CD" w:rsidRDefault="00515FE0" w14:paraId="52D83DC0" w14:textId="5E6AD01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"Yoshkar-Ola"</w:t>
            </w:r>
          </w:p>
        </w:tc>
        <w:tc>
          <w:tcPr>
            <w:tcW w:w="836" w:type="dxa"/>
          </w:tcPr>
          <w:p w:rsidRPr="006F34CD" w:rsidR="00515FE0" w:rsidP="006F34CD" w:rsidRDefault="00515FE0" w14:paraId="4CC5DA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5D537C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Yoshkar-Ola</w:t>
            </w:r>
          </w:p>
        </w:tc>
        <w:tc>
          <w:tcPr>
            <w:tcW w:w="1134" w:type="dxa"/>
          </w:tcPr>
          <w:p w:rsidRPr="006F34CD" w:rsidR="00515FE0" w:rsidP="006F34CD" w:rsidRDefault="00515FE0" w14:paraId="66C924A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8F0E6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4285E1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1F2002B" w14:textId="77777777">
        <w:trPr>
          <w:cantSplit/>
        </w:trPr>
        <w:tc>
          <w:tcPr>
            <w:tcW w:w="2249" w:type="dxa"/>
          </w:tcPr>
          <w:p w:rsidRPr="006F34CD" w:rsidR="00515FE0" w:rsidP="006F34CD" w:rsidRDefault="00515FE0" w14:paraId="5FB27371" w14:textId="1D304FF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Yugorsk</w:t>
            </w:r>
          </w:p>
        </w:tc>
        <w:tc>
          <w:tcPr>
            <w:tcW w:w="836" w:type="dxa"/>
          </w:tcPr>
          <w:p w:rsidRPr="006F34CD" w:rsidR="00515FE0" w:rsidP="006F34CD" w:rsidRDefault="00515FE0" w14:paraId="5C03A4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12D02B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Yugorsk</w:t>
            </w:r>
          </w:p>
        </w:tc>
        <w:tc>
          <w:tcPr>
            <w:tcW w:w="1134" w:type="dxa"/>
          </w:tcPr>
          <w:p w:rsidRPr="006F34CD" w:rsidR="00515FE0" w:rsidP="006F34CD" w:rsidRDefault="00515FE0" w14:paraId="57286E9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27F33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8AA8D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E196FC1" w14:textId="77777777">
        <w:trPr>
          <w:cantSplit/>
        </w:trPr>
        <w:tc>
          <w:tcPr>
            <w:tcW w:w="2249" w:type="dxa"/>
          </w:tcPr>
          <w:p w:rsidRPr="006F34CD" w:rsidR="00515FE0" w:rsidP="006F34CD" w:rsidRDefault="00515FE0" w14:paraId="2BFD404C" w14:textId="4CDB0A6C">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"Yuzhnaya, Abakan"</w:t>
            </w:r>
          </w:p>
        </w:tc>
        <w:tc>
          <w:tcPr>
            <w:tcW w:w="836" w:type="dxa"/>
          </w:tcPr>
          <w:p w:rsidRPr="006F34CD" w:rsidR="00515FE0" w:rsidP="006F34CD" w:rsidRDefault="00515FE0" w14:paraId="2D9872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4C7948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Abakan</w:t>
            </w:r>
          </w:p>
        </w:tc>
        <w:tc>
          <w:tcPr>
            <w:tcW w:w="1134" w:type="dxa"/>
          </w:tcPr>
          <w:p w:rsidRPr="006F34CD" w:rsidR="00515FE0" w:rsidP="006F34CD" w:rsidRDefault="00515FE0" w14:paraId="63EB36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9E0A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6F4883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738CBD9" w14:textId="77777777">
        <w:trPr>
          <w:cantSplit/>
        </w:trPr>
        <w:tc>
          <w:tcPr>
            <w:tcW w:w="2249" w:type="dxa"/>
          </w:tcPr>
          <w:p w:rsidRPr="006F34CD" w:rsidR="00515FE0" w:rsidP="006F34CD" w:rsidRDefault="00515FE0" w14:paraId="10E1228C" w14:textId="496E3CA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Yuzhno-Sakhalinsk</w:t>
            </w:r>
          </w:p>
        </w:tc>
        <w:tc>
          <w:tcPr>
            <w:tcW w:w="836" w:type="dxa"/>
          </w:tcPr>
          <w:p w:rsidRPr="006F34CD" w:rsidR="00515FE0" w:rsidP="006F34CD" w:rsidRDefault="00515FE0" w14:paraId="27F709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4B3E3A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Yuzhno-Sakhalinsk</w:t>
            </w:r>
          </w:p>
        </w:tc>
        <w:tc>
          <w:tcPr>
            <w:tcW w:w="1134" w:type="dxa"/>
          </w:tcPr>
          <w:p w:rsidRPr="006F34CD" w:rsidR="00515FE0" w:rsidP="006F34CD" w:rsidRDefault="00515FE0" w14:paraId="2D55725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581,050</w:t>
            </w:r>
          </w:p>
        </w:tc>
        <w:tc>
          <w:tcPr>
            <w:tcW w:w="992" w:type="dxa"/>
          </w:tcPr>
          <w:p w:rsidRPr="006F34CD" w:rsidR="00515FE0" w:rsidP="006F34CD" w:rsidRDefault="00515FE0" w14:paraId="420F892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90CB2E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BF527C3" w14:textId="77777777">
        <w:trPr>
          <w:cantSplit/>
        </w:trPr>
        <w:tc>
          <w:tcPr>
            <w:tcW w:w="2249" w:type="dxa"/>
          </w:tcPr>
          <w:p w:rsidRPr="006F34CD" w:rsidR="00515FE0" w:rsidP="006F34CD" w:rsidRDefault="00515FE0" w14:paraId="48F0FB94" w14:textId="3B476C3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Zainsk of the "Administrative Centre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Russia"</w:t>
            </w:r>
          </w:p>
        </w:tc>
        <w:tc>
          <w:tcPr>
            <w:tcW w:w="836" w:type="dxa"/>
          </w:tcPr>
          <w:p w:rsidRPr="006F34CD" w:rsidR="00515FE0" w:rsidP="006F34CD" w:rsidRDefault="00515FE0" w14:paraId="5FF03B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2001</w:t>
            </w:r>
          </w:p>
        </w:tc>
        <w:tc>
          <w:tcPr>
            <w:tcW w:w="1305" w:type="dxa"/>
          </w:tcPr>
          <w:p w:rsidRPr="006F34CD" w:rsidR="00515FE0" w:rsidP="006F34CD" w:rsidRDefault="00515FE0" w14:paraId="1E3AA0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Zainsk</w:t>
            </w:r>
          </w:p>
        </w:tc>
        <w:tc>
          <w:tcPr>
            <w:tcW w:w="1134" w:type="dxa"/>
          </w:tcPr>
          <w:p w:rsidRPr="006F34CD" w:rsidR="00515FE0" w:rsidP="006F34CD" w:rsidRDefault="00515FE0" w14:paraId="4A32A3B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32,856</w:t>
            </w:r>
          </w:p>
        </w:tc>
        <w:tc>
          <w:tcPr>
            <w:tcW w:w="992" w:type="dxa"/>
          </w:tcPr>
          <w:p w:rsidRPr="006F34CD" w:rsidR="00515FE0" w:rsidP="006F34CD" w:rsidRDefault="00515FE0" w14:paraId="13BEF33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F85D2D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8182842" w14:textId="77777777">
        <w:trPr>
          <w:cantSplit/>
        </w:trPr>
        <w:tc>
          <w:tcPr>
            <w:tcW w:w="2249" w:type="dxa"/>
          </w:tcPr>
          <w:p w:rsidRPr="006F34CD" w:rsidR="00515FE0" w:rsidP="006F34CD" w:rsidRDefault="00515FE0" w14:paraId="37035881" w14:textId="0FEF9F47">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Zalari</w:t>
            </w:r>
          </w:p>
        </w:tc>
        <w:tc>
          <w:tcPr>
            <w:tcW w:w="836" w:type="dxa"/>
          </w:tcPr>
          <w:p w:rsidRPr="006F34CD" w:rsidR="00515FE0" w:rsidP="006F34CD" w:rsidRDefault="00515FE0" w14:paraId="16671F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1997</w:t>
            </w:r>
          </w:p>
        </w:tc>
        <w:tc>
          <w:tcPr>
            <w:tcW w:w="1305" w:type="dxa"/>
          </w:tcPr>
          <w:p w:rsidRPr="006F34CD" w:rsidR="00515FE0" w:rsidP="006F34CD" w:rsidRDefault="00515FE0" w14:paraId="0D3665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Zalari</w:t>
            </w:r>
          </w:p>
        </w:tc>
        <w:tc>
          <w:tcPr>
            <w:tcW w:w="1134" w:type="dxa"/>
          </w:tcPr>
          <w:p w:rsidRPr="006F34CD" w:rsidR="00515FE0" w:rsidP="006F34CD" w:rsidRDefault="00515FE0" w14:paraId="7AD5F27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20,000</w:t>
            </w:r>
          </w:p>
        </w:tc>
        <w:tc>
          <w:tcPr>
            <w:tcW w:w="992" w:type="dxa"/>
          </w:tcPr>
          <w:p w:rsidRPr="006F34CD" w:rsidR="00515FE0" w:rsidP="006F34CD" w:rsidRDefault="00515FE0" w14:paraId="7CC42A0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C8E3F1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43730F2" w14:textId="77777777">
        <w:trPr>
          <w:cantSplit/>
        </w:trPr>
        <w:tc>
          <w:tcPr>
            <w:tcW w:w="2249" w:type="dxa"/>
          </w:tcPr>
          <w:p w:rsidRPr="006F34CD" w:rsidR="00515FE0" w:rsidP="006F34CD" w:rsidRDefault="00515FE0" w14:paraId="61CD34F4" w14:textId="77F1047E">
            <w:pPr>
              <w:spacing w:before="120" w:after="120"/>
              <w:rPr>
                <w:rFonts w:ascii="Times New Roman" w:hAnsi="Times New Roman" w:cs="Times New Roman"/>
                <w:sz w:val="18"/>
                <w:szCs w:val="18"/>
              </w:rPr>
            </w:pPr>
            <w:r w:rsidRPr="006F34CD">
              <w:rPr>
                <w:rFonts w:ascii="Times New Roman" w:hAnsi="Times New Roman" w:cs="Times New Roman"/>
                <w:sz w:val="18"/>
                <w:szCs w:val="18"/>
              </w:rPr>
              <w:t>Local Christian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"Zarechnaya, Novosibirsk"</w:t>
            </w:r>
          </w:p>
        </w:tc>
        <w:tc>
          <w:tcPr>
            <w:tcW w:w="836" w:type="dxa"/>
          </w:tcPr>
          <w:p w:rsidRPr="006F34CD" w:rsidR="00515FE0" w:rsidP="006F34CD" w:rsidRDefault="00515FE0" w14:paraId="187571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6C9799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Novosibirsk</w:t>
            </w:r>
          </w:p>
        </w:tc>
        <w:tc>
          <w:tcPr>
            <w:tcW w:w="1134" w:type="dxa"/>
          </w:tcPr>
          <w:p w:rsidRPr="006F34CD" w:rsidR="00515FE0" w:rsidP="006F34CD" w:rsidRDefault="00515FE0" w14:paraId="0EEB631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441B6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ADB25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B9D953B" w14:textId="77777777">
        <w:trPr>
          <w:cantSplit/>
        </w:trPr>
        <w:tc>
          <w:tcPr>
            <w:tcW w:w="2249" w:type="dxa"/>
          </w:tcPr>
          <w:p w:rsidRPr="006F34CD" w:rsidR="00515FE0" w:rsidP="006F34CD" w:rsidRDefault="00515FE0" w14:paraId="245D7ACC" w14:textId="469449A4">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Zarechniy</w:t>
            </w:r>
          </w:p>
        </w:tc>
        <w:tc>
          <w:tcPr>
            <w:tcW w:w="836" w:type="dxa"/>
          </w:tcPr>
          <w:p w:rsidRPr="006F34CD" w:rsidR="00515FE0" w:rsidP="006F34CD" w:rsidRDefault="00515FE0" w14:paraId="313CB7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2006</w:t>
            </w:r>
          </w:p>
        </w:tc>
        <w:tc>
          <w:tcPr>
            <w:tcW w:w="1305" w:type="dxa"/>
          </w:tcPr>
          <w:p w:rsidRPr="006F34CD" w:rsidR="00515FE0" w:rsidP="006F34CD" w:rsidRDefault="00515FE0" w14:paraId="0158B0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Zarechniy</w:t>
            </w:r>
          </w:p>
        </w:tc>
        <w:tc>
          <w:tcPr>
            <w:tcW w:w="1134" w:type="dxa"/>
          </w:tcPr>
          <w:p w:rsidRPr="006F34CD" w:rsidR="00515FE0" w:rsidP="006F34CD" w:rsidRDefault="00515FE0" w14:paraId="426785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68D7E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092FD8D2"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57870D67" w14:textId="77777777">
        <w:trPr>
          <w:cantSplit/>
        </w:trPr>
        <w:tc>
          <w:tcPr>
            <w:tcW w:w="2249" w:type="dxa"/>
          </w:tcPr>
          <w:p w:rsidRPr="006F34CD" w:rsidR="00515FE0" w:rsidP="006F34CD" w:rsidRDefault="00515FE0" w14:paraId="3772C0F7" w14:textId="6021D0F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"Zarinsk"</w:t>
            </w:r>
          </w:p>
        </w:tc>
        <w:tc>
          <w:tcPr>
            <w:tcW w:w="836" w:type="dxa"/>
          </w:tcPr>
          <w:p w:rsidRPr="006F34CD" w:rsidR="00515FE0" w:rsidP="006F34CD" w:rsidRDefault="00515FE0" w14:paraId="486196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1993</w:t>
            </w:r>
          </w:p>
        </w:tc>
        <w:tc>
          <w:tcPr>
            <w:tcW w:w="1305" w:type="dxa"/>
          </w:tcPr>
          <w:p w:rsidRPr="006F34CD" w:rsidR="00515FE0" w:rsidP="006F34CD" w:rsidRDefault="00515FE0" w14:paraId="62E9C7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Zarinsk</w:t>
            </w:r>
          </w:p>
        </w:tc>
        <w:tc>
          <w:tcPr>
            <w:tcW w:w="1134" w:type="dxa"/>
          </w:tcPr>
          <w:p w:rsidRPr="006F34CD" w:rsidR="00515FE0" w:rsidP="006F34CD" w:rsidRDefault="00515FE0" w14:paraId="3D87A82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49CD9C"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261A86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6CC957BB" w14:textId="77777777">
        <w:trPr>
          <w:cantSplit/>
        </w:trPr>
        <w:tc>
          <w:tcPr>
            <w:tcW w:w="2249" w:type="dxa"/>
          </w:tcPr>
          <w:p w:rsidRPr="006F34CD" w:rsidR="00515FE0" w:rsidP="006F34CD" w:rsidRDefault="00515FE0" w14:paraId="7319FDE9" w14:textId="7A657C39">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Zelenogorsk</w:t>
            </w:r>
          </w:p>
        </w:tc>
        <w:tc>
          <w:tcPr>
            <w:tcW w:w="836" w:type="dxa"/>
          </w:tcPr>
          <w:p w:rsidRPr="006F34CD" w:rsidR="00515FE0" w:rsidP="006F34CD" w:rsidRDefault="00515FE0" w14:paraId="472EB7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66350F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Zelenogorsk</w:t>
            </w:r>
          </w:p>
        </w:tc>
        <w:tc>
          <w:tcPr>
            <w:tcW w:w="1134" w:type="dxa"/>
          </w:tcPr>
          <w:p w:rsidRPr="006F34CD" w:rsidR="00515FE0" w:rsidP="006F34CD" w:rsidRDefault="00515FE0" w14:paraId="1C8EAB2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47E92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9C95B8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490D312" w14:textId="77777777">
        <w:trPr>
          <w:cantSplit/>
        </w:trPr>
        <w:tc>
          <w:tcPr>
            <w:tcW w:w="2249" w:type="dxa"/>
          </w:tcPr>
          <w:p w:rsidRPr="006F34CD" w:rsidR="00515FE0" w:rsidP="006F34CD" w:rsidRDefault="00515FE0" w14:paraId="03378D49" w14:textId="2B88DF1F">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Zelenokumsk</w:t>
            </w:r>
          </w:p>
        </w:tc>
        <w:tc>
          <w:tcPr>
            <w:tcW w:w="836" w:type="dxa"/>
          </w:tcPr>
          <w:p w:rsidRPr="006F34CD" w:rsidR="00515FE0" w:rsidP="006F34CD" w:rsidRDefault="00515FE0" w14:paraId="0533CF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FB80B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Zelenokumsk</w:t>
            </w:r>
          </w:p>
        </w:tc>
        <w:tc>
          <w:tcPr>
            <w:tcW w:w="1134" w:type="dxa"/>
          </w:tcPr>
          <w:p w:rsidRPr="006F34CD" w:rsidR="00515FE0" w:rsidP="006F34CD" w:rsidRDefault="00515FE0" w14:paraId="428D9E5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149,255</w:t>
            </w:r>
          </w:p>
        </w:tc>
        <w:tc>
          <w:tcPr>
            <w:tcW w:w="992" w:type="dxa"/>
          </w:tcPr>
          <w:p w:rsidRPr="006F34CD" w:rsidR="00515FE0" w:rsidP="006F34CD" w:rsidRDefault="00515FE0" w14:paraId="4DFFBD3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70ACE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DBC1AB6" w14:textId="77777777">
        <w:trPr>
          <w:cantSplit/>
        </w:trPr>
        <w:tc>
          <w:tcPr>
            <w:tcW w:w="2249" w:type="dxa"/>
          </w:tcPr>
          <w:p w:rsidRPr="006F34CD" w:rsidR="00515FE0" w:rsidP="006F34CD" w:rsidRDefault="00515FE0" w14:paraId="62FE3267" w14:textId="2385A67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Zeya</w:t>
            </w:r>
          </w:p>
        </w:tc>
        <w:tc>
          <w:tcPr>
            <w:tcW w:w="836" w:type="dxa"/>
          </w:tcPr>
          <w:p w:rsidRPr="006F34CD" w:rsidR="00515FE0" w:rsidP="006F34CD" w:rsidRDefault="00515FE0" w14:paraId="4CE083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C2520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Zeya</w:t>
            </w:r>
          </w:p>
        </w:tc>
        <w:tc>
          <w:tcPr>
            <w:tcW w:w="1134" w:type="dxa"/>
          </w:tcPr>
          <w:p w:rsidRPr="006F34CD" w:rsidR="00515FE0" w:rsidP="006F34CD" w:rsidRDefault="00515FE0" w14:paraId="175AF1D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16FD581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10295C0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0504BBA" w14:textId="77777777">
        <w:trPr>
          <w:cantSplit/>
        </w:trPr>
        <w:tc>
          <w:tcPr>
            <w:tcW w:w="2249" w:type="dxa"/>
          </w:tcPr>
          <w:p w:rsidRPr="006F34CD" w:rsidR="00515FE0" w:rsidP="006F34CD" w:rsidRDefault="00515FE0" w14:paraId="54598B5D" w14:textId="5F8664A6">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"Zheleznogorsk"</w:t>
            </w:r>
          </w:p>
        </w:tc>
        <w:tc>
          <w:tcPr>
            <w:tcW w:w="836" w:type="dxa"/>
          </w:tcPr>
          <w:p w:rsidRPr="006F34CD" w:rsidR="00515FE0" w:rsidP="006F34CD" w:rsidRDefault="00515FE0" w14:paraId="0A4441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7780A0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Zheleznogorsk</w:t>
            </w:r>
          </w:p>
        </w:tc>
        <w:tc>
          <w:tcPr>
            <w:tcW w:w="1134" w:type="dxa"/>
          </w:tcPr>
          <w:p w:rsidRPr="006F34CD" w:rsidR="00515FE0" w:rsidP="006F34CD" w:rsidRDefault="00515FE0" w14:paraId="1CA7EB8B"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7104023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1D7010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0A8315F" w14:textId="77777777">
        <w:trPr>
          <w:cantSplit/>
        </w:trPr>
        <w:tc>
          <w:tcPr>
            <w:tcW w:w="2249" w:type="dxa"/>
          </w:tcPr>
          <w:p w:rsidRPr="006F34CD" w:rsidR="00515FE0" w:rsidP="006F34CD" w:rsidRDefault="00515FE0" w14:paraId="53761003" w14:textId="6A365F83">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Zheleznogorsk</w:t>
            </w:r>
          </w:p>
        </w:tc>
        <w:tc>
          <w:tcPr>
            <w:tcW w:w="836" w:type="dxa"/>
          </w:tcPr>
          <w:p w:rsidRPr="006F34CD" w:rsidR="00515FE0" w:rsidP="006F34CD" w:rsidRDefault="00515FE0" w14:paraId="73511D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2006</w:t>
            </w:r>
          </w:p>
        </w:tc>
        <w:tc>
          <w:tcPr>
            <w:tcW w:w="1305" w:type="dxa"/>
          </w:tcPr>
          <w:p w:rsidRPr="006F34CD" w:rsidR="00515FE0" w:rsidP="006F34CD" w:rsidRDefault="00515FE0" w14:paraId="09DB27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Zheleznogorsk</w:t>
            </w:r>
          </w:p>
        </w:tc>
        <w:tc>
          <w:tcPr>
            <w:tcW w:w="1134" w:type="dxa"/>
          </w:tcPr>
          <w:p w:rsidRPr="006F34CD" w:rsidR="00515FE0" w:rsidP="006F34CD" w:rsidRDefault="00515FE0" w14:paraId="378BA17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BDBC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4400E043"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2B93815" w14:textId="77777777">
        <w:trPr>
          <w:cantSplit/>
        </w:trPr>
        <w:tc>
          <w:tcPr>
            <w:tcW w:w="2249" w:type="dxa"/>
          </w:tcPr>
          <w:p w:rsidRPr="006F34CD" w:rsidR="00515FE0" w:rsidP="006F34CD" w:rsidRDefault="00515FE0" w14:paraId="7F7B01D8" w14:textId="32BA6B3A">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Zheleznogorsk-Ilimskiy</w:t>
            </w:r>
          </w:p>
        </w:tc>
        <w:tc>
          <w:tcPr>
            <w:tcW w:w="836" w:type="dxa"/>
          </w:tcPr>
          <w:p w:rsidRPr="006F34CD" w:rsidR="00515FE0" w:rsidP="006F34CD" w:rsidRDefault="00515FE0" w14:paraId="2D02B0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B4899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Zheleznogorsk - Ilimskiy</w:t>
            </w:r>
          </w:p>
        </w:tc>
        <w:tc>
          <w:tcPr>
            <w:tcW w:w="1134" w:type="dxa"/>
          </w:tcPr>
          <w:p w:rsidRPr="006F34CD" w:rsidR="00515FE0" w:rsidP="006F34CD" w:rsidRDefault="00515FE0" w14:paraId="0B43328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53,535</w:t>
            </w:r>
          </w:p>
        </w:tc>
        <w:tc>
          <w:tcPr>
            <w:tcW w:w="992" w:type="dxa"/>
          </w:tcPr>
          <w:p w:rsidRPr="006F34CD" w:rsidR="00515FE0" w:rsidP="006F34CD" w:rsidRDefault="00515FE0" w14:paraId="2BF692A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2D64E53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23CE348A" w14:textId="77777777">
        <w:trPr>
          <w:cantSplit/>
        </w:trPr>
        <w:tc>
          <w:tcPr>
            <w:tcW w:w="2249" w:type="dxa"/>
          </w:tcPr>
          <w:p w:rsidRPr="006F34CD" w:rsidR="00515FE0" w:rsidP="006F34CD" w:rsidRDefault="00515FE0" w14:paraId="66A948B4" w14:textId="6EE480ED">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Zheleznovodsk</w:t>
            </w:r>
          </w:p>
        </w:tc>
        <w:tc>
          <w:tcPr>
            <w:tcW w:w="836" w:type="dxa"/>
          </w:tcPr>
          <w:p w:rsidRPr="006F34CD" w:rsidR="00515FE0" w:rsidP="006F34CD" w:rsidRDefault="00515FE0" w14:paraId="075721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34B655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Zheleznovodsk</w:t>
            </w:r>
          </w:p>
        </w:tc>
        <w:tc>
          <w:tcPr>
            <w:tcW w:w="1134" w:type="dxa"/>
          </w:tcPr>
          <w:p w:rsidRPr="006F34CD" w:rsidR="00515FE0" w:rsidP="006F34CD" w:rsidRDefault="00515FE0" w14:paraId="51FFF90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455,984</w:t>
            </w:r>
          </w:p>
        </w:tc>
        <w:tc>
          <w:tcPr>
            <w:tcW w:w="992" w:type="dxa"/>
          </w:tcPr>
          <w:p w:rsidRPr="006F34CD" w:rsidR="00515FE0" w:rsidP="006F34CD" w:rsidRDefault="00515FE0" w14:paraId="640043F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793C9287"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4512AADF" w14:textId="77777777">
        <w:trPr>
          <w:cantSplit/>
        </w:trPr>
        <w:tc>
          <w:tcPr>
            <w:tcW w:w="2249" w:type="dxa"/>
          </w:tcPr>
          <w:p w:rsidRPr="006F34CD" w:rsidR="00515FE0" w:rsidP="006F34CD" w:rsidRDefault="00515FE0" w14:paraId="38C25066" w14:textId="714D45C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Zhukovskiy</w:t>
            </w:r>
          </w:p>
        </w:tc>
        <w:tc>
          <w:tcPr>
            <w:tcW w:w="836" w:type="dxa"/>
          </w:tcPr>
          <w:p w:rsidRPr="006F34CD" w:rsidR="00515FE0" w:rsidP="006F34CD" w:rsidRDefault="00515FE0" w14:paraId="119330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6C0F0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Zhukovskiy</w:t>
            </w:r>
          </w:p>
        </w:tc>
        <w:tc>
          <w:tcPr>
            <w:tcW w:w="1134" w:type="dxa"/>
          </w:tcPr>
          <w:p w:rsidRPr="006F34CD" w:rsidR="00515FE0" w:rsidP="006F34CD" w:rsidRDefault="00515FE0" w14:paraId="42DB94D8"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277,858</w:t>
            </w:r>
          </w:p>
        </w:tc>
        <w:tc>
          <w:tcPr>
            <w:tcW w:w="992" w:type="dxa"/>
          </w:tcPr>
          <w:p w:rsidRPr="006F34CD" w:rsidR="00515FE0" w:rsidP="006F34CD" w:rsidRDefault="00515FE0" w14:paraId="7CEA0C3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39E298F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129AD520" w14:textId="77777777">
        <w:trPr>
          <w:cantSplit/>
        </w:trPr>
        <w:tc>
          <w:tcPr>
            <w:tcW w:w="2249" w:type="dxa"/>
          </w:tcPr>
          <w:p w:rsidRPr="006F34CD" w:rsidR="00515FE0" w:rsidP="006F34CD" w:rsidRDefault="00515FE0" w14:paraId="78320BDE" w14:textId="3105E695">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City of Zima</w:t>
            </w:r>
          </w:p>
        </w:tc>
        <w:tc>
          <w:tcPr>
            <w:tcW w:w="836" w:type="dxa"/>
          </w:tcPr>
          <w:p w:rsidRPr="006F34CD" w:rsidR="00515FE0" w:rsidP="006F34CD" w:rsidRDefault="00515FE0" w14:paraId="32FE42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5F3E96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Zima</w:t>
            </w:r>
          </w:p>
        </w:tc>
        <w:tc>
          <w:tcPr>
            <w:tcW w:w="1134" w:type="dxa"/>
          </w:tcPr>
          <w:p w:rsidRPr="006F34CD" w:rsidR="00515FE0" w:rsidP="006F34CD" w:rsidRDefault="00515FE0" w14:paraId="7F2B8B4F"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10,000</w:t>
            </w:r>
          </w:p>
        </w:tc>
        <w:tc>
          <w:tcPr>
            <w:tcW w:w="992" w:type="dxa"/>
          </w:tcPr>
          <w:p w:rsidRPr="006F34CD" w:rsidR="00515FE0" w:rsidP="006F34CD" w:rsidRDefault="00515FE0" w14:paraId="448C644A"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8F037D5"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0408AF8D" w14:textId="77777777">
        <w:trPr>
          <w:cantSplit/>
        </w:trPr>
        <w:tc>
          <w:tcPr>
            <w:tcW w:w="2249" w:type="dxa"/>
          </w:tcPr>
          <w:p w:rsidRPr="006F34CD" w:rsidR="00515FE0" w:rsidP="006F34CD" w:rsidRDefault="00515FE0" w14:paraId="58EEF1EF" w14:textId="20539F12">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of the Town of Zimovniki and the Zimovnikovskiy District</w:t>
            </w:r>
          </w:p>
        </w:tc>
        <w:tc>
          <w:tcPr>
            <w:tcW w:w="836" w:type="dxa"/>
          </w:tcPr>
          <w:p w:rsidRPr="006F34CD" w:rsidR="00515FE0" w:rsidP="006F34CD" w:rsidRDefault="00515FE0" w14:paraId="61C438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2000</w:t>
            </w:r>
          </w:p>
        </w:tc>
        <w:tc>
          <w:tcPr>
            <w:tcW w:w="1305" w:type="dxa"/>
          </w:tcPr>
          <w:p w:rsidRPr="006F34CD" w:rsidR="00515FE0" w:rsidP="006F34CD" w:rsidRDefault="00515FE0" w14:paraId="3FB225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Zimovniki</w:t>
            </w:r>
          </w:p>
        </w:tc>
        <w:tc>
          <w:tcPr>
            <w:tcW w:w="1134" w:type="dxa"/>
          </w:tcPr>
          <w:p w:rsidRPr="006F34CD" w:rsidR="00515FE0" w:rsidP="006F34CD" w:rsidRDefault="00515FE0" w14:paraId="304C7C5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4BF3C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59D2B8CE"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3B6A928C" w14:textId="77777777">
        <w:trPr>
          <w:cantSplit/>
        </w:trPr>
        <w:tc>
          <w:tcPr>
            <w:tcW w:w="2249" w:type="dxa"/>
          </w:tcPr>
          <w:p w:rsidRPr="006F34CD" w:rsidR="00515FE0" w:rsidP="006F34CD" w:rsidRDefault="00515FE0" w14:paraId="5C4364B3" w14:textId="7CBC779B">
            <w:pPr>
              <w:spacing w:before="120" w:after="120"/>
              <w:rPr>
                <w:rFonts w:ascii="Times New Roman" w:hAnsi="Times New Roman" w:cs="Times New Roman"/>
                <w:sz w:val="18"/>
                <w:szCs w:val="18"/>
              </w:rPr>
            </w:pPr>
            <w:r w:rsidRPr="006F34CD">
              <w:rPr>
                <w:rFonts w:ascii="Times New Roman" w:hAnsi="Times New Roman" w:cs="Times New Roman"/>
                <w:sz w:val="18"/>
                <w:szCs w:val="18"/>
              </w:rPr>
              <w:t>Local Religious Organisation of Jehovah</w:t>
            </w:r>
            <w:r w:rsidRPr="006F34CD" w:rsidR="006F34CD">
              <w:rPr>
                <w:rFonts w:ascii="Times New Roman" w:hAnsi="Times New Roman" w:cs="Times New Roman"/>
                <w:sz w:val="18"/>
                <w:szCs w:val="18"/>
              </w:rPr>
              <w:t>’</w:t>
            </w:r>
            <w:r w:rsidRPr="006F34CD">
              <w:rPr>
                <w:rFonts w:ascii="Times New Roman" w:hAnsi="Times New Roman" w:cs="Times New Roman"/>
                <w:sz w:val="18"/>
                <w:szCs w:val="18"/>
              </w:rPr>
              <w:t>s Witnesses in the City of Zverevo</w:t>
            </w:r>
          </w:p>
        </w:tc>
        <w:tc>
          <w:tcPr>
            <w:tcW w:w="836" w:type="dxa"/>
          </w:tcPr>
          <w:p w:rsidRPr="006F34CD" w:rsidR="00515FE0" w:rsidP="006F34CD" w:rsidRDefault="00515FE0" w14:paraId="207B14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1999</w:t>
            </w:r>
          </w:p>
        </w:tc>
        <w:tc>
          <w:tcPr>
            <w:tcW w:w="1305" w:type="dxa"/>
          </w:tcPr>
          <w:p w:rsidRPr="006F34CD" w:rsidR="00515FE0" w:rsidP="006F34CD" w:rsidRDefault="00515FE0" w14:paraId="2CDC93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Zverevo</w:t>
            </w:r>
          </w:p>
        </w:tc>
        <w:tc>
          <w:tcPr>
            <w:tcW w:w="1134" w:type="dxa"/>
          </w:tcPr>
          <w:p w:rsidRPr="006F34CD" w:rsidR="00515FE0" w:rsidP="006F34CD" w:rsidRDefault="00515FE0" w14:paraId="251E91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D35614"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30,000</w:t>
            </w:r>
          </w:p>
        </w:tc>
        <w:tc>
          <w:tcPr>
            <w:tcW w:w="992" w:type="dxa"/>
          </w:tcPr>
          <w:p w:rsidRPr="006F34CD" w:rsidR="00515FE0" w:rsidP="006F34CD" w:rsidRDefault="00515FE0" w14:paraId="6699F576"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7,500</w:t>
            </w:r>
          </w:p>
        </w:tc>
      </w:tr>
      <w:tr w:rsidRPr="006F34CD" w:rsidR="00515FE0" w:rsidTr="00EF028C" w14:paraId="7F6A376D" w14:textId="77777777">
        <w:trPr>
          <w:cantSplit/>
        </w:trPr>
        <w:tc>
          <w:tcPr>
            <w:tcW w:w="2249" w:type="dxa"/>
          </w:tcPr>
          <w:p w:rsidRPr="006F34CD" w:rsidR="00515FE0" w:rsidP="006F34CD" w:rsidRDefault="00515FE0" w14:paraId="0284E7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Ivanovich AFANASYEV</w:t>
            </w:r>
          </w:p>
        </w:tc>
        <w:tc>
          <w:tcPr>
            <w:tcW w:w="836" w:type="dxa"/>
          </w:tcPr>
          <w:p w:rsidRPr="006F34CD" w:rsidR="00515FE0" w:rsidP="006F34CD" w:rsidRDefault="00515FE0" w14:paraId="3FA51C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3C334C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Sortavala</w:t>
            </w:r>
          </w:p>
        </w:tc>
        <w:tc>
          <w:tcPr>
            <w:tcW w:w="1134" w:type="dxa"/>
          </w:tcPr>
          <w:p w:rsidRPr="006F34CD" w:rsidR="00515FE0" w:rsidP="006F34CD" w:rsidRDefault="00515FE0" w14:paraId="16F9EB0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B9AC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281995" w14:textId="77777777">
            <w:pPr>
              <w:spacing w:before="120" w:after="120"/>
              <w:jc w:val="center"/>
              <w:rPr>
                <w:rFonts w:ascii="Times New Roman" w:hAnsi="Times New Roman" w:cs="Times New Roman"/>
                <w:sz w:val="18"/>
                <w:szCs w:val="18"/>
              </w:rPr>
            </w:pPr>
          </w:p>
        </w:tc>
      </w:tr>
      <w:tr w:rsidRPr="006F34CD" w:rsidR="00515FE0" w:rsidTr="00EF028C" w14:paraId="24E42D98" w14:textId="77777777">
        <w:trPr>
          <w:cantSplit/>
        </w:trPr>
        <w:tc>
          <w:tcPr>
            <w:tcW w:w="2249" w:type="dxa"/>
          </w:tcPr>
          <w:p w:rsidRPr="006F34CD" w:rsidR="00515FE0" w:rsidP="006F34CD" w:rsidRDefault="00515FE0" w14:paraId="28DD49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Eduard Rafailovich AKHUNZYANOV</w:t>
            </w:r>
          </w:p>
        </w:tc>
        <w:tc>
          <w:tcPr>
            <w:tcW w:w="836" w:type="dxa"/>
          </w:tcPr>
          <w:p w:rsidRPr="006F34CD" w:rsidR="00515FE0" w:rsidP="006F34CD" w:rsidRDefault="00515FE0" w14:paraId="4C6086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2E120B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Kemerovo</w:t>
            </w:r>
          </w:p>
        </w:tc>
        <w:tc>
          <w:tcPr>
            <w:tcW w:w="1134" w:type="dxa"/>
          </w:tcPr>
          <w:p w:rsidRPr="006F34CD" w:rsidR="00515FE0" w:rsidP="006F34CD" w:rsidRDefault="00515FE0" w14:paraId="0545345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F5D5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F97AAD" w14:textId="77777777">
            <w:pPr>
              <w:spacing w:before="120" w:after="120"/>
              <w:jc w:val="center"/>
              <w:rPr>
                <w:rFonts w:ascii="Times New Roman" w:hAnsi="Times New Roman" w:cs="Times New Roman"/>
                <w:sz w:val="18"/>
                <w:szCs w:val="18"/>
              </w:rPr>
            </w:pPr>
          </w:p>
        </w:tc>
      </w:tr>
      <w:tr w:rsidRPr="006F34CD" w:rsidR="00515FE0" w:rsidTr="00EF028C" w14:paraId="76E6CD2B" w14:textId="77777777">
        <w:trPr>
          <w:cantSplit/>
        </w:trPr>
        <w:tc>
          <w:tcPr>
            <w:tcW w:w="2249" w:type="dxa"/>
          </w:tcPr>
          <w:p w:rsidRPr="006F34CD" w:rsidR="00515FE0" w:rsidP="006F34CD" w:rsidRDefault="00515FE0" w14:paraId="60B5E5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Vladimirovich ALEKSEY</w:t>
            </w:r>
          </w:p>
        </w:tc>
        <w:tc>
          <w:tcPr>
            <w:tcW w:w="836" w:type="dxa"/>
          </w:tcPr>
          <w:p w:rsidRPr="006F34CD" w:rsidR="00515FE0" w:rsidP="006F34CD" w:rsidRDefault="00515FE0" w14:paraId="3D3346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73269F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Rozet</w:t>
            </w:r>
          </w:p>
        </w:tc>
        <w:tc>
          <w:tcPr>
            <w:tcW w:w="1134" w:type="dxa"/>
          </w:tcPr>
          <w:p w:rsidRPr="006F34CD" w:rsidR="00515FE0" w:rsidP="006F34CD" w:rsidRDefault="00515FE0" w14:paraId="2BC5FE5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BAFA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3B9C44" w14:textId="77777777">
            <w:pPr>
              <w:spacing w:before="120" w:after="120"/>
              <w:jc w:val="center"/>
              <w:rPr>
                <w:rFonts w:ascii="Times New Roman" w:hAnsi="Times New Roman" w:cs="Times New Roman"/>
                <w:sz w:val="18"/>
                <w:szCs w:val="18"/>
              </w:rPr>
            </w:pPr>
          </w:p>
        </w:tc>
      </w:tr>
      <w:tr w:rsidRPr="006F34CD" w:rsidR="00515FE0" w:rsidTr="00EF028C" w14:paraId="62300A95" w14:textId="77777777">
        <w:trPr>
          <w:cantSplit/>
        </w:trPr>
        <w:tc>
          <w:tcPr>
            <w:tcW w:w="2249" w:type="dxa"/>
          </w:tcPr>
          <w:p w:rsidRPr="006F34CD" w:rsidR="00515FE0" w:rsidP="006F34CD" w:rsidRDefault="00515FE0" w14:paraId="0F59DD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Fedot Borisovich ALEKSEYEV</w:t>
            </w:r>
          </w:p>
        </w:tc>
        <w:tc>
          <w:tcPr>
            <w:tcW w:w="836" w:type="dxa"/>
          </w:tcPr>
          <w:p w:rsidRPr="006F34CD" w:rsidR="00515FE0" w:rsidP="006F34CD" w:rsidRDefault="00515FE0" w14:paraId="058469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43E301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Neryungri</w:t>
            </w:r>
          </w:p>
        </w:tc>
        <w:tc>
          <w:tcPr>
            <w:tcW w:w="1134" w:type="dxa"/>
          </w:tcPr>
          <w:p w:rsidRPr="006F34CD" w:rsidR="00515FE0" w:rsidP="006F34CD" w:rsidRDefault="00515FE0" w14:paraId="76BF54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1DF56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5D7A78" w14:textId="77777777">
            <w:pPr>
              <w:spacing w:before="120" w:after="120"/>
              <w:jc w:val="center"/>
              <w:rPr>
                <w:rFonts w:ascii="Times New Roman" w:hAnsi="Times New Roman" w:cs="Times New Roman"/>
                <w:sz w:val="18"/>
                <w:szCs w:val="18"/>
              </w:rPr>
            </w:pPr>
          </w:p>
        </w:tc>
      </w:tr>
      <w:tr w:rsidRPr="006F34CD" w:rsidR="00515FE0" w:rsidTr="00EF028C" w14:paraId="5FFB9B1D" w14:textId="77777777">
        <w:trPr>
          <w:cantSplit/>
        </w:trPr>
        <w:tc>
          <w:tcPr>
            <w:tcW w:w="2249" w:type="dxa"/>
          </w:tcPr>
          <w:p w:rsidRPr="006F34CD" w:rsidR="00515FE0" w:rsidP="006F34CD" w:rsidRDefault="00515FE0" w14:paraId="6812F0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Maksim Vladimirovich AMOSOV</w:t>
            </w:r>
          </w:p>
        </w:tc>
        <w:tc>
          <w:tcPr>
            <w:tcW w:w="836" w:type="dxa"/>
          </w:tcPr>
          <w:p w:rsidRPr="006F34CD" w:rsidR="00515FE0" w:rsidP="006F34CD" w:rsidRDefault="00515FE0" w14:paraId="39AC36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1EA51A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Petrozavodsk</w:t>
            </w:r>
          </w:p>
        </w:tc>
        <w:tc>
          <w:tcPr>
            <w:tcW w:w="1134" w:type="dxa"/>
          </w:tcPr>
          <w:p w:rsidRPr="006F34CD" w:rsidR="00515FE0" w:rsidP="006F34CD" w:rsidRDefault="00515FE0" w14:paraId="3EFE44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8D5BC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07169F" w14:textId="77777777">
            <w:pPr>
              <w:spacing w:before="120" w:after="120"/>
              <w:jc w:val="center"/>
              <w:rPr>
                <w:rFonts w:ascii="Times New Roman" w:hAnsi="Times New Roman" w:cs="Times New Roman"/>
                <w:sz w:val="18"/>
                <w:szCs w:val="18"/>
              </w:rPr>
            </w:pPr>
          </w:p>
        </w:tc>
      </w:tr>
      <w:tr w:rsidRPr="006F34CD" w:rsidR="00515FE0" w:rsidTr="00EF028C" w14:paraId="59112BF4" w14:textId="77777777">
        <w:trPr>
          <w:cantSplit/>
        </w:trPr>
        <w:tc>
          <w:tcPr>
            <w:tcW w:w="2249" w:type="dxa"/>
          </w:tcPr>
          <w:p w:rsidRPr="006F34CD" w:rsidR="00515FE0" w:rsidP="006F34CD" w:rsidRDefault="00515FE0" w14:paraId="527AA1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Viktorovich ANANIN</w:t>
            </w:r>
          </w:p>
        </w:tc>
        <w:tc>
          <w:tcPr>
            <w:tcW w:w="836" w:type="dxa"/>
          </w:tcPr>
          <w:p w:rsidRPr="006F34CD" w:rsidR="00515FE0" w:rsidP="006F34CD" w:rsidRDefault="00515FE0" w14:paraId="4581FA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2680F9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Belovo</w:t>
            </w:r>
          </w:p>
        </w:tc>
        <w:tc>
          <w:tcPr>
            <w:tcW w:w="1134" w:type="dxa"/>
          </w:tcPr>
          <w:p w:rsidRPr="006F34CD" w:rsidR="00515FE0" w:rsidP="006F34CD" w:rsidRDefault="00515FE0" w14:paraId="3CDD483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296B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00C84E" w14:textId="77777777">
            <w:pPr>
              <w:spacing w:before="120" w:after="120"/>
              <w:jc w:val="center"/>
              <w:rPr>
                <w:rFonts w:ascii="Times New Roman" w:hAnsi="Times New Roman" w:cs="Times New Roman"/>
                <w:sz w:val="18"/>
                <w:szCs w:val="18"/>
              </w:rPr>
            </w:pPr>
          </w:p>
        </w:tc>
      </w:tr>
      <w:tr w:rsidRPr="006F34CD" w:rsidR="00515FE0" w:rsidTr="00EF028C" w14:paraId="670059FE" w14:textId="77777777">
        <w:trPr>
          <w:cantSplit/>
        </w:trPr>
        <w:tc>
          <w:tcPr>
            <w:tcW w:w="2249" w:type="dxa"/>
          </w:tcPr>
          <w:p w:rsidRPr="006F34CD" w:rsidR="00515FE0" w:rsidP="006F34CD" w:rsidRDefault="00515FE0" w14:paraId="02D024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Leonidovich ANDREYEV</w:t>
            </w:r>
          </w:p>
        </w:tc>
        <w:tc>
          <w:tcPr>
            <w:tcW w:w="836" w:type="dxa"/>
          </w:tcPr>
          <w:p w:rsidRPr="006F34CD" w:rsidR="00515FE0" w:rsidP="006F34CD" w:rsidRDefault="00515FE0" w14:paraId="061ED6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680F5D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Kursk</w:t>
            </w:r>
          </w:p>
        </w:tc>
        <w:tc>
          <w:tcPr>
            <w:tcW w:w="1134" w:type="dxa"/>
          </w:tcPr>
          <w:p w:rsidRPr="006F34CD" w:rsidR="00515FE0" w:rsidP="006F34CD" w:rsidRDefault="00515FE0" w14:paraId="3088A3C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00DFB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934D12" w14:textId="77777777">
            <w:pPr>
              <w:spacing w:before="120" w:after="120"/>
              <w:jc w:val="center"/>
              <w:rPr>
                <w:rFonts w:ascii="Times New Roman" w:hAnsi="Times New Roman" w:cs="Times New Roman"/>
                <w:sz w:val="18"/>
                <w:szCs w:val="18"/>
              </w:rPr>
            </w:pPr>
          </w:p>
        </w:tc>
      </w:tr>
      <w:tr w:rsidRPr="006F34CD" w:rsidR="00515FE0" w:rsidTr="00EF028C" w14:paraId="6B2FF2E2" w14:textId="77777777">
        <w:trPr>
          <w:cantSplit/>
        </w:trPr>
        <w:tc>
          <w:tcPr>
            <w:tcW w:w="2249" w:type="dxa"/>
          </w:tcPr>
          <w:p w:rsidRPr="006F34CD" w:rsidR="00515FE0" w:rsidP="006F34CD" w:rsidRDefault="00515FE0" w14:paraId="138956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Anatolyevich ANDRYUKOV</w:t>
            </w:r>
          </w:p>
        </w:tc>
        <w:tc>
          <w:tcPr>
            <w:tcW w:w="836" w:type="dxa"/>
          </w:tcPr>
          <w:p w:rsidRPr="006F34CD" w:rsidR="00515FE0" w:rsidP="006F34CD" w:rsidRDefault="00515FE0" w14:paraId="16D364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46BD39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Severouralsk</w:t>
            </w:r>
          </w:p>
        </w:tc>
        <w:tc>
          <w:tcPr>
            <w:tcW w:w="1134" w:type="dxa"/>
          </w:tcPr>
          <w:p w:rsidRPr="006F34CD" w:rsidR="00515FE0" w:rsidP="006F34CD" w:rsidRDefault="00515FE0" w14:paraId="64441F3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6F58F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B54549" w14:textId="77777777">
            <w:pPr>
              <w:spacing w:before="120" w:after="120"/>
              <w:jc w:val="center"/>
              <w:rPr>
                <w:rFonts w:ascii="Times New Roman" w:hAnsi="Times New Roman" w:cs="Times New Roman"/>
                <w:sz w:val="18"/>
                <w:szCs w:val="18"/>
              </w:rPr>
            </w:pPr>
          </w:p>
        </w:tc>
      </w:tr>
      <w:tr w:rsidRPr="006F34CD" w:rsidR="00515FE0" w:rsidTr="00EF028C" w14:paraId="530F13B2" w14:textId="77777777">
        <w:trPr>
          <w:cantSplit/>
        </w:trPr>
        <w:tc>
          <w:tcPr>
            <w:tcW w:w="2249" w:type="dxa"/>
          </w:tcPr>
          <w:p w:rsidRPr="006F34CD" w:rsidR="00515FE0" w:rsidP="006F34CD" w:rsidRDefault="00515FE0" w14:paraId="2985C1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Mikhaylovich APANYUK</w:t>
            </w:r>
          </w:p>
        </w:tc>
        <w:tc>
          <w:tcPr>
            <w:tcW w:w="836" w:type="dxa"/>
          </w:tcPr>
          <w:p w:rsidRPr="006F34CD" w:rsidR="00515FE0" w:rsidP="006F34CD" w:rsidRDefault="00515FE0" w14:paraId="0B5C95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79EAC4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Zalari</w:t>
            </w:r>
          </w:p>
        </w:tc>
        <w:tc>
          <w:tcPr>
            <w:tcW w:w="1134" w:type="dxa"/>
          </w:tcPr>
          <w:p w:rsidRPr="006F34CD" w:rsidR="00515FE0" w:rsidP="006F34CD" w:rsidRDefault="00515FE0" w14:paraId="3E7092A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B7A9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FCC49A" w14:textId="77777777">
            <w:pPr>
              <w:spacing w:before="120" w:after="120"/>
              <w:jc w:val="center"/>
              <w:rPr>
                <w:rFonts w:ascii="Times New Roman" w:hAnsi="Times New Roman" w:cs="Times New Roman"/>
                <w:sz w:val="18"/>
                <w:szCs w:val="18"/>
              </w:rPr>
            </w:pPr>
          </w:p>
        </w:tc>
      </w:tr>
      <w:tr w:rsidRPr="006F34CD" w:rsidR="00515FE0" w:rsidTr="00EF028C" w14:paraId="4B97FC5A" w14:textId="77777777">
        <w:trPr>
          <w:cantSplit/>
        </w:trPr>
        <w:tc>
          <w:tcPr>
            <w:tcW w:w="2249" w:type="dxa"/>
          </w:tcPr>
          <w:p w:rsidRPr="006F34CD" w:rsidR="00515FE0" w:rsidP="006F34CD" w:rsidRDefault="00515FE0" w14:paraId="047386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Pavlovich ARTYUKHIN</w:t>
            </w:r>
          </w:p>
        </w:tc>
        <w:tc>
          <w:tcPr>
            <w:tcW w:w="836" w:type="dxa"/>
          </w:tcPr>
          <w:p w:rsidRPr="006F34CD" w:rsidR="00515FE0" w:rsidP="006F34CD" w:rsidRDefault="00515FE0" w14:paraId="5EE8B5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207E06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Syzran</w:t>
            </w:r>
          </w:p>
        </w:tc>
        <w:tc>
          <w:tcPr>
            <w:tcW w:w="1134" w:type="dxa"/>
          </w:tcPr>
          <w:p w:rsidRPr="006F34CD" w:rsidR="00515FE0" w:rsidP="006F34CD" w:rsidRDefault="00515FE0" w14:paraId="1DC899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B2B5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F087D6" w14:textId="77777777">
            <w:pPr>
              <w:spacing w:before="120" w:after="120"/>
              <w:jc w:val="center"/>
              <w:rPr>
                <w:rFonts w:ascii="Times New Roman" w:hAnsi="Times New Roman" w:cs="Times New Roman"/>
                <w:sz w:val="18"/>
                <w:szCs w:val="18"/>
              </w:rPr>
            </w:pPr>
          </w:p>
        </w:tc>
      </w:tr>
      <w:tr w:rsidRPr="006F34CD" w:rsidR="00515FE0" w:rsidTr="00EF028C" w14:paraId="3102B5E9" w14:textId="77777777">
        <w:trPr>
          <w:cantSplit/>
        </w:trPr>
        <w:tc>
          <w:tcPr>
            <w:tcW w:w="2249" w:type="dxa"/>
          </w:tcPr>
          <w:p w:rsidRPr="006F34CD" w:rsidR="00515FE0" w:rsidP="006F34CD" w:rsidRDefault="00515FE0" w14:paraId="20B8D9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Konstantin Sergeyevich ARZHAVITIN</w:t>
            </w:r>
          </w:p>
        </w:tc>
        <w:tc>
          <w:tcPr>
            <w:tcW w:w="836" w:type="dxa"/>
          </w:tcPr>
          <w:p w:rsidRPr="006F34CD" w:rsidR="00515FE0" w:rsidP="006F34CD" w:rsidRDefault="00515FE0" w14:paraId="6E8A02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3F8C94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Nakhodka</w:t>
            </w:r>
          </w:p>
        </w:tc>
        <w:tc>
          <w:tcPr>
            <w:tcW w:w="1134" w:type="dxa"/>
          </w:tcPr>
          <w:p w:rsidRPr="006F34CD" w:rsidR="00515FE0" w:rsidP="006F34CD" w:rsidRDefault="00515FE0" w14:paraId="0F1B58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2BA8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F06294" w14:textId="77777777">
            <w:pPr>
              <w:spacing w:before="120" w:after="120"/>
              <w:jc w:val="center"/>
              <w:rPr>
                <w:rFonts w:ascii="Times New Roman" w:hAnsi="Times New Roman" w:cs="Times New Roman"/>
                <w:sz w:val="18"/>
                <w:szCs w:val="18"/>
              </w:rPr>
            </w:pPr>
          </w:p>
        </w:tc>
      </w:tr>
      <w:tr w:rsidRPr="006F34CD" w:rsidR="00515FE0" w:rsidTr="00EF028C" w14:paraId="451E5249" w14:textId="77777777">
        <w:trPr>
          <w:cantSplit/>
        </w:trPr>
        <w:tc>
          <w:tcPr>
            <w:tcW w:w="2249" w:type="dxa"/>
          </w:tcPr>
          <w:p w:rsidRPr="006F34CD" w:rsidR="00515FE0" w:rsidP="006F34CD" w:rsidRDefault="00515FE0" w14:paraId="500985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Yevgenyevich AULOV</w:t>
            </w:r>
          </w:p>
        </w:tc>
        <w:tc>
          <w:tcPr>
            <w:tcW w:w="836" w:type="dxa"/>
          </w:tcPr>
          <w:p w:rsidRPr="006F34CD" w:rsidR="00515FE0" w:rsidP="006F34CD" w:rsidRDefault="00515FE0" w14:paraId="1863F6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4E0562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Krasnogorsk</w:t>
            </w:r>
          </w:p>
        </w:tc>
        <w:tc>
          <w:tcPr>
            <w:tcW w:w="1134" w:type="dxa"/>
          </w:tcPr>
          <w:p w:rsidRPr="006F34CD" w:rsidR="00515FE0" w:rsidP="006F34CD" w:rsidRDefault="00515FE0" w14:paraId="3FA3983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1439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E12A3D" w14:textId="77777777">
            <w:pPr>
              <w:spacing w:before="120" w:after="120"/>
              <w:jc w:val="center"/>
              <w:rPr>
                <w:rFonts w:ascii="Times New Roman" w:hAnsi="Times New Roman" w:cs="Times New Roman"/>
                <w:sz w:val="18"/>
                <w:szCs w:val="18"/>
              </w:rPr>
            </w:pPr>
          </w:p>
        </w:tc>
      </w:tr>
      <w:tr w:rsidRPr="006F34CD" w:rsidR="00515FE0" w:rsidTr="00EF028C" w14:paraId="5C8E61B6" w14:textId="77777777">
        <w:trPr>
          <w:cantSplit/>
        </w:trPr>
        <w:tc>
          <w:tcPr>
            <w:tcW w:w="2249" w:type="dxa"/>
          </w:tcPr>
          <w:p w:rsidRPr="006F34CD" w:rsidR="00515FE0" w:rsidP="006F34CD" w:rsidRDefault="00515FE0" w14:paraId="374789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Viktorovich AYDASHKIN</w:t>
            </w:r>
          </w:p>
        </w:tc>
        <w:tc>
          <w:tcPr>
            <w:tcW w:w="836" w:type="dxa"/>
          </w:tcPr>
          <w:p w:rsidRPr="006F34CD" w:rsidR="00515FE0" w:rsidP="006F34CD" w:rsidRDefault="00515FE0" w14:paraId="4E6432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74F1E9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Minusinsk</w:t>
            </w:r>
          </w:p>
        </w:tc>
        <w:tc>
          <w:tcPr>
            <w:tcW w:w="1134" w:type="dxa"/>
          </w:tcPr>
          <w:p w:rsidRPr="006F34CD" w:rsidR="00515FE0" w:rsidP="006F34CD" w:rsidRDefault="00515FE0" w14:paraId="7F9802F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B740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366A06" w14:textId="77777777">
            <w:pPr>
              <w:spacing w:before="120" w:after="120"/>
              <w:jc w:val="center"/>
              <w:rPr>
                <w:rFonts w:ascii="Times New Roman" w:hAnsi="Times New Roman" w:cs="Times New Roman"/>
                <w:sz w:val="18"/>
                <w:szCs w:val="18"/>
              </w:rPr>
            </w:pPr>
          </w:p>
        </w:tc>
      </w:tr>
      <w:tr w:rsidRPr="006F34CD" w:rsidR="00515FE0" w:rsidTr="00EF028C" w14:paraId="2E61DD4A" w14:textId="77777777">
        <w:trPr>
          <w:cantSplit/>
        </w:trPr>
        <w:tc>
          <w:tcPr>
            <w:tcW w:w="2249" w:type="dxa"/>
          </w:tcPr>
          <w:p w:rsidRPr="006F34CD" w:rsidR="00515FE0" w:rsidP="006F34CD" w:rsidRDefault="00515FE0" w14:paraId="5D4774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Aram Surenovich AYRIYAN</w:t>
            </w:r>
          </w:p>
        </w:tc>
        <w:tc>
          <w:tcPr>
            <w:tcW w:w="836" w:type="dxa"/>
          </w:tcPr>
          <w:p w:rsidRPr="006F34CD" w:rsidR="00515FE0" w:rsidP="006F34CD" w:rsidRDefault="00515FE0" w14:paraId="19580B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61BFF3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Derbent</w:t>
            </w:r>
          </w:p>
        </w:tc>
        <w:tc>
          <w:tcPr>
            <w:tcW w:w="1134" w:type="dxa"/>
          </w:tcPr>
          <w:p w:rsidRPr="006F34CD" w:rsidR="00515FE0" w:rsidP="006F34CD" w:rsidRDefault="00515FE0" w14:paraId="1BEC14D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E94D0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3E0C11" w14:textId="77777777">
            <w:pPr>
              <w:spacing w:before="120" w:after="120"/>
              <w:jc w:val="center"/>
              <w:rPr>
                <w:rFonts w:ascii="Times New Roman" w:hAnsi="Times New Roman" w:cs="Times New Roman"/>
                <w:sz w:val="18"/>
                <w:szCs w:val="18"/>
              </w:rPr>
            </w:pPr>
          </w:p>
        </w:tc>
      </w:tr>
      <w:tr w:rsidRPr="006F34CD" w:rsidR="00515FE0" w:rsidTr="00EF028C" w14:paraId="3B74A2A3" w14:textId="77777777">
        <w:trPr>
          <w:cantSplit/>
        </w:trPr>
        <w:tc>
          <w:tcPr>
            <w:tcW w:w="2249" w:type="dxa"/>
          </w:tcPr>
          <w:p w:rsidRPr="006F34CD" w:rsidR="00515FE0" w:rsidP="006F34CD" w:rsidRDefault="00515FE0" w14:paraId="7B7336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Vladimirovich BACHKOV</w:t>
            </w:r>
          </w:p>
        </w:tc>
        <w:tc>
          <w:tcPr>
            <w:tcW w:w="836" w:type="dxa"/>
          </w:tcPr>
          <w:p w:rsidRPr="006F34CD" w:rsidR="00515FE0" w:rsidP="006F34CD" w:rsidRDefault="00515FE0" w14:paraId="0DF046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55BD99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Okha</w:t>
            </w:r>
          </w:p>
        </w:tc>
        <w:tc>
          <w:tcPr>
            <w:tcW w:w="1134" w:type="dxa"/>
          </w:tcPr>
          <w:p w:rsidRPr="006F34CD" w:rsidR="00515FE0" w:rsidP="006F34CD" w:rsidRDefault="00515FE0" w14:paraId="65B79A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A44FC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96562B" w14:textId="77777777">
            <w:pPr>
              <w:spacing w:before="120" w:after="120"/>
              <w:jc w:val="center"/>
              <w:rPr>
                <w:rFonts w:ascii="Times New Roman" w:hAnsi="Times New Roman" w:cs="Times New Roman"/>
                <w:sz w:val="18"/>
                <w:szCs w:val="18"/>
              </w:rPr>
            </w:pPr>
          </w:p>
        </w:tc>
      </w:tr>
      <w:tr w:rsidRPr="006F34CD" w:rsidR="00515FE0" w:rsidTr="00EF028C" w14:paraId="5192948D" w14:textId="77777777">
        <w:trPr>
          <w:cantSplit/>
        </w:trPr>
        <w:tc>
          <w:tcPr>
            <w:tcW w:w="2249" w:type="dxa"/>
          </w:tcPr>
          <w:p w:rsidRPr="006F34CD" w:rsidR="00515FE0" w:rsidP="006F34CD" w:rsidRDefault="00515FE0" w14:paraId="04901A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Nikolayevich BACHURIN</w:t>
            </w:r>
          </w:p>
        </w:tc>
        <w:tc>
          <w:tcPr>
            <w:tcW w:w="836" w:type="dxa"/>
          </w:tcPr>
          <w:p w:rsidRPr="006F34CD" w:rsidR="00515FE0" w:rsidP="006F34CD" w:rsidRDefault="00515FE0" w14:paraId="274873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2189C8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Lipetsk</w:t>
            </w:r>
          </w:p>
        </w:tc>
        <w:tc>
          <w:tcPr>
            <w:tcW w:w="1134" w:type="dxa"/>
          </w:tcPr>
          <w:p w:rsidRPr="006F34CD" w:rsidR="00515FE0" w:rsidP="006F34CD" w:rsidRDefault="00515FE0" w14:paraId="3DEDFE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3E872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D4CB92" w14:textId="77777777">
            <w:pPr>
              <w:spacing w:before="120" w:after="120"/>
              <w:jc w:val="center"/>
              <w:rPr>
                <w:rFonts w:ascii="Times New Roman" w:hAnsi="Times New Roman" w:cs="Times New Roman"/>
                <w:sz w:val="18"/>
                <w:szCs w:val="18"/>
              </w:rPr>
            </w:pPr>
          </w:p>
        </w:tc>
      </w:tr>
      <w:tr w:rsidRPr="006F34CD" w:rsidR="00515FE0" w:rsidTr="00EF028C" w14:paraId="22338362" w14:textId="77777777">
        <w:trPr>
          <w:cantSplit/>
        </w:trPr>
        <w:tc>
          <w:tcPr>
            <w:tcW w:w="2249" w:type="dxa"/>
          </w:tcPr>
          <w:p w:rsidRPr="006F34CD" w:rsidR="00515FE0" w:rsidP="006F34CD" w:rsidRDefault="00515FE0" w14:paraId="7F59D0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Sergeyevich BADALYAN</w:t>
            </w:r>
          </w:p>
        </w:tc>
        <w:tc>
          <w:tcPr>
            <w:tcW w:w="836" w:type="dxa"/>
          </w:tcPr>
          <w:p w:rsidRPr="006F34CD" w:rsidR="00515FE0" w:rsidP="006F34CD" w:rsidRDefault="00515FE0" w14:paraId="339E7C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1980</w:t>
            </w:r>
          </w:p>
        </w:tc>
        <w:tc>
          <w:tcPr>
            <w:tcW w:w="1305" w:type="dxa"/>
          </w:tcPr>
          <w:p w:rsidRPr="006F34CD" w:rsidR="00515FE0" w:rsidP="006F34CD" w:rsidRDefault="00515FE0" w14:paraId="621A57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Balashov</w:t>
            </w:r>
          </w:p>
        </w:tc>
        <w:tc>
          <w:tcPr>
            <w:tcW w:w="1134" w:type="dxa"/>
          </w:tcPr>
          <w:p w:rsidRPr="006F34CD" w:rsidR="00515FE0" w:rsidP="006F34CD" w:rsidRDefault="00515FE0" w14:paraId="2790E5B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C8BC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E6D984" w14:textId="77777777">
            <w:pPr>
              <w:spacing w:before="120" w:after="120"/>
              <w:jc w:val="center"/>
              <w:rPr>
                <w:rFonts w:ascii="Times New Roman" w:hAnsi="Times New Roman" w:cs="Times New Roman"/>
                <w:sz w:val="18"/>
                <w:szCs w:val="18"/>
              </w:rPr>
            </w:pPr>
          </w:p>
        </w:tc>
      </w:tr>
      <w:tr w:rsidRPr="006F34CD" w:rsidR="00515FE0" w:rsidTr="00EF028C" w14:paraId="349B0C24" w14:textId="77777777">
        <w:trPr>
          <w:cantSplit/>
        </w:trPr>
        <w:tc>
          <w:tcPr>
            <w:tcW w:w="2249" w:type="dxa"/>
          </w:tcPr>
          <w:p w:rsidRPr="006F34CD" w:rsidR="00515FE0" w:rsidP="006F34CD" w:rsidRDefault="00515FE0" w14:paraId="2D4405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Albert Georgiyevich BAGDASARYAN</w:t>
            </w:r>
          </w:p>
        </w:tc>
        <w:tc>
          <w:tcPr>
            <w:tcW w:w="836" w:type="dxa"/>
          </w:tcPr>
          <w:p w:rsidRPr="006F34CD" w:rsidR="00515FE0" w:rsidP="006F34CD" w:rsidRDefault="00515FE0" w14:paraId="259B2E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4D62C7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Kislovodsk</w:t>
            </w:r>
          </w:p>
        </w:tc>
        <w:tc>
          <w:tcPr>
            <w:tcW w:w="1134" w:type="dxa"/>
          </w:tcPr>
          <w:p w:rsidRPr="006F34CD" w:rsidR="00515FE0" w:rsidP="006F34CD" w:rsidRDefault="00515FE0" w14:paraId="61914D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53EB3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73AC06" w14:textId="77777777">
            <w:pPr>
              <w:spacing w:before="120" w:after="120"/>
              <w:jc w:val="center"/>
              <w:rPr>
                <w:rFonts w:ascii="Times New Roman" w:hAnsi="Times New Roman" w:cs="Times New Roman"/>
                <w:sz w:val="18"/>
                <w:szCs w:val="18"/>
              </w:rPr>
            </w:pPr>
          </w:p>
        </w:tc>
      </w:tr>
      <w:tr w:rsidRPr="006F34CD" w:rsidR="00515FE0" w:rsidTr="00EF028C" w14:paraId="0593E2D4" w14:textId="77777777">
        <w:trPr>
          <w:cantSplit/>
        </w:trPr>
        <w:tc>
          <w:tcPr>
            <w:tcW w:w="2249" w:type="dxa"/>
          </w:tcPr>
          <w:p w:rsidRPr="006F34CD" w:rsidR="00515FE0" w:rsidP="006F34CD" w:rsidRDefault="00515FE0" w14:paraId="3B2D90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Gennadyevich BALKOV</w:t>
            </w:r>
          </w:p>
        </w:tc>
        <w:tc>
          <w:tcPr>
            <w:tcW w:w="836" w:type="dxa"/>
          </w:tcPr>
          <w:p w:rsidRPr="006F34CD" w:rsidR="00515FE0" w:rsidP="006F34CD" w:rsidRDefault="00515FE0" w14:paraId="5DFF0D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1CBC1E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Tolyatti</w:t>
            </w:r>
          </w:p>
        </w:tc>
        <w:tc>
          <w:tcPr>
            <w:tcW w:w="1134" w:type="dxa"/>
          </w:tcPr>
          <w:p w:rsidRPr="006F34CD" w:rsidR="00515FE0" w:rsidP="006F34CD" w:rsidRDefault="00515FE0" w14:paraId="77DCBC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4B306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8D521C" w14:textId="77777777">
            <w:pPr>
              <w:spacing w:before="120" w:after="120"/>
              <w:jc w:val="center"/>
              <w:rPr>
                <w:rFonts w:ascii="Times New Roman" w:hAnsi="Times New Roman" w:cs="Times New Roman"/>
                <w:sz w:val="18"/>
                <w:szCs w:val="18"/>
              </w:rPr>
            </w:pPr>
          </w:p>
        </w:tc>
      </w:tr>
      <w:tr w:rsidRPr="006F34CD" w:rsidR="00515FE0" w:rsidTr="00EF028C" w14:paraId="0E142A82" w14:textId="77777777">
        <w:trPr>
          <w:cantSplit/>
        </w:trPr>
        <w:tc>
          <w:tcPr>
            <w:tcW w:w="2249" w:type="dxa"/>
          </w:tcPr>
          <w:p w:rsidRPr="006F34CD" w:rsidR="00515FE0" w:rsidP="006F34CD" w:rsidRDefault="00515FE0" w14:paraId="15718C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Grigoryevich BANNYKH</w:t>
            </w:r>
          </w:p>
        </w:tc>
        <w:tc>
          <w:tcPr>
            <w:tcW w:w="836" w:type="dxa"/>
          </w:tcPr>
          <w:p w:rsidRPr="006F34CD" w:rsidR="00515FE0" w:rsidP="006F34CD" w:rsidRDefault="00515FE0" w14:paraId="402D87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2DB554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Lesnoy</w:t>
            </w:r>
          </w:p>
        </w:tc>
        <w:tc>
          <w:tcPr>
            <w:tcW w:w="1134" w:type="dxa"/>
          </w:tcPr>
          <w:p w:rsidRPr="006F34CD" w:rsidR="00515FE0" w:rsidP="006F34CD" w:rsidRDefault="00515FE0" w14:paraId="2071183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BBFA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90B8F4" w14:textId="77777777">
            <w:pPr>
              <w:spacing w:before="120" w:after="120"/>
              <w:jc w:val="center"/>
              <w:rPr>
                <w:rFonts w:ascii="Times New Roman" w:hAnsi="Times New Roman" w:cs="Times New Roman"/>
                <w:sz w:val="18"/>
                <w:szCs w:val="18"/>
              </w:rPr>
            </w:pPr>
          </w:p>
        </w:tc>
      </w:tr>
      <w:tr w:rsidRPr="006F34CD" w:rsidR="00515FE0" w:rsidTr="00EF028C" w14:paraId="471AB860" w14:textId="77777777">
        <w:trPr>
          <w:cantSplit/>
        </w:trPr>
        <w:tc>
          <w:tcPr>
            <w:tcW w:w="2249" w:type="dxa"/>
          </w:tcPr>
          <w:p w:rsidRPr="006F34CD" w:rsidR="00515FE0" w:rsidP="006F34CD" w:rsidRDefault="00515FE0" w14:paraId="36AF63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Sergeyevich BEGLETSOV</w:t>
            </w:r>
          </w:p>
        </w:tc>
        <w:tc>
          <w:tcPr>
            <w:tcW w:w="836" w:type="dxa"/>
          </w:tcPr>
          <w:p w:rsidRPr="006F34CD" w:rsidR="00515FE0" w:rsidP="006F34CD" w:rsidRDefault="00515FE0" w14:paraId="019231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607F5F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Balakovo</w:t>
            </w:r>
          </w:p>
        </w:tc>
        <w:tc>
          <w:tcPr>
            <w:tcW w:w="1134" w:type="dxa"/>
          </w:tcPr>
          <w:p w:rsidRPr="006F34CD" w:rsidR="00515FE0" w:rsidP="006F34CD" w:rsidRDefault="00515FE0" w14:paraId="1170DC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B63E4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80110C" w14:textId="77777777">
            <w:pPr>
              <w:spacing w:before="120" w:after="120"/>
              <w:jc w:val="center"/>
              <w:rPr>
                <w:rFonts w:ascii="Times New Roman" w:hAnsi="Times New Roman" w:cs="Times New Roman"/>
                <w:sz w:val="18"/>
                <w:szCs w:val="18"/>
              </w:rPr>
            </w:pPr>
          </w:p>
        </w:tc>
      </w:tr>
      <w:tr w:rsidRPr="006F34CD" w:rsidR="00515FE0" w:rsidTr="00EF028C" w14:paraId="42E46B1E" w14:textId="77777777">
        <w:trPr>
          <w:cantSplit/>
        </w:trPr>
        <w:tc>
          <w:tcPr>
            <w:tcW w:w="2249" w:type="dxa"/>
          </w:tcPr>
          <w:p w:rsidRPr="006F34CD" w:rsidR="00515FE0" w:rsidP="006F34CD" w:rsidRDefault="00515FE0" w14:paraId="67200B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Roman Aleksandrovich BELOBORODOV</w:t>
            </w:r>
          </w:p>
        </w:tc>
        <w:tc>
          <w:tcPr>
            <w:tcW w:w="836" w:type="dxa"/>
          </w:tcPr>
          <w:p w:rsidRPr="006F34CD" w:rsidR="00515FE0" w:rsidP="006F34CD" w:rsidRDefault="00515FE0" w14:paraId="5365F2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09040B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Cheremkhovo</w:t>
            </w:r>
          </w:p>
        </w:tc>
        <w:tc>
          <w:tcPr>
            <w:tcW w:w="1134" w:type="dxa"/>
          </w:tcPr>
          <w:p w:rsidRPr="006F34CD" w:rsidR="00515FE0" w:rsidP="006F34CD" w:rsidRDefault="00515FE0" w14:paraId="7B27123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F35EB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8560EF" w14:textId="77777777">
            <w:pPr>
              <w:spacing w:before="120" w:after="120"/>
              <w:jc w:val="center"/>
              <w:rPr>
                <w:rFonts w:ascii="Times New Roman" w:hAnsi="Times New Roman" w:cs="Times New Roman"/>
                <w:sz w:val="18"/>
                <w:szCs w:val="18"/>
              </w:rPr>
            </w:pPr>
          </w:p>
        </w:tc>
      </w:tr>
      <w:tr w:rsidRPr="006F34CD" w:rsidR="00515FE0" w:rsidTr="00EF028C" w14:paraId="2C59BE0C" w14:textId="77777777">
        <w:trPr>
          <w:cantSplit/>
        </w:trPr>
        <w:tc>
          <w:tcPr>
            <w:tcW w:w="2249" w:type="dxa"/>
          </w:tcPr>
          <w:p w:rsidRPr="006F34CD" w:rsidR="00515FE0" w:rsidP="006F34CD" w:rsidRDefault="00515FE0" w14:paraId="4FEE43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DmitriyLeonidovich BELOUSOV</w:t>
            </w:r>
          </w:p>
        </w:tc>
        <w:tc>
          <w:tcPr>
            <w:tcW w:w="836" w:type="dxa"/>
          </w:tcPr>
          <w:p w:rsidRPr="006F34CD" w:rsidR="00515FE0" w:rsidP="006F34CD" w:rsidRDefault="00515FE0" w14:paraId="02AECA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0696DB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Bataysk</w:t>
            </w:r>
          </w:p>
        </w:tc>
        <w:tc>
          <w:tcPr>
            <w:tcW w:w="1134" w:type="dxa"/>
          </w:tcPr>
          <w:p w:rsidRPr="006F34CD" w:rsidR="00515FE0" w:rsidP="006F34CD" w:rsidRDefault="00515FE0" w14:paraId="6471BB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253BC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72CE1C" w14:textId="77777777">
            <w:pPr>
              <w:spacing w:before="120" w:after="120"/>
              <w:jc w:val="center"/>
              <w:rPr>
                <w:rFonts w:ascii="Times New Roman" w:hAnsi="Times New Roman" w:cs="Times New Roman"/>
                <w:sz w:val="18"/>
                <w:szCs w:val="18"/>
              </w:rPr>
            </w:pPr>
          </w:p>
        </w:tc>
      </w:tr>
      <w:tr w:rsidRPr="006F34CD" w:rsidR="00515FE0" w:rsidTr="00EF028C" w14:paraId="2421AFCE" w14:textId="77777777">
        <w:trPr>
          <w:cantSplit/>
        </w:trPr>
        <w:tc>
          <w:tcPr>
            <w:tcW w:w="2249" w:type="dxa"/>
          </w:tcPr>
          <w:p w:rsidRPr="006F34CD" w:rsidR="00515FE0" w:rsidP="006F34CD" w:rsidRDefault="00515FE0" w14:paraId="09DC9C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Georgiy Aleksandrovich BESSMERTNIY</w:t>
            </w:r>
          </w:p>
        </w:tc>
        <w:tc>
          <w:tcPr>
            <w:tcW w:w="836" w:type="dxa"/>
          </w:tcPr>
          <w:p w:rsidRPr="006F34CD" w:rsidR="00515FE0" w:rsidP="006F34CD" w:rsidRDefault="00515FE0" w14:paraId="6F79B8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2B9CD8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Zheleznovodsk</w:t>
            </w:r>
          </w:p>
        </w:tc>
        <w:tc>
          <w:tcPr>
            <w:tcW w:w="1134" w:type="dxa"/>
          </w:tcPr>
          <w:p w:rsidRPr="006F34CD" w:rsidR="00515FE0" w:rsidP="006F34CD" w:rsidRDefault="00515FE0" w14:paraId="3B29B54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1C79C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77987C" w14:textId="77777777">
            <w:pPr>
              <w:spacing w:before="120" w:after="120"/>
              <w:jc w:val="center"/>
              <w:rPr>
                <w:rFonts w:ascii="Times New Roman" w:hAnsi="Times New Roman" w:cs="Times New Roman"/>
                <w:sz w:val="18"/>
                <w:szCs w:val="18"/>
              </w:rPr>
            </w:pPr>
          </w:p>
        </w:tc>
      </w:tr>
      <w:tr w:rsidRPr="006F34CD" w:rsidR="00515FE0" w:rsidTr="00EF028C" w14:paraId="63FC4CE0" w14:textId="77777777">
        <w:trPr>
          <w:cantSplit/>
        </w:trPr>
        <w:tc>
          <w:tcPr>
            <w:tcW w:w="2249" w:type="dxa"/>
          </w:tcPr>
          <w:p w:rsidRPr="006F34CD" w:rsidR="00515FE0" w:rsidP="006F34CD" w:rsidRDefault="00515FE0" w14:paraId="3B6234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Fedorovich BEZHENAR</w:t>
            </w:r>
          </w:p>
        </w:tc>
        <w:tc>
          <w:tcPr>
            <w:tcW w:w="836" w:type="dxa"/>
          </w:tcPr>
          <w:p w:rsidRPr="006F34CD" w:rsidR="00515FE0" w:rsidP="006F34CD" w:rsidRDefault="00515FE0" w14:paraId="418E65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0EC91E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Voskresensk</w:t>
            </w:r>
          </w:p>
        </w:tc>
        <w:tc>
          <w:tcPr>
            <w:tcW w:w="1134" w:type="dxa"/>
          </w:tcPr>
          <w:p w:rsidRPr="006F34CD" w:rsidR="00515FE0" w:rsidP="006F34CD" w:rsidRDefault="00515FE0" w14:paraId="5496FFE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E5430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4916CB" w14:textId="77777777">
            <w:pPr>
              <w:spacing w:before="120" w:after="120"/>
              <w:jc w:val="center"/>
              <w:rPr>
                <w:rFonts w:ascii="Times New Roman" w:hAnsi="Times New Roman" w:cs="Times New Roman"/>
                <w:sz w:val="18"/>
                <w:szCs w:val="18"/>
              </w:rPr>
            </w:pPr>
          </w:p>
        </w:tc>
      </w:tr>
      <w:tr w:rsidRPr="006F34CD" w:rsidR="00515FE0" w:rsidTr="00EF028C" w14:paraId="1314C52E" w14:textId="77777777">
        <w:trPr>
          <w:cantSplit/>
        </w:trPr>
        <w:tc>
          <w:tcPr>
            <w:tcW w:w="2249" w:type="dxa"/>
          </w:tcPr>
          <w:p w:rsidRPr="006F34CD" w:rsidR="00515FE0" w:rsidP="006F34CD" w:rsidRDefault="00515FE0" w14:paraId="611E13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Anatolyevich BEZLIK</w:t>
            </w:r>
          </w:p>
        </w:tc>
        <w:tc>
          <w:tcPr>
            <w:tcW w:w="836" w:type="dxa"/>
          </w:tcPr>
          <w:p w:rsidRPr="006F34CD" w:rsidR="00515FE0" w:rsidP="006F34CD" w:rsidRDefault="00515FE0" w14:paraId="59D0A6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348096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Ust-Kut</w:t>
            </w:r>
          </w:p>
        </w:tc>
        <w:tc>
          <w:tcPr>
            <w:tcW w:w="1134" w:type="dxa"/>
          </w:tcPr>
          <w:p w:rsidRPr="006F34CD" w:rsidR="00515FE0" w:rsidP="006F34CD" w:rsidRDefault="00515FE0" w14:paraId="442127E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05174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5A950C" w14:textId="77777777">
            <w:pPr>
              <w:spacing w:before="120" w:after="120"/>
              <w:jc w:val="center"/>
              <w:rPr>
                <w:rFonts w:ascii="Times New Roman" w:hAnsi="Times New Roman" w:cs="Times New Roman"/>
                <w:sz w:val="18"/>
                <w:szCs w:val="18"/>
              </w:rPr>
            </w:pPr>
          </w:p>
        </w:tc>
      </w:tr>
      <w:tr w:rsidRPr="006F34CD" w:rsidR="00515FE0" w:rsidTr="00EF028C" w14:paraId="2DF604D1" w14:textId="77777777">
        <w:trPr>
          <w:cantSplit/>
        </w:trPr>
        <w:tc>
          <w:tcPr>
            <w:tcW w:w="2249" w:type="dxa"/>
          </w:tcPr>
          <w:p w:rsidRPr="006F34CD" w:rsidR="00515FE0" w:rsidP="006F34CD" w:rsidRDefault="00515FE0" w14:paraId="1EDD24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Ilyich BLAGODATSKIKH</w:t>
            </w:r>
          </w:p>
        </w:tc>
        <w:tc>
          <w:tcPr>
            <w:tcW w:w="836" w:type="dxa"/>
          </w:tcPr>
          <w:p w:rsidRPr="006F34CD" w:rsidR="00515FE0" w:rsidP="006F34CD" w:rsidRDefault="00515FE0" w14:paraId="24D56F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2B3182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Zheleznogorsk - Ilimskiy</w:t>
            </w:r>
          </w:p>
        </w:tc>
        <w:tc>
          <w:tcPr>
            <w:tcW w:w="1134" w:type="dxa"/>
          </w:tcPr>
          <w:p w:rsidRPr="006F34CD" w:rsidR="00515FE0" w:rsidP="006F34CD" w:rsidRDefault="00515FE0" w14:paraId="2559BD6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C2C4B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02A80F" w14:textId="77777777">
            <w:pPr>
              <w:spacing w:before="120" w:after="120"/>
              <w:jc w:val="center"/>
              <w:rPr>
                <w:rFonts w:ascii="Times New Roman" w:hAnsi="Times New Roman" w:cs="Times New Roman"/>
                <w:sz w:val="18"/>
                <w:szCs w:val="18"/>
              </w:rPr>
            </w:pPr>
          </w:p>
        </w:tc>
      </w:tr>
      <w:tr w:rsidRPr="006F34CD" w:rsidR="00515FE0" w:rsidTr="00EF028C" w14:paraId="27220FB3" w14:textId="77777777">
        <w:trPr>
          <w:cantSplit/>
        </w:trPr>
        <w:tc>
          <w:tcPr>
            <w:tcW w:w="2249" w:type="dxa"/>
          </w:tcPr>
          <w:p w:rsidRPr="006F34CD" w:rsidR="00515FE0" w:rsidP="006F34CD" w:rsidRDefault="00515FE0" w14:paraId="522396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Vladimirovich BOGATYREV</w:t>
            </w:r>
          </w:p>
        </w:tc>
        <w:tc>
          <w:tcPr>
            <w:tcW w:w="836" w:type="dxa"/>
          </w:tcPr>
          <w:p w:rsidRPr="006F34CD" w:rsidR="00515FE0" w:rsidP="006F34CD" w:rsidRDefault="00515FE0" w14:paraId="3A5923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08B4A4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Nizhniy Tagil</w:t>
            </w:r>
          </w:p>
        </w:tc>
        <w:tc>
          <w:tcPr>
            <w:tcW w:w="1134" w:type="dxa"/>
          </w:tcPr>
          <w:p w:rsidRPr="006F34CD" w:rsidR="00515FE0" w:rsidP="006F34CD" w:rsidRDefault="00515FE0" w14:paraId="152A91E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2BCE1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8D2DC8" w14:textId="77777777">
            <w:pPr>
              <w:spacing w:before="120" w:after="120"/>
              <w:jc w:val="center"/>
              <w:rPr>
                <w:rFonts w:ascii="Times New Roman" w:hAnsi="Times New Roman" w:cs="Times New Roman"/>
                <w:sz w:val="18"/>
                <w:szCs w:val="18"/>
              </w:rPr>
            </w:pPr>
          </w:p>
        </w:tc>
      </w:tr>
      <w:tr w:rsidRPr="006F34CD" w:rsidR="00515FE0" w:rsidTr="00EF028C" w14:paraId="69F2555A" w14:textId="77777777">
        <w:trPr>
          <w:cantSplit/>
        </w:trPr>
        <w:tc>
          <w:tcPr>
            <w:tcW w:w="2249" w:type="dxa"/>
          </w:tcPr>
          <w:p w:rsidRPr="006F34CD" w:rsidR="00515FE0" w:rsidP="006F34CD" w:rsidRDefault="00515FE0" w14:paraId="60C108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Dmitriyevich BOZOV</w:t>
            </w:r>
          </w:p>
        </w:tc>
        <w:tc>
          <w:tcPr>
            <w:tcW w:w="836" w:type="dxa"/>
          </w:tcPr>
          <w:p w:rsidRPr="006F34CD" w:rsidR="00515FE0" w:rsidP="006F34CD" w:rsidRDefault="00515FE0" w14:paraId="687B01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51E811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Staroshcherbinovskaya</w:t>
            </w:r>
          </w:p>
        </w:tc>
        <w:tc>
          <w:tcPr>
            <w:tcW w:w="1134" w:type="dxa"/>
          </w:tcPr>
          <w:p w:rsidRPr="006F34CD" w:rsidR="00515FE0" w:rsidP="006F34CD" w:rsidRDefault="00515FE0" w14:paraId="4F01CC7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30E874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68FE58" w14:textId="77777777">
            <w:pPr>
              <w:spacing w:before="120" w:after="120"/>
              <w:jc w:val="center"/>
              <w:rPr>
                <w:rFonts w:ascii="Times New Roman" w:hAnsi="Times New Roman" w:cs="Times New Roman"/>
                <w:sz w:val="18"/>
                <w:szCs w:val="18"/>
              </w:rPr>
            </w:pPr>
          </w:p>
        </w:tc>
      </w:tr>
      <w:tr w:rsidRPr="006F34CD" w:rsidR="00515FE0" w:rsidTr="00EF028C" w14:paraId="127996B3" w14:textId="77777777">
        <w:trPr>
          <w:cantSplit/>
        </w:trPr>
        <w:tc>
          <w:tcPr>
            <w:tcW w:w="2249" w:type="dxa"/>
          </w:tcPr>
          <w:p w:rsidRPr="006F34CD" w:rsidR="00515FE0" w:rsidP="006F34CD" w:rsidRDefault="00515FE0" w14:paraId="10C140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Boris Dmitriyevich BRABIN</w:t>
            </w:r>
          </w:p>
        </w:tc>
        <w:tc>
          <w:tcPr>
            <w:tcW w:w="836" w:type="dxa"/>
          </w:tcPr>
          <w:p w:rsidRPr="006F34CD" w:rsidR="00515FE0" w:rsidP="006F34CD" w:rsidRDefault="00515FE0" w14:paraId="60CCA5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25EEB1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Zverevo</w:t>
            </w:r>
          </w:p>
        </w:tc>
        <w:tc>
          <w:tcPr>
            <w:tcW w:w="1134" w:type="dxa"/>
          </w:tcPr>
          <w:p w:rsidRPr="006F34CD" w:rsidR="00515FE0" w:rsidP="006F34CD" w:rsidRDefault="00515FE0" w14:paraId="5122010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8D32B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DF8EE3" w14:textId="77777777">
            <w:pPr>
              <w:spacing w:before="120" w:after="120"/>
              <w:jc w:val="center"/>
              <w:rPr>
                <w:rFonts w:ascii="Times New Roman" w:hAnsi="Times New Roman" w:cs="Times New Roman"/>
                <w:sz w:val="18"/>
                <w:szCs w:val="18"/>
              </w:rPr>
            </w:pPr>
          </w:p>
        </w:tc>
      </w:tr>
      <w:tr w:rsidRPr="006F34CD" w:rsidR="00515FE0" w:rsidTr="00EF028C" w14:paraId="12E8B562" w14:textId="77777777">
        <w:trPr>
          <w:cantSplit/>
        </w:trPr>
        <w:tc>
          <w:tcPr>
            <w:tcW w:w="2249" w:type="dxa"/>
          </w:tcPr>
          <w:p w:rsidRPr="006F34CD" w:rsidR="00515FE0" w:rsidP="006F34CD" w:rsidRDefault="00515FE0" w14:paraId="5D970A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Vladimirovich BUNKOV</w:t>
            </w:r>
          </w:p>
        </w:tc>
        <w:tc>
          <w:tcPr>
            <w:tcW w:w="836" w:type="dxa"/>
          </w:tcPr>
          <w:p w:rsidRPr="006F34CD" w:rsidR="00515FE0" w:rsidP="006F34CD" w:rsidRDefault="00515FE0" w14:paraId="06804F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03873E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Apsheronsk</w:t>
            </w:r>
          </w:p>
        </w:tc>
        <w:tc>
          <w:tcPr>
            <w:tcW w:w="1134" w:type="dxa"/>
          </w:tcPr>
          <w:p w:rsidRPr="006F34CD" w:rsidR="00515FE0" w:rsidP="006F34CD" w:rsidRDefault="00515FE0" w14:paraId="7669CAB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93DF4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E94AD5" w14:textId="77777777">
            <w:pPr>
              <w:spacing w:before="120" w:after="120"/>
              <w:jc w:val="center"/>
              <w:rPr>
                <w:rFonts w:ascii="Times New Roman" w:hAnsi="Times New Roman" w:cs="Times New Roman"/>
                <w:sz w:val="18"/>
                <w:szCs w:val="18"/>
              </w:rPr>
            </w:pPr>
          </w:p>
        </w:tc>
      </w:tr>
      <w:tr w:rsidRPr="006F34CD" w:rsidR="00515FE0" w:rsidTr="00EF028C" w14:paraId="3132D778" w14:textId="77777777">
        <w:trPr>
          <w:cantSplit/>
        </w:trPr>
        <w:tc>
          <w:tcPr>
            <w:tcW w:w="2249" w:type="dxa"/>
          </w:tcPr>
          <w:p w:rsidRPr="006F34CD" w:rsidR="00515FE0" w:rsidP="006F34CD" w:rsidRDefault="00515FE0" w14:paraId="0483289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Ivanovich BURNYSHEV</w:t>
            </w:r>
          </w:p>
        </w:tc>
        <w:tc>
          <w:tcPr>
            <w:tcW w:w="836" w:type="dxa"/>
          </w:tcPr>
          <w:p w:rsidRPr="006F34CD" w:rsidR="00515FE0" w:rsidP="006F34CD" w:rsidRDefault="00515FE0" w14:paraId="36B85D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59DB76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Solnechniy</w:t>
            </w:r>
          </w:p>
        </w:tc>
        <w:tc>
          <w:tcPr>
            <w:tcW w:w="1134" w:type="dxa"/>
          </w:tcPr>
          <w:p w:rsidRPr="006F34CD" w:rsidR="00515FE0" w:rsidP="006F34CD" w:rsidRDefault="00515FE0" w14:paraId="534B5C2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1B492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D2B9E8" w14:textId="77777777">
            <w:pPr>
              <w:spacing w:before="120" w:after="120"/>
              <w:jc w:val="center"/>
              <w:rPr>
                <w:rFonts w:ascii="Times New Roman" w:hAnsi="Times New Roman" w:cs="Times New Roman"/>
                <w:sz w:val="18"/>
                <w:szCs w:val="18"/>
              </w:rPr>
            </w:pPr>
          </w:p>
        </w:tc>
      </w:tr>
      <w:tr w:rsidRPr="006F34CD" w:rsidR="00515FE0" w:rsidTr="00EF028C" w14:paraId="1563FDA5" w14:textId="77777777">
        <w:trPr>
          <w:cantSplit/>
        </w:trPr>
        <w:tc>
          <w:tcPr>
            <w:tcW w:w="2249" w:type="dxa"/>
          </w:tcPr>
          <w:p w:rsidRPr="006F34CD" w:rsidR="00515FE0" w:rsidP="006F34CD" w:rsidRDefault="00515FE0" w14:paraId="0680D6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Yaroslav Ignatyevich BURTIK</w:t>
            </w:r>
          </w:p>
        </w:tc>
        <w:tc>
          <w:tcPr>
            <w:tcW w:w="836" w:type="dxa"/>
          </w:tcPr>
          <w:p w:rsidRPr="006F34CD" w:rsidR="00515FE0" w:rsidP="006F34CD" w:rsidRDefault="00515FE0" w14:paraId="17B210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253928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Biryusinsk</w:t>
            </w:r>
          </w:p>
        </w:tc>
        <w:tc>
          <w:tcPr>
            <w:tcW w:w="1134" w:type="dxa"/>
          </w:tcPr>
          <w:p w:rsidRPr="006F34CD" w:rsidR="00515FE0" w:rsidP="006F34CD" w:rsidRDefault="00515FE0" w14:paraId="1CE13F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522CA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87A223" w14:textId="77777777">
            <w:pPr>
              <w:spacing w:before="120" w:after="120"/>
              <w:jc w:val="center"/>
              <w:rPr>
                <w:rFonts w:ascii="Times New Roman" w:hAnsi="Times New Roman" w:cs="Times New Roman"/>
                <w:sz w:val="18"/>
                <w:szCs w:val="18"/>
              </w:rPr>
            </w:pPr>
          </w:p>
        </w:tc>
      </w:tr>
      <w:tr w:rsidRPr="006F34CD" w:rsidR="00515FE0" w:rsidTr="00EF028C" w14:paraId="5D0CDDAC" w14:textId="77777777">
        <w:trPr>
          <w:cantSplit/>
        </w:trPr>
        <w:tc>
          <w:tcPr>
            <w:tcW w:w="2249" w:type="dxa"/>
          </w:tcPr>
          <w:p w:rsidRPr="006F34CD" w:rsidR="00515FE0" w:rsidP="006F34CD" w:rsidRDefault="00515FE0" w14:paraId="380670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Vasilyevich BUTSIY</w:t>
            </w:r>
          </w:p>
        </w:tc>
        <w:tc>
          <w:tcPr>
            <w:tcW w:w="836" w:type="dxa"/>
          </w:tcPr>
          <w:p w:rsidRPr="006F34CD" w:rsidR="00515FE0" w:rsidP="006F34CD" w:rsidRDefault="00515FE0" w14:paraId="6A080C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1C846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Sevastopol</w:t>
            </w:r>
          </w:p>
        </w:tc>
        <w:tc>
          <w:tcPr>
            <w:tcW w:w="1134" w:type="dxa"/>
          </w:tcPr>
          <w:p w:rsidRPr="006F34CD" w:rsidR="00515FE0" w:rsidP="006F34CD" w:rsidRDefault="00515FE0" w14:paraId="0B40F93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A678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6E2EF9" w14:textId="77777777">
            <w:pPr>
              <w:spacing w:before="120" w:after="120"/>
              <w:jc w:val="center"/>
              <w:rPr>
                <w:rFonts w:ascii="Times New Roman" w:hAnsi="Times New Roman" w:cs="Times New Roman"/>
                <w:sz w:val="18"/>
                <w:szCs w:val="18"/>
              </w:rPr>
            </w:pPr>
          </w:p>
        </w:tc>
      </w:tr>
      <w:tr w:rsidRPr="006F34CD" w:rsidR="00515FE0" w:rsidTr="00EF028C" w14:paraId="04116356" w14:textId="77777777">
        <w:trPr>
          <w:cantSplit/>
        </w:trPr>
        <w:tc>
          <w:tcPr>
            <w:tcW w:w="2249" w:type="dxa"/>
          </w:tcPr>
          <w:p w:rsidRPr="006F34CD" w:rsidR="00515FE0" w:rsidP="006F34CD" w:rsidRDefault="00515FE0" w14:paraId="51A0F9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Leonid Sergeyevich BUYAKOV</w:t>
            </w:r>
          </w:p>
        </w:tc>
        <w:tc>
          <w:tcPr>
            <w:tcW w:w="836" w:type="dxa"/>
          </w:tcPr>
          <w:p w:rsidRPr="006F34CD" w:rsidR="00515FE0" w:rsidP="006F34CD" w:rsidRDefault="00515FE0" w14:paraId="279C4A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31DE05F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Kochubeyevskoye</w:t>
            </w:r>
          </w:p>
        </w:tc>
        <w:tc>
          <w:tcPr>
            <w:tcW w:w="1134" w:type="dxa"/>
          </w:tcPr>
          <w:p w:rsidRPr="006F34CD" w:rsidR="00515FE0" w:rsidP="006F34CD" w:rsidRDefault="00515FE0" w14:paraId="2D988E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AC45A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F86A42" w14:textId="77777777">
            <w:pPr>
              <w:spacing w:before="120" w:after="120"/>
              <w:jc w:val="center"/>
              <w:rPr>
                <w:rFonts w:ascii="Times New Roman" w:hAnsi="Times New Roman" w:cs="Times New Roman"/>
                <w:sz w:val="18"/>
                <w:szCs w:val="18"/>
              </w:rPr>
            </w:pPr>
          </w:p>
        </w:tc>
      </w:tr>
      <w:tr w:rsidRPr="006F34CD" w:rsidR="00515FE0" w:rsidTr="00EF028C" w14:paraId="59A6D641" w14:textId="77777777">
        <w:trPr>
          <w:cantSplit/>
        </w:trPr>
        <w:tc>
          <w:tcPr>
            <w:tcW w:w="2249" w:type="dxa"/>
          </w:tcPr>
          <w:p w:rsidRPr="006F34CD" w:rsidR="00515FE0" w:rsidP="006F34CD" w:rsidRDefault="00515FE0" w14:paraId="2A1C89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Yuryevich BYKOV</w:t>
            </w:r>
          </w:p>
        </w:tc>
        <w:tc>
          <w:tcPr>
            <w:tcW w:w="836" w:type="dxa"/>
          </w:tcPr>
          <w:p w:rsidRPr="006F34CD" w:rsidR="00515FE0" w:rsidP="006F34CD" w:rsidRDefault="00515FE0" w14:paraId="23CEE5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5334AC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Chapayevsk</w:t>
            </w:r>
          </w:p>
        </w:tc>
        <w:tc>
          <w:tcPr>
            <w:tcW w:w="1134" w:type="dxa"/>
          </w:tcPr>
          <w:p w:rsidRPr="006F34CD" w:rsidR="00515FE0" w:rsidP="006F34CD" w:rsidRDefault="00515FE0" w14:paraId="26D1946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383E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C31FC6" w14:textId="77777777">
            <w:pPr>
              <w:spacing w:before="120" w:after="120"/>
              <w:jc w:val="center"/>
              <w:rPr>
                <w:rFonts w:ascii="Times New Roman" w:hAnsi="Times New Roman" w:cs="Times New Roman"/>
                <w:sz w:val="18"/>
                <w:szCs w:val="18"/>
              </w:rPr>
            </w:pPr>
          </w:p>
        </w:tc>
      </w:tr>
      <w:tr w:rsidRPr="006F34CD" w:rsidR="00515FE0" w:rsidTr="00EF028C" w14:paraId="6B6F759D" w14:textId="77777777">
        <w:trPr>
          <w:cantSplit/>
        </w:trPr>
        <w:tc>
          <w:tcPr>
            <w:tcW w:w="2249" w:type="dxa"/>
          </w:tcPr>
          <w:p w:rsidRPr="006F34CD" w:rsidR="00515FE0" w:rsidP="006F34CD" w:rsidRDefault="00515FE0" w14:paraId="707668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Vladimirovich BYSTROV</w:t>
            </w:r>
          </w:p>
        </w:tc>
        <w:tc>
          <w:tcPr>
            <w:tcW w:w="836" w:type="dxa"/>
          </w:tcPr>
          <w:p w:rsidRPr="006F34CD" w:rsidR="00515FE0" w:rsidP="006F34CD" w:rsidRDefault="00515FE0" w14:paraId="0981F4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5996DD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Penza</w:t>
            </w:r>
          </w:p>
        </w:tc>
        <w:tc>
          <w:tcPr>
            <w:tcW w:w="1134" w:type="dxa"/>
          </w:tcPr>
          <w:p w:rsidRPr="006F34CD" w:rsidR="00515FE0" w:rsidP="006F34CD" w:rsidRDefault="00515FE0" w14:paraId="0BCEF8E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2F35B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2BB29A" w14:textId="77777777">
            <w:pPr>
              <w:spacing w:before="120" w:after="120"/>
              <w:jc w:val="center"/>
              <w:rPr>
                <w:rFonts w:ascii="Times New Roman" w:hAnsi="Times New Roman" w:cs="Times New Roman"/>
                <w:sz w:val="18"/>
                <w:szCs w:val="18"/>
              </w:rPr>
            </w:pPr>
          </w:p>
        </w:tc>
      </w:tr>
      <w:tr w:rsidRPr="006F34CD" w:rsidR="00515FE0" w:rsidTr="00EF028C" w14:paraId="0C4F3727" w14:textId="77777777">
        <w:trPr>
          <w:cantSplit/>
        </w:trPr>
        <w:tc>
          <w:tcPr>
            <w:tcW w:w="2249" w:type="dxa"/>
          </w:tcPr>
          <w:p w:rsidRPr="006F34CD" w:rsidR="00515FE0" w:rsidP="006F34CD" w:rsidRDefault="00515FE0" w14:paraId="2E0006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Aleksandrovich CHAVYCHELOV</w:t>
            </w:r>
          </w:p>
        </w:tc>
        <w:tc>
          <w:tcPr>
            <w:tcW w:w="836" w:type="dxa"/>
          </w:tcPr>
          <w:p w:rsidRPr="006F34CD" w:rsidR="00515FE0" w:rsidP="006F34CD" w:rsidRDefault="00515FE0" w14:paraId="520C80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44B21D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Novoaleksandrovsk</w:t>
            </w:r>
          </w:p>
        </w:tc>
        <w:tc>
          <w:tcPr>
            <w:tcW w:w="1134" w:type="dxa"/>
          </w:tcPr>
          <w:p w:rsidRPr="006F34CD" w:rsidR="00515FE0" w:rsidP="006F34CD" w:rsidRDefault="00515FE0" w14:paraId="002E4C5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3289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C4932F" w14:textId="77777777">
            <w:pPr>
              <w:spacing w:before="120" w:after="120"/>
              <w:jc w:val="center"/>
              <w:rPr>
                <w:rFonts w:ascii="Times New Roman" w:hAnsi="Times New Roman" w:cs="Times New Roman"/>
                <w:sz w:val="18"/>
                <w:szCs w:val="18"/>
              </w:rPr>
            </w:pPr>
          </w:p>
        </w:tc>
      </w:tr>
      <w:tr w:rsidRPr="006F34CD" w:rsidR="00515FE0" w:rsidTr="00EF028C" w14:paraId="65398FFD" w14:textId="77777777">
        <w:trPr>
          <w:cantSplit/>
        </w:trPr>
        <w:tc>
          <w:tcPr>
            <w:tcW w:w="2249" w:type="dxa"/>
          </w:tcPr>
          <w:p w:rsidRPr="006F34CD" w:rsidR="00515FE0" w:rsidP="006F34CD" w:rsidRDefault="00515FE0" w14:paraId="560389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Petrovich CHERANYEV</w:t>
            </w:r>
          </w:p>
        </w:tc>
        <w:tc>
          <w:tcPr>
            <w:tcW w:w="836" w:type="dxa"/>
          </w:tcPr>
          <w:p w:rsidRPr="006F34CD" w:rsidR="00515FE0" w:rsidP="006F34CD" w:rsidRDefault="00515FE0" w14:paraId="60BFE4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3CB302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Kogalym</w:t>
            </w:r>
          </w:p>
        </w:tc>
        <w:tc>
          <w:tcPr>
            <w:tcW w:w="1134" w:type="dxa"/>
          </w:tcPr>
          <w:p w:rsidRPr="006F34CD" w:rsidR="00515FE0" w:rsidP="006F34CD" w:rsidRDefault="00515FE0" w14:paraId="3A6A44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D5370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ADFFC3" w14:textId="77777777">
            <w:pPr>
              <w:spacing w:before="120" w:after="120"/>
              <w:jc w:val="center"/>
              <w:rPr>
                <w:rFonts w:ascii="Times New Roman" w:hAnsi="Times New Roman" w:cs="Times New Roman"/>
                <w:sz w:val="18"/>
                <w:szCs w:val="18"/>
              </w:rPr>
            </w:pPr>
          </w:p>
        </w:tc>
      </w:tr>
      <w:tr w:rsidRPr="006F34CD" w:rsidR="00515FE0" w:rsidTr="00EF028C" w14:paraId="3D31B119" w14:textId="77777777">
        <w:trPr>
          <w:cantSplit/>
        </w:trPr>
        <w:tc>
          <w:tcPr>
            <w:tcW w:w="2249" w:type="dxa"/>
          </w:tcPr>
          <w:p w:rsidRPr="006F34CD" w:rsidR="00515FE0" w:rsidP="006F34CD" w:rsidRDefault="00515FE0" w14:paraId="6C55C6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Avak Ovanesovich CHERKEZYAN</w:t>
            </w:r>
          </w:p>
        </w:tc>
        <w:tc>
          <w:tcPr>
            <w:tcW w:w="836" w:type="dxa"/>
          </w:tcPr>
          <w:p w:rsidRPr="006F34CD" w:rsidR="00515FE0" w:rsidP="006F34CD" w:rsidRDefault="00515FE0" w14:paraId="31BD99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51B622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Sochi</w:t>
            </w:r>
          </w:p>
        </w:tc>
        <w:tc>
          <w:tcPr>
            <w:tcW w:w="1134" w:type="dxa"/>
          </w:tcPr>
          <w:p w:rsidRPr="006F34CD" w:rsidR="00515FE0" w:rsidP="006F34CD" w:rsidRDefault="00515FE0" w14:paraId="534938E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184C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E4C38F4" w14:textId="77777777">
            <w:pPr>
              <w:spacing w:before="120" w:after="120"/>
              <w:jc w:val="center"/>
              <w:rPr>
                <w:rFonts w:ascii="Times New Roman" w:hAnsi="Times New Roman" w:cs="Times New Roman"/>
                <w:sz w:val="18"/>
                <w:szCs w:val="18"/>
              </w:rPr>
            </w:pPr>
          </w:p>
        </w:tc>
      </w:tr>
      <w:tr w:rsidRPr="006F34CD" w:rsidR="00515FE0" w:rsidTr="00EF028C" w14:paraId="129ACA3B" w14:textId="77777777">
        <w:trPr>
          <w:cantSplit/>
        </w:trPr>
        <w:tc>
          <w:tcPr>
            <w:tcW w:w="2249" w:type="dxa"/>
          </w:tcPr>
          <w:p w:rsidRPr="006F34CD" w:rsidR="00515FE0" w:rsidP="006F34CD" w:rsidRDefault="00515FE0" w14:paraId="3663D8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Aleksandrovich CHERNIKOV</w:t>
            </w:r>
          </w:p>
        </w:tc>
        <w:tc>
          <w:tcPr>
            <w:tcW w:w="836" w:type="dxa"/>
          </w:tcPr>
          <w:p w:rsidRPr="006F34CD" w:rsidR="00515FE0" w:rsidP="006F34CD" w:rsidRDefault="00515FE0" w14:paraId="2F7017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7A4E70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Belogorsk</w:t>
            </w:r>
          </w:p>
        </w:tc>
        <w:tc>
          <w:tcPr>
            <w:tcW w:w="1134" w:type="dxa"/>
          </w:tcPr>
          <w:p w:rsidRPr="006F34CD" w:rsidR="00515FE0" w:rsidP="006F34CD" w:rsidRDefault="00515FE0" w14:paraId="2E5064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2CB2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CEB24C" w14:textId="77777777">
            <w:pPr>
              <w:spacing w:before="120" w:after="120"/>
              <w:jc w:val="center"/>
              <w:rPr>
                <w:rFonts w:ascii="Times New Roman" w:hAnsi="Times New Roman" w:cs="Times New Roman"/>
                <w:sz w:val="18"/>
                <w:szCs w:val="18"/>
              </w:rPr>
            </w:pPr>
          </w:p>
        </w:tc>
      </w:tr>
      <w:tr w:rsidRPr="006F34CD" w:rsidR="00515FE0" w:rsidTr="00EF028C" w14:paraId="78B036D3" w14:textId="77777777">
        <w:trPr>
          <w:cantSplit/>
        </w:trPr>
        <w:tc>
          <w:tcPr>
            <w:tcW w:w="2249" w:type="dxa"/>
          </w:tcPr>
          <w:p w:rsidRPr="006F34CD" w:rsidR="00515FE0" w:rsidP="006F34CD" w:rsidRDefault="00515FE0" w14:paraId="574CEA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Aleksandrovich CHERNYSHOV</w:t>
            </w:r>
          </w:p>
        </w:tc>
        <w:tc>
          <w:tcPr>
            <w:tcW w:w="836" w:type="dxa"/>
          </w:tcPr>
          <w:p w:rsidRPr="006F34CD" w:rsidR="00515FE0" w:rsidP="006F34CD" w:rsidRDefault="00515FE0" w14:paraId="3CDBDB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598C69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Feodosiya</w:t>
            </w:r>
          </w:p>
        </w:tc>
        <w:tc>
          <w:tcPr>
            <w:tcW w:w="1134" w:type="dxa"/>
          </w:tcPr>
          <w:p w:rsidRPr="006F34CD" w:rsidR="00515FE0" w:rsidP="006F34CD" w:rsidRDefault="00515FE0" w14:paraId="7AC26EA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1CC0F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23563D" w14:textId="77777777">
            <w:pPr>
              <w:spacing w:before="120" w:after="120"/>
              <w:jc w:val="center"/>
              <w:rPr>
                <w:rFonts w:ascii="Times New Roman" w:hAnsi="Times New Roman" w:cs="Times New Roman"/>
                <w:sz w:val="18"/>
                <w:szCs w:val="18"/>
              </w:rPr>
            </w:pPr>
          </w:p>
        </w:tc>
      </w:tr>
      <w:tr w:rsidRPr="006F34CD" w:rsidR="00515FE0" w:rsidTr="00EF028C" w14:paraId="1E5C2A83" w14:textId="77777777">
        <w:trPr>
          <w:cantSplit/>
        </w:trPr>
        <w:tc>
          <w:tcPr>
            <w:tcW w:w="2249" w:type="dxa"/>
          </w:tcPr>
          <w:p w:rsidRPr="006F34CD" w:rsidR="00515FE0" w:rsidP="006F34CD" w:rsidRDefault="00515FE0" w14:paraId="1B3446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Arkadyevich CHIGRIN</w:t>
            </w:r>
          </w:p>
        </w:tc>
        <w:tc>
          <w:tcPr>
            <w:tcW w:w="836" w:type="dxa"/>
          </w:tcPr>
          <w:p w:rsidRPr="006F34CD" w:rsidR="00515FE0" w:rsidP="006F34CD" w:rsidRDefault="00515FE0" w14:paraId="3F851E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70EFA9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Kropotkin</w:t>
            </w:r>
          </w:p>
        </w:tc>
        <w:tc>
          <w:tcPr>
            <w:tcW w:w="1134" w:type="dxa"/>
          </w:tcPr>
          <w:p w:rsidRPr="006F34CD" w:rsidR="00515FE0" w:rsidP="006F34CD" w:rsidRDefault="00515FE0" w14:paraId="3545A82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4FC8B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D4D0D4" w14:textId="77777777">
            <w:pPr>
              <w:spacing w:before="120" w:after="120"/>
              <w:jc w:val="center"/>
              <w:rPr>
                <w:rFonts w:ascii="Times New Roman" w:hAnsi="Times New Roman" w:cs="Times New Roman"/>
                <w:sz w:val="18"/>
                <w:szCs w:val="18"/>
              </w:rPr>
            </w:pPr>
          </w:p>
        </w:tc>
      </w:tr>
      <w:tr w:rsidRPr="006F34CD" w:rsidR="00515FE0" w:rsidTr="00EF028C" w14:paraId="4F810D3C" w14:textId="77777777">
        <w:trPr>
          <w:cantSplit/>
        </w:trPr>
        <w:tc>
          <w:tcPr>
            <w:tcW w:w="2249" w:type="dxa"/>
          </w:tcPr>
          <w:p w:rsidRPr="006F34CD" w:rsidR="00515FE0" w:rsidP="006F34CD" w:rsidRDefault="00515FE0" w14:paraId="50D7A0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Nikolayevich CHIZHOV</w:t>
            </w:r>
          </w:p>
        </w:tc>
        <w:tc>
          <w:tcPr>
            <w:tcW w:w="836" w:type="dxa"/>
          </w:tcPr>
          <w:p w:rsidRPr="006F34CD" w:rsidR="00515FE0" w:rsidP="006F34CD" w:rsidRDefault="00515FE0" w14:paraId="7B3E08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15CC12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Korolev</w:t>
            </w:r>
          </w:p>
        </w:tc>
        <w:tc>
          <w:tcPr>
            <w:tcW w:w="1134" w:type="dxa"/>
          </w:tcPr>
          <w:p w:rsidRPr="006F34CD" w:rsidR="00515FE0" w:rsidP="006F34CD" w:rsidRDefault="00515FE0" w14:paraId="50DFE13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D0C0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85D674" w14:textId="77777777">
            <w:pPr>
              <w:spacing w:before="120" w:after="120"/>
              <w:jc w:val="center"/>
              <w:rPr>
                <w:rFonts w:ascii="Times New Roman" w:hAnsi="Times New Roman" w:cs="Times New Roman"/>
                <w:sz w:val="18"/>
                <w:szCs w:val="18"/>
              </w:rPr>
            </w:pPr>
          </w:p>
        </w:tc>
      </w:tr>
      <w:tr w:rsidRPr="006F34CD" w:rsidR="00515FE0" w:rsidTr="00EF028C" w14:paraId="37E5BD3C" w14:textId="77777777">
        <w:trPr>
          <w:cantSplit/>
        </w:trPr>
        <w:tc>
          <w:tcPr>
            <w:tcW w:w="2249" w:type="dxa"/>
          </w:tcPr>
          <w:p w:rsidRPr="006F34CD" w:rsidR="00515FE0" w:rsidP="006F34CD" w:rsidRDefault="00515FE0" w14:paraId="24E5A2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Vladimirovich CHUBENKO</w:t>
            </w:r>
          </w:p>
        </w:tc>
        <w:tc>
          <w:tcPr>
            <w:tcW w:w="836" w:type="dxa"/>
          </w:tcPr>
          <w:p w:rsidRPr="006F34CD" w:rsidR="00515FE0" w:rsidP="006F34CD" w:rsidRDefault="00515FE0" w14:paraId="189C6F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447BB9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Chunskiy</w:t>
            </w:r>
          </w:p>
        </w:tc>
        <w:tc>
          <w:tcPr>
            <w:tcW w:w="1134" w:type="dxa"/>
          </w:tcPr>
          <w:p w:rsidRPr="006F34CD" w:rsidR="00515FE0" w:rsidP="006F34CD" w:rsidRDefault="00515FE0" w14:paraId="598C977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9AE15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C34974" w14:textId="77777777">
            <w:pPr>
              <w:spacing w:before="120" w:after="120"/>
              <w:jc w:val="center"/>
              <w:rPr>
                <w:rFonts w:ascii="Times New Roman" w:hAnsi="Times New Roman" w:cs="Times New Roman"/>
                <w:sz w:val="18"/>
                <w:szCs w:val="18"/>
              </w:rPr>
            </w:pPr>
          </w:p>
        </w:tc>
      </w:tr>
      <w:tr w:rsidRPr="006F34CD" w:rsidR="00515FE0" w:rsidTr="00EF028C" w14:paraId="0684C71A" w14:textId="77777777">
        <w:trPr>
          <w:cantSplit/>
        </w:trPr>
        <w:tc>
          <w:tcPr>
            <w:tcW w:w="2249" w:type="dxa"/>
          </w:tcPr>
          <w:p w:rsidRPr="006F34CD" w:rsidR="00515FE0" w:rsidP="006F34CD" w:rsidRDefault="00515FE0" w14:paraId="039980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Vladimirovich CHURSANOV</w:t>
            </w:r>
          </w:p>
        </w:tc>
        <w:tc>
          <w:tcPr>
            <w:tcW w:w="836" w:type="dxa"/>
          </w:tcPr>
          <w:p w:rsidRPr="006F34CD" w:rsidR="00515FE0" w:rsidP="006F34CD" w:rsidRDefault="00515FE0" w14:paraId="32EFEE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399E7C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Cherepovets</w:t>
            </w:r>
          </w:p>
        </w:tc>
        <w:tc>
          <w:tcPr>
            <w:tcW w:w="1134" w:type="dxa"/>
          </w:tcPr>
          <w:p w:rsidRPr="006F34CD" w:rsidR="00515FE0" w:rsidP="006F34CD" w:rsidRDefault="00515FE0" w14:paraId="1020AA5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33DB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68FB7C" w14:textId="77777777">
            <w:pPr>
              <w:spacing w:before="120" w:after="120"/>
              <w:jc w:val="center"/>
              <w:rPr>
                <w:rFonts w:ascii="Times New Roman" w:hAnsi="Times New Roman" w:cs="Times New Roman"/>
                <w:sz w:val="18"/>
                <w:szCs w:val="18"/>
              </w:rPr>
            </w:pPr>
          </w:p>
        </w:tc>
      </w:tr>
      <w:tr w:rsidRPr="006F34CD" w:rsidR="00515FE0" w:rsidTr="00EF028C" w14:paraId="193D6E53" w14:textId="77777777">
        <w:trPr>
          <w:cantSplit/>
        </w:trPr>
        <w:tc>
          <w:tcPr>
            <w:tcW w:w="2249" w:type="dxa"/>
          </w:tcPr>
          <w:p w:rsidRPr="006F34CD" w:rsidR="00515FE0" w:rsidP="006F34CD" w:rsidRDefault="00515FE0" w14:paraId="2ED6D8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Davydovich DAMM</w:t>
            </w:r>
          </w:p>
        </w:tc>
        <w:tc>
          <w:tcPr>
            <w:tcW w:w="836" w:type="dxa"/>
          </w:tcPr>
          <w:p w:rsidRPr="006F34CD" w:rsidR="00515FE0" w:rsidP="006F34CD" w:rsidRDefault="00515FE0" w14:paraId="032C7A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1947</w:t>
            </w:r>
          </w:p>
        </w:tc>
        <w:tc>
          <w:tcPr>
            <w:tcW w:w="1305" w:type="dxa"/>
          </w:tcPr>
          <w:p w:rsidRPr="006F34CD" w:rsidR="00515FE0" w:rsidP="006F34CD" w:rsidRDefault="00515FE0" w14:paraId="5C7162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Novosibirsk</w:t>
            </w:r>
          </w:p>
        </w:tc>
        <w:tc>
          <w:tcPr>
            <w:tcW w:w="1134" w:type="dxa"/>
          </w:tcPr>
          <w:p w:rsidRPr="006F34CD" w:rsidR="00515FE0" w:rsidP="006F34CD" w:rsidRDefault="00515FE0" w14:paraId="04DA8F2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B381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6B7392" w14:textId="77777777">
            <w:pPr>
              <w:spacing w:before="120" w:after="120"/>
              <w:jc w:val="center"/>
              <w:rPr>
                <w:rFonts w:ascii="Times New Roman" w:hAnsi="Times New Roman" w:cs="Times New Roman"/>
                <w:sz w:val="18"/>
                <w:szCs w:val="18"/>
              </w:rPr>
            </w:pPr>
          </w:p>
        </w:tc>
      </w:tr>
      <w:tr w:rsidRPr="006F34CD" w:rsidR="00515FE0" w:rsidTr="00EF028C" w14:paraId="5CE706F3" w14:textId="77777777">
        <w:trPr>
          <w:cantSplit/>
        </w:trPr>
        <w:tc>
          <w:tcPr>
            <w:tcW w:w="2249" w:type="dxa"/>
          </w:tcPr>
          <w:p w:rsidRPr="006F34CD" w:rsidR="00515FE0" w:rsidP="006F34CD" w:rsidRDefault="00515FE0" w14:paraId="64BE28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Emikovich DANIYELYAN</w:t>
            </w:r>
          </w:p>
        </w:tc>
        <w:tc>
          <w:tcPr>
            <w:tcW w:w="836" w:type="dxa"/>
          </w:tcPr>
          <w:p w:rsidRPr="006F34CD" w:rsidR="00515FE0" w:rsidP="006F34CD" w:rsidRDefault="00515FE0" w14:paraId="6E17AE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1D7DC8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Rubtsovsk</w:t>
            </w:r>
          </w:p>
        </w:tc>
        <w:tc>
          <w:tcPr>
            <w:tcW w:w="1134" w:type="dxa"/>
          </w:tcPr>
          <w:p w:rsidRPr="006F34CD" w:rsidR="00515FE0" w:rsidP="006F34CD" w:rsidRDefault="00515FE0" w14:paraId="7D714B2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5D179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45F08F2" w14:textId="77777777">
            <w:pPr>
              <w:spacing w:before="120" w:after="120"/>
              <w:jc w:val="center"/>
              <w:rPr>
                <w:rFonts w:ascii="Times New Roman" w:hAnsi="Times New Roman" w:cs="Times New Roman"/>
                <w:sz w:val="18"/>
                <w:szCs w:val="18"/>
              </w:rPr>
            </w:pPr>
          </w:p>
        </w:tc>
      </w:tr>
      <w:tr w:rsidRPr="006F34CD" w:rsidR="00515FE0" w:rsidTr="00EF028C" w14:paraId="3E250415" w14:textId="77777777">
        <w:trPr>
          <w:cantSplit/>
        </w:trPr>
        <w:tc>
          <w:tcPr>
            <w:tcW w:w="2249" w:type="dxa"/>
          </w:tcPr>
          <w:p w:rsidRPr="006F34CD" w:rsidR="00515FE0" w:rsidP="006F34CD" w:rsidRDefault="00515FE0" w14:paraId="26028C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Ivanovich DAVIDYUK</w:t>
            </w:r>
          </w:p>
        </w:tc>
        <w:tc>
          <w:tcPr>
            <w:tcW w:w="836" w:type="dxa"/>
          </w:tcPr>
          <w:p w:rsidRPr="006F34CD" w:rsidR="00515FE0" w:rsidP="006F34CD" w:rsidRDefault="00515FE0" w14:paraId="4ADD2C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220723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06EE1E2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08332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A06A90" w14:textId="77777777">
            <w:pPr>
              <w:spacing w:before="120" w:after="120"/>
              <w:jc w:val="center"/>
              <w:rPr>
                <w:rFonts w:ascii="Times New Roman" w:hAnsi="Times New Roman" w:cs="Times New Roman"/>
                <w:sz w:val="18"/>
                <w:szCs w:val="18"/>
              </w:rPr>
            </w:pPr>
          </w:p>
        </w:tc>
      </w:tr>
      <w:tr w:rsidRPr="006F34CD" w:rsidR="00515FE0" w:rsidTr="00EF028C" w14:paraId="283EA782" w14:textId="77777777">
        <w:trPr>
          <w:cantSplit/>
        </w:trPr>
        <w:tc>
          <w:tcPr>
            <w:tcW w:w="2249" w:type="dxa"/>
          </w:tcPr>
          <w:p w:rsidRPr="006F34CD" w:rsidR="00515FE0" w:rsidP="006F34CD" w:rsidRDefault="00515FE0" w14:paraId="2D1A77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Yevgenyevich DAVYDOV</w:t>
            </w:r>
          </w:p>
        </w:tc>
        <w:tc>
          <w:tcPr>
            <w:tcW w:w="836" w:type="dxa"/>
          </w:tcPr>
          <w:p w:rsidRPr="006F34CD" w:rsidR="00515FE0" w:rsidP="006F34CD" w:rsidRDefault="00515FE0" w14:paraId="6B67CD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083B24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Vlasikha</w:t>
            </w:r>
          </w:p>
        </w:tc>
        <w:tc>
          <w:tcPr>
            <w:tcW w:w="1134" w:type="dxa"/>
          </w:tcPr>
          <w:p w:rsidRPr="006F34CD" w:rsidR="00515FE0" w:rsidP="006F34CD" w:rsidRDefault="00515FE0" w14:paraId="5FE827F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5229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0D81F0" w14:textId="77777777">
            <w:pPr>
              <w:spacing w:before="120" w:after="120"/>
              <w:jc w:val="center"/>
              <w:rPr>
                <w:rFonts w:ascii="Times New Roman" w:hAnsi="Times New Roman" w:cs="Times New Roman"/>
                <w:sz w:val="18"/>
                <w:szCs w:val="18"/>
              </w:rPr>
            </w:pPr>
          </w:p>
        </w:tc>
      </w:tr>
      <w:tr w:rsidRPr="006F34CD" w:rsidR="00515FE0" w:rsidTr="00EF028C" w14:paraId="1EF4D8AC" w14:textId="77777777">
        <w:trPr>
          <w:cantSplit/>
        </w:trPr>
        <w:tc>
          <w:tcPr>
            <w:tcW w:w="2249" w:type="dxa"/>
          </w:tcPr>
          <w:p w:rsidRPr="006F34CD" w:rsidR="00515FE0" w:rsidP="006F34CD" w:rsidRDefault="00515FE0" w14:paraId="06ACFF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Nikolayevich DEMENTYEV</w:t>
            </w:r>
          </w:p>
        </w:tc>
        <w:tc>
          <w:tcPr>
            <w:tcW w:w="836" w:type="dxa"/>
          </w:tcPr>
          <w:p w:rsidRPr="006F34CD" w:rsidR="00515FE0" w:rsidP="006F34CD" w:rsidRDefault="00515FE0" w14:paraId="35D15E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1941</w:t>
            </w:r>
          </w:p>
        </w:tc>
        <w:tc>
          <w:tcPr>
            <w:tcW w:w="1305" w:type="dxa"/>
          </w:tcPr>
          <w:p w:rsidRPr="006F34CD" w:rsidR="00515FE0" w:rsidP="006F34CD" w:rsidRDefault="00515FE0" w14:paraId="3C31D8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Kurganinsk</w:t>
            </w:r>
          </w:p>
        </w:tc>
        <w:tc>
          <w:tcPr>
            <w:tcW w:w="1134" w:type="dxa"/>
          </w:tcPr>
          <w:p w:rsidRPr="006F34CD" w:rsidR="00515FE0" w:rsidP="006F34CD" w:rsidRDefault="00515FE0" w14:paraId="5F3C02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3178A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0ED697E" w14:textId="77777777">
            <w:pPr>
              <w:spacing w:before="120" w:after="120"/>
              <w:jc w:val="center"/>
              <w:rPr>
                <w:rFonts w:ascii="Times New Roman" w:hAnsi="Times New Roman" w:cs="Times New Roman"/>
                <w:sz w:val="18"/>
                <w:szCs w:val="18"/>
              </w:rPr>
            </w:pPr>
          </w:p>
        </w:tc>
      </w:tr>
      <w:tr w:rsidRPr="006F34CD" w:rsidR="00515FE0" w:rsidTr="00EF028C" w14:paraId="5AF213D7" w14:textId="77777777">
        <w:trPr>
          <w:cantSplit/>
        </w:trPr>
        <w:tc>
          <w:tcPr>
            <w:tcW w:w="2249" w:type="dxa"/>
          </w:tcPr>
          <w:p w:rsidRPr="006F34CD" w:rsidR="00515FE0" w:rsidP="006F34CD" w:rsidRDefault="00515FE0" w14:paraId="322906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Vasilyevich DEMIDOV</w:t>
            </w:r>
          </w:p>
        </w:tc>
        <w:tc>
          <w:tcPr>
            <w:tcW w:w="836" w:type="dxa"/>
          </w:tcPr>
          <w:p w:rsidRPr="006F34CD" w:rsidR="00515FE0" w:rsidP="006F34CD" w:rsidRDefault="00515FE0" w14:paraId="6AE7F8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603E11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Novofedorovka</w:t>
            </w:r>
          </w:p>
        </w:tc>
        <w:tc>
          <w:tcPr>
            <w:tcW w:w="1134" w:type="dxa"/>
          </w:tcPr>
          <w:p w:rsidRPr="006F34CD" w:rsidR="00515FE0" w:rsidP="006F34CD" w:rsidRDefault="00515FE0" w14:paraId="4825ACE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673E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C2CAFC" w14:textId="77777777">
            <w:pPr>
              <w:spacing w:before="120" w:after="120"/>
              <w:jc w:val="center"/>
              <w:rPr>
                <w:rFonts w:ascii="Times New Roman" w:hAnsi="Times New Roman" w:cs="Times New Roman"/>
                <w:sz w:val="18"/>
                <w:szCs w:val="18"/>
              </w:rPr>
            </w:pPr>
          </w:p>
        </w:tc>
      </w:tr>
      <w:tr w:rsidRPr="006F34CD" w:rsidR="00515FE0" w:rsidTr="00EF028C" w14:paraId="191D65BD" w14:textId="77777777">
        <w:trPr>
          <w:cantSplit/>
        </w:trPr>
        <w:tc>
          <w:tcPr>
            <w:tcW w:w="2249" w:type="dxa"/>
          </w:tcPr>
          <w:p w:rsidRPr="006F34CD" w:rsidR="00515FE0" w:rsidP="006F34CD" w:rsidRDefault="00515FE0" w14:paraId="13F007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Nikolayevich DENISOV</w:t>
            </w:r>
          </w:p>
        </w:tc>
        <w:tc>
          <w:tcPr>
            <w:tcW w:w="836" w:type="dxa"/>
          </w:tcPr>
          <w:p w:rsidRPr="006F34CD" w:rsidR="00515FE0" w:rsidP="006F34CD" w:rsidRDefault="00515FE0" w14:paraId="7A5614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36717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Slyudyanka</w:t>
            </w:r>
          </w:p>
        </w:tc>
        <w:tc>
          <w:tcPr>
            <w:tcW w:w="1134" w:type="dxa"/>
          </w:tcPr>
          <w:p w:rsidRPr="006F34CD" w:rsidR="00515FE0" w:rsidP="006F34CD" w:rsidRDefault="00515FE0" w14:paraId="350C4F5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4C50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CBBCF8" w14:textId="77777777">
            <w:pPr>
              <w:spacing w:before="120" w:after="120"/>
              <w:jc w:val="center"/>
              <w:rPr>
                <w:rFonts w:ascii="Times New Roman" w:hAnsi="Times New Roman" w:cs="Times New Roman"/>
                <w:sz w:val="18"/>
                <w:szCs w:val="18"/>
              </w:rPr>
            </w:pPr>
          </w:p>
        </w:tc>
      </w:tr>
      <w:tr w:rsidRPr="006F34CD" w:rsidR="00515FE0" w:rsidTr="00EF028C" w14:paraId="7C7D8DF1" w14:textId="77777777">
        <w:trPr>
          <w:cantSplit/>
        </w:trPr>
        <w:tc>
          <w:tcPr>
            <w:tcW w:w="2249" w:type="dxa"/>
          </w:tcPr>
          <w:p w:rsidRPr="006F34CD" w:rsidR="00515FE0" w:rsidP="006F34CD" w:rsidRDefault="00515FE0" w14:paraId="17D4D0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Yaroslavovich DEREKH</w:t>
            </w:r>
          </w:p>
        </w:tc>
        <w:tc>
          <w:tcPr>
            <w:tcW w:w="836" w:type="dxa"/>
          </w:tcPr>
          <w:p w:rsidRPr="006F34CD" w:rsidR="00515FE0" w:rsidP="006F34CD" w:rsidRDefault="00515FE0" w14:paraId="5A3CE0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6C7B82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Smolensk</w:t>
            </w:r>
          </w:p>
        </w:tc>
        <w:tc>
          <w:tcPr>
            <w:tcW w:w="1134" w:type="dxa"/>
          </w:tcPr>
          <w:p w:rsidRPr="006F34CD" w:rsidR="00515FE0" w:rsidP="006F34CD" w:rsidRDefault="00515FE0" w14:paraId="59392A9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2435C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2FF958" w14:textId="77777777">
            <w:pPr>
              <w:spacing w:before="120" w:after="120"/>
              <w:jc w:val="center"/>
              <w:rPr>
                <w:rFonts w:ascii="Times New Roman" w:hAnsi="Times New Roman" w:cs="Times New Roman"/>
                <w:sz w:val="18"/>
                <w:szCs w:val="18"/>
              </w:rPr>
            </w:pPr>
          </w:p>
        </w:tc>
      </w:tr>
      <w:tr w:rsidRPr="006F34CD" w:rsidR="00515FE0" w:rsidTr="00EF028C" w14:paraId="71A9D9C2" w14:textId="77777777">
        <w:trPr>
          <w:cantSplit/>
        </w:trPr>
        <w:tc>
          <w:tcPr>
            <w:tcW w:w="2249" w:type="dxa"/>
          </w:tcPr>
          <w:p w:rsidRPr="006F34CD" w:rsidR="00515FE0" w:rsidP="006F34CD" w:rsidRDefault="00515FE0" w14:paraId="77BB4E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Alekseyevich DEYEV</w:t>
            </w:r>
          </w:p>
        </w:tc>
        <w:tc>
          <w:tcPr>
            <w:tcW w:w="836" w:type="dxa"/>
          </w:tcPr>
          <w:p w:rsidRPr="006F34CD" w:rsidR="00515FE0" w:rsidP="006F34CD" w:rsidRDefault="00515FE0" w14:paraId="67B44A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0A9EDF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Yalta</w:t>
            </w:r>
          </w:p>
        </w:tc>
        <w:tc>
          <w:tcPr>
            <w:tcW w:w="1134" w:type="dxa"/>
          </w:tcPr>
          <w:p w:rsidRPr="006F34CD" w:rsidR="00515FE0" w:rsidP="006F34CD" w:rsidRDefault="00515FE0" w14:paraId="0BFD480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C09B4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125DEC" w14:textId="77777777">
            <w:pPr>
              <w:spacing w:before="120" w:after="120"/>
              <w:jc w:val="center"/>
              <w:rPr>
                <w:rFonts w:ascii="Times New Roman" w:hAnsi="Times New Roman" w:cs="Times New Roman"/>
                <w:sz w:val="18"/>
                <w:szCs w:val="18"/>
              </w:rPr>
            </w:pPr>
          </w:p>
        </w:tc>
      </w:tr>
      <w:tr w:rsidRPr="006F34CD" w:rsidR="00515FE0" w:rsidTr="00EF028C" w14:paraId="15D7B04D" w14:textId="77777777">
        <w:trPr>
          <w:cantSplit/>
        </w:trPr>
        <w:tc>
          <w:tcPr>
            <w:tcW w:w="2249" w:type="dxa"/>
          </w:tcPr>
          <w:p w:rsidRPr="006F34CD" w:rsidR="00515FE0" w:rsidP="006F34CD" w:rsidRDefault="00515FE0" w14:paraId="1C13DC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Ivanovich DMITRIYEVYKH</w:t>
            </w:r>
          </w:p>
        </w:tc>
        <w:tc>
          <w:tcPr>
            <w:tcW w:w="836" w:type="dxa"/>
          </w:tcPr>
          <w:p w:rsidRPr="006F34CD" w:rsidR="00515FE0" w:rsidP="006F34CD" w:rsidRDefault="00515FE0" w14:paraId="40EE43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0FB0CD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Kirov</w:t>
            </w:r>
          </w:p>
        </w:tc>
        <w:tc>
          <w:tcPr>
            <w:tcW w:w="1134" w:type="dxa"/>
          </w:tcPr>
          <w:p w:rsidRPr="006F34CD" w:rsidR="00515FE0" w:rsidP="006F34CD" w:rsidRDefault="00515FE0" w14:paraId="0CC6229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290F8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46B698" w14:textId="77777777">
            <w:pPr>
              <w:spacing w:before="120" w:after="120"/>
              <w:jc w:val="center"/>
              <w:rPr>
                <w:rFonts w:ascii="Times New Roman" w:hAnsi="Times New Roman" w:cs="Times New Roman"/>
                <w:sz w:val="18"/>
                <w:szCs w:val="18"/>
              </w:rPr>
            </w:pPr>
          </w:p>
        </w:tc>
      </w:tr>
      <w:tr w:rsidRPr="006F34CD" w:rsidR="00515FE0" w:rsidTr="00EF028C" w14:paraId="40981C83" w14:textId="77777777">
        <w:trPr>
          <w:cantSplit/>
        </w:trPr>
        <w:tc>
          <w:tcPr>
            <w:tcW w:w="2249" w:type="dxa"/>
          </w:tcPr>
          <w:p w:rsidRPr="006F34CD" w:rsidR="00515FE0" w:rsidP="006F34CD" w:rsidRDefault="00515FE0" w14:paraId="0E932D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Albert Pavlovich DOLGOPOLOV</w:t>
            </w:r>
          </w:p>
        </w:tc>
        <w:tc>
          <w:tcPr>
            <w:tcW w:w="836" w:type="dxa"/>
          </w:tcPr>
          <w:p w:rsidRPr="006F34CD" w:rsidR="00515FE0" w:rsidP="006F34CD" w:rsidRDefault="00515FE0" w14:paraId="3F4926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1938</w:t>
            </w:r>
          </w:p>
        </w:tc>
        <w:tc>
          <w:tcPr>
            <w:tcW w:w="1305" w:type="dxa"/>
          </w:tcPr>
          <w:p w:rsidRPr="006F34CD" w:rsidR="00515FE0" w:rsidP="006F34CD" w:rsidRDefault="00515FE0" w14:paraId="744AF6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7AF0974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E75D7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F9C21A" w14:textId="77777777">
            <w:pPr>
              <w:spacing w:before="120" w:after="120"/>
              <w:jc w:val="center"/>
              <w:rPr>
                <w:rFonts w:ascii="Times New Roman" w:hAnsi="Times New Roman" w:cs="Times New Roman"/>
                <w:sz w:val="18"/>
                <w:szCs w:val="18"/>
              </w:rPr>
            </w:pPr>
          </w:p>
        </w:tc>
      </w:tr>
      <w:tr w:rsidRPr="006F34CD" w:rsidR="00515FE0" w:rsidTr="00EF028C" w14:paraId="5E1704EC" w14:textId="77777777">
        <w:trPr>
          <w:cantSplit/>
        </w:trPr>
        <w:tc>
          <w:tcPr>
            <w:tcW w:w="2249" w:type="dxa"/>
          </w:tcPr>
          <w:p w:rsidRPr="006F34CD" w:rsidR="00515FE0" w:rsidP="006F34CD" w:rsidRDefault="00515FE0" w14:paraId="268AA8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Konstantinovich DROBNEV</w:t>
            </w:r>
          </w:p>
        </w:tc>
        <w:tc>
          <w:tcPr>
            <w:tcW w:w="836" w:type="dxa"/>
          </w:tcPr>
          <w:p w:rsidRPr="006F34CD" w:rsidR="00515FE0" w:rsidP="006F34CD" w:rsidRDefault="00515FE0" w14:paraId="307C96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369A14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Zimovniki</w:t>
            </w:r>
          </w:p>
        </w:tc>
        <w:tc>
          <w:tcPr>
            <w:tcW w:w="1134" w:type="dxa"/>
          </w:tcPr>
          <w:p w:rsidRPr="006F34CD" w:rsidR="00515FE0" w:rsidP="006F34CD" w:rsidRDefault="00515FE0" w14:paraId="5004649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943D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08B50F" w14:textId="77777777">
            <w:pPr>
              <w:spacing w:before="120" w:after="120"/>
              <w:jc w:val="center"/>
              <w:rPr>
                <w:rFonts w:ascii="Times New Roman" w:hAnsi="Times New Roman" w:cs="Times New Roman"/>
                <w:sz w:val="18"/>
                <w:szCs w:val="18"/>
              </w:rPr>
            </w:pPr>
          </w:p>
        </w:tc>
      </w:tr>
      <w:tr w:rsidRPr="006F34CD" w:rsidR="00515FE0" w:rsidTr="00EF028C" w14:paraId="775094EC" w14:textId="77777777">
        <w:trPr>
          <w:cantSplit/>
        </w:trPr>
        <w:tc>
          <w:tcPr>
            <w:tcW w:w="2249" w:type="dxa"/>
          </w:tcPr>
          <w:p w:rsidRPr="006F34CD" w:rsidR="00515FE0" w:rsidP="006F34CD" w:rsidRDefault="00515FE0" w14:paraId="3424B0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Grigoryevich DRONYAK</w:t>
            </w:r>
          </w:p>
        </w:tc>
        <w:tc>
          <w:tcPr>
            <w:tcW w:w="836" w:type="dxa"/>
          </w:tcPr>
          <w:p w:rsidRPr="006F34CD" w:rsidR="00515FE0" w:rsidP="006F34CD" w:rsidRDefault="00515FE0" w14:paraId="7EA5EE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3EC592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Novokubansk</w:t>
            </w:r>
          </w:p>
        </w:tc>
        <w:tc>
          <w:tcPr>
            <w:tcW w:w="1134" w:type="dxa"/>
          </w:tcPr>
          <w:p w:rsidRPr="006F34CD" w:rsidR="00515FE0" w:rsidP="006F34CD" w:rsidRDefault="00515FE0" w14:paraId="3C8EFC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46BF9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41FB40" w14:textId="77777777">
            <w:pPr>
              <w:spacing w:before="120" w:after="120"/>
              <w:jc w:val="center"/>
              <w:rPr>
                <w:rFonts w:ascii="Times New Roman" w:hAnsi="Times New Roman" w:cs="Times New Roman"/>
                <w:sz w:val="18"/>
                <w:szCs w:val="18"/>
              </w:rPr>
            </w:pPr>
          </w:p>
        </w:tc>
      </w:tr>
      <w:tr w:rsidRPr="006F34CD" w:rsidR="00515FE0" w:rsidTr="00EF028C" w14:paraId="57BB05A8" w14:textId="77777777">
        <w:trPr>
          <w:cantSplit/>
        </w:trPr>
        <w:tc>
          <w:tcPr>
            <w:tcW w:w="2249" w:type="dxa"/>
          </w:tcPr>
          <w:p w:rsidRPr="006F34CD" w:rsidR="00515FE0" w:rsidP="006F34CD" w:rsidRDefault="00515FE0" w14:paraId="696E17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Vladimirovich DROZDOV</w:t>
            </w:r>
          </w:p>
        </w:tc>
        <w:tc>
          <w:tcPr>
            <w:tcW w:w="836" w:type="dxa"/>
          </w:tcPr>
          <w:p w:rsidRPr="006F34CD" w:rsidR="00515FE0" w:rsidP="006F34CD" w:rsidRDefault="00515FE0" w14:paraId="3F8098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435F85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Shira</w:t>
            </w:r>
          </w:p>
        </w:tc>
        <w:tc>
          <w:tcPr>
            <w:tcW w:w="1134" w:type="dxa"/>
          </w:tcPr>
          <w:p w:rsidRPr="006F34CD" w:rsidR="00515FE0" w:rsidP="006F34CD" w:rsidRDefault="00515FE0" w14:paraId="429952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FA6D7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455AD9" w14:textId="77777777">
            <w:pPr>
              <w:spacing w:before="120" w:after="120"/>
              <w:jc w:val="center"/>
              <w:rPr>
                <w:rFonts w:ascii="Times New Roman" w:hAnsi="Times New Roman" w:cs="Times New Roman"/>
                <w:sz w:val="18"/>
                <w:szCs w:val="18"/>
              </w:rPr>
            </w:pPr>
          </w:p>
        </w:tc>
      </w:tr>
      <w:tr w:rsidRPr="006F34CD" w:rsidR="00515FE0" w:rsidTr="00EF028C" w14:paraId="0E6D53D3" w14:textId="77777777">
        <w:trPr>
          <w:cantSplit/>
        </w:trPr>
        <w:tc>
          <w:tcPr>
            <w:tcW w:w="2249" w:type="dxa"/>
          </w:tcPr>
          <w:p w:rsidRPr="006F34CD" w:rsidR="00515FE0" w:rsidP="006F34CD" w:rsidRDefault="00515FE0" w14:paraId="3CD4DB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Andreyevich DROZDOV</w:t>
            </w:r>
          </w:p>
        </w:tc>
        <w:tc>
          <w:tcPr>
            <w:tcW w:w="836" w:type="dxa"/>
          </w:tcPr>
          <w:p w:rsidRPr="006F34CD" w:rsidR="00515FE0" w:rsidP="006F34CD" w:rsidRDefault="00515FE0" w14:paraId="4CE8D1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1ACCE1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Kyzyl</w:t>
            </w:r>
          </w:p>
        </w:tc>
        <w:tc>
          <w:tcPr>
            <w:tcW w:w="1134" w:type="dxa"/>
          </w:tcPr>
          <w:p w:rsidRPr="006F34CD" w:rsidR="00515FE0" w:rsidP="006F34CD" w:rsidRDefault="00515FE0" w14:paraId="40E673E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F848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151256" w14:textId="77777777">
            <w:pPr>
              <w:spacing w:before="120" w:after="120"/>
              <w:jc w:val="center"/>
              <w:rPr>
                <w:rFonts w:ascii="Times New Roman" w:hAnsi="Times New Roman" w:cs="Times New Roman"/>
                <w:sz w:val="18"/>
                <w:szCs w:val="18"/>
              </w:rPr>
            </w:pPr>
          </w:p>
        </w:tc>
      </w:tr>
      <w:tr w:rsidRPr="006F34CD" w:rsidR="00515FE0" w:rsidTr="00EF028C" w14:paraId="01BF520F" w14:textId="77777777">
        <w:trPr>
          <w:cantSplit/>
        </w:trPr>
        <w:tc>
          <w:tcPr>
            <w:tcW w:w="2249" w:type="dxa"/>
          </w:tcPr>
          <w:p w:rsidRPr="006F34CD" w:rsidR="00515FE0" w:rsidP="006F34CD" w:rsidRDefault="00515FE0" w14:paraId="13356C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Leonid Ivanovich DRUZHININ</w:t>
            </w:r>
          </w:p>
        </w:tc>
        <w:tc>
          <w:tcPr>
            <w:tcW w:w="836" w:type="dxa"/>
          </w:tcPr>
          <w:p w:rsidRPr="006F34CD" w:rsidR="00515FE0" w:rsidP="006F34CD" w:rsidRDefault="00515FE0" w14:paraId="03892E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40D449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Zeya</w:t>
            </w:r>
          </w:p>
        </w:tc>
        <w:tc>
          <w:tcPr>
            <w:tcW w:w="1134" w:type="dxa"/>
          </w:tcPr>
          <w:p w:rsidRPr="006F34CD" w:rsidR="00515FE0" w:rsidP="006F34CD" w:rsidRDefault="00515FE0" w14:paraId="2B13CE9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E89D8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F0A38E" w14:textId="77777777">
            <w:pPr>
              <w:spacing w:before="120" w:after="120"/>
              <w:jc w:val="center"/>
              <w:rPr>
                <w:rFonts w:ascii="Times New Roman" w:hAnsi="Times New Roman" w:cs="Times New Roman"/>
                <w:sz w:val="18"/>
                <w:szCs w:val="18"/>
              </w:rPr>
            </w:pPr>
          </w:p>
        </w:tc>
      </w:tr>
      <w:tr w:rsidRPr="006F34CD" w:rsidR="00515FE0" w:rsidTr="00EF028C" w14:paraId="43B28DA5" w14:textId="77777777">
        <w:trPr>
          <w:cantSplit/>
        </w:trPr>
        <w:tc>
          <w:tcPr>
            <w:tcW w:w="2249" w:type="dxa"/>
          </w:tcPr>
          <w:p w:rsidRPr="006F34CD" w:rsidR="00515FE0" w:rsidP="006F34CD" w:rsidRDefault="00515FE0" w14:paraId="23BBCA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Anatolyevich DUBOV</w:t>
            </w:r>
          </w:p>
        </w:tc>
        <w:tc>
          <w:tcPr>
            <w:tcW w:w="836" w:type="dxa"/>
          </w:tcPr>
          <w:p w:rsidRPr="006F34CD" w:rsidR="00515FE0" w:rsidP="006F34CD" w:rsidRDefault="00515FE0" w14:paraId="764B4A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417F93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Volokolamsk</w:t>
            </w:r>
          </w:p>
        </w:tc>
        <w:tc>
          <w:tcPr>
            <w:tcW w:w="1134" w:type="dxa"/>
          </w:tcPr>
          <w:p w:rsidRPr="006F34CD" w:rsidR="00515FE0" w:rsidP="006F34CD" w:rsidRDefault="00515FE0" w14:paraId="564A50C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09630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296FCC" w14:textId="77777777">
            <w:pPr>
              <w:spacing w:before="120" w:after="120"/>
              <w:jc w:val="center"/>
              <w:rPr>
                <w:rFonts w:ascii="Times New Roman" w:hAnsi="Times New Roman" w:cs="Times New Roman"/>
                <w:sz w:val="18"/>
                <w:szCs w:val="18"/>
              </w:rPr>
            </w:pPr>
          </w:p>
        </w:tc>
      </w:tr>
      <w:tr w:rsidRPr="006F34CD" w:rsidR="00515FE0" w:rsidTr="00EF028C" w14:paraId="06BC5CF1" w14:textId="77777777">
        <w:trPr>
          <w:cantSplit/>
        </w:trPr>
        <w:tc>
          <w:tcPr>
            <w:tcW w:w="2249" w:type="dxa"/>
          </w:tcPr>
          <w:p w:rsidRPr="006F34CD" w:rsidR="00515FE0" w:rsidP="006F34CD" w:rsidRDefault="00515FE0" w14:paraId="33F0D7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Nikolayevich FATEYEV</w:t>
            </w:r>
          </w:p>
        </w:tc>
        <w:tc>
          <w:tcPr>
            <w:tcW w:w="836" w:type="dxa"/>
          </w:tcPr>
          <w:p w:rsidRPr="006F34CD" w:rsidR="00515FE0" w:rsidP="006F34CD" w:rsidRDefault="00515FE0" w14:paraId="3976B4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19FBA8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Tsimlyansk</w:t>
            </w:r>
          </w:p>
        </w:tc>
        <w:tc>
          <w:tcPr>
            <w:tcW w:w="1134" w:type="dxa"/>
          </w:tcPr>
          <w:p w:rsidRPr="006F34CD" w:rsidR="00515FE0" w:rsidP="006F34CD" w:rsidRDefault="00515FE0" w14:paraId="668C674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63378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563859" w14:textId="77777777">
            <w:pPr>
              <w:spacing w:before="120" w:after="120"/>
              <w:jc w:val="center"/>
              <w:rPr>
                <w:rFonts w:ascii="Times New Roman" w:hAnsi="Times New Roman" w:cs="Times New Roman"/>
                <w:sz w:val="18"/>
                <w:szCs w:val="18"/>
              </w:rPr>
            </w:pPr>
          </w:p>
        </w:tc>
      </w:tr>
      <w:tr w:rsidRPr="006F34CD" w:rsidR="00515FE0" w:rsidTr="00EF028C" w14:paraId="71AE2A33" w14:textId="77777777">
        <w:trPr>
          <w:cantSplit/>
        </w:trPr>
        <w:tc>
          <w:tcPr>
            <w:tcW w:w="2249" w:type="dxa"/>
          </w:tcPr>
          <w:p w:rsidRPr="006F34CD" w:rsidR="00515FE0" w:rsidP="006F34CD" w:rsidRDefault="00515FE0" w14:paraId="03463C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Rustem Razimovich FAYRUSHIN</w:t>
            </w:r>
          </w:p>
        </w:tc>
        <w:tc>
          <w:tcPr>
            <w:tcW w:w="836" w:type="dxa"/>
          </w:tcPr>
          <w:p w:rsidRPr="006F34CD" w:rsidR="00515FE0" w:rsidP="006F34CD" w:rsidRDefault="00515FE0" w14:paraId="388356E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21A90A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Naberezhnye Chelny</w:t>
            </w:r>
          </w:p>
        </w:tc>
        <w:tc>
          <w:tcPr>
            <w:tcW w:w="1134" w:type="dxa"/>
          </w:tcPr>
          <w:p w:rsidRPr="006F34CD" w:rsidR="00515FE0" w:rsidP="006F34CD" w:rsidRDefault="00515FE0" w14:paraId="6D0A777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96F9E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FE3117" w14:textId="77777777">
            <w:pPr>
              <w:spacing w:before="120" w:after="120"/>
              <w:jc w:val="center"/>
              <w:rPr>
                <w:rFonts w:ascii="Times New Roman" w:hAnsi="Times New Roman" w:cs="Times New Roman"/>
                <w:sz w:val="18"/>
                <w:szCs w:val="18"/>
              </w:rPr>
            </w:pPr>
          </w:p>
        </w:tc>
      </w:tr>
      <w:tr w:rsidRPr="006F34CD" w:rsidR="00515FE0" w:rsidTr="00EF028C" w14:paraId="594B4508" w14:textId="77777777">
        <w:trPr>
          <w:cantSplit/>
        </w:trPr>
        <w:tc>
          <w:tcPr>
            <w:tcW w:w="2249" w:type="dxa"/>
          </w:tcPr>
          <w:p w:rsidRPr="006F34CD" w:rsidR="00515FE0" w:rsidP="006F34CD" w:rsidRDefault="00515FE0" w14:paraId="4195E7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Aleksandrovich FAYT</w:t>
            </w:r>
          </w:p>
        </w:tc>
        <w:tc>
          <w:tcPr>
            <w:tcW w:w="836" w:type="dxa"/>
          </w:tcPr>
          <w:p w:rsidRPr="006F34CD" w:rsidR="00515FE0" w:rsidP="006F34CD" w:rsidRDefault="00515FE0" w14:paraId="2EDE24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1B26C7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Vladivostok</w:t>
            </w:r>
          </w:p>
        </w:tc>
        <w:tc>
          <w:tcPr>
            <w:tcW w:w="1134" w:type="dxa"/>
          </w:tcPr>
          <w:p w:rsidRPr="006F34CD" w:rsidR="00515FE0" w:rsidP="006F34CD" w:rsidRDefault="00515FE0" w14:paraId="39BF612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FFA44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4D588F" w14:textId="77777777">
            <w:pPr>
              <w:spacing w:before="120" w:after="120"/>
              <w:jc w:val="center"/>
              <w:rPr>
                <w:rFonts w:ascii="Times New Roman" w:hAnsi="Times New Roman" w:cs="Times New Roman"/>
                <w:sz w:val="18"/>
                <w:szCs w:val="18"/>
              </w:rPr>
            </w:pPr>
          </w:p>
        </w:tc>
      </w:tr>
      <w:tr w:rsidRPr="006F34CD" w:rsidR="00515FE0" w:rsidTr="00EF028C" w14:paraId="2B150798" w14:textId="77777777">
        <w:trPr>
          <w:cantSplit/>
        </w:trPr>
        <w:tc>
          <w:tcPr>
            <w:tcW w:w="2249" w:type="dxa"/>
          </w:tcPr>
          <w:p w:rsidRPr="006F34CD" w:rsidR="00515FE0" w:rsidP="006F34CD" w:rsidRDefault="00515FE0" w14:paraId="37A431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Konstantinovich FEDOROV</w:t>
            </w:r>
          </w:p>
        </w:tc>
        <w:tc>
          <w:tcPr>
            <w:tcW w:w="836" w:type="dxa"/>
          </w:tcPr>
          <w:p w:rsidRPr="006F34CD" w:rsidR="00515FE0" w:rsidP="006F34CD" w:rsidRDefault="00515FE0" w14:paraId="30F8B8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50D738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Zhukovskiy</w:t>
            </w:r>
          </w:p>
        </w:tc>
        <w:tc>
          <w:tcPr>
            <w:tcW w:w="1134" w:type="dxa"/>
          </w:tcPr>
          <w:p w:rsidRPr="006F34CD" w:rsidR="00515FE0" w:rsidP="006F34CD" w:rsidRDefault="00515FE0" w14:paraId="6BA88C7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20A67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9EEDC9" w14:textId="77777777">
            <w:pPr>
              <w:spacing w:before="120" w:after="120"/>
              <w:jc w:val="center"/>
              <w:rPr>
                <w:rFonts w:ascii="Times New Roman" w:hAnsi="Times New Roman" w:cs="Times New Roman"/>
                <w:sz w:val="18"/>
                <w:szCs w:val="18"/>
              </w:rPr>
            </w:pPr>
          </w:p>
        </w:tc>
      </w:tr>
      <w:tr w:rsidRPr="006F34CD" w:rsidR="00515FE0" w:rsidTr="00EF028C" w14:paraId="61C9FDFC" w14:textId="77777777">
        <w:trPr>
          <w:cantSplit/>
        </w:trPr>
        <w:tc>
          <w:tcPr>
            <w:tcW w:w="2249" w:type="dxa"/>
          </w:tcPr>
          <w:p w:rsidRPr="006F34CD" w:rsidR="00515FE0" w:rsidP="006F34CD" w:rsidRDefault="00515FE0" w14:paraId="60D128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Semenovich FEDOTENKO</w:t>
            </w:r>
          </w:p>
        </w:tc>
        <w:tc>
          <w:tcPr>
            <w:tcW w:w="836" w:type="dxa"/>
          </w:tcPr>
          <w:p w:rsidRPr="006F34CD" w:rsidR="00515FE0" w:rsidP="006F34CD" w:rsidRDefault="00515FE0" w14:paraId="530453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680789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Kurdzhinovo</w:t>
            </w:r>
          </w:p>
        </w:tc>
        <w:tc>
          <w:tcPr>
            <w:tcW w:w="1134" w:type="dxa"/>
          </w:tcPr>
          <w:p w:rsidRPr="006F34CD" w:rsidR="00515FE0" w:rsidP="006F34CD" w:rsidRDefault="00515FE0" w14:paraId="042425C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C93F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95B192" w14:textId="77777777">
            <w:pPr>
              <w:spacing w:before="120" w:after="120"/>
              <w:jc w:val="center"/>
              <w:rPr>
                <w:rFonts w:ascii="Times New Roman" w:hAnsi="Times New Roman" w:cs="Times New Roman"/>
                <w:sz w:val="18"/>
                <w:szCs w:val="18"/>
              </w:rPr>
            </w:pPr>
          </w:p>
        </w:tc>
      </w:tr>
      <w:tr w:rsidRPr="006F34CD" w:rsidR="00515FE0" w:rsidTr="00EF028C" w14:paraId="6BA281E7" w14:textId="77777777">
        <w:trPr>
          <w:cantSplit/>
        </w:trPr>
        <w:tc>
          <w:tcPr>
            <w:tcW w:w="2249" w:type="dxa"/>
          </w:tcPr>
          <w:p w:rsidRPr="006F34CD" w:rsidR="00515FE0" w:rsidP="006F34CD" w:rsidRDefault="00515FE0" w14:paraId="1D21A5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Viktorovich FILATOV</w:t>
            </w:r>
          </w:p>
        </w:tc>
        <w:tc>
          <w:tcPr>
            <w:tcW w:w="836" w:type="dxa"/>
          </w:tcPr>
          <w:p w:rsidRPr="006F34CD" w:rsidR="00515FE0" w:rsidP="006F34CD" w:rsidRDefault="00515FE0" w14:paraId="2ED63F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6C60D0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Dzhankoy</w:t>
            </w:r>
          </w:p>
        </w:tc>
        <w:tc>
          <w:tcPr>
            <w:tcW w:w="1134" w:type="dxa"/>
          </w:tcPr>
          <w:p w:rsidRPr="006F34CD" w:rsidR="00515FE0" w:rsidP="006F34CD" w:rsidRDefault="00515FE0" w14:paraId="592137A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61FCB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2968B3" w14:textId="77777777">
            <w:pPr>
              <w:spacing w:before="120" w:after="120"/>
              <w:jc w:val="center"/>
              <w:rPr>
                <w:rFonts w:ascii="Times New Roman" w:hAnsi="Times New Roman" w:cs="Times New Roman"/>
                <w:sz w:val="18"/>
                <w:szCs w:val="18"/>
              </w:rPr>
            </w:pPr>
          </w:p>
        </w:tc>
      </w:tr>
      <w:tr w:rsidRPr="006F34CD" w:rsidR="00515FE0" w:rsidTr="00EF028C" w14:paraId="51FBCE3C" w14:textId="77777777">
        <w:trPr>
          <w:cantSplit/>
        </w:trPr>
        <w:tc>
          <w:tcPr>
            <w:tcW w:w="2249" w:type="dxa"/>
          </w:tcPr>
          <w:p w:rsidRPr="006F34CD" w:rsidR="00515FE0" w:rsidP="006F34CD" w:rsidRDefault="00515FE0" w14:paraId="545E63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Viktorovich FILCHIKOV</w:t>
            </w:r>
          </w:p>
        </w:tc>
        <w:tc>
          <w:tcPr>
            <w:tcW w:w="836" w:type="dxa"/>
          </w:tcPr>
          <w:p w:rsidRPr="006F34CD" w:rsidR="00515FE0" w:rsidP="006F34CD" w:rsidRDefault="00515FE0" w14:paraId="44282E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547F77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Roslavl</w:t>
            </w:r>
          </w:p>
        </w:tc>
        <w:tc>
          <w:tcPr>
            <w:tcW w:w="1134" w:type="dxa"/>
          </w:tcPr>
          <w:p w:rsidRPr="006F34CD" w:rsidR="00515FE0" w:rsidP="006F34CD" w:rsidRDefault="00515FE0" w14:paraId="390D6C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FAA83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156CCC" w14:textId="77777777">
            <w:pPr>
              <w:spacing w:before="120" w:after="120"/>
              <w:jc w:val="center"/>
              <w:rPr>
                <w:rFonts w:ascii="Times New Roman" w:hAnsi="Times New Roman" w:cs="Times New Roman"/>
                <w:sz w:val="18"/>
                <w:szCs w:val="18"/>
              </w:rPr>
            </w:pPr>
          </w:p>
        </w:tc>
      </w:tr>
      <w:tr w:rsidRPr="006F34CD" w:rsidR="00515FE0" w:rsidTr="00EF028C" w14:paraId="6B5C9D80" w14:textId="77777777">
        <w:trPr>
          <w:cantSplit/>
        </w:trPr>
        <w:tc>
          <w:tcPr>
            <w:tcW w:w="2249" w:type="dxa"/>
          </w:tcPr>
          <w:p w:rsidRPr="006F34CD" w:rsidR="00515FE0" w:rsidP="006F34CD" w:rsidRDefault="00515FE0" w14:paraId="4423C5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Vyacheslavovich GALAKTIONOV</w:t>
            </w:r>
          </w:p>
        </w:tc>
        <w:tc>
          <w:tcPr>
            <w:tcW w:w="836" w:type="dxa"/>
          </w:tcPr>
          <w:p w:rsidRPr="006F34CD" w:rsidR="00515FE0" w:rsidP="006F34CD" w:rsidRDefault="00515FE0" w14:paraId="2B49EF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4E7746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Khimki</w:t>
            </w:r>
          </w:p>
        </w:tc>
        <w:tc>
          <w:tcPr>
            <w:tcW w:w="1134" w:type="dxa"/>
          </w:tcPr>
          <w:p w:rsidRPr="006F34CD" w:rsidR="00515FE0" w:rsidP="006F34CD" w:rsidRDefault="00515FE0" w14:paraId="50E1B70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3820E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52F3B7" w14:textId="77777777">
            <w:pPr>
              <w:spacing w:before="120" w:after="120"/>
              <w:jc w:val="center"/>
              <w:rPr>
                <w:rFonts w:ascii="Times New Roman" w:hAnsi="Times New Roman" w:cs="Times New Roman"/>
                <w:sz w:val="18"/>
                <w:szCs w:val="18"/>
              </w:rPr>
            </w:pPr>
          </w:p>
        </w:tc>
      </w:tr>
      <w:tr w:rsidRPr="006F34CD" w:rsidR="00515FE0" w:rsidTr="00EF028C" w14:paraId="692A8055" w14:textId="77777777">
        <w:trPr>
          <w:cantSplit/>
        </w:trPr>
        <w:tc>
          <w:tcPr>
            <w:tcW w:w="2249" w:type="dxa"/>
          </w:tcPr>
          <w:p w:rsidRPr="006F34CD" w:rsidR="00515FE0" w:rsidP="006F34CD" w:rsidRDefault="00515FE0" w14:paraId="5B1338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Semen Ivanovich GALATSKIY</w:t>
            </w:r>
          </w:p>
        </w:tc>
        <w:tc>
          <w:tcPr>
            <w:tcW w:w="836" w:type="dxa"/>
          </w:tcPr>
          <w:p w:rsidRPr="006F34CD" w:rsidR="00515FE0" w:rsidP="006F34CD" w:rsidRDefault="00515FE0" w14:paraId="0B6C64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586379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Skovorodino</w:t>
            </w:r>
          </w:p>
        </w:tc>
        <w:tc>
          <w:tcPr>
            <w:tcW w:w="1134" w:type="dxa"/>
          </w:tcPr>
          <w:p w:rsidRPr="006F34CD" w:rsidR="00515FE0" w:rsidP="006F34CD" w:rsidRDefault="00515FE0" w14:paraId="7B4238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70161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0D455C" w14:textId="77777777">
            <w:pPr>
              <w:spacing w:before="120" w:after="120"/>
              <w:jc w:val="center"/>
              <w:rPr>
                <w:rFonts w:ascii="Times New Roman" w:hAnsi="Times New Roman" w:cs="Times New Roman"/>
                <w:sz w:val="18"/>
                <w:szCs w:val="18"/>
              </w:rPr>
            </w:pPr>
          </w:p>
        </w:tc>
      </w:tr>
      <w:tr w:rsidRPr="006F34CD" w:rsidR="00515FE0" w:rsidTr="00EF028C" w14:paraId="53228831" w14:textId="77777777">
        <w:trPr>
          <w:cantSplit/>
        </w:trPr>
        <w:tc>
          <w:tcPr>
            <w:tcW w:w="2249" w:type="dxa"/>
          </w:tcPr>
          <w:p w:rsidRPr="006F34CD" w:rsidR="00515FE0" w:rsidP="006F34CD" w:rsidRDefault="00515FE0" w14:paraId="1E8A39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Leontyevich GAPCHENKO</w:t>
            </w:r>
          </w:p>
        </w:tc>
        <w:tc>
          <w:tcPr>
            <w:tcW w:w="836" w:type="dxa"/>
          </w:tcPr>
          <w:p w:rsidRPr="006F34CD" w:rsidR="00515FE0" w:rsidP="006F34CD" w:rsidRDefault="00515FE0" w14:paraId="37D1E6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0A7AFC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Mineralniye Vody</w:t>
            </w:r>
          </w:p>
        </w:tc>
        <w:tc>
          <w:tcPr>
            <w:tcW w:w="1134" w:type="dxa"/>
          </w:tcPr>
          <w:p w:rsidRPr="006F34CD" w:rsidR="00515FE0" w:rsidP="006F34CD" w:rsidRDefault="00515FE0" w14:paraId="2B316BA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FCEC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17E7BF" w14:textId="77777777">
            <w:pPr>
              <w:spacing w:before="120" w:after="120"/>
              <w:jc w:val="center"/>
              <w:rPr>
                <w:rFonts w:ascii="Times New Roman" w:hAnsi="Times New Roman" w:cs="Times New Roman"/>
                <w:sz w:val="18"/>
                <w:szCs w:val="18"/>
              </w:rPr>
            </w:pPr>
          </w:p>
        </w:tc>
      </w:tr>
      <w:tr w:rsidRPr="006F34CD" w:rsidR="00515FE0" w:rsidTr="00EF028C" w14:paraId="756AF625" w14:textId="77777777">
        <w:trPr>
          <w:cantSplit/>
        </w:trPr>
        <w:tc>
          <w:tcPr>
            <w:tcW w:w="2249" w:type="dxa"/>
          </w:tcPr>
          <w:p w:rsidRPr="006F34CD" w:rsidR="00515FE0" w:rsidP="006F34CD" w:rsidRDefault="00515FE0" w14:paraId="6ECF98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Andreyevich GAPONOV</w:t>
            </w:r>
          </w:p>
        </w:tc>
        <w:tc>
          <w:tcPr>
            <w:tcW w:w="836" w:type="dxa"/>
          </w:tcPr>
          <w:p w:rsidRPr="006F34CD" w:rsidR="00515FE0" w:rsidP="006F34CD" w:rsidRDefault="00515FE0" w14:paraId="2D237B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45514C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Budennovsk</w:t>
            </w:r>
          </w:p>
        </w:tc>
        <w:tc>
          <w:tcPr>
            <w:tcW w:w="1134" w:type="dxa"/>
          </w:tcPr>
          <w:p w:rsidRPr="006F34CD" w:rsidR="00515FE0" w:rsidP="006F34CD" w:rsidRDefault="00515FE0" w14:paraId="5AE1591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2474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A71F5D" w14:textId="77777777">
            <w:pPr>
              <w:spacing w:before="120" w:after="120"/>
              <w:jc w:val="center"/>
              <w:rPr>
                <w:rFonts w:ascii="Times New Roman" w:hAnsi="Times New Roman" w:cs="Times New Roman"/>
                <w:sz w:val="18"/>
                <w:szCs w:val="18"/>
              </w:rPr>
            </w:pPr>
          </w:p>
        </w:tc>
      </w:tr>
      <w:tr w:rsidRPr="006F34CD" w:rsidR="00515FE0" w:rsidTr="00EF028C" w14:paraId="0F0B776B" w14:textId="77777777">
        <w:trPr>
          <w:cantSplit/>
        </w:trPr>
        <w:tc>
          <w:tcPr>
            <w:tcW w:w="2249" w:type="dxa"/>
          </w:tcPr>
          <w:p w:rsidRPr="006F34CD" w:rsidR="00515FE0" w:rsidP="006F34CD" w:rsidRDefault="00515FE0" w14:paraId="2371CE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Fanil Sharifovich GAREYEV</w:t>
            </w:r>
          </w:p>
        </w:tc>
        <w:tc>
          <w:tcPr>
            <w:tcW w:w="836" w:type="dxa"/>
          </w:tcPr>
          <w:p w:rsidRPr="006F34CD" w:rsidR="00515FE0" w:rsidP="006F34CD" w:rsidRDefault="00515FE0" w14:paraId="600F7F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4D993D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Asekeyevo</w:t>
            </w:r>
          </w:p>
        </w:tc>
        <w:tc>
          <w:tcPr>
            <w:tcW w:w="1134" w:type="dxa"/>
          </w:tcPr>
          <w:p w:rsidRPr="006F34CD" w:rsidR="00515FE0" w:rsidP="006F34CD" w:rsidRDefault="00515FE0" w14:paraId="0ADE6E6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3E5D9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99C445" w14:textId="77777777">
            <w:pPr>
              <w:spacing w:before="120" w:after="120"/>
              <w:jc w:val="center"/>
              <w:rPr>
                <w:rFonts w:ascii="Times New Roman" w:hAnsi="Times New Roman" w:cs="Times New Roman"/>
                <w:sz w:val="18"/>
                <w:szCs w:val="18"/>
              </w:rPr>
            </w:pPr>
          </w:p>
        </w:tc>
      </w:tr>
      <w:tr w:rsidRPr="006F34CD" w:rsidR="00515FE0" w:rsidTr="00EF028C" w14:paraId="184C64C1" w14:textId="77777777">
        <w:trPr>
          <w:cantSplit/>
        </w:trPr>
        <w:tc>
          <w:tcPr>
            <w:tcW w:w="2249" w:type="dxa"/>
          </w:tcPr>
          <w:p w:rsidRPr="006F34CD" w:rsidR="00515FE0" w:rsidP="006F34CD" w:rsidRDefault="00515FE0" w14:paraId="45F0EA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Vladimirovich GAVRILETS</w:t>
            </w:r>
          </w:p>
        </w:tc>
        <w:tc>
          <w:tcPr>
            <w:tcW w:w="836" w:type="dxa"/>
          </w:tcPr>
          <w:p w:rsidRPr="006F34CD" w:rsidR="00515FE0" w:rsidP="006F34CD" w:rsidRDefault="00515FE0" w14:paraId="4653F9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1EA1AA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Tikhoretsk</w:t>
            </w:r>
          </w:p>
        </w:tc>
        <w:tc>
          <w:tcPr>
            <w:tcW w:w="1134" w:type="dxa"/>
          </w:tcPr>
          <w:p w:rsidRPr="006F34CD" w:rsidR="00515FE0" w:rsidP="006F34CD" w:rsidRDefault="00515FE0" w14:paraId="3B0374A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9EFC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464EDF" w14:textId="77777777">
            <w:pPr>
              <w:spacing w:before="120" w:after="120"/>
              <w:jc w:val="center"/>
              <w:rPr>
                <w:rFonts w:ascii="Times New Roman" w:hAnsi="Times New Roman" w:cs="Times New Roman"/>
                <w:sz w:val="18"/>
                <w:szCs w:val="18"/>
              </w:rPr>
            </w:pPr>
          </w:p>
        </w:tc>
      </w:tr>
      <w:tr w:rsidRPr="006F34CD" w:rsidR="00515FE0" w:rsidTr="00EF028C" w14:paraId="20CC74CF" w14:textId="77777777">
        <w:trPr>
          <w:cantSplit/>
        </w:trPr>
        <w:tc>
          <w:tcPr>
            <w:tcW w:w="2249" w:type="dxa"/>
          </w:tcPr>
          <w:p w:rsidRPr="006F34CD" w:rsidR="00515FE0" w:rsidP="006F34CD" w:rsidRDefault="00515FE0" w14:paraId="45C20C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Stepan Nikolayevich GAVRILOVSKIY</w:t>
            </w:r>
          </w:p>
        </w:tc>
        <w:tc>
          <w:tcPr>
            <w:tcW w:w="836" w:type="dxa"/>
          </w:tcPr>
          <w:p w:rsidRPr="006F34CD" w:rsidR="00515FE0" w:rsidP="006F34CD" w:rsidRDefault="00515FE0" w14:paraId="405C6EF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351A5F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Angarsk</w:t>
            </w:r>
          </w:p>
        </w:tc>
        <w:tc>
          <w:tcPr>
            <w:tcW w:w="1134" w:type="dxa"/>
          </w:tcPr>
          <w:p w:rsidRPr="006F34CD" w:rsidR="00515FE0" w:rsidP="006F34CD" w:rsidRDefault="00515FE0" w14:paraId="4FCD08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C2B6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DB5804" w14:textId="77777777">
            <w:pPr>
              <w:spacing w:before="120" w:after="120"/>
              <w:jc w:val="center"/>
              <w:rPr>
                <w:rFonts w:ascii="Times New Roman" w:hAnsi="Times New Roman" w:cs="Times New Roman"/>
                <w:sz w:val="18"/>
                <w:szCs w:val="18"/>
              </w:rPr>
            </w:pPr>
          </w:p>
        </w:tc>
      </w:tr>
      <w:tr w:rsidRPr="006F34CD" w:rsidR="00515FE0" w:rsidTr="00EF028C" w14:paraId="0517E8CC" w14:textId="77777777">
        <w:trPr>
          <w:cantSplit/>
        </w:trPr>
        <w:tc>
          <w:tcPr>
            <w:tcW w:w="2249" w:type="dxa"/>
          </w:tcPr>
          <w:p w:rsidRPr="006F34CD" w:rsidR="00515FE0" w:rsidP="006F34CD" w:rsidRDefault="00515FE0" w14:paraId="5EA9FD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Vasilyevich GECHU</w:t>
            </w:r>
          </w:p>
        </w:tc>
        <w:tc>
          <w:tcPr>
            <w:tcW w:w="836" w:type="dxa"/>
          </w:tcPr>
          <w:p w:rsidRPr="006F34CD" w:rsidR="00515FE0" w:rsidP="006F34CD" w:rsidRDefault="00515FE0" w14:paraId="3A6EB1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43AAB5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Asino</w:t>
            </w:r>
          </w:p>
        </w:tc>
        <w:tc>
          <w:tcPr>
            <w:tcW w:w="1134" w:type="dxa"/>
          </w:tcPr>
          <w:p w:rsidRPr="006F34CD" w:rsidR="00515FE0" w:rsidP="006F34CD" w:rsidRDefault="00515FE0" w14:paraId="070DEBC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1B8E8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38C631" w14:textId="77777777">
            <w:pPr>
              <w:spacing w:before="120" w:after="120"/>
              <w:jc w:val="center"/>
              <w:rPr>
                <w:rFonts w:ascii="Times New Roman" w:hAnsi="Times New Roman" w:cs="Times New Roman"/>
                <w:sz w:val="18"/>
                <w:szCs w:val="18"/>
              </w:rPr>
            </w:pPr>
          </w:p>
        </w:tc>
      </w:tr>
      <w:tr w:rsidRPr="006F34CD" w:rsidR="00515FE0" w:rsidTr="00EF028C" w14:paraId="661E0562" w14:textId="77777777">
        <w:trPr>
          <w:cantSplit/>
        </w:trPr>
        <w:tc>
          <w:tcPr>
            <w:tcW w:w="2249" w:type="dxa"/>
          </w:tcPr>
          <w:p w:rsidRPr="006F34CD" w:rsidR="00515FE0" w:rsidP="006F34CD" w:rsidRDefault="00515FE0" w14:paraId="014A86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Gennadiy Vasilyevich GELICH</w:t>
            </w:r>
          </w:p>
        </w:tc>
        <w:tc>
          <w:tcPr>
            <w:tcW w:w="836" w:type="dxa"/>
          </w:tcPr>
          <w:p w:rsidRPr="006F34CD" w:rsidR="00515FE0" w:rsidP="006F34CD" w:rsidRDefault="00515FE0" w14:paraId="2326B0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1E54A5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Ivanovskoye</w:t>
            </w:r>
          </w:p>
        </w:tc>
        <w:tc>
          <w:tcPr>
            <w:tcW w:w="1134" w:type="dxa"/>
          </w:tcPr>
          <w:p w:rsidRPr="006F34CD" w:rsidR="00515FE0" w:rsidP="006F34CD" w:rsidRDefault="00515FE0" w14:paraId="305958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B79C7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FA6C6B" w14:textId="77777777">
            <w:pPr>
              <w:spacing w:before="120" w:after="120"/>
              <w:jc w:val="center"/>
              <w:rPr>
                <w:rFonts w:ascii="Times New Roman" w:hAnsi="Times New Roman" w:cs="Times New Roman"/>
                <w:sz w:val="18"/>
                <w:szCs w:val="18"/>
              </w:rPr>
            </w:pPr>
          </w:p>
        </w:tc>
      </w:tr>
      <w:tr w:rsidRPr="006F34CD" w:rsidR="00515FE0" w:rsidTr="00EF028C" w14:paraId="6C308C53" w14:textId="77777777">
        <w:trPr>
          <w:cantSplit/>
        </w:trPr>
        <w:tc>
          <w:tcPr>
            <w:tcW w:w="2249" w:type="dxa"/>
          </w:tcPr>
          <w:p w:rsidRPr="006F34CD" w:rsidR="00515FE0" w:rsidP="006F34CD" w:rsidRDefault="00515FE0" w14:paraId="28C169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Vasilyevich GETMAN</w:t>
            </w:r>
          </w:p>
        </w:tc>
        <w:tc>
          <w:tcPr>
            <w:tcW w:w="836" w:type="dxa"/>
          </w:tcPr>
          <w:p w:rsidRPr="006F34CD" w:rsidR="00515FE0" w:rsidP="006F34CD" w:rsidRDefault="00515FE0" w14:paraId="1EF938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5A0220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Tsentralniy Khazan</w:t>
            </w:r>
          </w:p>
        </w:tc>
        <w:tc>
          <w:tcPr>
            <w:tcW w:w="1134" w:type="dxa"/>
          </w:tcPr>
          <w:p w:rsidRPr="006F34CD" w:rsidR="00515FE0" w:rsidP="006F34CD" w:rsidRDefault="00515FE0" w14:paraId="1EAA40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7BB5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E033D1" w14:textId="77777777">
            <w:pPr>
              <w:spacing w:before="120" w:after="120"/>
              <w:jc w:val="center"/>
              <w:rPr>
                <w:rFonts w:ascii="Times New Roman" w:hAnsi="Times New Roman" w:cs="Times New Roman"/>
                <w:sz w:val="18"/>
                <w:szCs w:val="18"/>
              </w:rPr>
            </w:pPr>
          </w:p>
        </w:tc>
      </w:tr>
      <w:tr w:rsidRPr="006F34CD" w:rsidR="00515FE0" w:rsidTr="00EF028C" w14:paraId="651610E9" w14:textId="77777777">
        <w:trPr>
          <w:cantSplit/>
        </w:trPr>
        <w:tc>
          <w:tcPr>
            <w:tcW w:w="2249" w:type="dxa"/>
          </w:tcPr>
          <w:p w:rsidRPr="006F34CD" w:rsidR="00515FE0" w:rsidP="006F34CD" w:rsidRDefault="00515FE0" w14:paraId="1D843D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Alekseyevich GLADYSHEV</w:t>
            </w:r>
          </w:p>
        </w:tc>
        <w:tc>
          <w:tcPr>
            <w:tcW w:w="836" w:type="dxa"/>
          </w:tcPr>
          <w:p w:rsidRPr="006F34CD" w:rsidR="00515FE0" w:rsidP="006F34CD" w:rsidRDefault="00515FE0" w14:paraId="752D6A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6A6C01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Yaroslavl</w:t>
            </w:r>
          </w:p>
        </w:tc>
        <w:tc>
          <w:tcPr>
            <w:tcW w:w="1134" w:type="dxa"/>
          </w:tcPr>
          <w:p w:rsidRPr="006F34CD" w:rsidR="00515FE0" w:rsidP="006F34CD" w:rsidRDefault="00515FE0" w14:paraId="4C79F2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51A1A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B38585" w14:textId="77777777">
            <w:pPr>
              <w:spacing w:before="120" w:after="120"/>
              <w:jc w:val="center"/>
              <w:rPr>
                <w:rFonts w:ascii="Times New Roman" w:hAnsi="Times New Roman" w:cs="Times New Roman"/>
                <w:sz w:val="18"/>
                <w:szCs w:val="18"/>
              </w:rPr>
            </w:pPr>
          </w:p>
        </w:tc>
      </w:tr>
      <w:tr w:rsidRPr="006F34CD" w:rsidR="00515FE0" w:rsidTr="00EF028C" w14:paraId="31C74826" w14:textId="77777777">
        <w:trPr>
          <w:cantSplit/>
        </w:trPr>
        <w:tc>
          <w:tcPr>
            <w:tcW w:w="2249" w:type="dxa"/>
          </w:tcPr>
          <w:p w:rsidRPr="006F34CD" w:rsidR="00515FE0" w:rsidP="006F34CD" w:rsidRDefault="00515FE0" w14:paraId="1A93B3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Vasilyevich GLAZOCHEV</w:t>
            </w:r>
          </w:p>
        </w:tc>
        <w:tc>
          <w:tcPr>
            <w:tcW w:w="836" w:type="dxa"/>
          </w:tcPr>
          <w:p w:rsidRPr="006F34CD" w:rsidR="00515FE0" w:rsidP="006F34CD" w:rsidRDefault="00515FE0" w14:paraId="2F5755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447083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der. Balandino</w:t>
            </w:r>
          </w:p>
        </w:tc>
        <w:tc>
          <w:tcPr>
            <w:tcW w:w="1134" w:type="dxa"/>
          </w:tcPr>
          <w:p w:rsidRPr="006F34CD" w:rsidR="00515FE0" w:rsidP="006F34CD" w:rsidRDefault="00515FE0" w14:paraId="2B6165C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89DF5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496C2A" w14:textId="77777777">
            <w:pPr>
              <w:spacing w:before="120" w:after="120"/>
              <w:jc w:val="center"/>
              <w:rPr>
                <w:rFonts w:ascii="Times New Roman" w:hAnsi="Times New Roman" w:cs="Times New Roman"/>
                <w:sz w:val="18"/>
                <w:szCs w:val="18"/>
              </w:rPr>
            </w:pPr>
          </w:p>
        </w:tc>
      </w:tr>
      <w:tr w:rsidRPr="006F34CD" w:rsidR="00515FE0" w:rsidTr="00EF028C" w14:paraId="3CEABFD8" w14:textId="77777777">
        <w:trPr>
          <w:cantSplit/>
        </w:trPr>
        <w:tc>
          <w:tcPr>
            <w:tcW w:w="2249" w:type="dxa"/>
          </w:tcPr>
          <w:p w:rsidRPr="006F34CD" w:rsidR="00515FE0" w:rsidP="006F34CD" w:rsidRDefault="00515FE0" w14:paraId="452798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Konstantin Ivanovich GLAZUNOV</w:t>
            </w:r>
          </w:p>
        </w:tc>
        <w:tc>
          <w:tcPr>
            <w:tcW w:w="836" w:type="dxa"/>
          </w:tcPr>
          <w:p w:rsidRPr="006F34CD" w:rsidR="00515FE0" w:rsidP="006F34CD" w:rsidRDefault="00515FE0" w14:paraId="1B1E80E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7C4455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Borisoglebsk</w:t>
            </w:r>
          </w:p>
        </w:tc>
        <w:tc>
          <w:tcPr>
            <w:tcW w:w="1134" w:type="dxa"/>
          </w:tcPr>
          <w:p w:rsidRPr="006F34CD" w:rsidR="00515FE0" w:rsidP="006F34CD" w:rsidRDefault="00515FE0" w14:paraId="64937D3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382D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B349FFE" w14:textId="77777777">
            <w:pPr>
              <w:spacing w:before="120" w:after="120"/>
              <w:jc w:val="center"/>
              <w:rPr>
                <w:rFonts w:ascii="Times New Roman" w:hAnsi="Times New Roman" w:cs="Times New Roman"/>
                <w:sz w:val="18"/>
                <w:szCs w:val="18"/>
              </w:rPr>
            </w:pPr>
          </w:p>
        </w:tc>
      </w:tr>
      <w:tr w:rsidRPr="006F34CD" w:rsidR="00515FE0" w:rsidTr="00EF028C" w14:paraId="456B3290" w14:textId="77777777">
        <w:trPr>
          <w:cantSplit/>
        </w:trPr>
        <w:tc>
          <w:tcPr>
            <w:tcW w:w="2249" w:type="dxa"/>
          </w:tcPr>
          <w:p w:rsidRPr="006F34CD" w:rsidR="00515FE0" w:rsidP="006F34CD" w:rsidRDefault="00515FE0" w14:paraId="14CEA2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Stanislav Vladimirovich GLOTOV</w:t>
            </w:r>
          </w:p>
        </w:tc>
        <w:tc>
          <w:tcPr>
            <w:tcW w:w="836" w:type="dxa"/>
          </w:tcPr>
          <w:p w:rsidRPr="006F34CD" w:rsidR="00515FE0" w:rsidP="006F34CD" w:rsidRDefault="00515FE0" w14:paraId="564B4A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216E97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Ulan-Ude</w:t>
            </w:r>
          </w:p>
        </w:tc>
        <w:tc>
          <w:tcPr>
            <w:tcW w:w="1134" w:type="dxa"/>
          </w:tcPr>
          <w:p w:rsidRPr="006F34CD" w:rsidR="00515FE0" w:rsidP="006F34CD" w:rsidRDefault="00515FE0" w14:paraId="2AC4A0A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452DB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BA26B2" w14:textId="77777777">
            <w:pPr>
              <w:spacing w:before="120" w:after="120"/>
              <w:jc w:val="center"/>
              <w:rPr>
                <w:rFonts w:ascii="Times New Roman" w:hAnsi="Times New Roman" w:cs="Times New Roman"/>
                <w:sz w:val="18"/>
                <w:szCs w:val="18"/>
              </w:rPr>
            </w:pPr>
          </w:p>
        </w:tc>
      </w:tr>
      <w:tr w:rsidRPr="006F34CD" w:rsidR="00515FE0" w:rsidTr="00EF028C" w14:paraId="0005E943" w14:textId="77777777">
        <w:trPr>
          <w:cantSplit/>
        </w:trPr>
        <w:tc>
          <w:tcPr>
            <w:tcW w:w="2249" w:type="dxa"/>
          </w:tcPr>
          <w:p w:rsidRPr="006F34CD" w:rsidR="00515FE0" w:rsidP="006F34CD" w:rsidRDefault="00515FE0" w14:paraId="3C7F85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Petrovich GLOTOV</w:t>
            </w:r>
          </w:p>
        </w:tc>
        <w:tc>
          <w:tcPr>
            <w:tcW w:w="836" w:type="dxa"/>
          </w:tcPr>
          <w:p w:rsidRPr="006F34CD" w:rsidR="00515FE0" w:rsidP="006F34CD" w:rsidRDefault="00515FE0" w14:paraId="0322C2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6793BE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Novo-Bataysk</w:t>
            </w:r>
          </w:p>
        </w:tc>
        <w:tc>
          <w:tcPr>
            <w:tcW w:w="1134" w:type="dxa"/>
          </w:tcPr>
          <w:p w:rsidRPr="006F34CD" w:rsidR="00515FE0" w:rsidP="006F34CD" w:rsidRDefault="00515FE0" w14:paraId="29F718D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819ED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B68B2D" w14:textId="77777777">
            <w:pPr>
              <w:spacing w:before="120" w:after="120"/>
              <w:jc w:val="center"/>
              <w:rPr>
                <w:rFonts w:ascii="Times New Roman" w:hAnsi="Times New Roman" w:cs="Times New Roman"/>
                <w:sz w:val="18"/>
                <w:szCs w:val="18"/>
              </w:rPr>
            </w:pPr>
          </w:p>
        </w:tc>
      </w:tr>
      <w:tr w:rsidRPr="006F34CD" w:rsidR="00515FE0" w:rsidTr="00EF028C" w14:paraId="17EB4D1E" w14:textId="77777777">
        <w:trPr>
          <w:cantSplit/>
        </w:trPr>
        <w:tc>
          <w:tcPr>
            <w:tcW w:w="2249" w:type="dxa"/>
          </w:tcPr>
          <w:p w:rsidRPr="006F34CD" w:rsidR="00515FE0" w:rsidP="006F34CD" w:rsidRDefault="00515FE0" w14:paraId="7DD24D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Nikolayevich GLUKHAREV</w:t>
            </w:r>
          </w:p>
        </w:tc>
        <w:tc>
          <w:tcPr>
            <w:tcW w:w="836" w:type="dxa"/>
          </w:tcPr>
          <w:p w:rsidRPr="006F34CD" w:rsidR="00515FE0" w:rsidP="006F34CD" w:rsidRDefault="00515FE0" w14:paraId="07EFA2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0F3D31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Krasnoarmeysk</w:t>
            </w:r>
          </w:p>
        </w:tc>
        <w:tc>
          <w:tcPr>
            <w:tcW w:w="1134" w:type="dxa"/>
          </w:tcPr>
          <w:p w:rsidRPr="006F34CD" w:rsidR="00515FE0" w:rsidP="006F34CD" w:rsidRDefault="00515FE0" w14:paraId="39947FA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F166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7F472F8" w14:textId="77777777">
            <w:pPr>
              <w:spacing w:before="120" w:after="120"/>
              <w:jc w:val="center"/>
              <w:rPr>
                <w:rFonts w:ascii="Times New Roman" w:hAnsi="Times New Roman" w:cs="Times New Roman"/>
                <w:sz w:val="18"/>
                <w:szCs w:val="18"/>
              </w:rPr>
            </w:pPr>
          </w:p>
        </w:tc>
      </w:tr>
      <w:tr w:rsidRPr="006F34CD" w:rsidR="00515FE0" w:rsidTr="00EF028C" w14:paraId="4F73B72C" w14:textId="77777777">
        <w:trPr>
          <w:cantSplit/>
        </w:trPr>
        <w:tc>
          <w:tcPr>
            <w:tcW w:w="2249" w:type="dxa"/>
          </w:tcPr>
          <w:p w:rsidRPr="006F34CD" w:rsidR="00515FE0" w:rsidP="006F34CD" w:rsidRDefault="00515FE0" w14:paraId="38FA34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Borisovich GOBOZEV</w:t>
            </w:r>
          </w:p>
        </w:tc>
        <w:tc>
          <w:tcPr>
            <w:tcW w:w="836" w:type="dxa"/>
          </w:tcPr>
          <w:p w:rsidRPr="006F34CD" w:rsidR="00515FE0" w:rsidP="006F34CD" w:rsidRDefault="00515FE0" w14:paraId="71AF24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6714E0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Votkinsk</w:t>
            </w:r>
          </w:p>
        </w:tc>
        <w:tc>
          <w:tcPr>
            <w:tcW w:w="1134" w:type="dxa"/>
          </w:tcPr>
          <w:p w:rsidRPr="006F34CD" w:rsidR="00515FE0" w:rsidP="006F34CD" w:rsidRDefault="00515FE0" w14:paraId="26F3BC5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8D85F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5A04B7" w14:textId="77777777">
            <w:pPr>
              <w:spacing w:before="120" w:after="120"/>
              <w:jc w:val="center"/>
              <w:rPr>
                <w:rFonts w:ascii="Times New Roman" w:hAnsi="Times New Roman" w:cs="Times New Roman"/>
                <w:sz w:val="18"/>
                <w:szCs w:val="18"/>
              </w:rPr>
            </w:pPr>
          </w:p>
        </w:tc>
      </w:tr>
      <w:tr w:rsidRPr="006F34CD" w:rsidR="00515FE0" w:rsidTr="00EF028C" w14:paraId="0F5B6571" w14:textId="77777777">
        <w:trPr>
          <w:cantSplit/>
        </w:trPr>
        <w:tc>
          <w:tcPr>
            <w:tcW w:w="2249" w:type="dxa"/>
          </w:tcPr>
          <w:p w:rsidRPr="006F34CD" w:rsidR="00515FE0" w:rsidP="006F34CD" w:rsidRDefault="00515FE0" w14:paraId="2546F2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Mikhaylovich GOLIK</w:t>
            </w:r>
          </w:p>
        </w:tc>
        <w:tc>
          <w:tcPr>
            <w:tcW w:w="836" w:type="dxa"/>
          </w:tcPr>
          <w:p w:rsidRPr="006F34CD" w:rsidR="00515FE0" w:rsidP="006F34CD" w:rsidRDefault="00515FE0" w14:paraId="2DE101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2C10C6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Noyabrsk</w:t>
            </w:r>
          </w:p>
        </w:tc>
        <w:tc>
          <w:tcPr>
            <w:tcW w:w="1134" w:type="dxa"/>
          </w:tcPr>
          <w:p w:rsidRPr="006F34CD" w:rsidR="00515FE0" w:rsidP="006F34CD" w:rsidRDefault="00515FE0" w14:paraId="1AA314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48B0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B553C4" w14:textId="77777777">
            <w:pPr>
              <w:spacing w:before="120" w:after="120"/>
              <w:jc w:val="center"/>
              <w:rPr>
                <w:rFonts w:ascii="Times New Roman" w:hAnsi="Times New Roman" w:cs="Times New Roman"/>
                <w:sz w:val="18"/>
                <w:szCs w:val="18"/>
              </w:rPr>
            </w:pPr>
          </w:p>
        </w:tc>
      </w:tr>
      <w:tr w:rsidRPr="006F34CD" w:rsidR="00515FE0" w:rsidTr="00EF028C" w14:paraId="33FB15C6" w14:textId="77777777">
        <w:trPr>
          <w:cantSplit/>
        </w:trPr>
        <w:tc>
          <w:tcPr>
            <w:tcW w:w="2249" w:type="dxa"/>
          </w:tcPr>
          <w:p w:rsidRPr="006F34CD" w:rsidR="00515FE0" w:rsidP="006F34CD" w:rsidRDefault="00515FE0" w14:paraId="404F4E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Valeryevich GOLITSYN</w:t>
            </w:r>
          </w:p>
        </w:tc>
        <w:tc>
          <w:tcPr>
            <w:tcW w:w="836" w:type="dxa"/>
          </w:tcPr>
          <w:p w:rsidRPr="006F34CD" w:rsidR="00515FE0" w:rsidP="006F34CD" w:rsidRDefault="00515FE0" w14:paraId="3D7DDC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208642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Kostroma</w:t>
            </w:r>
          </w:p>
        </w:tc>
        <w:tc>
          <w:tcPr>
            <w:tcW w:w="1134" w:type="dxa"/>
          </w:tcPr>
          <w:p w:rsidRPr="006F34CD" w:rsidR="00515FE0" w:rsidP="006F34CD" w:rsidRDefault="00515FE0" w14:paraId="59AEB73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B8C47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556471" w14:textId="77777777">
            <w:pPr>
              <w:spacing w:before="120" w:after="120"/>
              <w:jc w:val="center"/>
              <w:rPr>
                <w:rFonts w:ascii="Times New Roman" w:hAnsi="Times New Roman" w:cs="Times New Roman"/>
                <w:sz w:val="18"/>
                <w:szCs w:val="18"/>
              </w:rPr>
            </w:pPr>
          </w:p>
        </w:tc>
      </w:tr>
      <w:tr w:rsidRPr="006F34CD" w:rsidR="00515FE0" w:rsidTr="00EF028C" w14:paraId="36A2BC6A" w14:textId="77777777">
        <w:trPr>
          <w:cantSplit/>
        </w:trPr>
        <w:tc>
          <w:tcPr>
            <w:tcW w:w="2249" w:type="dxa"/>
          </w:tcPr>
          <w:p w:rsidRPr="006F34CD" w:rsidR="00515FE0" w:rsidP="006F34CD" w:rsidRDefault="00515FE0" w14:paraId="427F14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Anatolyevich GOLOVAN</w:t>
            </w:r>
          </w:p>
        </w:tc>
        <w:tc>
          <w:tcPr>
            <w:tcW w:w="836" w:type="dxa"/>
          </w:tcPr>
          <w:p w:rsidRPr="006F34CD" w:rsidR="00515FE0" w:rsidP="006F34CD" w:rsidRDefault="00515FE0" w14:paraId="204D44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4F4128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Krasnoselskoye</w:t>
            </w:r>
          </w:p>
        </w:tc>
        <w:tc>
          <w:tcPr>
            <w:tcW w:w="1134" w:type="dxa"/>
          </w:tcPr>
          <w:p w:rsidRPr="006F34CD" w:rsidR="00515FE0" w:rsidP="006F34CD" w:rsidRDefault="00515FE0" w14:paraId="11C6B4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124FF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92CBD6" w14:textId="77777777">
            <w:pPr>
              <w:spacing w:before="120" w:after="120"/>
              <w:jc w:val="center"/>
              <w:rPr>
                <w:rFonts w:ascii="Times New Roman" w:hAnsi="Times New Roman" w:cs="Times New Roman"/>
                <w:sz w:val="18"/>
                <w:szCs w:val="18"/>
              </w:rPr>
            </w:pPr>
          </w:p>
        </w:tc>
      </w:tr>
      <w:tr w:rsidRPr="006F34CD" w:rsidR="00515FE0" w:rsidTr="00EF028C" w14:paraId="77FEEA66" w14:textId="77777777">
        <w:trPr>
          <w:cantSplit/>
        </w:trPr>
        <w:tc>
          <w:tcPr>
            <w:tcW w:w="2249" w:type="dxa"/>
          </w:tcPr>
          <w:p w:rsidRPr="006F34CD" w:rsidR="00515FE0" w:rsidP="006F34CD" w:rsidRDefault="00515FE0" w14:paraId="1C2309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Aleksandrovich GOLTSVART</w:t>
            </w:r>
          </w:p>
        </w:tc>
        <w:tc>
          <w:tcPr>
            <w:tcW w:w="836" w:type="dxa"/>
          </w:tcPr>
          <w:p w:rsidRPr="006F34CD" w:rsidR="00515FE0" w:rsidP="006F34CD" w:rsidRDefault="00515FE0" w14:paraId="071DEE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226088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Ust-Ilimsk</w:t>
            </w:r>
          </w:p>
        </w:tc>
        <w:tc>
          <w:tcPr>
            <w:tcW w:w="1134" w:type="dxa"/>
          </w:tcPr>
          <w:p w:rsidRPr="006F34CD" w:rsidR="00515FE0" w:rsidP="006F34CD" w:rsidRDefault="00515FE0" w14:paraId="6C6BBF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9180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02658E" w14:textId="77777777">
            <w:pPr>
              <w:spacing w:before="120" w:after="120"/>
              <w:jc w:val="center"/>
              <w:rPr>
                <w:rFonts w:ascii="Times New Roman" w:hAnsi="Times New Roman" w:cs="Times New Roman"/>
                <w:sz w:val="18"/>
                <w:szCs w:val="18"/>
              </w:rPr>
            </w:pPr>
          </w:p>
        </w:tc>
      </w:tr>
      <w:tr w:rsidRPr="006F34CD" w:rsidR="00515FE0" w:rsidTr="00EF028C" w14:paraId="175A3DCE" w14:textId="77777777">
        <w:trPr>
          <w:cantSplit/>
        </w:trPr>
        <w:tc>
          <w:tcPr>
            <w:tcW w:w="2249" w:type="dxa"/>
          </w:tcPr>
          <w:p w:rsidRPr="006F34CD" w:rsidR="00515FE0" w:rsidP="006F34CD" w:rsidRDefault="00515FE0" w14:paraId="097347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Nikolayevich GONCHAROV</w:t>
            </w:r>
          </w:p>
        </w:tc>
        <w:tc>
          <w:tcPr>
            <w:tcW w:w="836" w:type="dxa"/>
          </w:tcPr>
          <w:p w:rsidRPr="006F34CD" w:rsidR="00515FE0" w:rsidP="006F34CD" w:rsidRDefault="00515FE0" w14:paraId="269C7A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5C110A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Giaginskaya</w:t>
            </w:r>
          </w:p>
        </w:tc>
        <w:tc>
          <w:tcPr>
            <w:tcW w:w="1134" w:type="dxa"/>
          </w:tcPr>
          <w:p w:rsidRPr="006F34CD" w:rsidR="00515FE0" w:rsidP="006F34CD" w:rsidRDefault="00515FE0" w14:paraId="14C7E4D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A3998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467097" w14:textId="77777777">
            <w:pPr>
              <w:spacing w:before="120" w:after="120"/>
              <w:jc w:val="center"/>
              <w:rPr>
                <w:rFonts w:ascii="Times New Roman" w:hAnsi="Times New Roman" w:cs="Times New Roman"/>
                <w:sz w:val="18"/>
                <w:szCs w:val="18"/>
              </w:rPr>
            </w:pPr>
          </w:p>
        </w:tc>
      </w:tr>
      <w:tr w:rsidRPr="006F34CD" w:rsidR="00515FE0" w:rsidTr="00EF028C" w14:paraId="3722BB45" w14:textId="77777777">
        <w:trPr>
          <w:cantSplit/>
        </w:trPr>
        <w:tc>
          <w:tcPr>
            <w:tcW w:w="2249" w:type="dxa"/>
          </w:tcPr>
          <w:p w:rsidRPr="006F34CD" w:rsidR="00515FE0" w:rsidP="006F34CD" w:rsidRDefault="00515FE0" w14:paraId="7C01BF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Gennadiy Vitalyevich GORBUNOV</w:t>
            </w:r>
          </w:p>
        </w:tc>
        <w:tc>
          <w:tcPr>
            <w:tcW w:w="836" w:type="dxa"/>
          </w:tcPr>
          <w:p w:rsidRPr="006F34CD" w:rsidR="00515FE0" w:rsidP="006F34CD" w:rsidRDefault="00515FE0" w14:paraId="6A16F6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0E0504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Voronezh</w:t>
            </w:r>
          </w:p>
        </w:tc>
        <w:tc>
          <w:tcPr>
            <w:tcW w:w="1134" w:type="dxa"/>
          </w:tcPr>
          <w:p w:rsidRPr="006F34CD" w:rsidR="00515FE0" w:rsidP="006F34CD" w:rsidRDefault="00515FE0" w14:paraId="71954F1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08D8F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773B17" w14:textId="77777777">
            <w:pPr>
              <w:spacing w:before="120" w:after="120"/>
              <w:jc w:val="center"/>
              <w:rPr>
                <w:rFonts w:ascii="Times New Roman" w:hAnsi="Times New Roman" w:cs="Times New Roman"/>
                <w:sz w:val="18"/>
                <w:szCs w:val="18"/>
              </w:rPr>
            </w:pPr>
          </w:p>
        </w:tc>
      </w:tr>
      <w:tr w:rsidRPr="006F34CD" w:rsidR="00515FE0" w:rsidTr="00EF028C" w14:paraId="7D9DA36D" w14:textId="77777777">
        <w:trPr>
          <w:cantSplit/>
        </w:trPr>
        <w:tc>
          <w:tcPr>
            <w:tcW w:w="2249" w:type="dxa"/>
          </w:tcPr>
          <w:p w:rsidRPr="006F34CD" w:rsidR="00515FE0" w:rsidP="006F34CD" w:rsidRDefault="00515FE0" w14:paraId="4A771E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Vladimirovich GORSHKOV</w:t>
            </w:r>
          </w:p>
        </w:tc>
        <w:tc>
          <w:tcPr>
            <w:tcW w:w="836" w:type="dxa"/>
          </w:tcPr>
          <w:p w:rsidRPr="006F34CD" w:rsidR="00515FE0" w:rsidP="006F34CD" w:rsidRDefault="00515FE0" w14:paraId="56E1DB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319C43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Mikun</w:t>
            </w:r>
          </w:p>
        </w:tc>
        <w:tc>
          <w:tcPr>
            <w:tcW w:w="1134" w:type="dxa"/>
          </w:tcPr>
          <w:p w:rsidRPr="006F34CD" w:rsidR="00515FE0" w:rsidP="006F34CD" w:rsidRDefault="00515FE0" w14:paraId="52E117E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5E3D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5EB048" w14:textId="77777777">
            <w:pPr>
              <w:spacing w:before="120" w:after="120"/>
              <w:jc w:val="center"/>
              <w:rPr>
                <w:rFonts w:ascii="Times New Roman" w:hAnsi="Times New Roman" w:cs="Times New Roman"/>
                <w:sz w:val="18"/>
                <w:szCs w:val="18"/>
              </w:rPr>
            </w:pPr>
          </w:p>
        </w:tc>
      </w:tr>
      <w:tr w:rsidRPr="006F34CD" w:rsidR="00515FE0" w:rsidTr="00EF028C" w14:paraId="7A8532ED" w14:textId="77777777">
        <w:trPr>
          <w:cantSplit/>
        </w:trPr>
        <w:tc>
          <w:tcPr>
            <w:tcW w:w="2249" w:type="dxa"/>
          </w:tcPr>
          <w:p w:rsidRPr="006F34CD" w:rsidR="00515FE0" w:rsidP="006F34CD" w:rsidRDefault="00515FE0" w14:paraId="239394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 Ivanovich GREBENYUK</w:t>
            </w:r>
          </w:p>
        </w:tc>
        <w:tc>
          <w:tcPr>
            <w:tcW w:w="836" w:type="dxa"/>
          </w:tcPr>
          <w:p w:rsidRPr="006F34CD" w:rsidR="00515FE0" w:rsidP="006F34CD" w:rsidRDefault="00515FE0" w14:paraId="6FBB38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7C75E1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Arsenyev</w:t>
            </w:r>
          </w:p>
        </w:tc>
        <w:tc>
          <w:tcPr>
            <w:tcW w:w="1134" w:type="dxa"/>
          </w:tcPr>
          <w:p w:rsidRPr="006F34CD" w:rsidR="00515FE0" w:rsidP="006F34CD" w:rsidRDefault="00515FE0" w14:paraId="515309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8ED2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32FF9D" w14:textId="77777777">
            <w:pPr>
              <w:spacing w:before="120" w:after="120"/>
              <w:jc w:val="center"/>
              <w:rPr>
                <w:rFonts w:ascii="Times New Roman" w:hAnsi="Times New Roman" w:cs="Times New Roman"/>
                <w:sz w:val="18"/>
                <w:szCs w:val="18"/>
              </w:rPr>
            </w:pPr>
          </w:p>
        </w:tc>
      </w:tr>
      <w:tr w:rsidRPr="006F34CD" w:rsidR="00515FE0" w:rsidTr="00EF028C" w14:paraId="28FAD58D" w14:textId="77777777">
        <w:trPr>
          <w:cantSplit/>
        </w:trPr>
        <w:tc>
          <w:tcPr>
            <w:tcW w:w="2249" w:type="dxa"/>
          </w:tcPr>
          <w:p w:rsidRPr="006F34CD" w:rsidR="00515FE0" w:rsidP="006F34CD" w:rsidRDefault="00515FE0" w14:paraId="62FFA8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Viktorovich GRIDUNOV</w:t>
            </w:r>
          </w:p>
        </w:tc>
        <w:tc>
          <w:tcPr>
            <w:tcW w:w="836" w:type="dxa"/>
          </w:tcPr>
          <w:p w:rsidRPr="006F34CD" w:rsidR="00515FE0" w:rsidP="006F34CD" w:rsidRDefault="00515FE0" w14:paraId="04FF9B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CEB58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Krymsk</w:t>
            </w:r>
          </w:p>
        </w:tc>
        <w:tc>
          <w:tcPr>
            <w:tcW w:w="1134" w:type="dxa"/>
          </w:tcPr>
          <w:p w:rsidRPr="006F34CD" w:rsidR="00515FE0" w:rsidP="006F34CD" w:rsidRDefault="00515FE0" w14:paraId="4B9EA66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62543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44E464" w14:textId="77777777">
            <w:pPr>
              <w:spacing w:before="120" w:after="120"/>
              <w:jc w:val="center"/>
              <w:rPr>
                <w:rFonts w:ascii="Times New Roman" w:hAnsi="Times New Roman" w:cs="Times New Roman"/>
                <w:sz w:val="18"/>
                <w:szCs w:val="18"/>
              </w:rPr>
            </w:pPr>
          </w:p>
        </w:tc>
      </w:tr>
      <w:tr w:rsidRPr="006F34CD" w:rsidR="00515FE0" w:rsidTr="00EF028C" w14:paraId="442102B8" w14:textId="77777777">
        <w:trPr>
          <w:cantSplit/>
        </w:trPr>
        <w:tc>
          <w:tcPr>
            <w:tcW w:w="2249" w:type="dxa"/>
          </w:tcPr>
          <w:p w:rsidRPr="006F34CD" w:rsidR="00515FE0" w:rsidP="006F34CD" w:rsidRDefault="00515FE0" w14:paraId="39DF5A9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Anatolyevich GRINENKO</w:t>
            </w:r>
          </w:p>
        </w:tc>
        <w:tc>
          <w:tcPr>
            <w:tcW w:w="836" w:type="dxa"/>
          </w:tcPr>
          <w:p w:rsidRPr="006F34CD" w:rsidR="00515FE0" w:rsidP="006F34CD" w:rsidRDefault="00515FE0" w14:paraId="48A226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0F9B5F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Lesozavodsk</w:t>
            </w:r>
          </w:p>
        </w:tc>
        <w:tc>
          <w:tcPr>
            <w:tcW w:w="1134" w:type="dxa"/>
          </w:tcPr>
          <w:p w:rsidRPr="006F34CD" w:rsidR="00515FE0" w:rsidP="006F34CD" w:rsidRDefault="00515FE0" w14:paraId="56B043D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2814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3A2B5AF" w14:textId="77777777">
            <w:pPr>
              <w:spacing w:before="120" w:after="120"/>
              <w:jc w:val="center"/>
              <w:rPr>
                <w:rFonts w:ascii="Times New Roman" w:hAnsi="Times New Roman" w:cs="Times New Roman"/>
                <w:sz w:val="18"/>
                <w:szCs w:val="18"/>
              </w:rPr>
            </w:pPr>
          </w:p>
        </w:tc>
      </w:tr>
      <w:tr w:rsidRPr="006F34CD" w:rsidR="00515FE0" w:rsidTr="00EF028C" w14:paraId="701A82BB" w14:textId="77777777">
        <w:trPr>
          <w:cantSplit/>
        </w:trPr>
        <w:tc>
          <w:tcPr>
            <w:tcW w:w="2249" w:type="dxa"/>
          </w:tcPr>
          <w:p w:rsidRPr="006F34CD" w:rsidR="00515FE0" w:rsidP="006F34CD" w:rsidRDefault="00515FE0" w14:paraId="417228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Vladimirovich GRITSENKO</w:t>
            </w:r>
          </w:p>
        </w:tc>
        <w:tc>
          <w:tcPr>
            <w:tcW w:w="836" w:type="dxa"/>
          </w:tcPr>
          <w:p w:rsidRPr="006F34CD" w:rsidR="00515FE0" w:rsidP="006F34CD" w:rsidRDefault="00515FE0" w14:paraId="538216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40A238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Krasnooktyabrskiy</w:t>
            </w:r>
          </w:p>
        </w:tc>
        <w:tc>
          <w:tcPr>
            <w:tcW w:w="1134" w:type="dxa"/>
          </w:tcPr>
          <w:p w:rsidRPr="006F34CD" w:rsidR="00515FE0" w:rsidP="006F34CD" w:rsidRDefault="00515FE0" w14:paraId="2A6C997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48CEB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2E08F5" w14:textId="77777777">
            <w:pPr>
              <w:spacing w:before="120" w:after="120"/>
              <w:jc w:val="center"/>
              <w:rPr>
                <w:rFonts w:ascii="Times New Roman" w:hAnsi="Times New Roman" w:cs="Times New Roman"/>
                <w:sz w:val="18"/>
                <w:szCs w:val="18"/>
              </w:rPr>
            </w:pPr>
          </w:p>
        </w:tc>
      </w:tr>
      <w:tr w:rsidRPr="006F34CD" w:rsidR="00515FE0" w:rsidTr="00EF028C" w14:paraId="00486EDE" w14:textId="77777777">
        <w:trPr>
          <w:cantSplit/>
        </w:trPr>
        <w:tc>
          <w:tcPr>
            <w:tcW w:w="2249" w:type="dxa"/>
          </w:tcPr>
          <w:p w:rsidRPr="006F34CD" w:rsidR="00515FE0" w:rsidP="006F34CD" w:rsidRDefault="00515FE0" w14:paraId="441637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Ivan Alekseyevich GUNDERTAYLO</w:t>
            </w:r>
          </w:p>
        </w:tc>
        <w:tc>
          <w:tcPr>
            <w:tcW w:w="836" w:type="dxa"/>
          </w:tcPr>
          <w:p w:rsidRPr="006F34CD" w:rsidR="00515FE0" w:rsidP="006F34CD" w:rsidRDefault="00515FE0" w14:paraId="234B80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228172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Inta</w:t>
            </w:r>
          </w:p>
        </w:tc>
        <w:tc>
          <w:tcPr>
            <w:tcW w:w="1134" w:type="dxa"/>
          </w:tcPr>
          <w:p w:rsidRPr="006F34CD" w:rsidR="00515FE0" w:rsidP="006F34CD" w:rsidRDefault="00515FE0" w14:paraId="5B0BBF8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BF95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C51878" w14:textId="77777777">
            <w:pPr>
              <w:spacing w:before="120" w:after="120"/>
              <w:jc w:val="center"/>
              <w:rPr>
                <w:rFonts w:ascii="Times New Roman" w:hAnsi="Times New Roman" w:cs="Times New Roman"/>
                <w:sz w:val="18"/>
                <w:szCs w:val="18"/>
              </w:rPr>
            </w:pPr>
          </w:p>
        </w:tc>
      </w:tr>
      <w:tr w:rsidRPr="006F34CD" w:rsidR="00515FE0" w:rsidTr="00EF028C" w14:paraId="204FCE41" w14:textId="77777777">
        <w:trPr>
          <w:cantSplit/>
        </w:trPr>
        <w:tc>
          <w:tcPr>
            <w:tcW w:w="2249" w:type="dxa"/>
          </w:tcPr>
          <w:p w:rsidRPr="006F34CD" w:rsidR="00515FE0" w:rsidP="006F34CD" w:rsidRDefault="00515FE0" w14:paraId="75D1E1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Matvey Vasilyevich GURINOVICH</w:t>
            </w:r>
          </w:p>
        </w:tc>
        <w:tc>
          <w:tcPr>
            <w:tcW w:w="836" w:type="dxa"/>
          </w:tcPr>
          <w:p w:rsidRPr="006F34CD" w:rsidR="00515FE0" w:rsidP="006F34CD" w:rsidRDefault="00515FE0" w14:paraId="0FCEC8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0AF3F2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Yessentuki</w:t>
            </w:r>
          </w:p>
        </w:tc>
        <w:tc>
          <w:tcPr>
            <w:tcW w:w="1134" w:type="dxa"/>
          </w:tcPr>
          <w:p w:rsidRPr="006F34CD" w:rsidR="00515FE0" w:rsidP="006F34CD" w:rsidRDefault="00515FE0" w14:paraId="4BAAF7C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F19B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F44033" w14:textId="77777777">
            <w:pPr>
              <w:spacing w:before="120" w:after="120"/>
              <w:jc w:val="center"/>
              <w:rPr>
                <w:rFonts w:ascii="Times New Roman" w:hAnsi="Times New Roman" w:cs="Times New Roman"/>
                <w:sz w:val="18"/>
                <w:szCs w:val="18"/>
              </w:rPr>
            </w:pPr>
          </w:p>
        </w:tc>
      </w:tr>
      <w:tr w:rsidRPr="006F34CD" w:rsidR="00515FE0" w:rsidTr="00EF028C" w14:paraId="023500D2" w14:textId="77777777">
        <w:trPr>
          <w:cantSplit/>
        </w:trPr>
        <w:tc>
          <w:tcPr>
            <w:tcW w:w="2249" w:type="dxa"/>
          </w:tcPr>
          <w:p w:rsidRPr="006F34CD" w:rsidR="00515FE0" w:rsidP="006F34CD" w:rsidRDefault="00515FE0" w14:paraId="30A852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Pavlovich GUT</w:t>
            </w:r>
          </w:p>
        </w:tc>
        <w:tc>
          <w:tcPr>
            <w:tcW w:w="836" w:type="dxa"/>
          </w:tcPr>
          <w:p w:rsidRPr="006F34CD" w:rsidR="00515FE0" w:rsidP="006F34CD" w:rsidRDefault="00515FE0" w14:paraId="446E1B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4F21CE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Staronizhestebliyevskaya</w:t>
            </w:r>
          </w:p>
        </w:tc>
        <w:tc>
          <w:tcPr>
            <w:tcW w:w="1134" w:type="dxa"/>
          </w:tcPr>
          <w:p w:rsidRPr="006F34CD" w:rsidR="00515FE0" w:rsidP="006F34CD" w:rsidRDefault="00515FE0" w14:paraId="5EF8E5A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8FA23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4E202B" w14:textId="77777777">
            <w:pPr>
              <w:spacing w:before="120" w:after="120"/>
              <w:jc w:val="center"/>
              <w:rPr>
                <w:rFonts w:ascii="Times New Roman" w:hAnsi="Times New Roman" w:cs="Times New Roman"/>
                <w:sz w:val="18"/>
                <w:szCs w:val="18"/>
              </w:rPr>
            </w:pPr>
          </w:p>
        </w:tc>
      </w:tr>
      <w:tr w:rsidRPr="006F34CD" w:rsidR="00515FE0" w:rsidTr="00EF028C" w14:paraId="6F8D1B57" w14:textId="77777777">
        <w:trPr>
          <w:cantSplit/>
        </w:trPr>
        <w:tc>
          <w:tcPr>
            <w:tcW w:w="2249" w:type="dxa"/>
          </w:tcPr>
          <w:p w:rsidRPr="006F34CD" w:rsidR="00515FE0" w:rsidP="006F34CD" w:rsidRDefault="00515FE0" w14:paraId="466D1A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Yuryevich GVOZDEV</w:t>
            </w:r>
          </w:p>
        </w:tc>
        <w:tc>
          <w:tcPr>
            <w:tcW w:w="836" w:type="dxa"/>
          </w:tcPr>
          <w:p w:rsidRPr="006F34CD" w:rsidR="00515FE0" w:rsidP="006F34CD" w:rsidRDefault="00515FE0" w14:paraId="62A56D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7F6165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Gulkevichi</w:t>
            </w:r>
          </w:p>
        </w:tc>
        <w:tc>
          <w:tcPr>
            <w:tcW w:w="1134" w:type="dxa"/>
          </w:tcPr>
          <w:p w:rsidRPr="006F34CD" w:rsidR="00515FE0" w:rsidP="006F34CD" w:rsidRDefault="00515FE0" w14:paraId="568740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C212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3CE0E9" w14:textId="77777777">
            <w:pPr>
              <w:spacing w:before="120" w:after="120"/>
              <w:jc w:val="center"/>
              <w:rPr>
                <w:rFonts w:ascii="Times New Roman" w:hAnsi="Times New Roman" w:cs="Times New Roman"/>
                <w:sz w:val="18"/>
                <w:szCs w:val="18"/>
              </w:rPr>
            </w:pPr>
          </w:p>
        </w:tc>
      </w:tr>
      <w:tr w:rsidRPr="006F34CD" w:rsidR="00515FE0" w:rsidTr="00EF028C" w14:paraId="634E06F5" w14:textId="77777777">
        <w:trPr>
          <w:cantSplit/>
        </w:trPr>
        <w:tc>
          <w:tcPr>
            <w:tcW w:w="2249" w:type="dxa"/>
          </w:tcPr>
          <w:p w:rsidRPr="006F34CD" w:rsidR="00515FE0" w:rsidP="006F34CD" w:rsidRDefault="00515FE0" w14:paraId="135ECA8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Faatovich IBRAGIMOV</w:t>
            </w:r>
          </w:p>
        </w:tc>
        <w:tc>
          <w:tcPr>
            <w:tcW w:w="836" w:type="dxa"/>
          </w:tcPr>
          <w:p w:rsidRPr="006F34CD" w:rsidR="00515FE0" w:rsidP="006F34CD" w:rsidRDefault="00515FE0" w14:paraId="368B47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1845994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Gusinoozersk</w:t>
            </w:r>
          </w:p>
        </w:tc>
        <w:tc>
          <w:tcPr>
            <w:tcW w:w="1134" w:type="dxa"/>
          </w:tcPr>
          <w:p w:rsidRPr="006F34CD" w:rsidR="00515FE0" w:rsidP="006F34CD" w:rsidRDefault="00515FE0" w14:paraId="411658E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5DE9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C8C583" w14:textId="77777777">
            <w:pPr>
              <w:spacing w:before="120" w:after="120"/>
              <w:jc w:val="center"/>
              <w:rPr>
                <w:rFonts w:ascii="Times New Roman" w:hAnsi="Times New Roman" w:cs="Times New Roman"/>
                <w:sz w:val="18"/>
                <w:szCs w:val="18"/>
              </w:rPr>
            </w:pPr>
          </w:p>
        </w:tc>
      </w:tr>
      <w:tr w:rsidRPr="006F34CD" w:rsidR="00515FE0" w:rsidTr="00EF028C" w14:paraId="02B4D50C" w14:textId="77777777">
        <w:trPr>
          <w:cantSplit/>
        </w:trPr>
        <w:tc>
          <w:tcPr>
            <w:tcW w:w="2249" w:type="dxa"/>
          </w:tcPr>
          <w:p w:rsidRPr="006F34CD" w:rsidR="00515FE0" w:rsidP="006F34CD" w:rsidRDefault="00515FE0" w14:paraId="436DD3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Anatolyevich ILYIN</w:t>
            </w:r>
          </w:p>
        </w:tc>
        <w:tc>
          <w:tcPr>
            <w:tcW w:w="836" w:type="dxa"/>
          </w:tcPr>
          <w:p w:rsidRPr="006F34CD" w:rsidR="00515FE0" w:rsidP="006F34CD" w:rsidRDefault="00515FE0" w14:paraId="674753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36508A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4AEF4C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592AA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C6D3B6" w14:textId="77777777">
            <w:pPr>
              <w:spacing w:before="120" w:after="120"/>
              <w:jc w:val="center"/>
              <w:rPr>
                <w:rFonts w:ascii="Times New Roman" w:hAnsi="Times New Roman" w:cs="Times New Roman"/>
                <w:sz w:val="18"/>
                <w:szCs w:val="18"/>
              </w:rPr>
            </w:pPr>
          </w:p>
        </w:tc>
      </w:tr>
      <w:tr w:rsidRPr="006F34CD" w:rsidR="00515FE0" w:rsidTr="00EF028C" w14:paraId="2981D6B4" w14:textId="77777777">
        <w:trPr>
          <w:cantSplit/>
        </w:trPr>
        <w:tc>
          <w:tcPr>
            <w:tcW w:w="2249" w:type="dxa"/>
          </w:tcPr>
          <w:p w:rsidRPr="006F34CD" w:rsidR="00515FE0" w:rsidP="006F34CD" w:rsidRDefault="00515FE0" w14:paraId="6E5DDE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Nikolayevich IVANOV</w:t>
            </w:r>
          </w:p>
        </w:tc>
        <w:tc>
          <w:tcPr>
            <w:tcW w:w="836" w:type="dxa"/>
          </w:tcPr>
          <w:p w:rsidRPr="006F34CD" w:rsidR="00515FE0" w:rsidP="006F34CD" w:rsidRDefault="00515FE0" w14:paraId="222867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031E83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Primorsko-Akhtarsk</w:t>
            </w:r>
          </w:p>
        </w:tc>
        <w:tc>
          <w:tcPr>
            <w:tcW w:w="1134" w:type="dxa"/>
          </w:tcPr>
          <w:p w:rsidRPr="006F34CD" w:rsidR="00515FE0" w:rsidP="006F34CD" w:rsidRDefault="00515FE0" w14:paraId="44A7F1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E430A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22BE876" w14:textId="77777777">
            <w:pPr>
              <w:spacing w:before="120" w:after="120"/>
              <w:jc w:val="center"/>
              <w:rPr>
                <w:rFonts w:ascii="Times New Roman" w:hAnsi="Times New Roman" w:cs="Times New Roman"/>
                <w:sz w:val="18"/>
                <w:szCs w:val="18"/>
              </w:rPr>
            </w:pPr>
          </w:p>
        </w:tc>
      </w:tr>
      <w:tr w:rsidRPr="006F34CD" w:rsidR="00515FE0" w:rsidTr="00EF028C" w14:paraId="275158C0" w14:textId="77777777">
        <w:trPr>
          <w:cantSplit/>
        </w:trPr>
        <w:tc>
          <w:tcPr>
            <w:tcW w:w="2249" w:type="dxa"/>
          </w:tcPr>
          <w:p w:rsidRPr="006F34CD" w:rsidR="00515FE0" w:rsidP="006F34CD" w:rsidRDefault="00515FE0" w14:paraId="751677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Nikolayevich IZRANOV</w:t>
            </w:r>
          </w:p>
        </w:tc>
        <w:tc>
          <w:tcPr>
            <w:tcW w:w="836" w:type="dxa"/>
          </w:tcPr>
          <w:p w:rsidRPr="006F34CD" w:rsidR="00515FE0" w:rsidP="006F34CD" w:rsidRDefault="00515FE0" w14:paraId="79E323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19CBC7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Penza</w:t>
            </w:r>
          </w:p>
        </w:tc>
        <w:tc>
          <w:tcPr>
            <w:tcW w:w="1134" w:type="dxa"/>
          </w:tcPr>
          <w:p w:rsidRPr="006F34CD" w:rsidR="00515FE0" w:rsidP="006F34CD" w:rsidRDefault="00515FE0" w14:paraId="39AEB2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134A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2B405F" w14:textId="77777777">
            <w:pPr>
              <w:spacing w:before="120" w:after="120"/>
              <w:jc w:val="center"/>
              <w:rPr>
                <w:rFonts w:ascii="Times New Roman" w:hAnsi="Times New Roman" w:cs="Times New Roman"/>
                <w:sz w:val="18"/>
                <w:szCs w:val="18"/>
              </w:rPr>
            </w:pPr>
          </w:p>
        </w:tc>
      </w:tr>
      <w:tr w:rsidRPr="006F34CD" w:rsidR="00515FE0" w:rsidTr="00EF028C" w14:paraId="2CD87DB3" w14:textId="77777777">
        <w:trPr>
          <w:cantSplit/>
        </w:trPr>
        <w:tc>
          <w:tcPr>
            <w:tcW w:w="2249" w:type="dxa"/>
          </w:tcPr>
          <w:p w:rsidRPr="006F34CD" w:rsidR="00515FE0" w:rsidP="006F34CD" w:rsidRDefault="00515FE0" w14:paraId="76C688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Ivanovich KALASHNIKOV</w:t>
            </w:r>
          </w:p>
        </w:tc>
        <w:tc>
          <w:tcPr>
            <w:tcW w:w="836" w:type="dxa"/>
          </w:tcPr>
          <w:p w:rsidRPr="006F34CD" w:rsidR="00515FE0" w:rsidP="006F34CD" w:rsidRDefault="00515FE0" w14:paraId="396508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73F241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Neman</w:t>
            </w:r>
          </w:p>
        </w:tc>
        <w:tc>
          <w:tcPr>
            <w:tcW w:w="1134" w:type="dxa"/>
          </w:tcPr>
          <w:p w:rsidRPr="006F34CD" w:rsidR="00515FE0" w:rsidP="006F34CD" w:rsidRDefault="00515FE0" w14:paraId="2FD7CFD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4DC53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393EC2F" w14:textId="77777777">
            <w:pPr>
              <w:spacing w:before="120" w:after="120"/>
              <w:jc w:val="center"/>
              <w:rPr>
                <w:rFonts w:ascii="Times New Roman" w:hAnsi="Times New Roman" w:cs="Times New Roman"/>
                <w:sz w:val="18"/>
                <w:szCs w:val="18"/>
              </w:rPr>
            </w:pPr>
          </w:p>
        </w:tc>
      </w:tr>
      <w:tr w:rsidRPr="006F34CD" w:rsidR="00515FE0" w:rsidTr="00EF028C" w14:paraId="6FDC86A1" w14:textId="77777777">
        <w:trPr>
          <w:cantSplit/>
        </w:trPr>
        <w:tc>
          <w:tcPr>
            <w:tcW w:w="2249" w:type="dxa"/>
          </w:tcPr>
          <w:p w:rsidRPr="006F34CD" w:rsidR="00515FE0" w:rsidP="006F34CD" w:rsidRDefault="00515FE0" w14:paraId="085AFF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Mikhaylovich KALININ</w:t>
            </w:r>
          </w:p>
        </w:tc>
        <w:tc>
          <w:tcPr>
            <w:tcW w:w="836" w:type="dxa"/>
          </w:tcPr>
          <w:p w:rsidRPr="006F34CD" w:rsidR="00515FE0" w:rsidP="006F34CD" w:rsidRDefault="00515FE0" w14:paraId="26073D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7EE1F0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Lyubertsy</w:t>
            </w:r>
          </w:p>
        </w:tc>
        <w:tc>
          <w:tcPr>
            <w:tcW w:w="1134" w:type="dxa"/>
          </w:tcPr>
          <w:p w:rsidRPr="006F34CD" w:rsidR="00515FE0" w:rsidP="006F34CD" w:rsidRDefault="00515FE0" w14:paraId="3CE26C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61EFA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34F660" w14:textId="77777777">
            <w:pPr>
              <w:spacing w:before="120" w:after="120"/>
              <w:jc w:val="center"/>
              <w:rPr>
                <w:rFonts w:ascii="Times New Roman" w:hAnsi="Times New Roman" w:cs="Times New Roman"/>
                <w:sz w:val="18"/>
                <w:szCs w:val="18"/>
              </w:rPr>
            </w:pPr>
          </w:p>
        </w:tc>
      </w:tr>
      <w:tr w:rsidRPr="006F34CD" w:rsidR="00515FE0" w:rsidTr="00EF028C" w14:paraId="4BBE2581" w14:textId="77777777">
        <w:trPr>
          <w:cantSplit/>
        </w:trPr>
        <w:tc>
          <w:tcPr>
            <w:tcW w:w="2249" w:type="dxa"/>
          </w:tcPr>
          <w:p w:rsidRPr="006F34CD" w:rsidR="00515FE0" w:rsidP="006F34CD" w:rsidRDefault="00515FE0" w14:paraId="7A25D2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Viktorovich KALISTRATOV</w:t>
            </w:r>
          </w:p>
        </w:tc>
        <w:tc>
          <w:tcPr>
            <w:tcW w:w="836" w:type="dxa"/>
          </w:tcPr>
          <w:p w:rsidRPr="006F34CD" w:rsidR="00515FE0" w:rsidP="006F34CD" w:rsidRDefault="00515FE0" w14:paraId="1815470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035202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Gorno-Altaysk</w:t>
            </w:r>
          </w:p>
        </w:tc>
        <w:tc>
          <w:tcPr>
            <w:tcW w:w="1134" w:type="dxa"/>
          </w:tcPr>
          <w:p w:rsidRPr="006F34CD" w:rsidR="00515FE0" w:rsidP="006F34CD" w:rsidRDefault="00515FE0" w14:paraId="7C3C7BD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6893C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FAC0AB" w14:textId="77777777">
            <w:pPr>
              <w:spacing w:before="120" w:after="120"/>
              <w:jc w:val="center"/>
              <w:rPr>
                <w:rFonts w:ascii="Times New Roman" w:hAnsi="Times New Roman" w:cs="Times New Roman"/>
                <w:sz w:val="18"/>
                <w:szCs w:val="18"/>
              </w:rPr>
            </w:pPr>
          </w:p>
        </w:tc>
      </w:tr>
      <w:tr w:rsidRPr="006F34CD" w:rsidR="00515FE0" w:rsidTr="00EF028C" w14:paraId="19B67095" w14:textId="77777777">
        <w:trPr>
          <w:cantSplit/>
        </w:trPr>
        <w:tc>
          <w:tcPr>
            <w:tcW w:w="2249" w:type="dxa"/>
          </w:tcPr>
          <w:p w:rsidRPr="006F34CD" w:rsidR="00515FE0" w:rsidP="006F34CD" w:rsidRDefault="00515FE0" w14:paraId="58B1A7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Rinat Maratovich KAMALOV</w:t>
            </w:r>
          </w:p>
        </w:tc>
        <w:tc>
          <w:tcPr>
            <w:tcW w:w="836" w:type="dxa"/>
          </w:tcPr>
          <w:p w:rsidRPr="006F34CD" w:rsidR="00515FE0" w:rsidP="006F34CD" w:rsidRDefault="00515FE0" w14:paraId="326DC0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378D06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Belebey</w:t>
            </w:r>
          </w:p>
        </w:tc>
        <w:tc>
          <w:tcPr>
            <w:tcW w:w="1134" w:type="dxa"/>
          </w:tcPr>
          <w:p w:rsidRPr="006F34CD" w:rsidR="00515FE0" w:rsidP="006F34CD" w:rsidRDefault="00515FE0" w14:paraId="382DEEC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2EEC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2BA71B" w14:textId="77777777">
            <w:pPr>
              <w:spacing w:before="120" w:after="120"/>
              <w:jc w:val="center"/>
              <w:rPr>
                <w:rFonts w:ascii="Times New Roman" w:hAnsi="Times New Roman" w:cs="Times New Roman"/>
                <w:sz w:val="18"/>
                <w:szCs w:val="18"/>
              </w:rPr>
            </w:pPr>
          </w:p>
        </w:tc>
      </w:tr>
      <w:tr w:rsidRPr="006F34CD" w:rsidR="00515FE0" w:rsidTr="00EF028C" w14:paraId="25A173B3" w14:textId="77777777">
        <w:trPr>
          <w:cantSplit/>
        </w:trPr>
        <w:tc>
          <w:tcPr>
            <w:tcW w:w="2249" w:type="dxa"/>
          </w:tcPr>
          <w:p w:rsidRPr="006F34CD" w:rsidR="00515FE0" w:rsidP="006F34CD" w:rsidRDefault="00515FE0" w14:paraId="0709B9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Roman Vladimirovich KAMANIN</w:t>
            </w:r>
          </w:p>
        </w:tc>
        <w:tc>
          <w:tcPr>
            <w:tcW w:w="836" w:type="dxa"/>
          </w:tcPr>
          <w:p w:rsidRPr="006F34CD" w:rsidR="00515FE0" w:rsidP="006F34CD" w:rsidRDefault="00515FE0" w14:paraId="1B17A4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74FBA8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Belaya Kalitva</w:t>
            </w:r>
          </w:p>
        </w:tc>
        <w:tc>
          <w:tcPr>
            <w:tcW w:w="1134" w:type="dxa"/>
          </w:tcPr>
          <w:p w:rsidRPr="006F34CD" w:rsidR="00515FE0" w:rsidP="006F34CD" w:rsidRDefault="00515FE0" w14:paraId="756B1E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75EAC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BDA64C" w14:textId="77777777">
            <w:pPr>
              <w:spacing w:before="120" w:after="120"/>
              <w:jc w:val="center"/>
              <w:rPr>
                <w:rFonts w:ascii="Times New Roman" w:hAnsi="Times New Roman" w:cs="Times New Roman"/>
                <w:sz w:val="18"/>
                <w:szCs w:val="18"/>
              </w:rPr>
            </w:pPr>
          </w:p>
        </w:tc>
      </w:tr>
      <w:tr w:rsidRPr="006F34CD" w:rsidR="00515FE0" w:rsidTr="00EF028C" w14:paraId="7C4FFA36" w14:textId="77777777">
        <w:trPr>
          <w:cantSplit/>
        </w:trPr>
        <w:tc>
          <w:tcPr>
            <w:tcW w:w="2249" w:type="dxa"/>
          </w:tcPr>
          <w:p w:rsidRPr="006F34CD" w:rsidR="00515FE0" w:rsidP="006F34CD" w:rsidRDefault="00515FE0" w14:paraId="3DE055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Ruslan Aliyevich KANAMATOV</w:t>
            </w:r>
          </w:p>
        </w:tc>
        <w:tc>
          <w:tcPr>
            <w:tcW w:w="836" w:type="dxa"/>
          </w:tcPr>
          <w:p w:rsidRPr="006F34CD" w:rsidR="00515FE0" w:rsidP="006F34CD" w:rsidRDefault="00515FE0" w14:paraId="623AD1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05907C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Cherkessk</w:t>
            </w:r>
          </w:p>
        </w:tc>
        <w:tc>
          <w:tcPr>
            <w:tcW w:w="1134" w:type="dxa"/>
          </w:tcPr>
          <w:p w:rsidRPr="006F34CD" w:rsidR="00515FE0" w:rsidP="006F34CD" w:rsidRDefault="00515FE0" w14:paraId="1307BC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DBA92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F42583" w14:textId="77777777">
            <w:pPr>
              <w:spacing w:before="120" w:after="120"/>
              <w:jc w:val="center"/>
              <w:rPr>
                <w:rFonts w:ascii="Times New Roman" w:hAnsi="Times New Roman" w:cs="Times New Roman"/>
                <w:sz w:val="18"/>
                <w:szCs w:val="18"/>
              </w:rPr>
            </w:pPr>
          </w:p>
        </w:tc>
      </w:tr>
      <w:tr w:rsidRPr="006F34CD" w:rsidR="00515FE0" w:rsidTr="00EF028C" w14:paraId="0F855419" w14:textId="77777777">
        <w:trPr>
          <w:cantSplit/>
        </w:trPr>
        <w:tc>
          <w:tcPr>
            <w:tcW w:w="2249" w:type="dxa"/>
          </w:tcPr>
          <w:p w:rsidRPr="006F34CD" w:rsidR="00515FE0" w:rsidP="006F34CD" w:rsidRDefault="00515FE0" w14:paraId="233EF1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Anatolyevich KARPUSHEVSKIY</w:t>
            </w:r>
          </w:p>
        </w:tc>
        <w:tc>
          <w:tcPr>
            <w:tcW w:w="836" w:type="dxa"/>
          </w:tcPr>
          <w:p w:rsidRPr="006F34CD" w:rsidR="00515FE0" w:rsidP="006F34CD" w:rsidRDefault="00515FE0" w14:paraId="40D081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19FC2E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Blagoveshchensk</w:t>
            </w:r>
          </w:p>
        </w:tc>
        <w:tc>
          <w:tcPr>
            <w:tcW w:w="1134" w:type="dxa"/>
          </w:tcPr>
          <w:p w:rsidRPr="006F34CD" w:rsidR="00515FE0" w:rsidP="006F34CD" w:rsidRDefault="00515FE0" w14:paraId="7A9C362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D7560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0C4A25" w14:textId="77777777">
            <w:pPr>
              <w:spacing w:before="120" w:after="120"/>
              <w:jc w:val="center"/>
              <w:rPr>
                <w:rFonts w:ascii="Times New Roman" w:hAnsi="Times New Roman" w:cs="Times New Roman"/>
                <w:sz w:val="18"/>
                <w:szCs w:val="18"/>
              </w:rPr>
            </w:pPr>
          </w:p>
        </w:tc>
      </w:tr>
      <w:tr w:rsidRPr="006F34CD" w:rsidR="00515FE0" w:rsidTr="00EF028C" w14:paraId="1056C02A" w14:textId="77777777">
        <w:trPr>
          <w:cantSplit/>
        </w:trPr>
        <w:tc>
          <w:tcPr>
            <w:tcW w:w="2249" w:type="dxa"/>
          </w:tcPr>
          <w:p w:rsidRPr="006F34CD" w:rsidR="00515FE0" w:rsidP="006F34CD" w:rsidRDefault="00515FE0" w14:paraId="08F7F0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Vladimirovich KASHENKOV</w:t>
            </w:r>
          </w:p>
        </w:tc>
        <w:tc>
          <w:tcPr>
            <w:tcW w:w="836" w:type="dxa"/>
          </w:tcPr>
          <w:p w:rsidRPr="006F34CD" w:rsidR="00515FE0" w:rsidP="006F34CD" w:rsidRDefault="00515FE0" w14:paraId="2ADA67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17C972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Sarapul</w:t>
            </w:r>
          </w:p>
        </w:tc>
        <w:tc>
          <w:tcPr>
            <w:tcW w:w="1134" w:type="dxa"/>
          </w:tcPr>
          <w:p w:rsidRPr="006F34CD" w:rsidR="00515FE0" w:rsidP="006F34CD" w:rsidRDefault="00515FE0" w14:paraId="2641549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5683A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05D8B1" w14:textId="77777777">
            <w:pPr>
              <w:spacing w:before="120" w:after="120"/>
              <w:jc w:val="center"/>
              <w:rPr>
                <w:rFonts w:ascii="Times New Roman" w:hAnsi="Times New Roman" w:cs="Times New Roman"/>
                <w:sz w:val="18"/>
                <w:szCs w:val="18"/>
              </w:rPr>
            </w:pPr>
          </w:p>
        </w:tc>
      </w:tr>
      <w:tr w:rsidRPr="006F34CD" w:rsidR="00515FE0" w:rsidTr="00EF028C" w14:paraId="06CBB457" w14:textId="77777777">
        <w:trPr>
          <w:cantSplit/>
        </w:trPr>
        <w:tc>
          <w:tcPr>
            <w:tcW w:w="2249" w:type="dxa"/>
          </w:tcPr>
          <w:p w:rsidRPr="006F34CD" w:rsidR="00515FE0" w:rsidP="006F34CD" w:rsidRDefault="00515FE0" w14:paraId="6B16D8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Nikolayevich KASHTANOV</w:t>
            </w:r>
          </w:p>
        </w:tc>
        <w:tc>
          <w:tcPr>
            <w:tcW w:w="836" w:type="dxa"/>
          </w:tcPr>
          <w:p w:rsidRPr="006F34CD" w:rsidR="00515FE0" w:rsidP="006F34CD" w:rsidRDefault="00515FE0" w14:paraId="666E78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370353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Priyutovo</w:t>
            </w:r>
          </w:p>
        </w:tc>
        <w:tc>
          <w:tcPr>
            <w:tcW w:w="1134" w:type="dxa"/>
          </w:tcPr>
          <w:p w:rsidRPr="006F34CD" w:rsidR="00515FE0" w:rsidP="006F34CD" w:rsidRDefault="00515FE0" w14:paraId="15A6E9E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6746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FB8289" w14:textId="77777777">
            <w:pPr>
              <w:spacing w:before="120" w:after="120"/>
              <w:jc w:val="center"/>
              <w:rPr>
                <w:rFonts w:ascii="Times New Roman" w:hAnsi="Times New Roman" w:cs="Times New Roman"/>
                <w:sz w:val="18"/>
                <w:szCs w:val="18"/>
              </w:rPr>
            </w:pPr>
          </w:p>
        </w:tc>
      </w:tr>
      <w:tr w:rsidRPr="006F34CD" w:rsidR="00515FE0" w:rsidTr="00EF028C" w14:paraId="44F2BDFB" w14:textId="77777777">
        <w:trPr>
          <w:cantSplit/>
        </w:trPr>
        <w:tc>
          <w:tcPr>
            <w:tcW w:w="2249" w:type="dxa"/>
          </w:tcPr>
          <w:p w:rsidRPr="006F34CD" w:rsidR="00515FE0" w:rsidP="006F34CD" w:rsidRDefault="00515FE0" w14:paraId="4FD216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Petrovich KATKOV</w:t>
            </w:r>
          </w:p>
        </w:tc>
        <w:tc>
          <w:tcPr>
            <w:tcW w:w="836" w:type="dxa"/>
          </w:tcPr>
          <w:p w:rsidRPr="006F34CD" w:rsidR="00515FE0" w:rsidP="006F34CD" w:rsidRDefault="00515FE0" w14:paraId="49BF46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49F2F2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Klin</w:t>
            </w:r>
          </w:p>
        </w:tc>
        <w:tc>
          <w:tcPr>
            <w:tcW w:w="1134" w:type="dxa"/>
          </w:tcPr>
          <w:p w:rsidRPr="006F34CD" w:rsidR="00515FE0" w:rsidP="006F34CD" w:rsidRDefault="00515FE0" w14:paraId="084C0D0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9CAA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55F05B" w14:textId="77777777">
            <w:pPr>
              <w:spacing w:before="120" w:after="120"/>
              <w:jc w:val="center"/>
              <w:rPr>
                <w:rFonts w:ascii="Times New Roman" w:hAnsi="Times New Roman" w:cs="Times New Roman"/>
                <w:sz w:val="18"/>
                <w:szCs w:val="18"/>
              </w:rPr>
            </w:pPr>
          </w:p>
        </w:tc>
      </w:tr>
      <w:tr w:rsidRPr="006F34CD" w:rsidR="00515FE0" w:rsidTr="00EF028C" w14:paraId="766FC2A1" w14:textId="77777777">
        <w:trPr>
          <w:cantSplit/>
        </w:trPr>
        <w:tc>
          <w:tcPr>
            <w:tcW w:w="2249" w:type="dxa"/>
          </w:tcPr>
          <w:p w:rsidRPr="006F34CD" w:rsidR="00515FE0" w:rsidP="006F34CD" w:rsidRDefault="00515FE0" w14:paraId="2F6F27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Aleksandrovich KAVERIN</w:t>
            </w:r>
          </w:p>
        </w:tc>
        <w:tc>
          <w:tcPr>
            <w:tcW w:w="836" w:type="dxa"/>
          </w:tcPr>
          <w:p w:rsidRPr="006F34CD" w:rsidR="00515FE0" w:rsidP="006F34CD" w:rsidRDefault="00515FE0" w14:paraId="56546A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7F87BA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Artem</w:t>
            </w:r>
          </w:p>
        </w:tc>
        <w:tc>
          <w:tcPr>
            <w:tcW w:w="1134" w:type="dxa"/>
          </w:tcPr>
          <w:p w:rsidRPr="006F34CD" w:rsidR="00515FE0" w:rsidP="006F34CD" w:rsidRDefault="00515FE0" w14:paraId="1503D09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6684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FCCDCB" w14:textId="77777777">
            <w:pPr>
              <w:spacing w:before="120" w:after="120"/>
              <w:jc w:val="center"/>
              <w:rPr>
                <w:rFonts w:ascii="Times New Roman" w:hAnsi="Times New Roman" w:cs="Times New Roman"/>
                <w:sz w:val="18"/>
                <w:szCs w:val="18"/>
              </w:rPr>
            </w:pPr>
          </w:p>
        </w:tc>
      </w:tr>
      <w:tr w:rsidRPr="006F34CD" w:rsidR="00515FE0" w:rsidTr="00EF028C" w14:paraId="333993A2" w14:textId="77777777">
        <w:trPr>
          <w:cantSplit/>
        </w:trPr>
        <w:tc>
          <w:tcPr>
            <w:tcW w:w="2249" w:type="dxa"/>
          </w:tcPr>
          <w:p w:rsidRPr="006F34CD" w:rsidR="00515FE0" w:rsidP="006F34CD" w:rsidRDefault="00515FE0" w14:paraId="388A8B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Igorevich KHOKHANOV</w:t>
            </w:r>
          </w:p>
        </w:tc>
        <w:tc>
          <w:tcPr>
            <w:tcW w:w="836" w:type="dxa"/>
          </w:tcPr>
          <w:p w:rsidRPr="006F34CD" w:rsidR="00515FE0" w:rsidP="006F34CD" w:rsidRDefault="00515FE0" w14:paraId="360A44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1991</w:t>
            </w:r>
          </w:p>
        </w:tc>
        <w:tc>
          <w:tcPr>
            <w:tcW w:w="1305" w:type="dxa"/>
          </w:tcPr>
          <w:p w:rsidRPr="006F34CD" w:rsidR="00515FE0" w:rsidP="006F34CD" w:rsidRDefault="00515FE0" w14:paraId="42FC0F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Sosnoviy Bor</w:t>
            </w:r>
          </w:p>
        </w:tc>
        <w:tc>
          <w:tcPr>
            <w:tcW w:w="1134" w:type="dxa"/>
          </w:tcPr>
          <w:p w:rsidRPr="006F34CD" w:rsidR="00515FE0" w:rsidP="006F34CD" w:rsidRDefault="00515FE0" w14:paraId="5AEAAF1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4BAAD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E50D3D" w14:textId="77777777">
            <w:pPr>
              <w:spacing w:before="120" w:after="120"/>
              <w:jc w:val="center"/>
              <w:rPr>
                <w:rFonts w:ascii="Times New Roman" w:hAnsi="Times New Roman" w:cs="Times New Roman"/>
                <w:sz w:val="18"/>
                <w:szCs w:val="18"/>
              </w:rPr>
            </w:pPr>
          </w:p>
        </w:tc>
      </w:tr>
      <w:tr w:rsidRPr="006F34CD" w:rsidR="00515FE0" w:rsidTr="00EF028C" w14:paraId="783E5CB3" w14:textId="77777777">
        <w:trPr>
          <w:cantSplit/>
        </w:trPr>
        <w:tc>
          <w:tcPr>
            <w:tcW w:w="2249" w:type="dxa"/>
          </w:tcPr>
          <w:p w:rsidRPr="006F34CD" w:rsidR="00515FE0" w:rsidP="006F34CD" w:rsidRDefault="00515FE0" w14:paraId="42E189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Borisovich KHOTOV</w:t>
            </w:r>
          </w:p>
        </w:tc>
        <w:tc>
          <w:tcPr>
            <w:tcW w:w="836" w:type="dxa"/>
          </w:tcPr>
          <w:p w:rsidRPr="006F34CD" w:rsidR="00515FE0" w:rsidP="006F34CD" w:rsidRDefault="00515FE0" w14:paraId="616CFF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2D91EE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Rostov-on-Don</w:t>
            </w:r>
          </w:p>
        </w:tc>
        <w:tc>
          <w:tcPr>
            <w:tcW w:w="1134" w:type="dxa"/>
          </w:tcPr>
          <w:p w:rsidRPr="006F34CD" w:rsidR="00515FE0" w:rsidP="006F34CD" w:rsidRDefault="00515FE0" w14:paraId="52869F8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A3042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E39E58" w14:textId="77777777">
            <w:pPr>
              <w:spacing w:before="120" w:after="120"/>
              <w:jc w:val="center"/>
              <w:rPr>
                <w:rFonts w:ascii="Times New Roman" w:hAnsi="Times New Roman" w:cs="Times New Roman"/>
                <w:sz w:val="18"/>
                <w:szCs w:val="18"/>
              </w:rPr>
            </w:pPr>
          </w:p>
        </w:tc>
      </w:tr>
      <w:tr w:rsidRPr="006F34CD" w:rsidR="00515FE0" w:rsidTr="00EF028C" w14:paraId="1471DE63" w14:textId="77777777">
        <w:trPr>
          <w:cantSplit/>
        </w:trPr>
        <w:tc>
          <w:tcPr>
            <w:tcW w:w="2249" w:type="dxa"/>
          </w:tcPr>
          <w:p w:rsidRPr="006F34CD" w:rsidR="00515FE0" w:rsidP="006F34CD" w:rsidRDefault="00515FE0" w14:paraId="0B772A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Valeriy Romanovich KHUDONOGOV</w:t>
            </w:r>
          </w:p>
        </w:tc>
        <w:tc>
          <w:tcPr>
            <w:tcW w:w="836" w:type="dxa"/>
          </w:tcPr>
          <w:p w:rsidRPr="006F34CD" w:rsidR="00515FE0" w:rsidP="006F34CD" w:rsidRDefault="00515FE0" w14:paraId="75B3AF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095B1E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Nizhneudinsk</w:t>
            </w:r>
          </w:p>
        </w:tc>
        <w:tc>
          <w:tcPr>
            <w:tcW w:w="1134" w:type="dxa"/>
          </w:tcPr>
          <w:p w:rsidRPr="006F34CD" w:rsidR="00515FE0" w:rsidP="006F34CD" w:rsidRDefault="00515FE0" w14:paraId="07B9C2A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6CE67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D16739" w14:textId="77777777">
            <w:pPr>
              <w:spacing w:before="120" w:after="120"/>
              <w:jc w:val="center"/>
              <w:rPr>
                <w:rFonts w:ascii="Times New Roman" w:hAnsi="Times New Roman" w:cs="Times New Roman"/>
                <w:sz w:val="18"/>
                <w:szCs w:val="18"/>
              </w:rPr>
            </w:pPr>
          </w:p>
        </w:tc>
      </w:tr>
      <w:tr w:rsidRPr="006F34CD" w:rsidR="00515FE0" w:rsidTr="00EF028C" w14:paraId="6186E6D2" w14:textId="77777777">
        <w:trPr>
          <w:cantSplit/>
        </w:trPr>
        <w:tc>
          <w:tcPr>
            <w:tcW w:w="2249" w:type="dxa"/>
          </w:tcPr>
          <w:p w:rsidRPr="006F34CD" w:rsidR="00515FE0" w:rsidP="006F34CD" w:rsidRDefault="00515FE0" w14:paraId="6F6D25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Aleksandrovich KIM</w:t>
            </w:r>
          </w:p>
        </w:tc>
        <w:tc>
          <w:tcPr>
            <w:tcW w:w="836" w:type="dxa"/>
          </w:tcPr>
          <w:p w:rsidRPr="006F34CD" w:rsidR="00515FE0" w:rsidP="006F34CD" w:rsidRDefault="00515FE0" w14:paraId="4957A4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423C1B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Nikolsk</w:t>
            </w:r>
          </w:p>
        </w:tc>
        <w:tc>
          <w:tcPr>
            <w:tcW w:w="1134" w:type="dxa"/>
          </w:tcPr>
          <w:p w:rsidRPr="006F34CD" w:rsidR="00515FE0" w:rsidP="006F34CD" w:rsidRDefault="00515FE0" w14:paraId="16F2F7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0480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C0EE69" w14:textId="77777777">
            <w:pPr>
              <w:spacing w:before="120" w:after="120"/>
              <w:jc w:val="center"/>
              <w:rPr>
                <w:rFonts w:ascii="Times New Roman" w:hAnsi="Times New Roman" w:cs="Times New Roman"/>
                <w:sz w:val="18"/>
                <w:szCs w:val="18"/>
              </w:rPr>
            </w:pPr>
          </w:p>
        </w:tc>
      </w:tr>
      <w:tr w:rsidRPr="006F34CD" w:rsidR="00515FE0" w:rsidTr="00EF028C" w14:paraId="66F5DA15" w14:textId="77777777">
        <w:trPr>
          <w:cantSplit/>
        </w:trPr>
        <w:tc>
          <w:tcPr>
            <w:tcW w:w="2249" w:type="dxa"/>
          </w:tcPr>
          <w:p w:rsidRPr="006F34CD" w:rsidR="00515FE0" w:rsidP="006F34CD" w:rsidRDefault="00515FE0" w14:paraId="0F51EB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Vitaliyevich KIRSHIN</w:t>
            </w:r>
          </w:p>
        </w:tc>
        <w:tc>
          <w:tcPr>
            <w:tcW w:w="836" w:type="dxa"/>
          </w:tcPr>
          <w:p w:rsidRPr="006F34CD" w:rsidR="00515FE0" w:rsidP="006F34CD" w:rsidRDefault="00515FE0" w14:paraId="54BF22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4391FEC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Dubna</w:t>
            </w:r>
          </w:p>
        </w:tc>
        <w:tc>
          <w:tcPr>
            <w:tcW w:w="1134" w:type="dxa"/>
          </w:tcPr>
          <w:p w:rsidRPr="006F34CD" w:rsidR="00515FE0" w:rsidP="006F34CD" w:rsidRDefault="00515FE0" w14:paraId="52E869C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2F65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5556F5" w14:textId="77777777">
            <w:pPr>
              <w:spacing w:before="120" w:after="120"/>
              <w:jc w:val="center"/>
              <w:rPr>
                <w:rFonts w:ascii="Times New Roman" w:hAnsi="Times New Roman" w:cs="Times New Roman"/>
                <w:sz w:val="18"/>
                <w:szCs w:val="18"/>
              </w:rPr>
            </w:pPr>
          </w:p>
        </w:tc>
      </w:tr>
      <w:tr w:rsidRPr="006F34CD" w:rsidR="00515FE0" w:rsidTr="00EF028C" w14:paraId="7B49C243" w14:textId="77777777">
        <w:trPr>
          <w:cantSplit/>
        </w:trPr>
        <w:tc>
          <w:tcPr>
            <w:tcW w:w="2249" w:type="dxa"/>
          </w:tcPr>
          <w:p w:rsidRPr="006F34CD" w:rsidR="00515FE0" w:rsidP="006F34CD" w:rsidRDefault="00515FE0" w14:paraId="00BC32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Sergeyevich KLETKIN</w:t>
            </w:r>
          </w:p>
        </w:tc>
        <w:tc>
          <w:tcPr>
            <w:tcW w:w="836" w:type="dxa"/>
          </w:tcPr>
          <w:p w:rsidRPr="006F34CD" w:rsidR="00515FE0" w:rsidP="006F34CD" w:rsidRDefault="00515FE0" w14:paraId="4EF378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6D52043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Nikolayevsk-on-Amur</w:t>
            </w:r>
          </w:p>
        </w:tc>
        <w:tc>
          <w:tcPr>
            <w:tcW w:w="1134" w:type="dxa"/>
          </w:tcPr>
          <w:p w:rsidRPr="006F34CD" w:rsidR="00515FE0" w:rsidP="006F34CD" w:rsidRDefault="00515FE0" w14:paraId="7E7951D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4613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5F5B99" w14:textId="77777777">
            <w:pPr>
              <w:spacing w:before="120" w:after="120"/>
              <w:jc w:val="center"/>
              <w:rPr>
                <w:rFonts w:ascii="Times New Roman" w:hAnsi="Times New Roman" w:cs="Times New Roman"/>
                <w:sz w:val="18"/>
                <w:szCs w:val="18"/>
              </w:rPr>
            </w:pPr>
          </w:p>
        </w:tc>
      </w:tr>
      <w:tr w:rsidRPr="006F34CD" w:rsidR="00515FE0" w:rsidTr="00EF028C" w14:paraId="2B17A6DC" w14:textId="77777777">
        <w:trPr>
          <w:cantSplit/>
        </w:trPr>
        <w:tc>
          <w:tcPr>
            <w:tcW w:w="2249" w:type="dxa"/>
          </w:tcPr>
          <w:p w:rsidRPr="006F34CD" w:rsidR="00515FE0" w:rsidP="006F34CD" w:rsidRDefault="00515FE0" w14:paraId="57AE81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Nikolayevich KLEVTSOV</w:t>
            </w:r>
          </w:p>
        </w:tc>
        <w:tc>
          <w:tcPr>
            <w:tcW w:w="836" w:type="dxa"/>
          </w:tcPr>
          <w:p w:rsidRPr="006F34CD" w:rsidR="00515FE0" w:rsidP="006F34CD" w:rsidRDefault="00515FE0" w14:paraId="5CB25F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41F965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Apatity</w:t>
            </w:r>
          </w:p>
        </w:tc>
        <w:tc>
          <w:tcPr>
            <w:tcW w:w="1134" w:type="dxa"/>
          </w:tcPr>
          <w:p w:rsidRPr="006F34CD" w:rsidR="00515FE0" w:rsidP="006F34CD" w:rsidRDefault="00515FE0" w14:paraId="17A5EC8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6EC95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2FA69C" w14:textId="77777777">
            <w:pPr>
              <w:spacing w:before="120" w:after="120"/>
              <w:jc w:val="center"/>
              <w:rPr>
                <w:rFonts w:ascii="Times New Roman" w:hAnsi="Times New Roman" w:cs="Times New Roman"/>
                <w:sz w:val="18"/>
                <w:szCs w:val="18"/>
              </w:rPr>
            </w:pPr>
          </w:p>
        </w:tc>
      </w:tr>
      <w:tr w:rsidRPr="006F34CD" w:rsidR="00515FE0" w:rsidTr="00EF028C" w14:paraId="224B5F03" w14:textId="77777777">
        <w:trPr>
          <w:cantSplit/>
        </w:trPr>
        <w:tc>
          <w:tcPr>
            <w:tcW w:w="2249" w:type="dxa"/>
          </w:tcPr>
          <w:p w:rsidRPr="006F34CD" w:rsidR="00515FE0" w:rsidP="006F34CD" w:rsidRDefault="00515FE0" w14:paraId="456906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Vakhtangovich KLIMOV</w:t>
            </w:r>
          </w:p>
        </w:tc>
        <w:tc>
          <w:tcPr>
            <w:tcW w:w="836" w:type="dxa"/>
          </w:tcPr>
          <w:p w:rsidRPr="006F34CD" w:rsidR="00515FE0" w:rsidP="006F34CD" w:rsidRDefault="00515FE0" w14:paraId="6939F8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6FFD20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Volzhskiy</w:t>
            </w:r>
          </w:p>
        </w:tc>
        <w:tc>
          <w:tcPr>
            <w:tcW w:w="1134" w:type="dxa"/>
          </w:tcPr>
          <w:p w:rsidRPr="006F34CD" w:rsidR="00515FE0" w:rsidP="006F34CD" w:rsidRDefault="00515FE0" w14:paraId="5CCC2F1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37636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ECCB99" w14:textId="77777777">
            <w:pPr>
              <w:spacing w:before="120" w:after="120"/>
              <w:jc w:val="center"/>
              <w:rPr>
                <w:rFonts w:ascii="Times New Roman" w:hAnsi="Times New Roman" w:cs="Times New Roman"/>
                <w:sz w:val="18"/>
                <w:szCs w:val="18"/>
              </w:rPr>
            </w:pPr>
          </w:p>
        </w:tc>
      </w:tr>
      <w:tr w:rsidRPr="006F34CD" w:rsidR="00515FE0" w:rsidTr="00EF028C" w14:paraId="40683AB7" w14:textId="77777777">
        <w:trPr>
          <w:cantSplit/>
        </w:trPr>
        <w:tc>
          <w:tcPr>
            <w:tcW w:w="2249" w:type="dxa"/>
          </w:tcPr>
          <w:p w:rsidRPr="006F34CD" w:rsidR="00515FE0" w:rsidP="006F34CD" w:rsidRDefault="00515FE0" w14:paraId="4088B2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Stanislav Yevgenyevich KLYUCHNIKOV</w:t>
            </w:r>
          </w:p>
        </w:tc>
        <w:tc>
          <w:tcPr>
            <w:tcW w:w="836" w:type="dxa"/>
          </w:tcPr>
          <w:p w:rsidRPr="006F34CD" w:rsidR="00515FE0" w:rsidP="006F34CD" w:rsidRDefault="00515FE0" w14:paraId="574541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16E271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Nizhnekamsk</w:t>
            </w:r>
          </w:p>
        </w:tc>
        <w:tc>
          <w:tcPr>
            <w:tcW w:w="1134" w:type="dxa"/>
          </w:tcPr>
          <w:p w:rsidRPr="006F34CD" w:rsidR="00515FE0" w:rsidP="006F34CD" w:rsidRDefault="00515FE0" w14:paraId="0817FCC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493E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E4178C" w14:textId="77777777">
            <w:pPr>
              <w:spacing w:before="120" w:after="120"/>
              <w:jc w:val="center"/>
              <w:rPr>
                <w:rFonts w:ascii="Times New Roman" w:hAnsi="Times New Roman" w:cs="Times New Roman"/>
                <w:sz w:val="18"/>
                <w:szCs w:val="18"/>
              </w:rPr>
            </w:pPr>
          </w:p>
        </w:tc>
      </w:tr>
      <w:tr w:rsidRPr="006F34CD" w:rsidR="00515FE0" w:rsidTr="00EF028C" w14:paraId="67B49FC9" w14:textId="77777777">
        <w:trPr>
          <w:cantSplit/>
        </w:trPr>
        <w:tc>
          <w:tcPr>
            <w:tcW w:w="2249" w:type="dxa"/>
          </w:tcPr>
          <w:p w:rsidRPr="006F34CD" w:rsidR="00515FE0" w:rsidP="006F34CD" w:rsidRDefault="00515FE0" w14:paraId="79A144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Roman Grigoryevich KOBELYUK</w:t>
            </w:r>
          </w:p>
        </w:tc>
        <w:tc>
          <w:tcPr>
            <w:tcW w:w="836" w:type="dxa"/>
          </w:tcPr>
          <w:p w:rsidRPr="006F34CD" w:rsidR="00515FE0" w:rsidP="006F34CD" w:rsidRDefault="00515FE0" w14:paraId="3AD4F5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16D50F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Nevinnomyssk</w:t>
            </w:r>
          </w:p>
        </w:tc>
        <w:tc>
          <w:tcPr>
            <w:tcW w:w="1134" w:type="dxa"/>
          </w:tcPr>
          <w:p w:rsidRPr="006F34CD" w:rsidR="00515FE0" w:rsidP="006F34CD" w:rsidRDefault="00515FE0" w14:paraId="06CFF01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39FCF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AA776F" w14:textId="77777777">
            <w:pPr>
              <w:spacing w:before="120" w:after="120"/>
              <w:jc w:val="center"/>
              <w:rPr>
                <w:rFonts w:ascii="Times New Roman" w:hAnsi="Times New Roman" w:cs="Times New Roman"/>
                <w:sz w:val="18"/>
                <w:szCs w:val="18"/>
              </w:rPr>
            </w:pPr>
          </w:p>
        </w:tc>
      </w:tr>
      <w:tr w:rsidRPr="006F34CD" w:rsidR="00515FE0" w:rsidTr="00EF028C" w14:paraId="6274D3BC" w14:textId="77777777">
        <w:trPr>
          <w:cantSplit/>
        </w:trPr>
        <w:tc>
          <w:tcPr>
            <w:tcW w:w="2249" w:type="dxa"/>
          </w:tcPr>
          <w:p w:rsidRPr="006F34CD" w:rsidR="00515FE0" w:rsidP="006F34CD" w:rsidRDefault="00515FE0" w14:paraId="1762C0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Lyubov Ivanovna KOBELYUK</w:t>
            </w:r>
          </w:p>
        </w:tc>
        <w:tc>
          <w:tcPr>
            <w:tcW w:w="836" w:type="dxa"/>
          </w:tcPr>
          <w:p w:rsidRPr="006F34CD" w:rsidR="00515FE0" w:rsidP="006F34CD" w:rsidRDefault="00515FE0" w14:paraId="427750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7669E0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Nevinnomyssk</w:t>
            </w:r>
          </w:p>
        </w:tc>
        <w:tc>
          <w:tcPr>
            <w:tcW w:w="1134" w:type="dxa"/>
          </w:tcPr>
          <w:p w:rsidRPr="006F34CD" w:rsidR="00515FE0" w:rsidP="006F34CD" w:rsidRDefault="00515FE0" w14:paraId="56C942D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16D42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0D5BB07" w14:textId="77777777">
            <w:pPr>
              <w:spacing w:before="120" w:after="120"/>
              <w:jc w:val="center"/>
              <w:rPr>
                <w:rFonts w:ascii="Times New Roman" w:hAnsi="Times New Roman" w:cs="Times New Roman"/>
                <w:sz w:val="18"/>
                <w:szCs w:val="18"/>
              </w:rPr>
            </w:pPr>
          </w:p>
        </w:tc>
      </w:tr>
      <w:tr w:rsidRPr="006F34CD" w:rsidR="00515FE0" w:rsidTr="00EF028C" w14:paraId="04EB5F81" w14:textId="77777777">
        <w:trPr>
          <w:cantSplit/>
        </w:trPr>
        <w:tc>
          <w:tcPr>
            <w:tcW w:w="2249" w:type="dxa"/>
          </w:tcPr>
          <w:p w:rsidRPr="006F34CD" w:rsidR="00515FE0" w:rsidP="006F34CD" w:rsidRDefault="00515FE0" w14:paraId="36EBBC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Vladimirovich KOBZAR</w:t>
            </w:r>
          </w:p>
        </w:tc>
        <w:tc>
          <w:tcPr>
            <w:tcW w:w="836" w:type="dxa"/>
          </w:tcPr>
          <w:p w:rsidRPr="006F34CD" w:rsidR="00515FE0" w:rsidP="006F34CD" w:rsidRDefault="00515FE0" w14:paraId="0C9CCF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76D20E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Udachniy</w:t>
            </w:r>
          </w:p>
        </w:tc>
        <w:tc>
          <w:tcPr>
            <w:tcW w:w="1134" w:type="dxa"/>
          </w:tcPr>
          <w:p w:rsidRPr="006F34CD" w:rsidR="00515FE0" w:rsidP="006F34CD" w:rsidRDefault="00515FE0" w14:paraId="73829DD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EDFF1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5F37C5" w14:textId="77777777">
            <w:pPr>
              <w:spacing w:before="120" w:after="120"/>
              <w:jc w:val="center"/>
              <w:rPr>
                <w:rFonts w:ascii="Times New Roman" w:hAnsi="Times New Roman" w:cs="Times New Roman"/>
                <w:sz w:val="18"/>
                <w:szCs w:val="18"/>
              </w:rPr>
            </w:pPr>
          </w:p>
        </w:tc>
      </w:tr>
      <w:tr w:rsidRPr="006F34CD" w:rsidR="00515FE0" w:rsidTr="00EF028C" w14:paraId="2E4E9EB6" w14:textId="77777777">
        <w:trPr>
          <w:cantSplit/>
        </w:trPr>
        <w:tc>
          <w:tcPr>
            <w:tcW w:w="2249" w:type="dxa"/>
          </w:tcPr>
          <w:p w:rsidRPr="006F34CD" w:rsidR="00515FE0" w:rsidP="006F34CD" w:rsidRDefault="00515FE0" w14:paraId="54BB90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Yevgenyevich KOCHEDYKOV</w:t>
            </w:r>
          </w:p>
        </w:tc>
        <w:tc>
          <w:tcPr>
            <w:tcW w:w="836" w:type="dxa"/>
          </w:tcPr>
          <w:p w:rsidRPr="006F34CD" w:rsidR="00515FE0" w:rsidP="006F34CD" w:rsidRDefault="00515FE0" w14:paraId="3AA971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11648D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Vereya</w:t>
            </w:r>
          </w:p>
        </w:tc>
        <w:tc>
          <w:tcPr>
            <w:tcW w:w="1134" w:type="dxa"/>
          </w:tcPr>
          <w:p w:rsidRPr="006F34CD" w:rsidR="00515FE0" w:rsidP="006F34CD" w:rsidRDefault="00515FE0" w14:paraId="59922AB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7CCCE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CE66E7" w14:textId="77777777">
            <w:pPr>
              <w:spacing w:before="120" w:after="120"/>
              <w:jc w:val="center"/>
              <w:rPr>
                <w:rFonts w:ascii="Times New Roman" w:hAnsi="Times New Roman" w:cs="Times New Roman"/>
                <w:sz w:val="18"/>
                <w:szCs w:val="18"/>
              </w:rPr>
            </w:pPr>
          </w:p>
        </w:tc>
      </w:tr>
      <w:tr w:rsidRPr="006F34CD" w:rsidR="00515FE0" w:rsidTr="00EF028C" w14:paraId="780ED395" w14:textId="77777777">
        <w:trPr>
          <w:cantSplit/>
        </w:trPr>
        <w:tc>
          <w:tcPr>
            <w:tcW w:w="2249" w:type="dxa"/>
          </w:tcPr>
          <w:p w:rsidRPr="006F34CD" w:rsidR="00515FE0" w:rsidP="006F34CD" w:rsidRDefault="00515FE0" w14:paraId="192B6A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Artur Nikolayevich KOCHIYAN</w:t>
            </w:r>
          </w:p>
        </w:tc>
        <w:tc>
          <w:tcPr>
            <w:tcW w:w="836" w:type="dxa"/>
          </w:tcPr>
          <w:p w:rsidRPr="006F34CD" w:rsidR="00515FE0" w:rsidP="006F34CD" w:rsidRDefault="00515FE0" w14:paraId="319189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375FBB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Otradnaya</w:t>
            </w:r>
          </w:p>
        </w:tc>
        <w:tc>
          <w:tcPr>
            <w:tcW w:w="1134" w:type="dxa"/>
          </w:tcPr>
          <w:p w:rsidRPr="006F34CD" w:rsidR="00515FE0" w:rsidP="006F34CD" w:rsidRDefault="00515FE0" w14:paraId="6EB8B5F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29497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F3ABB4" w14:textId="77777777">
            <w:pPr>
              <w:spacing w:before="120" w:after="120"/>
              <w:jc w:val="center"/>
              <w:rPr>
                <w:rFonts w:ascii="Times New Roman" w:hAnsi="Times New Roman" w:cs="Times New Roman"/>
                <w:sz w:val="18"/>
                <w:szCs w:val="18"/>
              </w:rPr>
            </w:pPr>
          </w:p>
        </w:tc>
      </w:tr>
      <w:tr w:rsidRPr="006F34CD" w:rsidR="00515FE0" w:rsidTr="00EF028C" w14:paraId="4523A1ED" w14:textId="77777777">
        <w:trPr>
          <w:cantSplit/>
        </w:trPr>
        <w:tc>
          <w:tcPr>
            <w:tcW w:w="2249" w:type="dxa"/>
          </w:tcPr>
          <w:p w:rsidRPr="006F34CD" w:rsidR="00515FE0" w:rsidP="006F34CD" w:rsidRDefault="00515FE0" w14:paraId="6BD7E7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Ivanovich KOCHURA</w:t>
            </w:r>
          </w:p>
        </w:tc>
        <w:tc>
          <w:tcPr>
            <w:tcW w:w="836" w:type="dxa"/>
          </w:tcPr>
          <w:p w:rsidRPr="006F34CD" w:rsidR="00515FE0" w:rsidP="006F34CD" w:rsidRDefault="00515FE0" w14:paraId="54EC1E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016DCB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Ilskiy</w:t>
            </w:r>
          </w:p>
        </w:tc>
        <w:tc>
          <w:tcPr>
            <w:tcW w:w="1134" w:type="dxa"/>
          </w:tcPr>
          <w:p w:rsidRPr="006F34CD" w:rsidR="00515FE0" w:rsidP="006F34CD" w:rsidRDefault="00515FE0" w14:paraId="6C2F01B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615EF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85D405" w14:textId="77777777">
            <w:pPr>
              <w:spacing w:before="120" w:after="120"/>
              <w:jc w:val="center"/>
              <w:rPr>
                <w:rFonts w:ascii="Times New Roman" w:hAnsi="Times New Roman" w:cs="Times New Roman"/>
                <w:sz w:val="18"/>
                <w:szCs w:val="18"/>
              </w:rPr>
            </w:pPr>
          </w:p>
        </w:tc>
      </w:tr>
      <w:tr w:rsidRPr="006F34CD" w:rsidR="00515FE0" w:rsidTr="00EF028C" w14:paraId="6A84A320" w14:textId="77777777">
        <w:trPr>
          <w:cantSplit/>
        </w:trPr>
        <w:tc>
          <w:tcPr>
            <w:tcW w:w="2249" w:type="dxa"/>
          </w:tcPr>
          <w:p w:rsidRPr="006F34CD" w:rsidR="00515FE0" w:rsidP="006F34CD" w:rsidRDefault="00515FE0" w14:paraId="0307E0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Ivanovich KOLESNIKOV</w:t>
            </w:r>
          </w:p>
        </w:tc>
        <w:tc>
          <w:tcPr>
            <w:tcW w:w="836" w:type="dxa"/>
          </w:tcPr>
          <w:p w:rsidRPr="006F34CD" w:rsidR="00515FE0" w:rsidP="006F34CD" w:rsidRDefault="00515FE0" w14:paraId="6035F1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10806B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Gelendzhik</w:t>
            </w:r>
          </w:p>
        </w:tc>
        <w:tc>
          <w:tcPr>
            <w:tcW w:w="1134" w:type="dxa"/>
          </w:tcPr>
          <w:p w:rsidRPr="006F34CD" w:rsidR="00515FE0" w:rsidP="006F34CD" w:rsidRDefault="00515FE0" w14:paraId="29A6A7E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83A77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BDB2E4" w14:textId="77777777">
            <w:pPr>
              <w:spacing w:before="120" w:after="120"/>
              <w:jc w:val="center"/>
              <w:rPr>
                <w:rFonts w:ascii="Times New Roman" w:hAnsi="Times New Roman" w:cs="Times New Roman"/>
                <w:sz w:val="18"/>
                <w:szCs w:val="18"/>
              </w:rPr>
            </w:pPr>
          </w:p>
        </w:tc>
      </w:tr>
      <w:tr w:rsidRPr="006F34CD" w:rsidR="00515FE0" w:rsidTr="00EF028C" w14:paraId="206C17A6" w14:textId="77777777">
        <w:trPr>
          <w:cantSplit/>
        </w:trPr>
        <w:tc>
          <w:tcPr>
            <w:tcW w:w="2249" w:type="dxa"/>
          </w:tcPr>
          <w:p w:rsidRPr="006F34CD" w:rsidR="00515FE0" w:rsidP="006F34CD" w:rsidRDefault="00515FE0" w14:paraId="7D72FB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Samsonovich KOLESNIKOV</w:t>
            </w:r>
          </w:p>
        </w:tc>
        <w:tc>
          <w:tcPr>
            <w:tcW w:w="836" w:type="dxa"/>
          </w:tcPr>
          <w:p w:rsidRPr="006F34CD" w:rsidR="00515FE0" w:rsidP="006F34CD" w:rsidRDefault="00515FE0" w14:paraId="3F2F3C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1242FD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Saransk</w:t>
            </w:r>
          </w:p>
        </w:tc>
        <w:tc>
          <w:tcPr>
            <w:tcW w:w="1134" w:type="dxa"/>
          </w:tcPr>
          <w:p w:rsidRPr="006F34CD" w:rsidR="00515FE0" w:rsidP="006F34CD" w:rsidRDefault="00515FE0" w14:paraId="2F0F065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73679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5ABF5C" w14:textId="77777777">
            <w:pPr>
              <w:spacing w:before="120" w:after="120"/>
              <w:jc w:val="center"/>
              <w:rPr>
                <w:rFonts w:ascii="Times New Roman" w:hAnsi="Times New Roman" w:cs="Times New Roman"/>
                <w:sz w:val="18"/>
                <w:szCs w:val="18"/>
              </w:rPr>
            </w:pPr>
          </w:p>
        </w:tc>
      </w:tr>
      <w:tr w:rsidRPr="006F34CD" w:rsidR="00515FE0" w:rsidTr="00EF028C" w14:paraId="455D3BA2" w14:textId="77777777">
        <w:trPr>
          <w:cantSplit/>
        </w:trPr>
        <w:tc>
          <w:tcPr>
            <w:tcW w:w="2249" w:type="dxa"/>
          </w:tcPr>
          <w:p w:rsidRPr="006F34CD" w:rsidR="00515FE0" w:rsidP="006F34CD" w:rsidRDefault="00515FE0" w14:paraId="6DD3EC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Ivanovich KOLOMIYETS</w:t>
            </w:r>
          </w:p>
        </w:tc>
        <w:tc>
          <w:tcPr>
            <w:tcW w:w="836" w:type="dxa"/>
          </w:tcPr>
          <w:p w:rsidRPr="006F34CD" w:rsidR="00515FE0" w:rsidP="006F34CD" w:rsidRDefault="00515FE0" w14:paraId="7611E5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278F62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Kislyakovskaya</w:t>
            </w:r>
          </w:p>
        </w:tc>
        <w:tc>
          <w:tcPr>
            <w:tcW w:w="1134" w:type="dxa"/>
          </w:tcPr>
          <w:p w:rsidRPr="006F34CD" w:rsidR="00515FE0" w:rsidP="006F34CD" w:rsidRDefault="00515FE0" w14:paraId="42B06D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76E11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A5F2B7" w14:textId="77777777">
            <w:pPr>
              <w:spacing w:before="120" w:after="120"/>
              <w:jc w:val="center"/>
              <w:rPr>
                <w:rFonts w:ascii="Times New Roman" w:hAnsi="Times New Roman" w:cs="Times New Roman"/>
                <w:sz w:val="18"/>
                <w:szCs w:val="18"/>
              </w:rPr>
            </w:pPr>
          </w:p>
        </w:tc>
      </w:tr>
      <w:tr w:rsidRPr="006F34CD" w:rsidR="00515FE0" w:rsidTr="00EF028C" w14:paraId="5DBD7185" w14:textId="77777777">
        <w:trPr>
          <w:cantSplit/>
        </w:trPr>
        <w:tc>
          <w:tcPr>
            <w:tcW w:w="2249" w:type="dxa"/>
          </w:tcPr>
          <w:p w:rsidRPr="006F34CD" w:rsidR="00515FE0" w:rsidP="006F34CD" w:rsidRDefault="00515FE0" w14:paraId="24C597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Vladimirovich KOMPANEYETS</w:t>
            </w:r>
          </w:p>
        </w:tc>
        <w:tc>
          <w:tcPr>
            <w:tcW w:w="836" w:type="dxa"/>
          </w:tcPr>
          <w:p w:rsidRPr="006F34CD" w:rsidR="00515FE0" w:rsidP="006F34CD" w:rsidRDefault="00515FE0" w14:paraId="4B627C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1C588B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Tashtagol</w:t>
            </w:r>
          </w:p>
        </w:tc>
        <w:tc>
          <w:tcPr>
            <w:tcW w:w="1134" w:type="dxa"/>
          </w:tcPr>
          <w:p w:rsidRPr="006F34CD" w:rsidR="00515FE0" w:rsidP="006F34CD" w:rsidRDefault="00515FE0" w14:paraId="0BF8C85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2B5FC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06B794" w14:textId="77777777">
            <w:pPr>
              <w:spacing w:before="120" w:after="120"/>
              <w:jc w:val="center"/>
              <w:rPr>
                <w:rFonts w:ascii="Times New Roman" w:hAnsi="Times New Roman" w:cs="Times New Roman"/>
                <w:sz w:val="18"/>
                <w:szCs w:val="18"/>
              </w:rPr>
            </w:pPr>
          </w:p>
        </w:tc>
      </w:tr>
      <w:tr w:rsidRPr="006F34CD" w:rsidR="00515FE0" w:rsidTr="00EF028C" w14:paraId="4C53B6BA" w14:textId="77777777">
        <w:trPr>
          <w:cantSplit/>
        </w:trPr>
        <w:tc>
          <w:tcPr>
            <w:tcW w:w="2249" w:type="dxa"/>
          </w:tcPr>
          <w:p w:rsidRPr="006F34CD" w:rsidR="00515FE0" w:rsidP="006F34CD" w:rsidRDefault="00515FE0" w14:paraId="47B8E3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Yuryevich KONAKOV</w:t>
            </w:r>
          </w:p>
        </w:tc>
        <w:tc>
          <w:tcPr>
            <w:tcW w:w="836" w:type="dxa"/>
          </w:tcPr>
          <w:p w:rsidRPr="006F34CD" w:rsidR="00515FE0" w:rsidP="006F34CD" w:rsidRDefault="00515FE0" w14:paraId="1AFB38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32B372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Mytishchi</w:t>
            </w:r>
          </w:p>
        </w:tc>
        <w:tc>
          <w:tcPr>
            <w:tcW w:w="1134" w:type="dxa"/>
          </w:tcPr>
          <w:p w:rsidRPr="006F34CD" w:rsidR="00515FE0" w:rsidP="006F34CD" w:rsidRDefault="00515FE0" w14:paraId="29387C1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6FE1BD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7E962B" w14:textId="77777777">
            <w:pPr>
              <w:spacing w:before="120" w:after="120"/>
              <w:jc w:val="center"/>
              <w:rPr>
                <w:rFonts w:ascii="Times New Roman" w:hAnsi="Times New Roman" w:cs="Times New Roman"/>
                <w:sz w:val="18"/>
                <w:szCs w:val="18"/>
              </w:rPr>
            </w:pPr>
          </w:p>
        </w:tc>
      </w:tr>
      <w:tr w:rsidRPr="006F34CD" w:rsidR="00515FE0" w:rsidTr="00EF028C" w14:paraId="4BAC3F4F" w14:textId="77777777">
        <w:trPr>
          <w:cantSplit/>
        </w:trPr>
        <w:tc>
          <w:tcPr>
            <w:tcW w:w="2249" w:type="dxa"/>
          </w:tcPr>
          <w:p w:rsidRPr="006F34CD" w:rsidR="00515FE0" w:rsidP="006F34CD" w:rsidRDefault="00515FE0" w14:paraId="4295E5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Ivanovich KONOVALOV</w:t>
            </w:r>
          </w:p>
        </w:tc>
        <w:tc>
          <w:tcPr>
            <w:tcW w:w="836" w:type="dxa"/>
          </w:tcPr>
          <w:p w:rsidRPr="006F34CD" w:rsidR="00515FE0" w:rsidP="006F34CD" w:rsidRDefault="00515FE0" w14:paraId="0BA06F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24F008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 Turoverovo-Glubokinskiy</w:t>
            </w:r>
          </w:p>
        </w:tc>
        <w:tc>
          <w:tcPr>
            <w:tcW w:w="1134" w:type="dxa"/>
          </w:tcPr>
          <w:p w:rsidRPr="006F34CD" w:rsidR="00515FE0" w:rsidP="006F34CD" w:rsidRDefault="00515FE0" w14:paraId="2777EF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36C8A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BBEE28" w14:textId="77777777">
            <w:pPr>
              <w:spacing w:before="120" w:after="120"/>
              <w:jc w:val="center"/>
              <w:rPr>
                <w:rFonts w:ascii="Times New Roman" w:hAnsi="Times New Roman" w:cs="Times New Roman"/>
                <w:sz w:val="18"/>
                <w:szCs w:val="18"/>
              </w:rPr>
            </w:pPr>
          </w:p>
        </w:tc>
      </w:tr>
      <w:tr w:rsidRPr="006F34CD" w:rsidR="00515FE0" w:rsidTr="00EF028C" w14:paraId="327326A8" w14:textId="77777777">
        <w:trPr>
          <w:cantSplit/>
        </w:trPr>
        <w:tc>
          <w:tcPr>
            <w:tcW w:w="2249" w:type="dxa"/>
          </w:tcPr>
          <w:p w:rsidRPr="006F34CD" w:rsidR="00515FE0" w:rsidP="006F34CD" w:rsidRDefault="00515FE0" w14:paraId="2A059E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Konstantin Petrovich KOPACH</w:t>
            </w:r>
          </w:p>
        </w:tc>
        <w:tc>
          <w:tcPr>
            <w:tcW w:w="836" w:type="dxa"/>
          </w:tcPr>
          <w:p w:rsidRPr="006F34CD" w:rsidR="00515FE0" w:rsidP="006F34CD" w:rsidRDefault="00515FE0" w14:paraId="349214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632702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Kalinovka</w:t>
            </w:r>
          </w:p>
        </w:tc>
        <w:tc>
          <w:tcPr>
            <w:tcW w:w="1134" w:type="dxa"/>
          </w:tcPr>
          <w:p w:rsidRPr="006F34CD" w:rsidR="00515FE0" w:rsidP="006F34CD" w:rsidRDefault="00515FE0" w14:paraId="6A9F6A1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B5BEC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64007A" w14:textId="77777777">
            <w:pPr>
              <w:spacing w:before="120" w:after="120"/>
              <w:jc w:val="center"/>
              <w:rPr>
                <w:rFonts w:ascii="Times New Roman" w:hAnsi="Times New Roman" w:cs="Times New Roman"/>
                <w:sz w:val="18"/>
                <w:szCs w:val="18"/>
              </w:rPr>
            </w:pPr>
          </w:p>
        </w:tc>
      </w:tr>
      <w:tr w:rsidRPr="006F34CD" w:rsidR="00515FE0" w:rsidTr="00EF028C" w14:paraId="518000C9" w14:textId="77777777">
        <w:trPr>
          <w:cantSplit/>
        </w:trPr>
        <w:tc>
          <w:tcPr>
            <w:tcW w:w="2249" w:type="dxa"/>
          </w:tcPr>
          <w:p w:rsidRPr="006F34CD" w:rsidR="00515FE0" w:rsidP="006F34CD" w:rsidRDefault="00515FE0" w14:paraId="069ED4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Eduardovich KOPYTIN</w:t>
            </w:r>
          </w:p>
        </w:tc>
        <w:tc>
          <w:tcPr>
            <w:tcW w:w="836" w:type="dxa"/>
          </w:tcPr>
          <w:p w:rsidRPr="006F34CD" w:rsidR="00515FE0" w:rsidP="006F34CD" w:rsidRDefault="00515FE0" w14:paraId="164241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06E003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Biysk</w:t>
            </w:r>
          </w:p>
        </w:tc>
        <w:tc>
          <w:tcPr>
            <w:tcW w:w="1134" w:type="dxa"/>
          </w:tcPr>
          <w:p w:rsidRPr="006F34CD" w:rsidR="00515FE0" w:rsidP="006F34CD" w:rsidRDefault="00515FE0" w14:paraId="5B001A5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FF16C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E1AB434" w14:textId="77777777">
            <w:pPr>
              <w:spacing w:before="120" w:after="120"/>
              <w:jc w:val="center"/>
              <w:rPr>
                <w:rFonts w:ascii="Times New Roman" w:hAnsi="Times New Roman" w:cs="Times New Roman"/>
                <w:sz w:val="18"/>
                <w:szCs w:val="18"/>
              </w:rPr>
            </w:pPr>
          </w:p>
        </w:tc>
      </w:tr>
      <w:tr w:rsidRPr="006F34CD" w:rsidR="00515FE0" w:rsidTr="00EF028C" w14:paraId="4824FFE6" w14:textId="77777777">
        <w:trPr>
          <w:cantSplit/>
        </w:trPr>
        <w:tc>
          <w:tcPr>
            <w:tcW w:w="2249" w:type="dxa"/>
          </w:tcPr>
          <w:p w:rsidRPr="006F34CD" w:rsidR="00515FE0" w:rsidP="006F34CD" w:rsidRDefault="00515FE0" w14:paraId="36AB0D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Stanislavovich KOROLCHUK</w:t>
            </w:r>
          </w:p>
        </w:tc>
        <w:tc>
          <w:tcPr>
            <w:tcW w:w="836" w:type="dxa"/>
          </w:tcPr>
          <w:p w:rsidRPr="006F34CD" w:rsidR="00515FE0" w:rsidP="006F34CD" w:rsidRDefault="00515FE0" w14:paraId="5B2A9E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0D0749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Ussuriysk</w:t>
            </w:r>
          </w:p>
        </w:tc>
        <w:tc>
          <w:tcPr>
            <w:tcW w:w="1134" w:type="dxa"/>
          </w:tcPr>
          <w:p w:rsidRPr="006F34CD" w:rsidR="00515FE0" w:rsidP="006F34CD" w:rsidRDefault="00515FE0" w14:paraId="6BA57F4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0FAA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EFB4223" w14:textId="77777777">
            <w:pPr>
              <w:spacing w:before="120" w:after="120"/>
              <w:jc w:val="center"/>
              <w:rPr>
                <w:rFonts w:ascii="Times New Roman" w:hAnsi="Times New Roman" w:cs="Times New Roman"/>
                <w:sz w:val="18"/>
                <w:szCs w:val="18"/>
              </w:rPr>
            </w:pPr>
          </w:p>
        </w:tc>
      </w:tr>
      <w:tr w:rsidRPr="006F34CD" w:rsidR="00515FE0" w:rsidTr="00EF028C" w14:paraId="150226FC" w14:textId="77777777">
        <w:trPr>
          <w:cantSplit/>
        </w:trPr>
        <w:tc>
          <w:tcPr>
            <w:tcW w:w="2249" w:type="dxa"/>
          </w:tcPr>
          <w:p w:rsidRPr="006F34CD" w:rsidR="00515FE0" w:rsidP="006F34CD" w:rsidRDefault="00515FE0" w14:paraId="4E79E3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Anatolyevich KOROTENKO</w:t>
            </w:r>
          </w:p>
        </w:tc>
        <w:tc>
          <w:tcPr>
            <w:tcW w:w="836" w:type="dxa"/>
          </w:tcPr>
          <w:p w:rsidRPr="006F34CD" w:rsidR="00515FE0" w:rsidP="006F34CD" w:rsidRDefault="00515FE0" w14:paraId="3517F59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733585E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Zheleznogorsk</w:t>
            </w:r>
          </w:p>
        </w:tc>
        <w:tc>
          <w:tcPr>
            <w:tcW w:w="1134" w:type="dxa"/>
          </w:tcPr>
          <w:p w:rsidRPr="006F34CD" w:rsidR="00515FE0" w:rsidP="006F34CD" w:rsidRDefault="00515FE0" w14:paraId="675E1BB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5B56E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B221164" w14:textId="77777777">
            <w:pPr>
              <w:spacing w:before="120" w:after="120"/>
              <w:jc w:val="center"/>
              <w:rPr>
                <w:rFonts w:ascii="Times New Roman" w:hAnsi="Times New Roman" w:cs="Times New Roman"/>
                <w:sz w:val="18"/>
                <w:szCs w:val="18"/>
              </w:rPr>
            </w:pPr>
          </w:p>
        </w:tc>
      </w:tr>
      <w:tr w:rsidRPr="006F34CD" w:rsidR="00515FE0" w:rsidTr="00EF028C" w14:paraId="50406646" w14:textId="77777777">
        <w:trPr>
          <w:cantSplit/>
        </w:trPr>
        <w:tc>
          <w:tcPr>
            <w:tcW w:w="2249" w:type="dxa"/>
          </w:tcPr>
          <w:p w:rsidRPr="006F34CD" w:rsidR="00515FE0" w:rsidP="006F34CD" w:rsidRDefault="00515FE0" w14:paraId="0E9E5C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Vasilyevich KOVALEV</w:t>
            </w:r>
          </w:p>
        </w:tc>
        <w:tc>
          <w:tcPr>
            <w:tcW w:w="836" w:type="dxa"/>
          </w:tcPr>
          <w:p w:rsidRPr="006F34CD" w:rsidR="00515FE0" w:rsidP="006F34CD" w:rsidRDefault="00515FE0" w14:paraId="6C5160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08E60E4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Mikhaylovka</w:t>
            </w:r>
          </w:p>
        </w:tc>
        <w:tc>
          <w:tcPr>
            <w:tcW w:w="1134" w:type="dxa"/>
          </w:tcPr>
          <w:p w:rsidRPr="006F34CD" w:rsidR="00515FE0" w:rsidP="006F34CD" w:rsidRDefault="00515FE0" w14:paraId="7CBDA4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5B1C5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5ABE39" w14:textId="77777777">
            <w:pPr>
              <w:spacing w:before="120" w:after="120"/>
              <w:jc w:val="center"/>
              <w:rPr>
                <w:rFonts w:ascii="Times New Roman" w:hAnsi="Times New Roman" w:cs="Times New Roman"/>
                <w:sz w:val="18"/>
                <w:szCs w:val="18"/>
              </w:rPr>
            </w:pPr>
          </w:p>
        </w:tc>
      </w:tr>
      <w:tr w:rsidRPr="006F34CD" w:rsidR="00515FE0" w:rsidTr="00EF028C" w14:paraId="4B9C9E46" w14:textId="77777777">
        <w:trPr>
          <w:cantSplit/>
        </w:trPr>
        <w:tc>
          <w:tcPr>
            <w:tcW w:w="2249" w:type="dxa"/>
          </w:tcPr>
          <w:p w:rsidRPr="006F34CD" w:rsidR="00515FE0" w:rsidP="006F34CD" w:rsidRDefault="00515FE0" w14:paraId="51A075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Konstantin Aleksandrovich KOZLOV</w:t>
            </w:r>
          </w:p>
        </w:tc>
        <w:tc>
          <w:tcPr>
            <w:tcW w:w="836" w:type="dxa"/>
          </w:tcPr>
          <w:p w:rsidRPr="006F34CD" w:rsidR="00515FE0" w:rsidP="006F34CD" w:rsidRDefault="00515FE0" w14:paraId="13D7FD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6012D4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Prokopyevsk</w:t>
            </w:r>
          </w:p>
        </w:tc>
        <w:tc>
          <w:tcPr>
            <w:tcW w:w="1134" w:type="dxa"/>
          </w:tcPr>
          <w:p w:rsidRPr="006F34CD" w:rsidR="00515FE0" w:rsidP="006F34CD" w:rsidRDefault="00515FE0" w14:paraId="4D79AAF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A082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CC671D" w14:textId="77777777">
            <w:pPr>
              <w:spacing w:before="120" w:after="120"/>
              <w:jc w:val="center"/>
              <w:rPr>
                <w:rFonts w:ascii="Times New Roman" w:hAnsi="Times New Roman" w:cs="Times New Roman"/>
                <w:sz w:val="18"/>
                <w:szCs w:val="18"/>
              </w:rPr>
            </w:pPr>
          </w:p>
        </w:tc>
      </w:tr>
      <w:tr w:rsidRPr="006F34CD" w:rsidR="00515FE0" w:rsidTr="00EF028C" w14:paraId="7715D15B" w14:textId="77777777">
        <w:trPr>
          <w:cantSplit/>
        </w:trPr>
        <w:tc>
          <w:tcPr>
            <w:tcW w:w="2249" w:type="dxa"/>
          </w:tcPr>
          <w:p w:rsidRPr="006F34CD" w:rsidR="00515FE0" w:rsidP="006F34CD" w:rsidRDefault="00515FE0" w14:paraId="5270BB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Nikolayevich KOZLOV</w:t>
            </w:r>
          </w:p>
        </w:tc>
        <w:tc>
          <w:tcPr>
            <w:tcW w:w="836" w:type="dxa"/>
          </w:tcPr>
          <w:p w:rsidRPr="006F34CD" w:rsidR="00515FE0" w:rsidP="006F34CD" w:rsidRDefault="00515FE0" w14:paraId="49E8F3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08E310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Gubkin</w:t>
            </w:r>
          </w:p>
        </w:tc>
        <w:tc>
          <w:tcPr>
            <w:tcW w:w="1134" w:type="dxa"/>
          </w:tcPr>
          <w:p w:rsidRPr="006F34CD" w:rsidR="00515FE0" w:rsidP="006F34CD" w:rsidRDefault="00515FE0" w14:paraId="0A0C828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F749C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D56879" w14:textId="77777777">
            <w:pPr>
              <w:spacing w:before="120" w:after="120"/>
              <w:jc w:val="center"/>
              <w:rPr>
                <w:rFonts w:ascii="Times New Roman" w:hAnsi="Times New Roman" w:cs="Times New Roman"/>
                <w:sz w:val="18"/>
                <w:szCs w:val="18"/>
              </w:rPr>
            </w:pPr>
          </w:p>
        </w:tc>
      </w:tr>
      <w:tr w:rsidRPr="006F34CD" w:rsidR="00515FE0" w:rsidTr="00EF028C" w14:paraId="377FC16D" w14:textId="77777777">
        <w:trPr>
          <w:cantSplit/>
        </w:trPr>
        <w:tc>
          <w:tcPr>
            <w:tcW w:w="2249" w:type="dxa"/>
          </w:tcPr>
          <w:p w:rsidRPr="006F34CD" w:rsidR="00515FE0" w:rsidP="006F34CD" w:rsidRDefault="00515FE0" w14:paraId="1B0D83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Valeriy Viktorovich KOZLOV</w:t>
            </w:r>
          </w:p>
        </w:tc>
        <w:tc>
          <w:tcPr>
            <w:tcW w:w="836" w:type="dxa"/>
          </w:tcPr>
          <w:p w:rsidRPr="006F34CD" w:rsidR="00515FE0" w:rsidP="006F34CD" w:rsidRDefault="00515FE0" w14:paraId="7075C25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70AD03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Inta</w:t>
            </w:r>
          </w:p>
        </w:tc>
        <w:tc>
          <w:tcPr>
            <w:tcW w:w="1134" w:type="dxa"/>
          </w:tcPr>
          <w:p w:rsidRPr="006F34CD" w:rsidR="00515FE0" w:rsidP="006F34CD" w:rsidRDefault="00515FE0" w14:paraId="385EEC1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9366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E14E26" w14:textId="77777777">
            <w:pPr>
              <w:spacing w:before="120" w:after="120"/>
              <w:jc w:val="center"/>
              <w:rPr>
                <w:rFonts w:ascii="Times New Roman" w:hAnsi="Times New Roman" w:cs="Times New Roman"/>
                <w:sz w:val="18"/>
                <w:szCs w:val="18"/>
              </w:rPr>
            </w:pPr>
          </w:p>
        </w:tc>
      </w:tr>
      <w:tr w:rsidRPr="006F34CD" w:rsidR="00515FE0" w:rsidTr="00EF028C" w14:paraId="0AF2F239" w14:textId="77777777">
        <w:trPr>
          <w:cantSplit/>
        </w:trPr>
        <w:tc>
          <w:tcPr>
            <w:tcW w:w="2249" w:type="dxa"/>
          </w:tcPr>
          <w:p w:rsidRPr="006F34CD" w:rsidR="00515FE0" w:rsidP="006F34CD" w:rsidRDefault="00515FE0" w14:paraId="3B2C40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Stanislavovich KREKHOVETSKIY</w:t>
            </w:r>
          </w:p>
        </w:tc>
        <w:tc>
          <w:tcPr>
            <w:tcW w:w="836" w:type="dxa"/>
          </w:tcPr>
          <w:p w:rsidRPr="006F34CD" w:rsidR="00515FE0" w:rsidP="006F34CD" w:rsidRDefault="00515FE0" w14:paraId="2BA8AB7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00C5D4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Bratsk</w:t>
            </w:r>
          </w:p>
        </w:tc>
        <w:tc>
          <w:tcPr>
            <w:tcW w:w="1134" w:type="dxa"/>
          </w:tcPr>
          <w:p w:rsidRPr="006F34CD" w:rsidR="00515FE0" w:rsidP="006F34CD" w:rsidRDefault="00515FE0" w14:paraId="407B28B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D6A4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846A67" w14:textId="77777777">
            <w:pPr>
              <w:spacing w:before="120" w:after="120"/>
              <w:jc w:val="center"/>
              <w:rPr>
                <w:rFonts w:ascii="Times New Roman" w:hAnsi="Times New Roman" w:cs="Times New Roman"/>
                <w:sz w:val="18"/>
                <w:szCs w:val="18"/>
              </w:rPr>
            </w:pPr>
          </w:p>
        </w:tc>
      </w:tr>
      <w:tr w:rsidRPr="006F34CD" w:rsidR="00515FE0" w:rsidTr="00EF028C" w14:paraId="528317DC" w14:textId="77777777">
        <w:trPr>
          <w:cantSplit/>
        </w:trPr>
        <w:tc>
          <w:tcPr>
            <w:tcW w:w="2249" w:type="dxa"/>
          </w:tcPr>
          <w:p w:rsidRPr="006F34CD" w:rsidR="00515FE0" w:rsidP="006F34CD" w:rsidRDefault="00515FE0" w14:paraId="254331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Pavlovich KREPS</w:t>
            </w:r>
          </w:p>
        </w:tc>
        <w:tc>
          <w:tcPr>
            <w:tcW w:w="836" w:type="dxa"/>
          </w:tcPr>
          <w:p w:rsidRPr="006F34CD" w:rsidR="00515FE0" w:rsidP="006F34CD" w:rsidRDefault="00515FE0" w14:paraId="1DCDD4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7C6617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Yasniy</w:t>
            </w:r>
          </w:p>
        </w:tc>
        <w:tc>
          <w:tcPr>
            <w:tcW w:w="1134" w:type="dxa"/>
          </w:tcPr>
          <w:p w:rsidRPr="006F34CD" w:rsidR="00515FE0" w:rsidP="006F34CD" w:rsidRDefault="00515FE0" w14:paraId="739595A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9B57D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8514FD" w14:textId="77777777">
            <w:pPr>
              <w:spacing w:before="120" w:after="120"/>
              <w:jc w:val="center"/>
              <w:rPr>
                <w:rFonts w:ascii="Times New Roman" w:hAnsi="Times New Roman" w:cs="Times New Roman"/>
                <w:sz w:val="18"/>
                <w:szCs w:val="18"/>
              </w:rPr>
            </w:pPr>
          </w:p>
        </w:tc>
      </w:tr>
      <w:tr w:rsidRPr="006F34CD" w:rsidR="00515FE0" w:rsidTr="00EF028C" w14:paraId="167D1435" w14:textId="77777777">
        <w:trPr>
          <w:cantSplit/>
        </w:trPr>
        <w:tc>
          <w:tcPr>
            <w:tcW w:w="2249" w:type="dxa"/>
          </w:tcPr>
          <w:p w:rsidRPr="006F34CD" w:rsidR="00515FE0" w:rsidP="006F34CD" w:rsidRDefault="00515FE0" w14:paraId="0A3726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Germanovich KRUMIN</w:t>
            </w:r>
          </w:p>
        </w:tc>
        <w:tc>
          <w:tcPr>
            <w:tcW w:w="836" w:type="dxa"/>
          </w:tcPr>
          <w:p w:rsidRPr="006F34CD" w:rsidR="00515FE0" w:rsidP="006F34CD" w:rsidRDefault="00515FE0" w14:paraId="00D710D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55AE91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Omsk</w:t>
            </w:r>
          </w:p>
        </w:tc>
        <w:tc>
          <w:tcPr>
            <w:tcW w:w="1134" w:type="dxa"/>
          </w:tcPr>
          <w:p w:rsidRPr="006F34CD" w:rsidR="00515FE0" w:rsidP="006F34CD" w:rsidRDefault="00515FE0" w14:paraId="2519633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FF0CD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9C7D3B" w14:textId="77777777">
            <w:pPr>
              <w:spacing w:before="120" w:after="120"/>
              <w:jc w:val="center"/>
              <w:rPr>
                <w:rFonts w:ascii="Times New Roman" w:hAnsi="Times New Roman" w:cs="Times New Roman"/>
                <w:sz w:val="18"/>
                <w:szCs w:val="18"/>
              </w:rPr>
            </w:pPr>
          </w:p>
        </w:tc>
      </w:tr>
      <w:tr w:rsidRPr="006F34CD" w:rsidR="00515FE0" w:rsidTr="00EF028C" w14:paraId="69A58894" w14:textId="77777777">
        <w:trPr>
          <w:cantSplit/>
        </w:trPr>
        <w:tc>
          <w:tcPr>
            <w:tcW w:w="2249" w:type="dxa"/>
          </w:tcPr>
          <w:p w:rsidRPr="006F34CD" w:rsidR="00515FE0" w:rsidP="006F34CD" w:rsidRDefault="00515FE0" w14:paraId="577CEB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Mikhaylovich KRUSHINSKIY</w:t>
            </w:r>
          </w:p>
        </w:tc>
        <w:tc>
          <w:tcPr>
            <w:tcW w:w="836" w:type="dxa"/>
          </w:tcPr>
          <w:p w:rsidRPr="006F34CD" w:rsidR="00515FE0" w:rsidP="006F34CD" w:rsidRDefault="00515FE0" w14:paraId="6E665A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67B20E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Anzhero-Sudzhensk</w:t>
            </w:r>
          </w:p>
        </w:tc>
        <w:tc>
          <w:tcPr>
            <w:tcW w:w="1134" w:type="dxa"/>
          </w:tcPr>
          <w:p w:rsidRPr="006F34CD" w:rsidR="00515FE0" w:rsidP="006F34CD" w:rsidRDefault="00515FE0" w14:paraId="34E4C70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B464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771675" w14:textId="77777777">
            <w:pPr>
              <w:spacing w:before="120" w:after="120"/>
              <w:jc w:val="center"/>
              <w:rPr>
                <w:rFonts w:ascii="Times New Roman" w:hAnsi="Times New Roman" w:cs="Times New Roman"/>
                <w:sz w:val="18"/>
                <w:szCs w:val="18"/>
              </w:rPr>
            </w:pPr>
          </w:p>
        </w:tc>
      </w:tr>
      <w:tr w:rsidRPr="006F34CD" w:rsidR="00515FE0" w:rsidTr="00EF028C" w14:paraId="451DF855" w14:textId="77777777">
        <w:trPr>
          <w:cantSplit/>
        </w:trPr>
        <w:tc>
          <w:tcPr>
            <w:tcW w:w="2249" w:type="dxa"/>
          </w:tcPr>
          <w:p w:rsidRPr="006F34CD" w:rsidR="00515FE0" w:rsidP="006F34CD" w:rsidRDefault="00515FE0" w14:paraId="0E757C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Vyacheslavovich KRUTOV</w:t>
            </w:r>
          </w:p>
        </w:tc>
        <w:tc>
          <w:tcPr>
            <w:tcW w:w="836" w:type="dxa"/>
          </w:tcPr>
          <w:p w:rsidRPr="006F34CD" w:rsidR="00515FE0" w:rsidP="006F34CD" w:rsidRDefault="00515FE0" w14:paraId="4C2A49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0D491A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Moscow</w:t>
            </w:r>
          </w:p>
        </w:tc>
        <w:tc>
          <w:tcPr>
            <w:tcW w:w="1134" w:type="dxa"/>
          </w:tcPr>
          <w:p w:rsidRPr="006F34CD" w:rsidR="00515FE0" w:rsidP="006F34CD" w:rsidRDefault="00515FE0" w14:paraId="487F23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891F3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8003C9" w14:textId="77777777">
            <w:pPr>
              <w:spacing w:before="120" w:after="120"/>
              <w:jc w:val="center"/>
              <w:rPr>
                <w:rFonts w:ascii="Times New Roman" w:hAnsi="Times New Roman" w:cs="Times New Roman"/>
                <w:sz w:val="18"/>
                <w:szCs w:val="18"/>
              </w:rPr>
            </w:pPr>
          </w:p>
        </w:tc>
      </w:tr>
      <w:tr w:rsidRPr="006F34CD" w:rsidR="00515FE0" w:rsidTr="00EF028C" w14:paraId="6884BCE5" w14:textId="77777777">
        <w:trPr>
          <w:cantSplit/>
        </w:trPr>
        <w:tc>
          <w:tcPr>
            <w:tcW w:w="2249" w:type="dxa"/>
          </w:tcPr>
          <w:p w:rsidRPr="006F34CD" w:rsidR="00515FE0" w:rsidP="006F34CD" w:rsidRDefault="00515FE0" w14:paraId="29CCA5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Aleksandrovich KRYLOV</w:t>
            </w:r>
          </w:p>
        </w:tc>
        <w:tc>
          <w:tcPr>
            <w:tcW w:w="836" w:type="dxa"/>
          </w:tcPr>
          <w:p w:rsidRPr="006F34CD" w:rsidR="00515FE0" w:rsidP="006F34CD" w:rsidRDefault="00515FE0" w14:paraId="2AEA8A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02E10B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Vichuga</w:t>
            </w:r>
          </w:p>
        </w:tc>
        <w:tc>
          <w:tcPr>
            <w:tcW w:w="1134" w:type="dxa"/>
          </w:tcPr>
          <w:p w:rsidRPr="006F34CD" w:rsidR="00515FE0" w:rsidP="006F34CD" w:rsidRDefault="00515FE0" w14:paraId="0E789B7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F0230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7DBB3B" w14:textId="77777777">
            <w:pPr>
              <w:spacing w:before="120" w:after="120"/>
              <w:jc w:val="center"/>
              <w:rPr>
                <w:rFonts w:ascii="Times New Roman" w:hAnsi="Times New Roman" w:cs="Times New Roman"/>
                <w:sz w:val="18"/>
                <w:szCs w:val="18"/>
              </w:rPr>
            </w:pPr>
          </w:p>
        </w:tc>
      </w:tr>
      <w:tr w:rsidRPr="006F34CD" w:rsidR="00515FE0" w:rsidTr="00EF028C" w14:paraId="2FC295CD" w14:textId="77777777">
        <w:trPr>
          <w:cantSplit/>
        </w:trPr>
        <w:tc>
          <w:tcPr>
            <w:tcW w:w="2249" w:type="dxa"/>
          </w:tcPr>
          <w:p w:rsidRPr="006F34CD" w:rsidR="00515FE0" w:rsidP="006F34CD" w:rsidRDefault="00515FE0" w14:paraId="474F7D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Viktorovich KUKLEV</w:t>
            </w:r>
          </w:p>
        </w:tc>
        <w:tc>
          <w:tcPr>
            <w:tcW w:w="836" w:type="dxa"/>
          </w:tcPr>
          <w:p w:rsidRPr="006F34CD" w:rsidR="00515FE0" w:rsidP="006F34CD" w:rsidRDefault="00515FE0" w14:paraId="4F98F3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39D324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Prokopyevsk</w:t>
            </w:r>
          </w:p>
        </w:tc>
        <w:tc>
          <w:tcPr>
            <w:tcW w:w="1134" w:type="dxa"/>
          </w:tcPr>
          <w:p w:rsidRPr="006F34CD" w:rsidR="00515FE0" w:rsidP="006F34CD" w:rsidRDefault="00515FE0" w14:paraId="7425010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A46B7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BA8D11" w14:textId="77777777">
            <w:pPr>
              <w:spacing w:before="120" w:after="120"/>
              <w:jc w:val="center"/>
              <w:rPr>
                <w:rFonts w:ascii="Times New Roman" w:hAnsi="Times New Roman" w:cs="Times New Roman"/>
                <w:sz w:val="18"/>
                <w:szCs w:val="18"/>
              </w:rPr>
            </w:pPr>
          </w:p>
        </w:tc>
      </w:tr>
      <w:tr w:rsidRPr="006F34CD" w:rsidR="00515FE0" w:rsidTr="00EF028C" w14:paraId="69743F10" w14:textId="77777777">
        <w:trPr>
          <w:cantSplit/>
        </w:trPr>
        <w:tc>
          <w:tcPr>
            <w:tcW w:w="2249" w:type="dxa"/>
          </w:tcPr>
          <w:p w:rsidRPr="006F34CD" w:rsidR="00515FE0" w:rsidP="006F34CD" w:rsidRDefault="00515FE0" w14:paraId="56F99E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Mikhaylovich KULIK</w:t>
            </w:r>
          </w:p>
        </w:tc>
        <w:tc>
          <w:tcPr>
            <w:tcW w:w="836" w:type="dxa"/>
          </w:tcPr>
          <w:p w:rsidRPr="006F34CD" w:rsidR="00515FE0" w:rsidP="006F34CD" w:rsidRDefault="00515FE0" w14:paraId="41307A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7BD6ED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Ipatovo</w:t>
            </w:r>
          </w:p>
        </w:tc>
        <w:tc>
          <w:tcPr>
            <w:tcW w:w="1134" w:type="dxa"/>
          </w:tcPr>
          <w:p w:rsidRPr="006F34CD" w:rsidR="00515FE0" w:rsidP="006F34CD" w:rsidRDefault="00515FE0" w14:paraId="7F6B429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E5F63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237CB7" w14:textId="77777777">
            <w:pPr>
              <w:spacing w:before="120" w:after="120"/>
              <w:jc w:val="center"/>
              <w:rPr>
                <w:rFonts w:ascii="Times New Roman" w:hAnsi="Times New Roman" w:cs="Times New Roman"/>
                <w:sz w:val="18"/>
                <w:szCs w:val="18"/>
              </w:rPr>
            </w:pPr>
          </w:p>
        </w:tc>
      </w:tr>
      <w:tr w:rsidRPr="006F34CD" w:rsidR="00515FE0" w:rsidTr="00EF028C" w14:paraId="5625AE65" w14:textId="77777777">
        <w:trPr>
          <w:cantSplit/>
        </w:trPr>
        <w:tc>
          <w:tcPr>
            <w:tcW w:w="2249" w:type="dxa"/>
          </w:tcPr>
          <w:p w:rsidRPr="006F34CD" w:rsidR="00515FE0" w:rsidP="006F34CD" w:rsidRDefault="00515FE0" w14:paraId="2BA426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Nikolayevich KULIKOV</w:t>
            </w:r>
          </w:p>
        </w:tc>
        <w:tc>
          <w:tcPr>
            <w:tcW w:w="836" w:type="dxa"/>
          </w:tcPr>
          <w:p w:rsidRPr="006F34CD" w:rsidR="00515FE0" w:rsidP="006F34CD" w:rsidRDefault="00515FE0" w14:paraId="536D6B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27BC63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Saratov</w:t>
            </w:r>
          </w:p>
        </w:tc>
        <w:tc>
          <w:tcPr>
            <w:tcW w:w="1134" w:type="dxa"/>
          </w:tcPr>
          <w:p w:rsidRPr="006F34CD" w:rsidR="00515FE0" w:rsidP="006F34CD" w:rsidRDefault="00515FE0" w14:paraId="01324BD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9337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D6CA90" w14:textId="77777777">
            <w:pPr>
              <w:spacing w:before="120" w:after="120"/>
              <w:jc w:val="center"/>
              <w:rPr>
                <w:rFonts w:ascii="Times New Roman" w:hAnsi="Times New Roman" w:cs="Times New Roman"/>
                <w:sz w:val="18"/>
                <w:szCs w:val="18"/>
              </w:rPr>
            </w:pPr>
          </w:p>
        </w:tc>
      </w:tr>
      <w:tr w:rsidRPr="006F34CD" w:rsidR="00515FE0" w:rsidTr="00EF028C" w14:paraId="24C4B35B" w14:textId="77777777">
        <w:trPr>
          <w:cantSplit/>
        </w:trPr>
        <w:tc>
          <w:tcPr>
            <w:tcW w:w="2249" w:type="dxa"/>
          </w:tcPr>
          <w:p w:rsidRPr="006F34CD" w:rsidR="00515FE0" w:rsidP="006F34CD" w:rsidRDefault="00515FE0" w14:paraId="7EA02D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Salavat Alfredovich KULMUKHAMETOV</w:t>
            </w:r>
          </w:p>
        </w:tc>
        <w:tc>
          <w:tcPr>
            <w:tcW w:w="836" w:type="dxa"/>
          </w:tcPr>
          <w:p w:rsidRPr="006F34CD" w:rsidR="00515FE0" w:rsidP="006F34CD" w:rsidRDefault="00515FE0" w14:paraId="61EF52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353A15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Zainsk</w:t>
            </w:r>
          </w:p>
        </w:tc>
        <w:tc>
          <w:tcPr>
            <w:tcW w:w="1134" w:type="dxa"/>
          </w:tcPr>
          <w:p w:rsidRPr="006F34CD" w:rsidR="00515FE0" w:rsidP="006F34CD" w:rsidRDefault="00515FE0" w14:paraId="10675E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9644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C5A7D6" w14:textId="77777777">
            <w:pPr>
              <w:spacing w:before="120" w:after="120"/>
              <w:jc w:val="center"/>
              <w:rPr>
                <w:rFonts w:ascii="Times New Roman" w:hAnsi="Times New Roman" w:cs="Times New Roman"/>
                <w:sz w:val="18"/>
                <w:szCs w:val="18"/>
              </w:rPr>
            </w:pPr>
          </w:p>
        </w:tc>
      </w:tr>
      <w:tr w:rsidRPr="006F34CD" w:rsidR="00515FE0" w:rsidTr="00EF028C" w14:paraId="05FCE18A" w14:textId="77777777">
        <w:trPr>
          <w:cantSplit/>
        </w:trPr>
        <w:tc>
          <w:tcPr>
            <w:tcW w:w="2249" w:type="dxa"/>
          </w:tcPr>
          <w:p w:rsidRPr="006F34CD" w:rsidR="00515FE0" w:rsidP="006F34CD" w:rsidRDefault="00515FE0" w14:paraId="292172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Iozovich KUPCHINSKAS</w:t>
            </w:r>
          </w:p>
        </w:tc>
        <w:tc>
          <w:tcPr>
            <w:tcW w:w="836" w:type="dxa"/>
          </w:tcPr>
          <w:p w:rsidRPr="006F34CD" w:rsidR="00515FE0" w:rsidP="006F34CD" w:rsidRDefault="00515FE0" w14:paraId="03249E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2EEFE2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Mezhdurechensk</w:t>
            </w:r>
          </w:p>
        </w:tc>
        <w:tc>
          <w:tcPr>
            <w:tcW w:w="1134" w:type="dxa"/>
          </w:tcPr>
          <w:p w:rsidRPr="006F34CD" w:rsidR="00515FE0" w:rsidP="006F34CD" w:rsidRDefault="00515FE0" w14:paraId="43CC3F0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9B3C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75A8068" w14:textId="77777777">
            <w:pPr>
              <w:spacing w:before="120" w:after="120"/>
              <w:jc w:val="center"/>
              <w:rPr>
                <w:rFonts w:ascii="Times New Roman" w:hAnsi="Times New Roman" w:cs="Times New Roman"/>
                <w:sz w:val="18"/>
                <w:szCs w:val="18"/>
              </w:rPr>
            </w:pPr>
          </w:p>
        </w:tc>
      </w:tr>
      <w:tr w:rsidRPr="006F34CD" w:rsidR="00515FE0" w:rsidTr="00EF028C" w14:paraId="0C9EE8E9" w14:textId="77777777">
        <w:trPr>
          <w:cantSplit/>
        </w:trPr>
        <w:tc>
          <w:tcPr>
            <w:tcW w:w="2249" w:type="dxa"/>
          </w:tcPr>
          <w:p w:rsidRPr="006F34CD" w:rsidR="00515FE0" w:rsidP="006F34CD" w:rsidRDefault="00515FE0" w14:paraId="516510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Vasilyevich KURINNOY</w:t>
            </w:r>
          </w:p>
        </w:tc>
        <w:tc>
          <w:tcPr>
            <w:tcW w:w="836" w:type="dxa"/>
          </w:tcPr>
          <w:p w:rsidRPr="006F34CD" w:rsidR="00515FE0" w:rsidP="006F34CD" w:rsidRDefault="00515FE0" w14:paraId="2D4050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17543B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Kizlyar</w:t>
            </w:r>
          </w:p>
        </w:tc>
        <w:tc>
          <w:tcPr>
            <w:tcW w:w="1134" w:type="dxa"/>
          </w:tcPr>
          <w:p w:rsidRPr="006F34CD" w:rsidR="00515FE0" w:rsidP="006F34CD" w:rsidRDefault="00515FE0" w14:paraId="157EBF2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A776CC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9581BD" w14:textId="77777777">
            <w:pPr>
              <w:spacing w:before="120" w:after="120"/>
              <w:jc w:val="center"/>
              <w:rPr>
                <w:rFonts w:ascii="Times New Roman" w:hAnsi="Times New Roman" w:cs="Times New Roman"/>
                <w:sz w:val="18"/>
                <w:szCs w:val="18"/>
              </w:rPr>
            </w:pPr>
          </w:p>
        </w:tc>
      </w:tr>
      <w:tr w:rsidRPr="006F34CD" w:rsidR="00515FE0" w:rsidTr="00EF028C" w14:paraId="2B479F5C" w14:textId="77777777">
        <w:trPr>
          <w:cantSplit/>
        </w:trPr>
        <w:tc>
          <w:tcPr>
            <w:tcW w:w="2249" w:type="dxa"/>
          </w:tcPr>
          <w:p w:rsidRPr="006F34CD" w:rsidR="00515FE0" w:rsidP="006F34CD" w:rsidRDefault="00515FE0" w14:paraId="4759DD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Antonovich KURYATA</w:t>
            </w:r>
          </w:p>
        </w:tc>
        <w:tc>
          <w:tcPr>
            <w:tcW w:w="836" w:type="dxa"/>
          </w:tcPr>
          <w:p w:rsidRPr="006F34CD" w:rsidR="00515FE0" w:rsidP="006F34CD" w:rsidRDefault="00515FE0" w14:paraId="5D9093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0E8822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Sosnoviy Bor</w:t>
            </w:r>
          </w:p>
        </w:tc>
        <w:tc>
          <w:tcPr>
            <w:tcW w:w="1134" w:type="dxa"/>
          </w:tcPr>
          <w:p w:rsidRPr="006F34CD" w:rsidR="00515FE0" w:rsidP="006F34CD" w:rsidRDefault="00515FE0" w14:paraId="17AF9AB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CE10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50728E" w14:textId="77777777">
            <w:pPr>
              <w:spacing w:before="120" w:after="120"/>
              <w:jc w:val="center"/>
              <w:rPr>
                <w:rFonts w:ascii="Times New Roman" w:hAnsi="Times New Roman" w:cs="Times New Roman"/>
                <w:sz w:val="18"/>
                <w:szCs w:val="18"/>
              </w:rPr>
            </w:pPr>
          </w:p>
        </w:tc>
      </w:tr>
      <w:tr w:rsidRPr="006F34CD" w:rsidR="00515FE0" w:rsidTr="00EF028C" w14:paraId="2B42A522" w14:textId="77777777">
        <w:trPr>
          <w:cantSplit/>
        </w:trPr>
        <w:tc>
          <w:tcPr>
            <w:tcW w:w="2249" w:type="dxa"/>
          </w:tcPr>
          <w:p w:rsidRPr="006F34CD" w:rsidR="00515FE0" w:rsidP="006F34CD" w:rsidRDefault="00515FE0" w14:paraId="75B943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Aleksandrovich KUTSIY</w:t>
            </w:r>
          </w:p>
        </w:tc>
        <w:tc>
          <w:tcPr>
            <w:tcW w:w="836" w:type="dxa"/>
          </w:tcPr>
          <w:p w:rsidRPr="006F34CD" w:rsidR="00515FE0" w:rsidP="006F34CD" w:rsidRDefault="00515FE0" w14:paraId="5F6D85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1982</w:t>
            </w:r>
          </w:p>
        </w:tc>
        <w:tc>
          <w:tcPr>
            <w:tcW w:w="1305" w:type="dxa"/>
          </w:tcPr>
          <w:p w:rsidRPr="006F34CD" w:rsidR="00515FE0" w:rsidP="006F34CD" w:rsidRDefault="00515FE0" w14:paraId="07A272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Nizhnevartovsk</w:t>
            </w:r>
          </w:p>
        </w:tc>
        <w:tc>
          <w:tcPr>
            <w:tcW w:w="1134" w:type="dxa"/>
          </w:tcPr>
          <w:p w:rsidRPr="006F34CD" w:rsidR="00515FE0" w:rsidP="006F34CD" w:rsidRDefault="00515FE0" w14:paraId="7E18A5B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9A03E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952F41" w14:textId="77777777">
            <w:pPr>
              <w:spacing w:before="120" w:after="120"/>
              <w:jc w:val="center"/>
              <w:rPr>
                <w:rFonts w:ascii="Times New Roman" w:hAnsi="Times New Roman" w:cs="Times New Roman"/>
                <w:sz w:val="18"/>
                <w:szCs w:val="18"/>
              </w:rPr>
            </w:pPr>
          </w:p>
        </w:tc>
      </w:tr>
      <w:tr w:rsidRPr="006F34CD" w:rsidR="00515FE0" w:rsidTr="00EF028C" w14:paraId="75A8FF61" w14:textId="77777777">
        <w:trPr>
          <w:cantSplit/>
        </w:trPr>
        <w:tc>
          <w:tcPr>
            <w:tcW w:w="2249" w:type="dxa"/>
          </w:tcPr>
          <w:p w:rsidRPr="006F34CD" w:rsidR="00515FE0" w:rsidP="006F34CD" w:rsidRDefault="00515FE0" w14:paraId="36C5DE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Fedorovich KUZ</w:t>
            </w:r>
          </w:p>
        </w:tc>
        <w:tc>
          <w:tcPr>
            <w:tcW w:w="836" w:type="dxa"/>
          </w:tcPr>
          <w:p w:rsidRPr="006F34CD" w:rsidR="00515FE0" w:rsidP="006F34CD" w:rsidRDefault="00515FE0" w14:paraId="6008A7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4716F1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Pervomayskoye</w:t>
            </w:r>
          </w:p>
        </w:tc>
        <w:tc>
          <w:tcPr>
            <w:tcW w:w="1134" w:type="dxa"/>
          </w:tcPr>
          <w:p w:rsidRPr="006F34CD" w:rsidR="00515FE0" w:rsidP="006F34CD" w:rsidRDefault="00515FE0" w14:paraId="563A68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BC640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B56A29B" w14:textId="77777777">
            <w:pPr>
              <w:spacing w:before="120" w:after="120"/>
              <w:jc w:val="center"/>
              <w:rPr>
                <w:rFonts w:ascii="Times New Roman" w:hAnsi="Times New Roman" w:cs="Times New Roman"/>
                <w:sz w:val="18"/>
                <w:szCs w:val="18"/>
              </w:rPr>
            </w:pPr>
          </w:p>
        </w:tc>
      </w:tr>
      <w:tr w:rsidRPr="006F34CD" w:rsidR="00515FE0" w:rsidTr="00EF028C" w14:paraId="08C6F779" w14:textId="77777777">
        <w:trPr>
          <w:cantSplit/>
        </w:trPr>
        <w:tc>
          <w:tcPr>
            <w:tcW w:w="2249" w:type="dxa"/>
          </w:tcPr>
          <w:p w:rsidRPr="006F34CD" w:rsidR="00515FE0" w:rsidP="006F34CD" w:rsidRDefault="00515FE0" w14:paraId="6F5A1B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Mikhaylovich KUZAN</w:t>
            </w:r>
          </w:p>
        </w:tc>
        <w:tc>
          <w:tcPr>
            <w:tcW w:w="836" w:type="dxa"/>
          </w:tcPr>
          <w:p w:rsidRPr="006F34CD" w:rsidR="00515FE0" w:rsidP="006F34CD" w:rsidRDefault="00515FE0" w14:paraId="6EE999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12B2EA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Bratsk</w:t>
            </w:r>
          </w:p>
        </w:tc>
        <w:tc>
          <w:tcPr>
            <w:tcW w:w="1134" w:type="dxa"/>
          </w:tcPr>
          <w:p w:rsidRPr="006F34CD" w:rsidR="00515FE0" w:rsidP="006F34CD" w:rsidRDefault="00515FE0" w14:paraId="74E71EA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8EE3F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CDA1DA" w14:textId="77777777">
            <w:pPr>
              <w:spacing w:before="120" w:after="120"/>
              <w:jc w:val="center"/>
              <w:rPr>
                <w:rFonts w:ascii="Times New Roman" w:hAnsi="Times New Roman" w:cs="Times New Roman"/>
                <w:sz w:val="18"/>
                <w:szCs w:val="18"/>
              </w:rPr>
            </w:pPr>
          </w:p>
        </w:tc>
      </w:tr>
      <w:tr w:rsidRPr="006F34CD" w:rsidR="00515FE0" w:rsidTr="00EF028C" w14:paraId="19C1E0FD" w14:textId="77777777">
        <w:trPr>
          <w:cantSplit/>
        </w:trPr>
        <w:tc>
          <w:tcPr>
            <w:tcW w:w="2249" w:type="dxa"/>
          </w:tcPr>
          <w:p w:rsidRPr="006F34CD" w:rsidR="00515FE0" w:rsidP="006F34CD" w:rsidRDefault="00515FE0" w14:paraId="541097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Gurami Noyeyevich LABADZE</w:t>
            </w:r>
          </w:p>
        </w:tc>
        <w:tc>
          <w:tcPr>
            <w:tcW w:w="836" w:type="dxa"/>
          </w:tcPr>
          <w:p w:rsidRPr="006F34CD" w:rsidR="00515FE0" w:rsidP="006F34CD" w:rsidRDefault="00515FE0" w14:paraId="1B8478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440A21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Tula</w:t>
            </w:r>
          </w:p>
        </w:tc>
        <w:tc>
          <w:tcPr>
            <w:tcW w:w="1134" w:type="dxa"/>
          </w:tcPr>
          <w:p w:rsidRPr="006F34CD" w:rsidR="00515FE0" w:rsidP="006F34CD" w:rsidRDefault="00515FE0" w14:paraId="53A7F80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E2998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28B559" w14:textId="77777777">
            <w:pPr>
              <w:spacing w:before="120" w:after="120"/>
              <w:jc w:val="center"/>
              <w:rPr>
                <w:rFonts w:ascii="Times New Roman" w:hAnsi="Times New Roman" w:cs="Times New Roman"/>
                <w:sz w:val="18"/>
                <w:szCs w:val="18"/>
              </w:rPr>
            </w:pPr>
          </w:p>
        </w:tc>
      </w:tr>
      <w:tr w:rsidRPr="006F34CD" w:rsidR="00515FE0" w:rsidTr="00EF028C" w14:paraId="1D11625E" w14:textId="77777777">
        <w:trPr>
          <w:cantSplit/>
        </w:trPr>
        <w:tc>
          <w:tcPr>
            <w:tcW w:w="2249" w:type="dxa"/>
          </w:tcPr>
          <w:p w:rsidRPr="006F34CD" w:rsidR="00515FE0" w:rsidP="006F34CD" w:rsidRDefault="00515FE0" w14:paraId="3DE112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Vasilyevich LAPSHIN</w:t>
            </w:r>
          </w:p>
        </w:tc>
        <w:tc>
          <w:tcPr>
            <w:tcW w:w="836" w:type="dxa"/>
          </w:tcPr>
          <w:p w:rsidRPr="006F34CD" w:rsidR="00515FE0" w:rsidP="006F34CD" w:rsidRDefault="00515FE0" w14:paraId="7E930C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1945</w:t>
            </w:r>
          </w:p>
        </w:tc>
        <w:tc>
          <w:tcPr>
            <w:tcW w:w="1305" w:type="dxa"/>
          </w:tcPr>
          <w:p w:rsidRPr="006F34CD" w:rsidR="00515FE0" w:rsidP="006F34CD" w:rsidRDefault="00515FE0" w14:paraId="6A41A5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Stavropol</w:t>
            </w:r>
          </w:p>
        </w:tc>
        <w:tc>
          <w:tcPr>
            <w:tcW w:w="1134" w:type="dxa"/>
          </w:tcPr>
          <w:p w:rsidRPr="006F34CD" w:rsidR="00515FE0" w:rsidP="006F34CD" w:rsidRDefault="00515FE0" w14:paraId="737D2FE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4A416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113454" w14:textId="77777777">
            <w:pPr>
              <w:spacing w:before="120" w:after="120"/>
              <w:jc w:val="center"/>
              <w:rPr>
                <w:rFonts w:ascii="Times New Roman" w:hAnsi="Times New Roman" w:cs="Times New Roman"/>
                <w:sz w:val="18"/>
                <w:szCs w:val="18"/>
              </w:rPr>
            </w:pPr>
          </w:p>
        </w:tc>
      </w:tr>
      <w:tr w:rsidRPr="006F34CD" w:rsidR="00515FE0" w:rsidTr="00EF028C" w14:paraId="2A5A5E5D" w14:textId="77777777">
        <w:trPr>
          <w:cantSplit/>
        </w:trPr>
        <w:tc>
          <w:tcPr>
            <w:tcW w:w="2249" w:type="dxa"/>
          </w:tcPr>
          <w:p w:rsidRPr="006F34CD" w:rsidR="00515FE0" w:rsidP="006F34CD" w:rsidRDefault="00515FE0" w14:paraId="3EF780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Sergeyevich LARIONOV</w:t>
            </w:r>
          </w:p>
        </w:tc>
        <w:tc>
          <w:tcPr>
            <w:tcW w:w="836" w:type="dxa"/>
          </w:tcPr>
          <w:p w:rsidRPr="006F34CD" w:rsidR="00515FE0" w:rsidP="006F34CD" w:rsidRDefault="00515FE0" w14:paraId="380B50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252A8F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Volgodonsk</w:t>
            </w:r>
          </w:p>
        </w:tc>
        <w:tc>
          <w:tcPr>
            <w:tcW w:w="1134" w:type="dxa"/>
          </w:tcPr>
          <w:p w:rsidRPr="006F34CD" w:rsidR="00515FE0" w:rsidP="006F34CD" w:rsidRDefault="00515FE0" w14:paraId="6CC81B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E6C0C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7D9217" w14:textId="77777777">
            <w:pPr>
              <w:spacing w:before="120" w:after="120"/>
              <w:jc w:val="center"/>
              <w:rPr>
                <w:rFonts w:ascii="Times New Roman" w:hAnsi="Times New Roman" w:cs="Times New Roman"/>
                <w:sz w:val="18"/>
                <w:szCs w:val="18"/>
              </w:rPr>
            </w:pPr>
          </w:p>
        </w:tc>
      </w:tr>
      <w:tr w:rsidRPr="006F34CD" w:rsidR="00515FE0" w:rsidTr="00EF028C" w14:paraId="44A22DFF" w14:textId="77777777">
        <w:trPr>
          <w:cantSplit/>
        </w:trPr>
        <w:tc>
          <w:tcPr>
            <w:tcW w:w="2249" w:type="dxa"/>
          </w:tcPr>
          <w:p w:rsidRPr="006F34CD" w:rsidR="00515FE0" w:rsidP="006F34CD" w:rsidRDefault="00515FE0" w14:paraId="67E2DF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Mikhaylovich LASHUK</w:t>
            </w:r>
          </w:p>
        </w:tc>
        <w:tc>
          <w:tcPr>
            <w:tcW w:w="836" w:type="dxa"/>
          </w:tcPr>
          <w:p w:rsidRPr="006F34CD" w:rsidR="00515FE0" w:rsidP="006F34CD" w:rsidRDefault="00515FE0" w14:paraId="05AE3A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07FC20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Anapa</w:t>
            </w:r>
          </w:p>
        </w:tc>
        <w:tc>
          <w:tcPr>
            <w:tcW w:w="1134" w:type="dxa"/>
          </w:tcPr>
          <w:p w:rsidRPr="006F34CD" w:rsidR="00515FE0" w:rsidP="006F34CD" w:rsidRDefault="00515FE0" w14:paraId="6E7E7EB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D0F61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7DE40A" w14:textId="77777777">
            <w:pPr>
              <w:spacing w:before="120" w:after="120"/>
              <w:jc w:val="center"/>
              <w:rPr>
                <w:rFonts w:ascii="Times New Roman" w:hAnsi="Times New Roman" w:cs="Times New Roman"/>
                <w:sz w:val="18"/>
                <w:szCs w:val="18"/>
              </w:rPr>
            </w:pPr>
          </w:p>
        </w:tc>
      </w:tr>
      <w:tr w:rsidRPr="006F34CD" w:rsidR="00515FE0" w:rsidTr="00EF028C" w14:paraId="3233F9CB" w14:textId="77777777">
        <w:trPr>
          <w:cantSplit/>
        </w:trPr>
        <w:tc>
          <w:tcPr>
            <w:tcW w:w="2249" w:type="dxa"/>
          </w:tcPr>
          <w:p w:rsidRPr="006F34CD" w:rsidR="00515FE0" w:rsidP="006F34CD" w:rsidRDefault="00515FE0" w14:paraId="1CCB6B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Anatolyevich LAVRENTYEV</w:t>
            </w:r>
          </w:p>
        </w:tc>
        <w:tc>
          <w:tcPr>
            <w:tcW w:w="836" w:type="dxa"/>
          </w:tcPr>
          <w:p w:rsidRPr="006F34CD" w:rsidR="00515FE0" w:rsidP="006F34CD" w:rsidRDefault="00515FE0" w14:paraId="42F07B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1EAFD8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Maykop</w:t>
            </w:r>
          </w:p>
        </w:tc>
        <w:tc>
          <w:tcPr>
            <w:tcW w:w="1134" w:type="dxa"/>
          </w:tcPr>
          <w:p w:rsidRPr="006F34CD" w:rsidR="00515FE0" w:rsidP="006F34CD" w:rsidRDefault="00515FE0" w14:paraId="5B0D011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EEBE5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0A0A26" w14:textId="77777777">
            <w:pPr>
              <w:spacing w:before="120" w:after="120"/>
              <w:jc w:val="center"/>
              <w:rPr>
                <w:rFonts w:ascii="Times New Roman" w:hAnsi="Times New Roman" w:cs="Times New Roman"/>
                <w:sz w:val="18"/>
                <w:szCs w:val="18"/>
              </w:rPr>
            </w:pPr>
          </w:p>
        </w:tc>
      </w:tr>
      <w:tr w:rsidRPr="006F34CD" w:rsidR="00515FE0" w:rsidTr="00EF028C" w14:paraId="6B6E6827" w14:textId="77777777">
        <w:trPr>
          <w:cantSplit/>
        </w:trPr>
        <w:tc>
          <w:tcPr>
            <w:tcW w:w="2249" w:type="dxa"/>
          </w:tcPr>
          <w:p w:rsidRPr="006F34CD" w:rsidR="00515FE0" w:rsidP="006F34CD" w:rsidRDefault="00515FE0" w14:paraId="0F02BE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Valeriy Mikhaylovich LAVRENTYEV</w:t>
            </w:r>
          </w:p>
        </w:tc>
        <w:tc>
          <w:tcPr>
            <w:tcW w:w="836" w:type="dxa"/>
          </w:tcPr>
          <w:p w:rsidRPr="006F34CD" w:rsidR="00515FE0" w:rsidP="006F34CD" w:rsidRDefault="00515FE0" w14:paraId="7743F8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05913B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Mirniy</w:t>
            </w:r>
          </w:p>
        </w:tc>
        <w:tc>
          <w:tcPr>
            <w:tcW w:w="1134" w:type="dxa"/>
          </w:tcPr>
          <w:p w:rsidRPr="006F34CD" w:rsidR="00515FE0" w:rsidP="006F34CD" w:rsidRDefault="00515FE0" w14:paraId="2FA4CA1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E8878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6A32279" w14:textId="77777777">
            <w:pPr>
              <w:spacing w:before="120" w:after="120"/>
              <w:jc w:val="center"/>
              <w:rPr>
                <w:rFonts w:ascii="Times New Roman" w:hAnsi="Times New Roman" w:cs="Times New Roman"/>
                <w:sz w:val="18"/>
                <w:szCs w:val="18"/>
              </w:rPr>
            </w:pPr>
          </w:p>
        </w:tc>
      </w:tr>
      <w:tr w:rsidRPr="006F34CD" w:rsidR="00515FE0" w:rsidTr="00EF028C" w14:paraId="66DDEC34" w14:textId="77777777">
        <w:trPr>
          <w:cantSplit/>
        </w:trPr>
        <w:tc>
          <w:tcPr>
            <w:tcW w:w="2249" w:type="dxa"/>
          </w:tcPr>
          <w:p w:rsidRPr="006F34CD" w:rsidR="00515FE0" w:rsidP="006F34CD" w:rsidRDefault="00515FE0" w14:paraId="059E85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Ivanovich LEBEDEV</w:t>
            </w:r>
          </w:p>
        </w:tc>
        <w:tc>
          <w:tcPr>
            <w:tcW w:w="836" w:type="dxa"/>
          </w:tcPr>
          <w:p w:rsidRPr="006F34CD" w:rsidR="00515FE0" w:rsidP="006F34CD" w:rsidRDefault="00515FE0" w14:paraId="2D64DD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118BEA2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Abakan</w:t>
            </w:r>
          </w:p>
        </w:tc>
        <w:tc>
          <w:tcPr>
            <w:tcW w:w="1134" w:type="dxa"/>
          </w:tcPr>
          <w:p w:rsidRPr="006F34CD" w:rsidR="00515FE0" w:rsidP="006F34CD" w:rsidRDefault="00515FE0" w14:paraId="3FA1F58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558B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C7E661" w14:textId="77777777">
            <w:pPr>
              <w:spacing w:before="120" w:after="120"/>
              <w:jc w:val="center"/>
              <w:rPr>
                <w:rFonts w:ascii="Times New Roman" w:hAnsi="Times New Roman" w:cs="Times New Roman"/>
                <w:sz w:val="18"/>
                <w:szCs w:val="18"/>
              </w:rPr>
            </w:pPr>
          </w:p>
        </w:tc>
      </w:tr>
      <w:tr w:rsidRPr="006F34CD" w:rsidR="00515FE0" w:rsidTr="00EF028C" w14:paraId="768F380B" w14:textId="77777777">
        <w:trPr>
          <w:cantSplit/>
        </w:trPr>
        <w:tc>
          <w:tcPr>
            <w:tcW w:w="2249" w:type="dxa"/>
          </w:tcPr>
          <w:p w:rsidRPr="006F34CD" w:rsidR="00515FE0" w:rsidP="006F34CD" w:rsidRDefault="00515FE0" w14:paraId="6ABB86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Yuryevich LEBEDEV</w:t>
            </w:r>
          </w:p>
        </w:tc>
        <w:tc>
          <w:tcPr>
            <w:tcW w:w="836" w:type="dxa"/>
          </w:tcPr>
          <w:p w:rsidRPr="006F34CD" w:rsidR="00515FE0" w:rsidP="006F34CD" w:rsidRDefault="00515FE0" w14:paraId="371DB6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09F633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Dudinka</w:t>
            </w:r>
          </w:p>
        </w:tc>
        <w:tc>
          <w:tcPr>
            <w:tcW w:w="1134" w:type="dxa"/>
          </w:tcPr>
          <w:p w:rsidRPr="006F34CD" w:rsidR="00515FE0" w:rsidP="006F34CD" w:rsidRDefault="00515FE0" w14:paraId="452E7D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7FD79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7F0928" w14:textId="77777777">
            <w:pPr>
              <w:spacing w:before="120" w:after="120"/>
              <w:jc w:val="center"/>
              <w:rPr>
                <w:rFonts w:ascii="Times New Roman" w:hAnsi="Times New Roman" w:cs="Times New Roman"/>
                <w:sz w:val="18"/>
                <w:szCs w:val="18"/>
              </w:rPr>
            </w:pPr>
          </w:p>
        </w:tc>
      </w:tr>
      <w:tr w:rsidRPr="006F34CD" w:rsidR="00515FE0" w:rsidTr="00EF028C" w14:paraId="50291A33" w14:textId="77777777">
        <w:trPr>
          <w:cantSplit/>
        </w:trPr>
        <w:tc>
          <w:tcPr>
            <w:tcW w:w="2249" w:type="dxa"/>
          </w:tcPr>
          <w:p w:rsidRPr="006F34CD" w:rsidR="00515FE0" w:rsidP="006F34CD" w:rsidRDefault="00515FE0" w14:paraId="6F65E9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Danil Vladimirovich LEMESHKO</w:t>
            </w:r>
          </w:p>
        </w:tc>
        <w:tc>
          <w:tcPr>
            <w:tcW w:w="836" w:type="dxa"/>
          </w:tcPr>
          <w:p w:rsidRPr="006F34CD" w:rsidR="00515FE0" w:rsidP="006F34CD" w:rsidRDefault="00515FE0" w14:paraId="33B0E0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23A0D8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Orsk</w:t>
            </w:r>
          </w:p>
        </w:tc>
        <w:tc>
          <w:tcPr>
            <w:tcW w:w="1134" w:type="dxa"/>
          </w:tcPr>
          <w:p w:rsidRPr="006F34CD" w:rsidR="00515FE0" w:rsidP="006F34CD" w:rsidRDefault="00515FE0" w14:paraId="6C9D9B9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66861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33B80F" w14:textId="77777777">
            <w:pPr>
              <w:spacing w:before="120" w:after="120"/>
              <w:jc w:val="center"/>
              <w:rPr>
                <w:rFonts w:ascii="Times New Roman" w:hAnsi="Times New Roman" w:cs="Times New Roman"/>
                <w:sz w:val="18"/>
                <w:szCs w:val="18"/>
              </w:rPr>
            </w:pPr>
          </w:p>
        </w:tc>
      </w:tr>
      <w:tr w:rsidRPr="006F34CD" w:rsidR="00515FE0" w:rsidTr="00EF028C" w14:paraId="21483E85" w14:textId="77777777">
        <w:trPr>
          <w:cantSplit/>
        </w:trPr>
        <w:tc>
          <w:tcPr>
            <w:tcW w:w="2249" w:type="dxa"/>
          </w:tcPr>
          <w:p w:rsidRPr="006F34CD" w:rsidR="00515FE0" w:rsidP="006F34CD" w:rsidRDefault="00515FE0" w14:paraId="53DEEF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Mikhaylovich LENYUCHEV</w:t>
            </w:r>
          </w:p>
        </w:tc>
        <w:tc>
          <w:tcPr>
            <w:tcW w:w="836" w:type="dxa"/>
          </w:tcPr>
          <w:p w:rsidRPr="006F34CD" w:rsidR="00515FE0" w:rsidP="006F34CD" w:rsidRDefault="00515FE0" w14:paraId="2A845A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32833A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Krasnoturyinsk</w:t>
            </w:r>
          </w:p>
        </w:tc>
        <w:tc>
          <w:tcPr>
            <w:tcW w:w="1134" w:type="dxa"/>
          </w:tcPr>
          <w:p w:rsidRPr="006F34CD" w:rsidR="00515FE0" w:rsidP="006F34CD" w:rsidRDefault="00515FE0" w14:paraId="6F6DB9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7D38C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F8CFC9" w14:textId="77777777">
            <w:pPr>
              <w:spacing w:before="120" w:after="120"/>
              <w:jc w:val="center"/>
              <w:rPr>
                <w:rFonts w:ascii="Times New Roman" w:hAnsi="Times New Roman" w:cs="Times New Roman"/>
                <w:sz w:val="18"/>
                <w:szCs w:val="18"/>
              </w:rPr>
            </w:pPr>
          </w:p>
        </w:tc>
      </w:tr>
      <w:tr w:rsidRPr="006F34CD" w:rsidR="00515FE0" w:rsidTr="00EF028C" w14:paraId="13E58B0C" w14:textId="77777777">
        <w:trPr>
          <w:cantSplit/>
        </w:trPr>
        <w:tc>
          <w:tcPr>
            <w:tcW w:w="2249" w:type="dxa"/>
          </w:tcPr>
          <w:p w:rsidRPr="006F34CD" w:rsidR="00515FE0" w:rsidP="006F34CD" w:rsidRDefault="00515FE0" w14:paraId="6B9328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Stanislav Vladimirovich LEONTYEV</w:t>
            </w:r>
          </w:p>
        </w:tc>
        <w:tc>
          <w:tcPr>
            <w:tcW w:w="836" w:type="dxa"/>
          </w:tcPr>
          <w:p w:rsidRPr="006F34CD" w:rsidR="00515FE0" w:rsidP="006F34CD" w:rsidRDefault="00515FE0" w14:paraId="078167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0A67F9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Miass</w:t>
            </w:r>
          </w:p>
        </w:tc>
        <w:tc>
          <w:tcPr>
            <w:tcW w:w="1134" w:type="dxa"/>
          </w:tcPr>
          <w:p w:rsidRPr="006F34CD" w:rsidR="00515FE0" w:rsidP="006F34CD" w:rsidRDefault="00515FE0" w14:paraId="51DCDBE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EE07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959798" w14:textId="77777777">
            <w:pPr>
              <w:spacing w:before="120" w:after="120"/>
              <w:jc w:val="center"/>
              <w:rPr>
                <w:rFonts w:ascii="Times New Roman" w:hAnsi="Times New Roman" w:cs="Times New Roman"/>
                <w:sz w:val="18"/>
                <w:szCs w:val="18"/>
              </w:rPr>
            </w:pPr>
          </w:p>
        </w:tc>
      </w:tr>
      <w:tr w:rsidRPr="006F34CD" w:rsidR="00515FE0" w:rsidTr="00EF028C" w14:paraId="5FCB1442" w14:textId="77777777">
        <w:trPr>
          <w:cantSplit/>
        </w:trPr>
        <w:tc>
          <w:tcPr>
            <w:tcW w:w="2249" w:type="dxa"/>
          </w:tcPr>
          <w:p w:rsidRPr="006F34CD" w:rsidR="00515FE0" w:rsidP="006F34CD" w:rsidRDefault="00515FE0" w14:paraId="681403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Vasilyevich LESYUK</w:t>
            </w:r>
          </w:p>
        </w:tc>
        <w:tc>
          <w:tcPr>
            <w:tcW w:w="836" w:type="dxa"/>
          </w:tcPr>
          <w:p w:rsidRPr="006F34CD" w:rsidR="00515FE0" w:rsidP="006F34CD" w:rsidRDefault="00515FE0" w14:paraId="62CDC1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0A9008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Nezlobnaya</w:t>
            </w:r>
          </w:p>
        </w:tc>
        <w:tc>
          <w:tcPr>
            <w:tcW w:w="1134" w:type="dxa"/>
          </w:tcPr>
          <w:p w:rsidRPr="006F34CD" w:rsidR="00515FE0" w:rsidP="006F34CD" w:rsidRDefault="00515FE0" w14:paraId="52A0E1B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01182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09749B" w14:textId="77777777">
            <w:pPr>
              <w:spacing w:before="120" w:after="120"/>
              <w:jc w:val="center"/>
              <w:rPr>
                <w:rFonts w:ascii="Times New Roman" w:hAnsi="Times New Roman" w:cs="Times New Roman"/>
                <w:sz w:val="18"/>
                <w:szCs w:val="18"/>
              </w:rPr>
            </w:pPr>
          </w:p>
        </w:tc>
      </w:tr>
      <w:tr w:rsidRPr="006F34CD" w:rsidR="00515FE0" w:rsidTr="00EF028C" w14:paraId="13BF4D86" w14:textId="77777777">
        <w:trPr>
          <w:cantSplit/>
        </w:trPr>
        <w:tc>
          <w:tcPr>
            <w:tcW w:w="2249" w:type="dxa"/>
          </w:tcPr>
          <w:p w:rsidRPr="006F34CD" w:rsidR="00515FE0" w:rsidP="006F34CD" w:rsidRDefault="00515FE0" w14:paraId="0CD504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Vadim Anatolyevich LEVCHUK</w:t>
            </w:r>
          </w:p>
        </w:tc>
        <w:tc>
          <w:tcPr>
            <w:tcW w:w="836" w:type="dxa"/>
          </w:tcPr>
          <w:p w:rsidRPr="006F34CD" w:rsidR="00515FE0" w:rsidP="006F34CD" w:rsidRDefault="00515FE0" w14:paraId="632ACB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7BC4E1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Berezovskiy</w:t>
            </w:r>
          </w:p>
        </w:tc>
        <w:tc>
          <w:tcPr>
            <w:tcW w:w="1134" w:type="dxa"/>
          </w:tcPr>
          <w:p w:rsidRPr="006F34CD" w:rsidR="00515FE0" w:rsidP="006F34CD" w:rsidRDefault="00515FE0" w14:paraId="4B06C2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4EF33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D663CC" w14:textId="77777777">
            <w:pPr>
              <w:spacing w:before="120" w:after="120"/>
              <w:jc w:val="center"/>
              <w:rPr>
                <w:rFonts w:ascii="Times New Roman" w:hAnsi="Times New Roman" w:cs="Times New Roman"/>
                <w:sz w:val="18"/>
                <w:szCs w:val="18"/>
              </w:rPr>
            </w:pPr>
          </w:p>
        </w:tc>
      </w:tr>
      <w:tr w:rsidRPr="006F34CD" w:rsidR="00515FE0" w:rsidTr="00EF028C" w14:paraId="46FD57F5" w14:textId="77777777">
        <w:trPr>
          <w:cantSplit/>
        </w:trPr>
        <w:tc>
          <w:tcPr>
            <w:tcW w:w="2249" w:type="dxa"/>
          </w:tcPr>
          <w:p w:rsidRPr="006F34CD" w:rsidR="00515FE0" w:rsidP="006F34CD" w:rsidRDefault="00515FE0" w14:paraId="2D0DBA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Vladimirovich LISOV</w:t>
            </w:r>
          </w:p>
        </w:tc>
        <w:tc>
          <w:tcPr>
            <w:tcW w:w="836" w:type="dxa"/>
          </w:tcPr>
          <w:p w:rsidRPr="006F34CD" w:rsidR="00515FE0" w:rsidP="006F34CD" w:rsidRDefault="00515FE0" w14:paraId="02C957F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013F68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Novorossiysk</w:t>
            </w:r>
          </w:p>
        </w:tc>
        <w:tc>
          <w:tcPr>
            <w:tcW w:w="1134" w:type="dxa"/>
          </w:tcPr>
          <w:p w:rsidRPr="006F34CD" w:rsidR="00515FE0" w:rsidP="006F34CD" w:rsidRDefault="00515FE0" w14:paraId="7893408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205BB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6BB4A1" w14:textId="77777777">
            <w:pPr>
              <w:spacing w:before="120" w:after="120"/>
              <w:jc w:val="center"/>
              <w:rPr>
                <w:rFonts w:ascii="Times New Roman" w:hAnsi="Times New Roman" w:cs="Times New Roman"/>
                <w:sz w:val="18"/>
                <w:szCs w:val="18"/>
              </w:rPr>
            </w:pPr>
          </w:p>
        </w:tc>
      </w:tr>
      <w:tr w:rsidRPr="006F34CD" w:rsidR="00515FE0" w:rsidTr="00EF028C" w14:paraId="0E18A108" w14:textId="77777777">
        <w:trPr>
          <w:cantSplit/>
        </w:trPr>
        <w:tc>
          <w:tcPr>
            <w:tcW w:w="2249" w:type="dxa"/>
          </w:tcPr>
          <w:p w:rsidRPr="006F34CD" w:rsidR="00515FE0" w:rsidP="006F34CD" w:rsidRDefault="00515FE0" w14:paraId="002439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Aleksandrovich LISOVSKIY</w:t>
            </w:r>
          </w:p>
        </w:tc>
        <w:tc>
          <w:tcPr>
            <w:tcW w:w="836" w:type="dxa"/>
          </w:tcPr>
          <w:p w:rsidRPr="006F34CD" w:rsidR="00515FE0" w:rsidP="006F34CD" w:rsidRDefault="00515FE0" w14:paraId="08B278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41B712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Ust-Labinsk</w:t>
            </w:r>
          </w:p>
        </w:tc>
        <w:tc>
          <w:tcPr>
            <w:tcW w:w="1134" w:type="dxa"/>
          </w:tcPr>
          <w:p w:rsidRPr="006F34CD" w:rsidR="00515FE0" w:rsidP="006F34CD" w:rsidRDefault="00515FE0" w14:paraId="273AA9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7D4CE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FB3B24" w14:textId="77777777">
            <w:pPr>
              <w:spacing w:before="120" w:after="120"/>
              <w:jc w:val="center"/>
              <w:rPr>
                <w:rFonts w:ascii="Times New Roman" w:hAnsi="Times New Roman" w:cs="Times New Roman"/>
                <w:sz w:val="18"/>
                <w:szCs w:val="18"/>
              </w:rPr>
            </w:pPr>
          </w:p>
        </w:tc>
      </w:tr>
      <w:tr w:rsidRPr="006F34CD" w:rsidR="00515FE0" w:rsidTr="00EF028C" w14:paraId="4999C7E9" w14:textId="77777777">
        <w:trPr>
          <w:cantSplit/>
        </w:trPr>
        <w:tc>
          <w:tcPr>
            <w:tcW w:w="2249" w:type="dxa"/>
          </w:tcPr>
          <w:p w:rsidRPr="006F34CD" w:rsidR="00515FE0" w:rsidP="006F34CD" w:rsidRDefault="00515FE0" w14:paraId="61E678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Viktorovich LITVINYUK</w:t>
            </w:r>
          </w:p>
        </w:tc>
        <w:tc>
          <w:tcPr>
            <w:tcW w:w="836" w:type="dxa"/>
          </w:tcPr>
          <w:p w:rsidRPr="006F34CD" w:rsidR="00515FE0" w:rsidP="006F34CD" w:rsidRDefault="00515FE0" w14:paraId="61A174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09F356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Armyansk</w:t>
            </w:r>
          </w:p>
        </w:tc>
        <w:tc>
          <w:tcPr>
            <w:tcW w:w="1134" w:type="dxa"/>
          </w:tcPr>
          <w:p w:rsidRPr="006F34CD" w:rsidR="00515FE0" w:rsidP="006F34CD" w:rsidRDefault="00515FE0" w14:paraId="5743251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F297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B0D9A2" w14:textId="77777777">
            <w:pPr>
              <w:spacing w:before="120" w:after="120"/>
              <w:jc w:val="center"/>
              <w:rPr>
                <w:rFonts w:ascii="Times New Roman" w:hAnsi="Times New Roman" w:cs="Times New Roman"/>
                <w:sz w:val="18"/>
                <w:szCs w:val="18"/>
              </w:rPr>
            </w:pPr>
          </w:p>
        </w:tc>
      </w:tr>
      <w:tr w:rsidRPr="006F34CD" w:rsidR="00515FE0" w:rsidTr="00EF028C" w14:paraId="717C1BC7" w14:textId="77777777">
        <w:trPr>
          <w:cantSplit/>
        </w:trPr>
        <w:tc>
          <w:tcPr>
            <w:tcW w:w="2249" w:type="dxa"/>
          </w:tcPr>
          <w:p w:rsidRPr="006F34CD" w:rsidR="00515FE0" w:rsidP="006F34CD" w:rsidRDefault="00515FE0" w14:paraId="2B9707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Yaroslav Dmitriyevich LIVIY</w:t>
            </w:r>
          </w:p>
        </w:tc>
        <w:tc>
          <w:tcPr>
            <w:tcW w:w="836" w:type="dxa"/>
          </w:tcPr>
          <w:p w:rsidRPr="006F34CD" w:rsidR="00515FE0" w:rsidP="006F34CD" w:rsidRDefault="00515FE0" w14:paraId="5C1A66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7BE0E4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Tulun</w:t>
            </w:r>
          </w:p>
        </w:tc>
        <w:tc>
          <w:tcPr>
            <w:tcW w:w="1134" w:type="dxa"/>
          </w:tcPr>
          <w:p w:rsidRPr="006F34CD" w:rsidR="00515FE0" w:rsidP="006F34CD" w:rsidRDefault="00515FE0" w14:paraId="7D9E14B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8EB60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EA383B" w14:textId="77777777">
            <w:pPr>
              <w:spacing w:before="120" w:after="120"/>
              <w:jc w:val="center"/>
              <w:rPr>
                <w:rFonts w:ascii="Times New Roman" w:hAnsi="Times New Roman" w:cs="Times New Roman"/>
                <w:sz w:val="18"/>
                <w:szCs w:val="18"/>
              </w:rPr>
            </w:pPr>
          </w:p>
        </w:tc>
      </w:tr>
      <w:tr w:rsidRPr="006F34CD" w:rsidR="00515FE0" w:rsidTr="00EF028C" w14:paraId="7D7FA522" w14:textId="77777777">
        <w:trPr>
          <w:cantSplit/>
        </w:trPr>
        <w:tc>
          <w:tcPr>
            <w:tcW w:w="2249" w:type="dxa"/>
          </w:tcPr>
          <w:p w:rsidRPr="006F34CD" w:rsidR="00515FE0" w:rsidP="006F34CD" w:rsidRDefault="00515FE0" w14:paraId="414294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Dmitriyevich LIVIY</w:t>
            </w:r>
          </w:p>
        </w:tc>
        <w:tc>
          <w:tcPr>
            <w:tcW w:w="836" w:type="dxa"/>
          </w:tcPr>
          <w:p w:rsidRPr="006F34CD" w:rsidR="00515FE0" w:rsidP="006F34CD" w:rsidRDefault="00515FE0" w14:paraId="323AAD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102E5B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Tsentralniy Khazan</w:t>
            </w:r>
          </w:p>
        </w:tc>
        <w:tc>
          <w:tcPr>
            <w:tcW w:w="1134" w:type="dxa"/>
          </w:tcPr>
          <w:p w:rsidRPr="006F34CD" w:rsidR="00515FE0" w:rsidP="006F34CD" w:rsidRDefault="00515FE0" w14:paraId="5D8940E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8AD0E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7D0D99" w14:textId="77777777">
            <w:pPr>
              <w:spacing w:before="120" w:after="120"/>
              <w:jc w:val="center"/>
              <w:rPr>
                <w:rFonts w:ascii="Times New Roman" w:hAnsi="Times New Roman" w:cs="Times New Roman"/>
                <w:sz w:val="18"/>
                <w:szCs w:val="18"/>
              </w:rPr>
            </w:pPr>
          </w:p>
        </w:tc>
      </w:tr>
      <w:tr w:rsidRPr="006F34CD" w:rsidR="00515FE0" w:rsidTr="00EF028C" w14:paraId="60D771AB" w14:textId="77777777">
        <w:trPr>
          <w:cantSplit/>
        </w:trPr>
        <w:tc>
          <w:tcPr>
            <w:tcW w:w="2249" w:type="dxa"/>
          </w:tcPr>
          <w:p w:rsidRPr="006F34CD" w:rsidR="00515FE0" w:rsidP="006F34CD" w:rsidRDefault="00515FE0" w14:paraId="24EF01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Pavlovich LOGINOV</w:t>
            </w:r>
          </w:p>
        </w:tc>
        <w:tc>
          <w:tcPr>
            <w:tcW w:w="836" w:type="dxa"/>
          </w:tcPr>
          <w:p w:rsidRPr="006F34CD" w:rsidR="00515FE0" w:rsidP="006F34CD" w:rsidRDefault="00515FE0" w14:paraId="001ACC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1F14A1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Surgut</w:t>
            </w:r>
          </w:p>
        </w:tc>
        <w:tc>
          <w:tcPr>
            <w:tcW w:w="1134" w:type="dxa"/>
          </w:tcPr>
          <w:p w:rsidRPr="006F34CD" w:rsidR="00515FE0" w:rsidP="006F34CD" w:rsidRDefault="00515FE0" w14:paraId="7573D5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D9478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9A05A5" w14:textId="77777777">
            <w:pPr>
              <w:spacing w:before="120" w:after="120"/>
              <w:jc w:val="center"/>
              <w:rPr>
                <w:rFonts w:ascii="Times New Roman" w:hAnsi="Times New Roman" w:cs="Times New Roman"/>
                <w:sz w:val="18"/>
                <w:szCs w:val="18"/>
              </w:rPr>
            </w:pPr>
          </w:p>
        </w:tc>
      </w:tr>
      <w:tr w:rsidRPr="006F34CD" w:rsidR="00515FE0" w:rsidTr="00EF028C" w14:paraId="1E3D5897" w14:textId="77777777">
        <w:trPr>
          <w:cantSplit/>
        </w:trPr>
        <w:tc>
          <w:tcPr>
            <w:tcW w:w="2249" w:type="dxa"/>
          </w:tcPr>
          <w:p w:rsidRPr="006F34CD" w:rsidR="00515FE0" w:rsidP="006F34CD" w:rsidRDefault="00515FE0" w14:paraId="443088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Valeryevich LOSEV</w:t>
            </w:r>
          </w:p>
        </w:tc>
        <w:tc>
          <w:tcPr>
            <w:tcW w:w="836" w:type="dxa"/>
          </w:tcPr>
          <w:p w:rsidRPr="006F34CD" w:rsidR="00515FE0" w:rsidP="006F34CD" w:rsidRDefault="00515FE0" w14:paraId="14E17B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293C56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Verkhnedneprovskiy</w:t>
            </w:r>
          </w:p>
        </w:tc>
        <w:tc>
          <w:tcPr>
            <w:tcW w:w="1134" w:type="dxa"/>
          </w:tcPr>
          <w:p w:rsidRPr="006F34CD" w:rsidR="00515FE0" w:rsidP="006F34CD" w:rsidRDefault="00515FE0" w14:paraId="0ACAC17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6C16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977A59" w14:textId="77777777">
            <w:pPr>
              <w:spacing w:before="120" w:after="120"/>
              <w:jc w:val="center"/>
              <w:rPr>
                <w:rFonts w:ascii="Times New Roman" w:hAnsi="Times New Roman" w:cs="Times New Roman"/>
                <w:sz w:val="18"/>
                <w:szCs w:val="18"/>
              </w:rPr>
            </w:pPr>
          </w:p>
        </w:tc>
      </w:tr>
      <w:tr w:rsidRPr="006F34CD" w:rsidR="00515FE0" w:rsidTr="00EF028C" w14:paraId="372B8AB2" w14:textId="77777777">
        <w:trPr>
          <w:cantSplit/>
        </w:trPr>
        <w:tc>
          <w:tcPr>
            <w:tcW w:w="2249" w:type="dxa"/>
          </w:tcPr>
          <w:p w:rsidRPr="006F34CD" w:rsidR="00515FE0" w:rsidP="006F34CD" w:rsidRDefault="00515FE0" w14:paraId="327C4B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Valeriy Petrovich LOYTRA</w:t>
            </w:r>
          </w:p>
        </w:tc>
        <w:tc>
          <w:tcPr>
            <w:tcW w:w="836" w:type="dxa"/>
          </w:tcPr>
          <w:p w:rsidRPr="006F34CD" w:rsidR="00515FE0" w:rsidP="006F34CD" w:rsidRDefault="00515FE0" w14:paraId="6566AC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2EE545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Voskhod</w:t>
            </w:r>
          </w:p>
        </w:tc>
        <w:tc>
          <w:tcPr>
            <w:tcW w:w="1134" w:type="dxa"/>
          </w:tcPr>
          <w:p w:rsidRPr="006F34CD" w:rsidR="00515FE0" w:rsidP="006F34CD" w:rsidRDefault="00515FE0" w14:paraId="2CB85ED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81ABAA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77E8D1" w14:textId="77777777">
            <w:pPr>
              <w:spacing w:before="120" w:after="120"/>
              <w:jc w:val="center"/>
              <w:rPr>
                <w:rFonts w:ascii="Times New Roman" w:hAnsi="Times New Roman" w:cs="Times New Roman"/>
                <w:sz w:val="18"/>
                <w:szCs w:val="18"/>
              </w:rPr>
            </w:pPr>
          </w:p>
        </w:tc>
      </w:tr>
      <w:tr w:rsidRPr="006F34CD" w:rsidR="00515FE0" w:rsidTr="00EF028C" w14:paraId="430B9B1C" w14:textId="77777777">
        <w:trPr>
          <w:cantSplit/>
        </w:trPr>
        <w:tc>
          <w:tcPr>
            <w:tcW w:w="2249" w:type="dxa"/>
          </w:tcPr>
          <w:p w:rsidRPr="006F34CD" w:rsidR="00515FE0" w:rsidP="006F34CD" w:rsidRDefault="00515FE0" w14:paraId="1C7490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Nikolayevich LUBIN</w:t>
            </w:r>
          </w:p>
        </w:tc>
        <w:tc>
          <w:tcPr>
            <w:tcW w:w="836" w:type="dxa"/>
          </w:tcPr>
          <w:p w:rsidRPr="006F34CD" w:rsidR="00515FE0" w:rsidP="006F34CD" w:rsidRDefault="00515FE0" w14:paraId="3ED398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5681E6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Shadrinsk</w:t>
            </w:r>
          </w:p>
        </w:tc>
        <w:tc>
          <w:tcPr>
            <w:tcW w:w="1134" w:type="dxa"/>
          </w:tcPr>
          <w:p w:rsidRPr="006F34CD" w:rsidR="00515FE0" w:rsidP="006F34CD" w:rsidRDefault="00515FE0" w14:paraId="506F6CD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AEE23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28888F" w14:textId="77777777">
            <w:pPr>
              <w:spacing w:before="120" w:after="120"/>
              <w:jc w:val="center"/>
              <w:rPr>
                <w:rFonts w:ascii="Times New Roman" w:hAnsi="Times New Roman" w:cs="Times New Roman"/>
                <w:sz w:val="18"/>
                <w:szCs w:val="18"/>
              </w:rPr>
            </w:pPr>
          </w:p>
        </w:tc>
      </w:tr>
      <w:tr w:rsidRPr="006F34CD" w:rsidR="00515FE0" w:rsidTr="00EF028C" w14:paraId="473E8033" w14:textId="77777777">
        <w:trPr>
          <w:cantSplit/>
        </w:trPr>
        <w:tc>
          <w:tcPr>
            <w:tcW w:w="2249" w:type="dxa"/>
          </w:tcPr>
          <w:p w:rsidRPr="006F34CD" w:rsidR="00515FE0" w:rsidP="006F34CD" w:rsidRDefault="00515FE0" w14:paraId="2F4A4DC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Vitalyevich LUCHINKIN</w:t>
            </w:r>
          </w:p>
        </w:tc>
        <w:tc>
          <w:tcPr>
            <w:tcW w:w="836" w:type="dxa"/>
          </w:tcPr>
          <w:p w:rsidRPr="006F34CD" w:rsidR="00515FE0" w:rsidP="006F34CD" w:rsidRDefault="00515FE0" w14:paraId="50958A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13F502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Serpukhov</w:t>
            </w:r>
          </w:p>
        </w:tc>
        <w:tc>
          <w:tcPr>
            <w:tcW w:w="1134" w:type="dxa"/>
          </w:tcPr>
          <w:p w:rsidRPr="006F34CD" w:rsidR="00515FE0" w:rsidP="006F34CD" w:rsidRDefault="00515FE0" w14:paraId="3970E6C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51E8D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5E2857" w14:textId="77777777">
            <w:pPr>
              <w:spacing w:before="120" w:after="120"/>
              <w:jc w:val="center"/>
              <w:rPr>
                <w:rFonts w:ascii="Times New Roman" w:hAnsi="Times New Roman" w:cs="Times New Roman"/>
                <w:sz w:val="18"/>
                <w:szCs w:val="18"/>
              </w:rPr>
            </w:pPr>
          </w:p>
        </w:tc>
      </w:tr>
      <w:tr w:rsidRPr="006F34CD" w:rsidR="00515FE0" w:rsidTr="00EF028C" w14:paraId="28302768" w14:textId="77777777">
        <w:trPr>
          <w:cantSplit/>
        </w:trPr>
        <w:tc>
          <w:tcPr>
            <w:tcW w:w="2249" w:type="dxa"/>
          </w:tcPr>
          <w:p w:rsidRPr="006F34CD" w:rsidR="00515FE0" w:rsidP="006F34CD" w:rsidRDefault="00515FE0" w14:paraId="43C902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Borisovich LUNEV</w:t>
            </w:r>
          </w:p>
        </w:tc>
        <w:tc>
          <w:tcPr>
            <w:tcW w:w="836" w:type="dxa"/>
          </w:tcPr>
          <w:p w:rsidRPr="006F34CD" w:rsidR="00515FE0" w:rsidP="006F34CD" w:rsidRDefault="00515FE0" w14:paraId="1168A7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76DF2CF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Shebekino</w:t>
            </w:r>
          </w:p>
        </w:tc>
        <w:tc>
          <w:tcPr>
            <w:tcW w:w="1134" w:type="dxa"/>
          </w:tcPr>
          <w:p w:rsidRPr="006F34CD" w:rsidR="00515FE0" w:rsidP="006F34CD" w:rsidRDefault="00515FE0" w14:paraId="6ACDEDF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2F8AA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E6113D" w14:textId="77777777">
            <w:pPr>
              <w:spacing w:before="120" w:after="120"/>
              <w:jc w:val="center"/>
              <w:rPr>
                <w:rFonts w:ascii="Times New Roman" w:hAnsi="Times New Roman" w:cs="Times New Roman"/>
                <w:sz w:val="18"/>
                <w:szCs w:val="18"/>
              </w:rPr>
            </w:pPr>
          </w:p>
        </w:tc>
      </w:tr>
      <w:tr w:rsidRPr="006F34CD" w:rsidR="00515FE0" w:rsidTr="00EF028C" w14:paraId="703E07D6" w14:textId="77777777">
        <w:trPr>
          <w:cantSplit/>
        </w:trPr>
        <w:tc>
          <w:tcPr>
            <w:tcW w:w="2249" w:type="dxa"/>
          </w:tcPr>
          <w:p w:rsidRPr="006F34CD" w:rsidR="00515FE0" w:rsidP="006F34CD" w:rsidRDefault="00515FE0" w14:paraId="5A6476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Viktorovich LUNEV</w:t>
            </w:r>
          </w:p>
        </w:tc>
        <w:tc>
          <w:tcPr>
            <w:tcW w:w="836" w:type="dxa"/>
          </w:tcPr>
          <w:p w:rsidRPr="006F34CD" w:rsidR="00515FE0" w:rsidP="006F34CD" w:rsidRDefault="00515FE0" w14:paraId="5B3175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136708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Usolye-Sibirskoye</w:t>
            </w:r>
          </w:p>
        </w:tc>
        <w:tc>
          <w:tcPr>
            <w:tcW w:w="1134" w:type="dxa"/>
          </w:tcPr>
          <w:p w:rsidRPr="006F34CD" w:rsidR="00515FE0" w:rsidP="006F34CD" w:rsidRDefault="00515FE0" w14:paraId="72CC07F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5B388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9333FA" w14:textId="77777777">
            <w:pPr>
              <w:spacing w:before="120" w:after="120"/>
              <w:jc w:val="center"/>
              <w:rPr>
                <w:rFonts w:ascii="Times New Roman" w:hAnsi="Times New Roman" w:cs="Times New Roman"/>
                <w:sz w:val="18"/>
                <w:szCs w:val="18"/>
              </w:rPr>
            </w:pPr>
          </w:p>
        </w:tc>
      </w:tr>
      <w:tr w:rsidRPr="006F34CD" w:rsidR="00515FE0" w:rsidTr="00EF028C" w14:paraId="50FF1E0A" w14:textId="77777777">
        <w:trPr>
          <w:cantSplit/>
        </w:trPr>
        <w:tc>
          <w:tcPr>
            <w:tcW w:w="2249" w:type="dxa"/>
          </w:tcPr>
          <w:p w:rsidRPr="006F34CD" w:rsidR="00515FE0" w:rsidP="006F34CD" w:rsidRDefault="00515FE0" w14:paraId="16BF8D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Ivanovich LYAMO</w:t>
            </w:r>
          </w:p>
        </w:tc>
        <w:tc>
          <w:tcPr>
            <w:tcW w:w="836" w:type="dxa"/>
          </w:tcPr>
          <w:p w:rsidRPr="006F34CD" w:rsidR="00515FE0" w:rsidP="006F34CD" w:rsidRDefault="00515FE0" w14:paraId="4D935D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29669F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Teykovo</w:t>
            </w:r>
          </w:p>
        </w:tc>
        <w:tc>
          <w:tcPr>
            <w:tcW w:w="1134" w:type="dxa"/>
          </w:tcPr>
          <w:p w:rsidRPr="006F34CD" w:rsidR="00515FE0" w:rsidP="006F34CD" w:rsidRDefault="00515FE0" w14:paraId="61125B3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42C43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46F683F" w14:textId="77777777">
            <w:pPr>
              <w:spacing w:before="120" w:after="120"/>
              <w:jc w:val="center"/>
              <w:rPr>
                <w:rFonts w:ascii="Times New Roman" w:hAnsi="Times New Roman" w:cs="Times New Roman"/>
                <w:sz w:val="18"/>
                <w:szCs w:val="18"/>
              </w:rPr>
            </w:pPr>
          </w:p>
        </w:tc>
      </w:tr>
      <w:tr w:rsidRPr="006F34CD" w:rsidR="00515FE0" w:rsidTr="00EF028C" w14:paraId="22E5FBED" w14:textId="77777777">
        <w:trPr>
          <w:cantSplit/>
        </w:trPr>
        <w:tc>
          <w:tcPr>
            <w:tcW w:w="2249" w:type="dxa"/>
          </w:tcPr>
          <w:p w:rsidRPr="006F34CD" w:rsidR="00515FE0" w:rsidP="006F34CD" w:rsidRDefault="00515FE0" w14:paraId="663047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Nikolayevich LYASHENKO</w:t>
            </w:r>
          </w:p>
        </w:tc>
        <w:tc>
          <w:tcPr>
            <w:tcW w:w="836" w:type="dxa"/>
          </w:tcPr>
          <w:p w:rsidRPr="006F34CD" w:rsidR="00515FE0" w:rsidP="006F34CD" w:rsidRDefault="00515FE0" w14:paraId="653C08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4B1B37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Serov</w:t>
            </w:r>
          </w:p>
        </w:tc>
        <w:tc>
          <w:tcPr>
            <w:tcW w:w="1134" w:type="dxa"/>
          </w:tcPr>
          <w:p w:rsidRPr="006F34CD" w:rsidR="00515FE0" w:rsidP="006F34CD" w:rsidRDefault="00515FE0" w14:paraId="6E3A774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FE5A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D253CE" w14:textId="77777777">
            <w:pPr>
              <w:spacing w:before="120" w:after="120"/>
              <w:jc w:val="center"/>
              <w:rPr>
                <w:rFonts w:ascii="Times New Roman" w:hAnsi="Times New Roman" w:cs="Times New Roman"/>
                <w:sz w:val="18"/>
                <w:szCs w:val="18"/>
              </w:rPr>
            </w:pPr>
          </w:p>
        </w:tc>
      </w:tr>
      <w:tr w:rsidRPr="006F34CD" w:rsidR="00515FE0" w:rsidTr="00EF028C" w14:paraId="26361447" w14:textId="77777777">
        <w:trPr>
          <w:cantSplit/>
        </w:trPr>
        <w:tc>
          <w:tcPr>
            <w:tcW w:w="2249" w:type="dxa"/>
          </w:tcPr>
          <w:p w:rsidRPr="006F34CD" w:rsidR="00515FE0" w:rsidP="006F34CD" w:rsidRDefault="00515FE0" w14:paraId="6BFE70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Nikolayevich LYASHENKO</w:t>
            </w:r>
          </w:p>
        </w:tc>
        <w:tc>
          <w:tcPr>
            <w:tcW w:w="836" w:type="dxa"/>
          </w:tcPr>
          <w:p w:rsidRPr="006F34CD" w:rsidR="00515FE0" w:rsidP="006F34CD" w:rsidRDefault="00515FE0" w14:paraId="1B38D5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6E62DE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Astrakhan</w:t>
            </w:r>
          </w:p>
        </w:tc>
        <w:tc>
          <w:tcPr>
            <w:tcW w:w="1134" w:type="dxa"/>
          </w:tcPr>
          <w:p w:rsidRPr="006F34CD" w:rsidR="00515FE0" w:rsidP="006F34CD" w:rsidRDefault="00515FE0" w14:paraId="62016F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2A6FD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10CA85" w14:textId="77777777">
            <w:pPr>
              <w:spacing w:before="120" w:after="120"/>
              <w:jc w:val="center"/>
              <w:rPr>
                <w:rFonts w:ascii="Times New Roman" w:hAnsi="Times New Roman" w:cs="Times New Roman"/>
                <w:sz w:val="18"/>
                <w:szCs w:val="18"/>
              </w:rPr>
            </w:pPr>
          </w:p>
        </w:tc>
      </w:tr>
      <w:tr w:rsidRPr="006F34CD" w:rsidR="00515FE0" w:rsidTr="00EF028C" w14:paraId="1182BD25" w14:textId="77777777">
        <w:trPr>
          <w:cantSplit/>
        </w:trPr>
        <w:tc>
          <w:tcPr>
            <w:tcW w:w="2249" w:type="dxa"/>
          </w:tcPr>
          <w:p w:rsidRPr="006F34CD" w:rsidR="00515FE0" w:rsidP="006F34CD" w:rsidRDefault="00515FE0" w14:paraId="03B4B7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Vladimirovich LYSENKO</w:t>
            </w:r>
          </w:p>
        </w:tc>
        <w:tc>
          <w:tcPr>
            <w:tcW w:w="836" w:type="dxa"/>
          </w:tcPr>
          <w:p w:rsidRPr="006F34CD" w:rsidR="00515FE0" w:rsidP="006F34CD" w:rsidRDefault="00515FE0" w14:paraId="470266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4217D3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Raduzhniy</w:t>
            </w:r>
          </w:p>
        </w:tc>
        <w:tc>
          <w:tcPr>
            <w:tcW w:w="1134" w:type="dxa"/>
          </w:tcPr>
          <w:p w:rsidRPr="006F34CD" w:rsidR="00515FE0" w:rsidP="006F34CD" w:rsidRDefault="00515FE0" w14:paraId="270D299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020B5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7A790D" w14:textId="77777777">
            <w:pPr>
              <w:spacing w:before="120" w:after="120"/>
              <w:jc w:val="center"/>
              <w:rPr>
                <w:rFonts w:ascii="Times New Roman" w:hAnsi="Times New Roman" w:cs="Times New Roman"/>
                <w:sz w:val="18"/>
                <w:szCs w:val="18"/>
              </w:rPr>
            </w:pPr>
          </w:p>
        </w:tc>
      </w:tr>
      <w:tr w:rsidRPr="006F34CD" w:rsidR="00515FE0" w:rsidTr="00EF028C" w14:paraId="3214F3F6" w14:textId="77777777">
        <w:trPr>
          <w:cantSplit/>
        </w:trPr>
        <w:tc>
          <w:tcPr>
            <w:tcW w:w="2249" w:type="dxa"/>
          </w:tcPr>
          <w:p w:rsidRPr="006F34CD" w:rsidR="00515FE0" w:rsidP="006F34CD" w:rsidRDefault="00515FE0" w14:paraId="5F9EEA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Khachatur Mikhaylovich MADUNTSEV</w:t>
            </w:r>
          </w:p>
        </w:tc>
        <w:tc>
          <w:tcPr>
            <w:tcW w:w="836" w:type="dxa"/>
          </w:tcPr>
          <w:p w:rsidRPr="006F34CD" w:rsidR="00515FE0" w:rsidP="006F34CD" w:rsidRDefault="00515FE0" w14:paraId="6E9B6F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5C0D07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Svetlograd</w:t>
            </w:r>
          </w:p>
        </w:tc>
        <w:tc>
          <w:tcPr>
            <w:tcW w:w="1134" w:type="dxa"/>
          </w:tcPr>
          <w:p w:rsidRPr="006F34CD" w:rsidR="00515FE0" w:rsidP="006F34CD" w:rsidRDefault="00515FE0" w14:paraId="7AE3A29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E05BB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2B1015" w14:textId="77777777">
            <w:pPr>
              <w:spacing w:before="120" w:after="120"/>
              <w:jc w:val="center"/>
              <w:rPr>
                <w:rFonts w:ascii="Times New Roman" w:hAnsi="Times New Roman" w:cs="Times New Roman"/>
                <w:sz w:val="18"/>
                <w:szCs w:val="18"/>
              </w:rPr>
            </w:pPr>
          </w:p>
        </w:tc>
      </w:tr>
      <w:tr w:rsidRPr="006F34CD" w:rsidR="00515FE0" w:rsidTr="00EF028C" w14:paraId="19F30051" w14:textId="77777777">
        <w:trPr>
          <w:cantSplit/>
        </w:trPr>
        <w:tc>
          <w:tcPr>
            <w:tcW w:w="2249" w:type="dxa"/>
          </w:tcPr>
          <w:p w:rsidRPr="006F34CD" w:rsidR="00515FE0" w:rsidP="006F34CD" w:rsidRDefault="00515FE0" w14:paraId="68DFE1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Aleksandrovich MAKARENKO</w:t>
            </w:r>
          </w:p>
        </w:tc>
        <w:tc>
          <w:tcPr>
            <w:tcW w:w="836" w:type="dxa"/>
          </w:tcPr>
          <w:p w:rsidRPr="006F34CD" w:rsidR="00515FE0" w:rsidP="006F34CD" w:rsidRDefault="00515FE0" w14:paraId="6FD83A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554C6F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Novosinkovo</w:t>
            </w:r>
          </w:p>
        </w:tc>
        <w:tc>
          <w:tcPr>
            <w:tcW w:w="1134" w:type="dxa"/>
          </w:tcPr>
          <w:p w:rsidRPr="006F34CD" w:rsidR="00515FE0" w:rsidP="006F34CD" w:rsidRDefault="00515FE0" w14:paraId="705D4C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59FD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5145E4" w14:textId="77777777">
            <w:pPr>
              <w:spacing w:before="120" w:after="120"/>
              <w:jc w:val="center"/>
              <w:rPr>
                <w:rFonts w:ascii="Times New Roman" w:hAnsi="Times New Roman" w:cs="Times New Roman"/>
                <w:sz w:val="18"/>
                <w:szCs w:val="18"/>
              </w:rPr>
            </w:pPr>
          </w:p>
        </w:tc>
      </w:tr>
      <w:tr w:rsidRPr="006F34CD" w:rsidR="00515FE0" w:rsidTr="00EF028C" w14:paraId="032A0A49" w14:textId="77777777">
        <w:trPr>
          <w:cantSplit/>
        </w:trPr>
        <w:tc>
          <w:tcPr>
            <w:tcW w:w="2249" w:type="dxa"/>
          </w:tcPr>
          <w:p w:rsidRPr="006F34CD" w:rsidR="00515FE0" w:rsidP="006F34CD" w:rsidRDefault="00515FE0" w14:paraId="1A5FD7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Ivanovich MAKSIMOV</w:t>
            </w:r>
          </w:p>
        </w:tc>
        <w:tc>
          <w:tcPr>
            <w:tcW w:w="836" w:type="dxa"/>
          </w:tcPr>
          <w:p w:rsidRPr="006F34CD" w:rsidR="00515FE0" w:rsidP="006F34CD" w:rsidRDefault="00515FE0" w14:paraId="69E0EC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74D5F6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Saint Petersburg</w:t>
            </w:r>
          </w:p>
        </w:tc>
        <w:tc>
          <w:tcPr>
            <w:tcW w:w="1134" w:type="dxa"/>
          </w:tcPr>
          <w:p w:rsidRPr="006F34CD" w:rsidR="00515FE0" w:rsidP="006F34CD" w:rsidRDefault="00515FE0" w14:paraId="4F5108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B21C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EDE9AB" w14:textId="77777777">
            <w:pPr>
              <w:spacing w:before="120" w:after="120"/>
              <w:jc w:val="center"/>
              <w:rPr>
                <w:rFonts w:ascii="Times New Roman" w:hAnsi="Times New Roman" w:cs="Times New Roman"/>
                <w:sz w:val="18"/>
                <w:szCs w:val="18"/>
              </w:rPr>
            </w:pPr>
          </w:p>
        </w:tc>
      </w:tr>
      <w:tr w:rsidRPr="006F34CD" w:rsidR="00515FE0" w:rsidTr="00EF028C" w14:paraId="0640891D" w14:textId="77777777">
        <w:trPr>
          <w:cantSplit/>
        </w:trPr>
        <w:tc>
          <w:tcPr>
            <w:tcW w:w="2249" w:type="dxa"/>
          </w:tcPr>
          <w:p w:rsidRPr="006F34CD" w:rsidR="00515FE0" w:rsidP="006F34CD" w:rsidRDefault="00515FE0" w14:paraId="7ED938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Vladimirovich MALASHKEVICH</w:t>
            </w:r>
          </w:p>
        </w:tc>
        <w:tc>
          <w:tcPr>
            <w:tcW w:w="836" w:type="dxa"/>
          </w:tcPr>
          <w:p w:rsidRPr="006F34CD" w:rsidR="00515FE0" w:rsidP="006F34CD" w:rsidRDefault="00515FE0" w14:paraId="6E6250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4CABA5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Kavalerovo</w:t>
            </w:r>
          </w:p>
        </w:tc>
        <w:tc>
          <w:tcPr>
            <w:tcW w:w="1134" w:type="dxa"/>
          </w:tcPr>
          <w:p w:rsidRPr="006F34CD" w:rsidR="00515FE0" w:rsidP="006F34CD" w:rsidRDefault="00515FE0" w14:paraId="6FF6D60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B7F00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515BEF" w14:textId="77777777">
            <w:pPr>
              <w:spacing w:before="120" w:after="120"/>
              <w:jc w:val="center"/>
              <w:rPr>
                <w:rFonts w:ascii="Times New Roman" w:hAnsi="Times New Roman" w:cs="Times New Roman"/>
                <w:sz w:val="18"/>
                <w:szCs w:val="18"/>
              </w:rPr>
            </w:pPr>
          </w:p>
        </w:tc>
      </w:tr>
      <w:tr w:rsidRPr="006F34CD" w:rsidR="00515FE0" w:rsidTr="00EF028C" w14:paraId="7A37FA11" w14:textId="77777777">
        <w:trPr>
          <w:cantSplit/>
        </w:trPr>
        <w:tc>
          <w:tcPr>
            <w:tcW w:w="2249" w:type="dxa"/>
          </w:tcPr>
          <w:p w:rsidRPr="006F34CD" w:rsidR="00515FE0" w:rsidP="006F34CD" w:rsidRDefault="00515FE0" w14:paraId="74D8D4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Yuryevich MALEVANIY</w:t>
            </w:r>
          </w:p>
        </w:tc>
        <w:tc>
          <w:tcPr>
            <w:tcW w:w="836" w:type="dxa"/>
          </w:tcPr>
          <w:p w:rsidRPr="006F34CD" w:rsidR="00515FE0" w:rsidP="006F34CD" w:rsidRDefault="00515FE0" w14:paraId="3D52E3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1990</w:t>
            </w:r>
          </w:p>
        </w:tc>
        <w:tc>
          <w:tcPr>
            <w:tcW w:w="1305" w:type="dxa"/>
          </w:tcPr>
          <w:p w:rsidRPr="006F34CD" w:rsidR="00515FE0" w:rsidP="006F34CD" w:rsidRDefault="00515FE0" w14:paraId="2FE2C4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Spassk-Dalniy</w:t>
            </w:r>
          </w:p>
        </w:tc>
        <w:tc>
          <w:tcPr>
            <w:tcW w:w="1134" w:type="dxa"/>
          </w:tcPr>
          <w:p w:rsidRPr="006F34CD" w:rsidR="00515FE0" w:rsidP="006F34CD" w:rsidRDefault="00515FE0" w14:paraId="29AAFC5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FA0645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351372" w14:textId="77777777">
            <w:pPr>
              <w:spacing w:before="120" w:after="120"/>
              <w:jc w:val="center"/>
              <w:rPr>
                <w:rFonts w:ascii="Times New Roman" w:hAnsi="Times New Roman" w:cs="Times New Roman"/>
                <w:sz w:val="18"/>
                <w:szCs w:val="18"/>
              </w:rPr>
            </w:pPr>
          </w:p>
        </w:tc>
      </w:tr>
      <w:tr w:rsidRPr="006F34CD" w:rsidR="00515FE0" w:rsidTr="00EF028C" w14:paraId="4C67B0FB" w14:textId="77777777">
        <w:trPr>
          <w:cantSplit/>
        </w:trPr>
        <w:tc>
          <w:tcPr>
            <w:tcW w:w="2249" w:type="dxa"/>
          </w:tcPr>
          <w:p w:rsidRPr="006F34CD" w:rsidR="00515FE0" w:rsidP="006F34CD" w:rsidRDefault="00515FE0" w14:paraId="50814F7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Valeryevich MALTSEV</w:t>
            </w:r>
          </w:p>
        </w:tc>
        <w:tc>
          <w:tcPr>
            <w:tcW w:w="836" w:type="dxa"/>
          </w:tcPr>
          <w:p w:rsidRPr="006F34CD" w:rsidR="00515FE0" w:rsidP="006F34CD" w:rsidRDefault="00515FE0" w14:paraId="0BD27A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24B7F3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Fryazino</w:t>
            </w:r>
          </w:p>
        </w:tc>
        <w:tc>
          <w:tcPr>
            <w:tcW w:w="1134" w:type="dxa"/>
          </w:tcPr>
          <w:p w:rsidRPr="006F34CD" w:rsidR="00515FE0" w:rsidP="006F34CD" w:rsidRDefault="00515FE0" w14:paraId="401083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483F8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DF8E6C" w14:textId="77777777">
            <w:pPr>
              <w:spacing w:before="120" w:after="120"/>
              <w:jc w:val="center"/>
              <w:rPr>
                <w:rFonts w:ascii="Times New Roman" w:hAnsi="Times New Roman" w:cs="Times New Roman"/>
                <w:sz w:val="18"/>
                <w:szCs w:val="18"/>
              </w:rPr>
            </w:pPr>
          </w:p>
        </w:tc>
      </w:tr>
      <w:tr w:rsidRPr="006F34CD" w:rsidR="00515FE0" w:rsidTr="00EF028C" w14:paraId="40A98796" w14:textId="77777777">
        <w:trPr>
          <w:cantSplit/>
        </w:trPr>
        <w:tc>
          <w:tcPr>
            <w:tcW w:w="2249" w:type="dxa"/>
          </w:tcPr>
          <w:p w:rsidRPr="006F34CD" w:rsidR="00515FE0" w:rsidP="006F34CD" w:rsidRDefault="00515FE0" w14:paraId="40FD6E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Pavlovich MALYKH</w:t>
            </w:r>
          </w:p>
        </w:tc>
        <w:tc>
          <w:tcPr>
            <w:tcW w:w="836" w:type="dxa"/>
          </w:tcPr>
          <w:p w:rsidRPr="006F34CD" w:rsidR="00515FE0" w:rsidP="006F34CD" w:rsidRDefault="00515FE0" w14:paraId="558B55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5D620F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Igra</w:t>
            </w:r>
          </w:p>
        </w:tc>
        <w:tc>
          <w:tcPr>
            <w:tcW w:w="1134" w:type="dxa"/>
          </w:tcPr>
          <w:p w:rsidRPr="006F34CD" w:rsidR="00515FE0" w:rsidP="006F34CD" w:rsidRDefault="00515FE0" w14:paraId="15F6E36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7EA4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6F6605" w14:textId="77777777">
            <w:pPr>
              <w:spacing w:before="120" w:after="120"/>
              <w:jc w:val="center"/>
              <w:rPr>
                <w:rFonts w:ascii="Times New Roman" w:hAnsi="Times New Roman" w:cs="Times New Roman"/>
                <w:sz w:val="18"/>
                <w:szCs w:val="18"/>
              </w:rPr>
            </w:pPr>
          </w:p>
        </w:tc>
      </w:tr>
      <w:tr w:rsidRPr="006F34CD" w:rsidR="00515FE0" w:rsidTr="00EF028C" w14:paraId="4062AB19" w14:textId="77777777">
        <w:trPr>
          <w:cantSplit/>
        </w:trPr>
        <w:tc>
          <w:tcPr>
            <w:tcW w:w="2249" w:type="dxa"/>
          </w:tcPr>
          <w:p w:rsidRPr="006F34CD" w:rsidR="00515FE0" w:rsidP="006F34CD" w:rsidRDefault="00515FE0" w14:paraId="42C361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Nikolayevich MALYSHEV</w:t>
            </w:r>
          </w:p>
        </w:tc>
        <w:tc>
          <w:tcPr>
            <w:tcW w:w="836" w:type="dxa"/>
          </w:tcPr>
          <w:p w:rsidRPr="006F34CD" w:rsidR="00515FE0" w:rsidP="006F34CD" w:rsidRDefault="00515FE0" w14:paraId="5C6F2E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305AAB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Petersburg</w:t>
            </w:r>
          </w:p>
        </w:tc>
        <w:tc>
          <w:tcPr>
            <w:tcW w:w="1134" w:type="dxa"/>
          </w:tcPr>
          <w:p w:rsidRPr="006F34CD" w:rsidR="00515FE0" w:rsidP="006F34CD" w:rsidRDefault="00515FE0" w14:paraId="2162B4E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C3AF9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33A58C" w14:textId="77777777">
            <w:pPr>
              <w:spacing w:before="120" w:after="120"/>
              <w:jc w:val="center"/>
              <w:rPr>
                <w:rFonts w:ascii="Times New Roman" w:hAnsi="Times New Roman" w:cs="Times New Roman"/>
                <w:sz w:val="18"/>
                <w:szCs w:val="18"/>
              </w:rPr>
            </w:pPr>
          </w:p>
        </w:tc>
      </w:tr>
      <w:tr w:rsidRPr="006F34CD" w:rsidR="00515FE0" w:rsidTr="00EF028C" w14:paraId="0ACFD68B" w14:textId="77777777">
        <w:trPr>
          <w:cantSplit/>
        </w:trPr>
        <w:tc>
          <w:tcPr>
            <w:tcW w:w="2249" w:type="dxa"/>
          </w:tcPr>
          <w:p w:rsidRPr="006F34CD" w:rsidR="00515FE0" w:rsidP="006F34CD" w:rsidRDefault="00515FE0" w14:paraId="244AC3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Semenovich MANASKUTRA</w:t>
            </w:r>
          </w:p>
        </w:tc>
        <w:tc>
          <w:tcPr>
            <w:tcW w:w="836" w:type="dxa"/>
          </w:tcPr>
          <w:p w:rsidRPr="006F34CD" w:rsidR="00515FE0" w:rsidP="006F34CD" w:rsidRDefault="00515FE0" w14:paraId="633F16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0644B8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Bolshoy Bukor</w:t>
            </w:r>
          </w:p>
        </w:tc>
        <w:tc>
          <w:tcPr>
            <w:tcW w:w="1134" w:type="dxa"/>
          </w:tcPr>
          <w:p w:rsidRPr="006F34CD" w:rsidR="00515FE0" w:rsidP="006F34CD" w:rsidRDefault="00515FE0" w14:paraId="155812D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ED7A7E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524FE4" w14:textId="77777777">
            <w:pPr>
              <w:spacing w:before="120" w:after="120"/>
              <w:jc w:val="center"/>
              <w:rPr>
                <w:rFonts w:ascii="Times New Roman" w:hAnsi="Times New Roman" w:cs="Times New Roman"/>
                <w:sz w:val="18"/>
                <w:szCs w:val="18"/>
              </w:rPr>
            </w:pPr>
          </w:p>
        </w:tc>
      </w:tr>
      <w:tr w:rsidRPr="006F34CD" w:rsidR="00515FE0" w:rsidTr="00EF028C" w14:paraId="5C624FC0" w14:textId="77777777">
        <w:trPr>
          <w:cantSplit/>
        </w:trPr>
        <w:tc>
          <w:tcPr>
            <w:tcW w:w="2249" w:type="dxa"/>
          </w:tcPr>
          <w:p w:rsidRPr="006F34CD" w:rsidR="00515FE0" w:rsidP="006F34CD" w:rsidRDefault="00515FE0" w14:paraId="626637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Nikolayevich MANGILEV</w:t>
            </w:r>
          </w:p>
        </w:tc>
        <w:tc>
          <w:tcPr>
            <w:tcW w:w="836" w:type="dxa"/>
          </w:tcPr>
          <w:p w:rsidRPr="006F34CD" w:rsidR="00515FE0" w:rsidP="006F34CD" w:rsidRDefault="00515FE0" w14:paraId="066C6C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087B7D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Baltym</w:t>
            </w:r>
          </w:p>
        </w:tc>
        <w:tc>
          <w:tcPr>
            <w:tcW w:w="1134" w:type="dxa"/>
          </w:tcPr>
          <w:p w:rsidRPr="006F34CD" w:rsidR="00515FE0" w:rsidP="006F34CD" w:rsidRDefault="00515FE0" w14:paraId="0489AA5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0583FC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932795" w14:textId="77777777">
            <w:pPr>
              <w:spacing w:before="120" w:after="120"/>
              <w:jc w:val="center"/>
              <w:rPr>
                <w:rFonts w:ascii="Times New Roman" w:hAnsi="Times New Roman" w:cs="Times New Roman"/>
                <w:sz w:val="18"/>
                <w:szCs w:val="18"/>
              </w:rPr>
            </w:pPr>
          </w:p>
        </w:tc>
      </w:tr>
      <w:tr w:rsidRPr="006F34CD" w:rsidR="00515FE0" w:rsidTr="00EF028C" w14:paraId="6AEDEC35" w14:textId="77777777">
        <w:trPr>
          <w:cantSplit/>
        </w:trPr>
        <w:tc>
          <w:tcPr>
            <w:tcW w:w="2249" w:type="dxa"/>
          </w:tcPr>
          <w:p w:rsidRPr="006F34CD" w:rsidR="00515FE0" w:rsidP="006F34CD" w:rsidRDefault="00515FE0" w14:paraId="429A63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Ivanovich MARDAR</w:t>
            </w:r>
          </w:p>
        </w:tc>
        <w:tc>
          <w:tcPr>
            <w:tcW w:w="836" w:type="dxa"/>
          </w:tcPr>
          <w:p w:rsidRPr="006F34CD" w:rsidR="00515FE0" w:rsidP="006F34CD" w:rsidRDefault="00515FE0" w14:paraId="37EE9F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58582F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Zarechniy</w:t>
            </w:r>
          </w:p>
        </w:tc>
        <w:tc>
          <w:tcPr>
            <w:tcW w:w="1134" w:type="dxa"/>
          </w:tcPr>
          <w:p w:rsidRPr="006F34CD" w:rsidR="00515FE0" w:rsidP="006F34CD" w:rsidRDefault="00515FE0" w14:paraId="4A233EC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2C4D1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96E577" w14:textId="77777777">
            <w:pPr>
              <w:spacing w:before="120" w:after="120"/>
              <w:jc w:val="center"/>
              <w:rPr>
                <w:rFonts w:ascii="Times New Roman" w:hAnsi="Times New Roman" w:cs="Times New Roman"/>
                <w:sz w:val="18"/>
                <w:szCs w:val="18"/>
              </w:rPr>
            </w:pPr>
          </w:p>
        </w:tc>
      </w:tr>
      <w:tr w:rsidRPr="006F34CD" w:rsidR="00515FE0" w:rsidTr="00EF028C" w14:paraId="72848A6C" w14:textId="77777777">
        <w:trPr>
          <w:cantSplit/>
        </w:trPr>
        <w:tc>
          <w:tcPr>
            <w:tcW w:w="2249" w:type="dxa"/>
          </w:tcPr>
          <w:p w:rsidRPr="006F34CD" w:rsidR="00515FE0" w:rsidP="006F34CD" w:rsidRDefault="00515FE0" w14:paraId="448B8F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Anton Vasilyevich MARINETS</w:t>
            </w:r>
          </w:p>
        </w:tc>
        <w:tc>
          <w:tcPr>
            <w:tcW w:w="836" w:type="dxa"/>
          </w:tcPr>
          <w:p w:rsidRPr="006F34CD" w:rsidR="00515FE0" w:rsidP="006F34CD" w:rsidRDefault="00515FE0" w14:paraId="3903C7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1987</w:t>
            </w:r>
          </w:p>
        </w:tc>
        <w:tc>
          <w:tcPr>
            <w:tcW w:w="1305" w:type="dxa"/>
          </w:tcPr>
          <w:p w:rsidRPr="006F34CD" w:rsidR="00515FE0" w:rsidP="006F34CD" w:rsidRDefault="00515FE0" w14:paraId="61016C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Kavalerovo</w:t>
            </w:r>
          </w:p>
        </w:tc>
        <w:tc>
          <w:tcPr>
            <w:tcW w:w="1134" w:type="dxa"/>
          </w:tcPr>
          <w:p w:rsidRPr="006F34CD" w:rsidR="00515FE0" w:rsidP="006F34CD" w:rsidRDefault="00515FE0" w14:paraId="0EB7C52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13F4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7982307" w14:textId="77777777">
            <w:pPr>
              <w:spacing w:before="120" w:after="120"/>
              <w:jc w:val="center"/>
              <w:rPr>
                <w:rFonts w:ascii="Times New Roman" w:hAnsi="Times New Roman" w:cs="Times New Roman"/>
                <w:sz w:val="18"/>
                <w:szCs w:val="18"/>
              </w:rPr>
            </w:pPr>
          </w:p>
        </w:tc>
      </w:tr>
      <w:tr w:rsidRPr="006F34CD" w:rsidR="00515FE0" w:rsidTr="00EF028C" w14:paraId="66BBAE3D" w14:textId="77777777">
        <w:trPr>
          <w:cantSplit/>
        </w:trPr>
        <w:tc>
          <w:tcPr>
            <w:tcW w:w="2249" w:type="dxa"/>
          </w:tcPr>
          <w:p w:rsidRPr="006F34CD" w:rsidR="00515FE0" w:rsidP="006F34CD" w:rsidRDefault="00515FE0" w14:paraId="61BF4A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Lev Beybudovich MARKARYAN</w:t>
            </w:r>
          </w:p>
        </w:tc>
        <w:tc>
          <w:tcPr>
            <w:tcW w:w="836" w:type="dxa"/>
          </w:tcPr>
          <w:p w:rsidRPr="006F34CD" w:rsidR="00515FE0" w:rsidP="006F34CD" w:rsidRDefault="00515FE0" w14:paraId="02ACD2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3B167B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Timashevsk</w:t>
            </w:r>
          </w:p>
        </w:tc>
        <w:tc>
          <w:tcPr>
            <w:tcW w:w="1134" w:type="dxa"/>
          </w:tcPr>
          <w:p w:rsidRPr="006F34CD" w:rsidR="00515FE0" w:rsidP="006F34CD" w:rsidRDefault="00515FE0" w14:paraId="687CCB3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8DE89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216F67" w14:textId="77777777">
            <w:pPr>
              <w:spacing w:before="120" w:after="120"/>
              <w:jc w:val="center"/>
              <w:rPr>
                <w:rFonts w:ascii="Times New Roman" w:hAnsi="Times New Roman" w:cs="Times New Roman"/>
                <w:sz w:val="18"/>
                <w:szCs w:val="18"/>
              </w:rPr>
            </w:pPr>
          </w:p>
        </w:tc>
      </w:tr>
      <w:tr w:rsidRPr="006F34CD" w:rsidR="00515FE0" w:rsidTr="00EF028C" w14:paraId="3E3E7A5D" w14:textId="77777777">
        <w:trPr>
          <w:cantSplit/>
        </w:trPr>
        <w:tc>
          <w:tcPr>
            <w:tcW w:w="2249" w:type="dxa"/>
          </w:tcPr>
          <w:p w:rsidRPr="006F34CD" w:rsidR="00515FE0" w:rsidP="006F34CD" w:rsidRDefault="00515FE0" w14:paraId="491842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Vyacheslavovich MARKIN</w:t>
            </w:r>
          </w:p>
        </w:tc>
        <w:tc>
          <w:tcPr>
            <w:tcW w:w="836" w:type="dxa"/>
          </w:tcPr>
          <w:p w:rsidRPr="006F34CD" w:rsidR="00515FE0" w:rsidP="006F34CD" w:rsidRDefault="00515FE0" w14:paraId="42C03C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63DC09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Pechora</w:t>
            </w:r>
          </w:p>
        </w:tc>
        <w:tc>
          <w:tcPr>
            <w:tcW w:w="1134" w:type="dxa"/>
          </w:tcPr>
          <w:p w:rsidRPr="006F34CD" w:rsidR="00515FE0" w:rsidP="006F34CD" w:rsidRDefault="00515FE0" w14:paraId="0B6757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86CF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D90FC3" w14:textId="77777777">
            <w:pPr>
              <w:spacing w:before="120" w:after="120"/>
              <w:jc w:val="center"/>
              <w:rPr>
                <w:rFonts w:ascii="Times New Roman" w:hAnsi="Times New Roman" w:cs="Times New Roman"/>
                <w:sz w:val="18"/>
                <w:szCs w:val="18"/>
              </w:rPr>
            </w:pPr>
          </w:p>
        </w:tc>
      </w:tr>
      <w:tr w:rsidRPr="006F34CD" w:rsidR="00515FE0" w:rsidTr="00EF028C" w14:paraId="3FA0D63B" w14:textId="77777777">
        <w:trPr>
          <w:cantSplit/>
        </w:trPr>
        <w:tc>
          <w:tcPr>
            <w:tcW w:w="2249" w:type="dxa"/>
          </w:tcPr>
          <w:p w:rsidRPr="006F34CD" w:rsidR="00515FE0" w:rsidP="006F34CD" w:rsidRDefault="00515FE0" w14:paraId="7DE929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Nikolayevich MARKOVSKIY</w:t>
            </w:r>
          </w:p>
        </w:tc>
        <w:tc>
          <w:tcPr>
            <w:tcW w:w="836" w:type="dxa"/>
          </w:tcPr>
          <w:p w:rsidRPr="006F34CD" w:rsidR="00515FE0" w:rsidP="006F34CD" w:rsidRDefault="00515FE0" w14:paraId="74E682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4A3C79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Vvedenshchina</w:t>
            </w:r>
          </w:p>
        </w:tc>
        <w:tc>
          <w:tcPr>
            <w:tcW w:w="1134" w:type="dxa"/>
          </w:tcPr>
          <w:p w:rsidRPr="006F34CD" w:rsidR="00515FE0" w:rsidP="006F34CD" w:rsidRDefault="00515FE0" w14:paraId="0D0F2AD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EBBB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932937" w14:textId="77777777">
            <w:pPr>
              <w:spacing w:before="120" w:after="120"/>
              <w:jc w:val="center"/>
              <w:rPr>
                <w:rFonts w:ascii="Times New Roman" w:hAnsi="Times New Roman" w:cs="Times New Roman"/>
                <w:sz w:val="18"/>
                <w:szCs w:val="18"/>
              </w:rPr>
            </w:pPr>
          </w:p>
        </w:tc>
      </w:tr>
      <w:tr w:rsidRPr="006F34CD" w:rsidR="00515FE0" w:rsidTr="00EF028C" w14:paraId="4AA0D93C" w14:textId="77777777">
        <w:trPr>
          <w:cantSplit/>
        </w:trPr>
        <w:tc>
          <w:tcPr>
            <w:tcW w:w="2249" w:type="dxa"/>
          </w:tcPr>
          <w:p w:rsidRPr="006F34CD" w:rsidR="00515FE0" w:rsidP="006F34CD" w:rsidRDefault="00515FE0" w14:paraId="184778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Petrovich MASLOV</w:t>
            </w:r>
          </w:p>
        </w:tc>
        <w:tc>
          <w:tcPr>
            <w:tcW w:w="836" w:type="dxa"/>
          </w:tcPr>
          <w:p w:rsidRPr="006F34CD" w:rsidR="00515FE0" w:rsidP="006F34CD" w:rsidRDefault="00515FE0" w14:paraId="08E912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7066E3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Mikhaylovsk</w:t>
            </w:r>
          </w:p>
        </w:tc>
        <w:tc>
          <w:tcPr>
            <w:tcW w:w="1134" w:type="dxa"/>
          </w:tcPr>
          <w:p w:rsidRPr="006F34CD" w:rsidR="00515FE0" w:rsidP="006F34CD" w:rsidRDefault="00515FE0" w14:paraId="3629F11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13A29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51C935" w14:textId="77777777">
            <w:pPr>
              <w:spacing w:before="120" w:after="120"/>
              <w:jc w:val="center"/>
              <w:rPr>
                <w:rFonts w:ascii="Times New Roman" w:hAnsi="Times New Roman" w:cs="Times New Roman"/>
                <w:sz w:val="18"/>
                <w:szCs w:val="18"/>
              </w:rPr>
            </w:pPr>
          </w:p>
        </w:tc>
      </w:tr>
      <w:tr w:rsidRPr="006F34CD" w:rsidR="00515FE0" w:rsidTr="00EF028C" w14:paraId="5FFFCF9D" w14:textId="77777777">
        <w:trPr>
          <w:cantSplit/>
        </w:trPr>
        <w:tc>
          <w:tcPr>
            <w:tcW w:w="2249" w:type="dxa"/>
          </w:tcPr>
          <w:p w:rsidRPr="006F34CD" w:rsidR="00515FE0" w:rsidP="006F34CD" w:rsidRDefault="00515FE0" w14:paraId="17BAC1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Aleksandrovich MATASOV</w:t>
            </w:r>
          </w:p>
        </w:tc>
        <w:tc>
          <w:tcPr>
            <w:tcW w:w="836" w:type="dxa"/>
          </w:tcPr>
          <w:p w:rsidRPr="006F34CD" w:rsidR="00515FE0" w:rsidP="006F34CD" w:rsidRDefault="00515FE0" w14:paraId="72A296A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627B41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Volsk</w:t>
            </w:r>
          </w:p>
        </w:tc>
        <w:tc>
          <w:tcPr>
            <w:tcW w:w="1134" w:type="dxa"/>
          </w:tcPr>
          <w:p w:rsidRPr="006F34CD" w:rsidR="00515FE0" w:rsidP="006F34CD" w:rsidRDefault="00515FE0" w14:paraId="2D82ABA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8FF43F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DF139A" w14:textId="77777777">
            <w:pPr>
              <w:spacing w:before="120" w:after="120"/>
              <w:jc w:val="center"/>
              <w:rPr>
                <w:rFonts w:ascii="Times New Roman" w:hAnsi="Times New Roman" w:cs="Times New Roman"/>
                <w:sz w:val="18"/>
                <w:szCs w:val="18"/>
              </w:rPr>
            </w:pPr>
          </w:p>
        </w:tc>
      </w:tr>
      <w:tr w:rsidRPr="006F34CD" w:rsidR="00515FE0" w:rsidTr="00EF028C" w14:paraId="636CC0DA" w14:textId="77777777">
        <w:trPr>
          <w:cantSplit/>
        </w:trPr>
        <w:tc>
          <w:tcPr>
            <w:tcW w:w="2249" w:type="dxa"/>
          </w:tcPr>
          <w:p w:rsidRPr="006F34CD" w:rsidR="00515FE0" w:rsidP="006F34CD" w:rsidRDefault="00515FE0" w14:paraId="73CC9D9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 Petrovich MATSOLA</w:t>
            </w:r>
          </w:p>
        </w:tc>
        <w:tc>
          <w:tcPr>
            <w:tcW w:w="836" w:type="dxa"/>
          </w:tcPr>
          <w:p w:rsidRPr="006F34CD" w:rsidR="00515FE0" w:rsidP="006F34CD" w:rsidRDefault="00515FE0" w14:paraId="0BC779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7E82CD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Izhevsk</w:t>
            </w:r>
          </w:p>
        </w:tc>
        <w:tc>
          <w:tcPr>
            <w:tcW w:w="1134" w:type="dxa"/>
          </w:tcPr>
          <w:p w:rsidRPr="006F34CD" w:rsidR="00515FE0" w:rsidP="006F34CD" w:rsidRDefault="00515FE0" w14:paraId="7B13D95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8586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8D1508" w14:textId="77777777">
            <w:pPr>
              <w:spacing w:before="120" w:after="120"/>
              <w:jc w:val="center"/>
              <w:rPr>
                <w:rFonts w:ascii="Times New Roman" w:hAnsi="Times New Roman" w:cs="Times New Roman"/>
                <w:sz w:val="18"/>
                <w:szCs w:val="18"/>
              </w:rPr>
            </w:pPr>
          </w:p>
        </w:tc>
      </w:tr>
      <w:tr w:rsidRPr="006F34CD" w:rsidR="00515FE0" w:rsidTr="00EF028C" w14:paraId="3CBF1EED" w14:textId="77777777">
        <w:trPr>
          <w:cantSplit/>
        </w:trPr>
        <w:tc>
          <w:tcPr>
            <w:tcW w:w="2249" w:type="dxa"/>
          </w:tcPr>
          <w:p w:rsidRPr="006F34CD" w:rsidR="00515FE0" w:rsidP="006F34CD" w:rsidRDefault="00515FE0" w14:paraId="5E2F49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Gennadiy Vasilyevich MATUS</w:t>
            </w:r>
          </w:p>
        </w:tc>
        <w:tc>
          <w:tcPr>
            <w:tcW w:w="836" w:type="dxa"/>
          </w:tcPr>
          <w:p w:rsidRPr="006F34CD" w:rsidR="00515FE0" w:rsidP="006F34CD" w:rsidRDefault="00515FE0" w14:paraId="571934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7D078F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Krasnoyarsk</w:t>
            </w:r>
          </w:p>
        </w:tc>
        <w:tc>
          <w:tcPr>
            <w:tcW w:w="1134" w:type="dxa"/>
          </w:tcPr>
          <w:p w:rsidRPr="006F34CD" w:rsidR="00515FE0" w:rsidP="006F34CD" w:rsidRDefault="00515FE0" w14:paraId="2625282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8166B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4E1D19" w14:textId="77777777">
            <w:pPr>
              <w:spacing w:before="120" w:after="120"/>
              <w:jc w:val="center"/>
              <w:rPr>
                <w:rFonts w:ascii="Times New Roman" w:hAnsi="Times New Roman" w:cs="Times New Roman"/>
                <w:sz w:val="18"/>
                <w:szCs w:val="18"/>
              </w:rPr>
            </w:pPr>
          </w:p>
        </w:tc>
      </w:tr>
      <w:tr w:rsidRPr="006F34CD" w:rsidR="00515FE0" w:rsidTr="00EF028C" w14:paraId="58A2C4D7" w14:textId="77777777">
        <w:trPr>
          <w:cantSplit/>
        </w:trPr>
        <w:tc>
          <w:tcPr>
            <w:tcW w:w="2249" w:type="dxa"/>
          </w:tcPr>
          <w:p w:rsidRPr="006F34CD" w:rsidR="00515FE0" w:rsidP="006F34CD" w:rsidRDefault="00515FE0" w14:paraId="0B1231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Viktorovich MATUSHKIN</w:t>
            </w:r>
          </w:p>
        </w:tc>
        <w:tc>
          <w:tcPr>
            <w:tcW w:w="836" w:type="dxa"/>
          </w:tcPr>
          <w:p w:rsidRPr="006F34CD" w:rsidR="00515FE0" w:rsidP="006F34CD" w:rsidRDefault="00515FE0" w14:paraId="5404DF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5A00BD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Krasnodar</w:t>
            </w:r>
          </w:p>
        </w:tc>
        <w:tc>
          <w:tcPr>
            <w:tcW w:w="1134" w:type="dxa"/>
          </w:tcPr>
          <w:p w:rsidRPr="006F34CD" w:rsidR="00515FE0" w:rsidP="006F34CD" w:rsidRDefault="00515FE0" w14:paraId="69634D9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1A538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6B121D" w14:textId="77777777">
            <w:pPr>
              <w:spacing w:before="120" w:after="120"/>
              <w:jc w:val="center"/>
              <w:rPr>
                <w:rFonts w:ascii="Times New Roman" w:hAnsi="Times New Roman" w:cs="Times New Roman"/>
                <w:sz w:val="18"/>
                <w:szCs w:val="18"/>
              </w:rPr>
            </w:pPr>
          </w:p>
        </w:tc>
      </w:tr>
      <w:tr w:rsidRPr="006F34CD" w:rsidR="00515FE0" w:rsidTr="00EF028C" w14:paraId="7325181C" w14:textId="77777777">
        <w:trPr>
          <w:cantSplit/>
        </w:trPr>
        <w:tc>
          <w:tcPr>
            <w:tcW w:w="2249" w:type="dxa"/>
          </w:tcPr>
          <w:p w:rsidRPr="006F34CD" w:rsidR="00515FE0" w:rsidP="006F34CD" w:rsidRDefault="00515FE0" w14:paraId="776651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Arunas Albinovich MAURITSAS</w:t>
            </w:r>
          </w:p>
        </w:tc>
        <w:tc>
          <w:tcPr>
            <w:tcW w:w="836" w:type="dxa"/>
          </w:tcPr>
          <w:p w:rsidRPr="006F34CD" w:rsidR="00515FE0" w:rsidP="006F34CD" w:rsidRDefault="00515FE0" w14:paraId="2B6211E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6C5550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Chernyakhovsk</w:t>
            </w:r>
          </w:p>
        </w:tc>
        <w:tc>
          <w:tcPr>
            <w:tcW w:w="1134" w:type="dxa"/>
          </w:tcPr>
          <w:p w:rsidRPr="006F34CD" w:rsidR="00515FE0" w:rsidP="006F34CD" w:rsidRDefault="00515FE0" w14:paraId="1FFF898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4B363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6C9F39" w14:textId="77777777">
            <w:pPr>
              <w:spacing w:before="120" w:after="120"/>
              <w:jc w:val="center"/>
              <w:rPr>
                <w:rFonts w:ascii="Times New Roman" w:hAnsi="Times New Roman" w:cs="Times New Roman"/>
                <w:sz w:val="18"/>
                <w:szCs w:val="18"/>
              </w:rPr>
            </w:pPr>
          </w:p>
        </w:tc>
      </w:tr>
      <w:tr w:rsidRPr="006F34CD" w:rsidR="00515FE0" w:rsidTr="00EF028C" w14:paraId="1534511A" w14:textId="77777777">
        <w:trPr>
          <w:cantSplit/>
        </w:trPr>
        <w:tc>
          <w:tcPr>
            <w:tcW w:w="2249" w:type="dxa"/>
          </w:tcPr>
          <w:p w:rsidRPr="006F34CD" w:rsidR="00515FE0" w:rsidP="006F34CD" w:rsidRDefault="00515FE0" w14:paraId="711AD2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Valentin Vyacheslavovich MAYER</w:t>
            </w:r>
          </w:p>
        </w:tc>
        <w:tc>
          <w:tcPr>
            <w:tcW w:w="836" w:type="dxa"/>
          </w:tcPr>
          <w:p w:rsidRPr="006F34CD" w:rsidR="00515FE0" w:rsidP="006F34CD" w:rsidRDefault="00515FE0" w14:paraId="2CFDC0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1DC7D7A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Krasnoperekopsk</w:t>
            </w:r>
          </w:p>
        </w:tc>
        <w:tc>
          <w:tcPr>
            <w:tcW w:w="1134" w:type="dxa"/>
          </w:tcPr>
          <w:p w:rsidRPr="006F34CD" w:rsidR="00515FE0" w:rsidP="006F34CD" w:rsidRDefault="00515FE0" w14:paraId="16A87DD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F0F4C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EEB554E" w14:textId="77777777">
            <w:pPr>
              <w:spacing w:before="120" w:after="120"/>
              <w:jc w:val="center"/>
              <w:rPr>
                <w:rFonts w:ascii="Times New Roman" w:hAnsi="Times New Roman" w:cs="Times New Roman"/>
                <w:sz w:val="18"/>
                <w:szCs w:val="18"/>
              </w:rPr>
            </w:pPr>
          </w:p>
        </w:tc>
      </w:tr>
      <w:tr w:rsidRPr="006F34CD" w:rsidR="00515FE0" w:rsidTr="00EF028C" w14:paraId="0680C9DC" w14:textId="77777777">
        <w:trPr>
          <w:cantSplit/>
        </w:trPr>
        <w:tc>
          <w:tcPr>
            <w:tcW w:w="2249" w:type="dxa"/>
          </w:tcPr>
          <w:p w:rsidRPr="006F34CD" w:rsidR="00515FE0" w:rsidP="006F34CD" w:rsidRDefault="00515FE0" w14:paraId="13181C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Vyacheslav Vladimirovich MEDVEDEV</w:t>
            </w:r>
          </w:p>
        </w:tc>
        <w:tc>
          <w:tcPr>
            <w:tcW w:w="836" w:type="dxa"/>
          </w:tcPr>
          <w:p w:rsidRPr="006F34CD" w:rsidR="00515FE0" w:rsidP="006F34CD" w:rsidRDefault="00515FE0" w14:paraId="1EF7FA4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2A4874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Dalnerechensk</w:t>
            </w:r>
          </w:p>
        </w:tc>
        <w:tc>
          <w:tcPr>
            <w:tcW w:w="1134" w:type="dxa"/>
          </w:tcPr>
          <w:p w:rsidRPr="006F34CD" w:rsidR="00515FE0" w:rsidP="006F34CD" w:rsidRDefault="00515FE0" w14:paraId="38BA250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2B463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31D9E4" w14:textId="77777777">
            <w:pPr>
              <w:spacing w:before="120" w:after="120"/>
              <w:jc w:val="center"/>
              <w:rPr>
                <w:rFonts w:ascii="Times New Roman" w:hAnsi="Times New Roman" w:cs="Times New Roman"/>
                <w:sz w:val="18"/>
                <w:szCs w:val="18"/>
              </w:rPr>
            </w:pPr>
          </w:p>
        </w:tc>
      </w:tr>
      <w:tr w:rsidRPr="006F34CD" w:rsidR="00515FE0" w:rsidTr="00EF028C" w14:paraId="038E96DD" w14:textId="77777777">
        <w:trPr>
          <w:cantSplit/>
        </w:trPr>
        <w:tc>
          <w:tcPr>
            <w:tcW w:w="2249" w:type="dxa"/>
          </w:tcPr>
          <w:p w:rsidRPr="006F34CD" w:rsidR="00515FE0" w:rsidP="006F34CD" w:rsidRDefault="00515FE0" w14:paraId="15CCC2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Mustafa Ibadlayevich MENADIYEV</w:t>
            </w:r>
          </w:p>
        </w:tc>
        <w:tc>
          <w:tcPr>
            <w:tcW w:w="836" w:type="dxa"/>
          </w:tcPr>
          <w:p w:rsidRPr="006F34CD" w:rsidR="00515FE0" w:rsidP="006F34CD" w:rsidRDefault="00515FE0" w14:paraId="6B3E6C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54C9F9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Sennoy</w:t>
            </w:r>
          </w:p>
        </w:tc>
        <w:tc>
          <w:tcPr>
            <w:tcW w:w="1134" w:type="dxa"/>
          </w:tcPr>
          <w:p w:rsidRPr="006F34CD" w:rsidR="00515FE0" w:rsidP="006F34CD" w:rsidRDefault="00515FE0" w14:paraId="63684D8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72C6E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46433E" w14:textId="77777777">
            <w:pPr>
              <w:spacing w:before="120" w:after="120"/>
              <w:jc w:val="center"/>
              <w:rPr>
                <w:rFonts w:ascii="Times New Roman" w:hAnsi="Times New Roman" w:cs="Times New Roman"/>
                <w:sz w:val="18"/>
                <w:szCs w:val="18"/>
              </w:rPr>
            </w:pPr>
          </w:p>
        </w:tc>
      </w:tr>
      <w:tr w:rsidRPr="006F34CD" w:rsidR="00515FE0" w:rsidTr="00EF028C" w14:paraId="2837B999" w14:textId="77777777">
        <w:trPr>
          <w:cantSplit/>
        </w:trPr>
        <w:tc>
          <w:tcPr>
            <w:tcW w:w="2249" w:type="dxa"/>
          </w:tcPr>
          <w:p w:rsidRPr="006F34CD" w:rsidR="00515FE0" w:rsidP="006F34CD" w:rsidRDefault="00515FE0" w14:paraId="103E60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Ivanovich MENIN</w:t>
            </w:r>
          </w:p>
        </w:tc>
        <w:tc>
          <w:tcPr>
            <w:tcW w:w="836" w:type="dxa"/>
          </w:tcPr>
          <w:p w:rsidRPr="006F34CD" w:rsidR="00515FE0" w:rsidP="006F34CD" w:rsidRDefault="00515FE0" w14:paraId="441BDF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7C6446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Valuyki</w:t>
            </w:r>
          </w:p>
        </w:tc>
        <w:tc>
          <w:tcPr>
            <w:tcW w:w="1134" w:type="dxa"/>
          </w:tcPr>
          <w:p w:rsidRPr="006F34CD" w:rsidR="00515FE0" w:rsidP="006F34CD" w:rsidRDefault="00515FE0" w14:paraId="2DFE310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AC60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0EDCC1" w14:textId="77777777">
            <w:pPr>
              <w:spacing w:before="120" w:after="120"/>
              <w:jc w:val="center"/>
              <w:rPr>
                <w:rFonts w:ascii="Times New Roman" w:hAnsi="Times New Roman" w:cs="Times New Roman"/>
                <w:sz w:val="18"/>
                <w:szCs w:val="18"/>
              </w:rPr>
            </w:pPr>
          </w:p>
        </w:tc>
      </w:tr>
      <w:tr w:rsidRPr="006F34CD" w:rsidR="00515FE0" w:rsidTr="00EF028C" w14:paraId="1E1B6BE6" w14:textId="77777777">
        <w:trPr>
          <w:cantSplit/>
        </w:trPr>
        <w:tc>
          <w:tcPr>
            <w:tcW w:w="2249" w:type="dxa"/>
          </w:tcPr>
          <w:p w:rsidRPr="006F34CD" w:rsidR="00515FE0" w:rsidP="006F34CD" w:rsidRDefault="00515FE0" w14:paraId="7CD7E2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Ivanovich MENZHINSKIY</w:t>
            </w:r>
          </w:p>
        </w:tc>
        <w:tc>
          <w:tcPr>
            <w:tcW w:w="836" w:type="dxa"/>
          </w:tcPr>
          <w:p w:rsidRPr="006F34CD" w:rsidR="00515FE0" w:rsidP="006F34CD" w:rsidRDefault="00515FE0" w14:paraId="010D7A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7D14B3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Sovetsk</w:t>
            </w:r>
          </w:p>
        </w:tc>
        <w:tc>
          <w:tcPr>
            <w:tcW w:w="1134" w:type="dxa"/>
          </w:tcPr>
          <w:p w:rsidRPr="006F34CD" w:rsidR="00515FE0" w:rsidP="006F34CD" w:rsidRDefault="00515FE0" w14:paraId="1E47E2B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D26F4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0327D2" w14:textId="77777777">
            <w:pPr>
              <w:spacing w:before="120" w:after="120"/>
              <w:jc w:val="center"/>
              <w:rPr>
                <w:rFonts w:ascii="Times New Roman" w:hAnsi="Times New Roman" w:cs="Times New Roman"/>
                <w:sz w:val="18"/>
                <w:szCs w:val="18"/>
              </w:rPr>
            </w:pPr>
          </w:p>
        </w:tc>
      </w:tr>
      <w:tr w:rsidRPr="006F34CD" w:rsidR="00515FE0" w:rsidTr="00EF028C" w14:paraId="373943CD" w14:textId="77777777">
        <w:trPr>
          <w:cantSplit/>
        </w:trPr>
        <w:tc>
          <w:tcPr>
            <w:tcW w:w="2249" w:type="dxa"/>
          </w:tcPr>
          <w:p w:rsidRPr="006F34CD" w:rsidR="00515FE0" w:rsidP="006F34CD" w:rsidRDefault="00515FE0" w14:paraId="1D070A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Vladimirovich MIKHALTSOV</w:t>
            </w:r>
          </w:p>
        </w:tc>
        <w:tc>
          <w:tcPr>
            <w:tcW w:w="836" w:type="dxa"/>
          </w:tcPr>
          <w:p w:rsidRPr="006F34CD" w:rsidR="00515FE0" w:rsidP="006F34CD" w:rsidRDefault="00515FE0" w14:paraId="322705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1E1B66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Abaza</w:t>
            </w:r>
          </w:p>
        </w:tc>
        <w:tc>
          <w:tcPr>
            <w:tcW w:w="1134" w:type="dxa"/>
          </w:tcPr>
          <w:p w:rsidRPr="006F34CD" w:rsidR="00515FE0" w:rsidP="006F34CD" w:rsidRDefault="00515FE0" w14:paraId="1C3C3EC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40EC1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AD6CF2" w14:textId="77777777">
            <w:pPr>
              <w:spacing w:before="120" w:after="120"/>
              <w:jc w:val="center"/>
              <w:rPr>
                <w:rFonts w:ascii="Times New Roman" w:hAnsi="Times New Roman" w:cs="Times New Roman"/>
                <w:sz w:val="18"/>
                <w:szCs w:val="18"/>
              </w:rPr>
            </w:pPr>
          </w:p>
        </w:tc>
      </w:tr>
      <w:tr w:rsidRPr="006F34CD" w:rsidR="00515FE0" w:rsidTr="00EF028C" w14:paraId="5173028D" w14:textId="77777777">
        <w:trPr>
          <w:cantSplit/>
        </w:trPr>
        <w:tc>
          <w:tcPr>
            <w:tcW w:w="2249" w:type="dxa"/>
          </w:tcPr>
          <w:p w:rsidRPr="006F34CD" w:rsidR="00515FE0" w:rsidP="006F34CD" w:rsidRDefault="00515FE0" w14:paraId="2AEAD8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Yegorovich MIKHAYLOV</w:t>
            </w:r>
          </w:p>
        </w:tc>
        <w:tc>
          <w:tcPr>
            <w:tcW w:w="836" w:type="dxa"/>
          </w:tcPr>
          <w:p w:rsidRPr="006F34CD" w:rsidR="00515FE0" w:rsidP="006F34CD" w:rsidRDefault="00515FE0" w14:paraId="0E8750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7825F8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Kuybyshev</w:t>
            </w:r>
          </w:p>
        </w:tc>
        <w:tc>
          <w:tcPr>
            <w:tcW w:w="1134" w:type="dxa"/>
          </w:tcPr>
          <w:p w:rsidRPr="006F34CD" w:rsidR="00515FE0" w:rsidP="006F34CD" w:rsidRDefault="00515FE0" w14:paraId="63CCBD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081353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E46E94" w14:textId="77777777">
            <w:pPr>
              <w:spacing w:before="120" w:after="120"/>
              <w:jc w:val="center"/>
              <w:rPr>
                <w:rFonts w:ascii="Times New Roman" w:hAnsi="Times New Roman" w:cs="Times New Roman"/>
                <w:sz w:val="18"/>
                <w:szCs w:val="18"/>
              </w:rPr>
            </w:pPr>
          </w:p>
        </w:tc>
      </w:tr>
      <w:tr w:rsidRPr="006F34CD" w:rsidR="00515FE0" w:rsidTr="00EF028C" w14:paraId="7F2C650B" w14:textId="77777777">
        <w:trPr>
          <w:cantSplit/>
        </w:trPr>
        <w:tc>
          <w:tcPr>
            <w:tcW w:w="2249" w:type="dxa"/>
          </w:tcPr>
          <w:p w:rsidRPr="006F34CD" w:rsidR="00515FE0" w:rsidP="006F34CD" w:rsidRDefault="00515FE0" w14:paraId="4435AC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Ivanovich MILLER</w:t>
            </w:r>
          </w:p>
        </w:tc>
        <w:tc>
          <w:tcPr>
            <w:tcW w:w="836" w:type="dxa"/>
          </w:tcPr>
          <w:p w:rsidRPr="006F34CD" w:rsidR="00515FE0" w:rsidP="006F34CD" w:rsidRDefault="00515FE0" w14:paraId="5A2567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67FAF5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Nizhnegorskiy</w:t>
            </w:r>
          </w:p>
        </w:tc>
        <w:tc>
          <w:tcPr>
            <w:tcW w:w="1134" w:type="dxa"/>
          </w:tcPr>
          <w:p w:rsidRPr="006F34CD" w:rsidR="00515FE0" w:rsidP="006F34CD" w:rsidRDefault="00515FE0" w14:paraId="21963D9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C5D15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FC4694" w14:textId="77777777">
            <w:pPr>
              <w:spacing w:before="120" w:after="120"/>
              <w:jc w:val="center"/>
              <w:rPr>
                <w:rFonts w:ascii="Times New Roman" w:hAnsi="Times New Roman" w:cs="Times New Roman"/>
                <w:sz w:val="18"/>
                <w:szCs w:val="18"/>
              </w:rPr>
            </w:pPr>
          </w:p>
        </w:tc>
      </w:tr>
      <w:tr w:rsidRPr="006F34CD" w:rsidR="00515FE0" w:rsidTr="00EF028C" w14:paraId="1D3EA306" w14:textId="77777777">
        <w:trPr>
          <w:cantSplit/>
        </w:trPr>
        <w:tc>
          <w:tcPr>
            <w:tcW w:w="2249" w:type="dxa"/>
          </w:tcPr>
          <w:p w:rsidRPr="006F34CD" w:rsidR="00515FE0" w:rsidP="006F34CD" w:rsidRDefault="00515FE0" w14:paraId="652D49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Yevgenyevich MIRONCHIK</w:t>
            </w:r>
          </w:p>
        </w:tc>
        <w:tc>
          <w:tcPr>
            <w:tcW w:w="836" w:type="dxa"/>
          </w:tcPr>
          <w:p w:rsidRPr="006F34CD" w:rsidR="00515FE0" w:rsidP="006F34CD" w:rsidRDefault="00515FE0" w14:paraId="156BE8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67CF42A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Murmansk</w:t>
            </w:r>
          </w:p>
        </w:tc>
        <w:tc>
          <w:tcPr>
            <w:tcW w:w="1134" w:type="dxa"/>
          </w:tcPr>
          <w:p w:rsidRPr="006F34CD" w:rsidR="00515FE0" w:rsidP="006F34CD" w:rsidRDefault="00515FE0" w14:paraId="153E2C9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41376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F6699E" w14:textId="77777777">
            <w:pPr>
              <w:spacing w:before="120" w:after="120"/>
              <w:jc w:val="center"/>
              <w:rPr>
                <w:rFonts w:ascii="Times New Roman" w:hAnsi="Times New Roman" w:cs="Times New Roman"/>
                <w:sz w:val="18"/>
                <w:szCs w:val="18"/>
              </w:rPr>
            </w:pPr>
          </w:p>
        </w:tc>
      </w:tr>
      <w:tr w:rsidRPr="006F34CD" w:rsidR="00515FE0" w:rsidTr="00EF028C" w14:paraId="6A330BDE" w14:textId="77777777">
        <w:trPr>
          <w:cantSplit/>
        </w:trPr>
        <w:tc>
          <w:tcPr>
            <w:tcW w:w="2249" w:type="dxa"/>
          </w:tcPr>
          <w:p w:rsidRPr="006F34CD" w:rsidR="00515FE0" w:rsidP="006F34CD" w:rsidRDefault="00515FE0" w14:paraId="0700E1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Viktorovich MIRONENKO</w:t>
            </w:r>
          </w:p>
        </w:tc>
        <w:tc>
          <w:tcPr>
            <w:tcW w:w="836" w:type="dxa"/>
          </w:tcPr>
          <w:p w:rsidRPr="006F34CD" w:rsidR="00515FE0" w:rsidP="006F34CD" w:rsidRDefault="00515FE0" w14:paraId="47E0F1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1B92B7D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Korenovsk</w:t>
            </w:r>
          </w:p>
        </w:tc>
        <w:tc>
          <w:tcPr>
            <w:tcW w:w="1134" w:type="dxa"/>
          </w:tcPr>
          <w:p w:rsidRPr="006F34CD" w:rsidR="00515FE0" w:rsidP="006F34CD" w:rsidRDefault="00515FE0" w14:paraId="66A3FD1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320FF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9C1734" w14:textId="77777777">
            <w:pPr>
              <w:spacing w:before="120" w:after="120"/>
              <w:jc w:val="center"/>
              <w:rPr>
                <w:rFonts w:ascii="Times New Roman" w:hAnsi="Times New Roman" w:cs="Times New Roman"/>
                <w:sz w:val="18"/>
                <w:szCs w:val="18"/>
              </w:rPr>
            </w:pPr>
          </w:p>
        </w:tc>
      </w:tr>
      <w:tr w:rsidRPr="006F34CD" w:rsidR="00515FE0" w:rsidTr="00EF028C" w14:paraId="1D754A4A" w14:textId="77777777">
        <w:trPr>
          <w:cantSplit/>
        </w:trPr>
        <w:tc>
          <w:tcPr>
            <w:tcW w:w="2249" w:type="dxa"/>
          </w:tcPr>
          <w:p w:rsidRPr="006F34CD" w:rsidR="00515FE0" w:rsidP="006F34CD" w:rsidRDefault="00515FE0" w14:paraId="435B25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Anatolyevich MOISEYEV</w:t>
            </w:r>
          </w:p>
        </w:tc>
        <w:tc>
          <w:tcPr>
            <w:tcW w:w="836" w:type="dxa"/>
          </w:tcPr>
          <w:p w:rsidRPr="006F34CD" w:rsidR="00515FE0" w:rsidP="006F34CD" w:rsidRDefault="00515FE0" w14:paraId="1AC067F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626213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Kandalaksha</w:t>
            </w:r>
          </w:p>
        </w:tc>
        <w:tc>
          <w:tcPr>
            <w:tcW w:w="1134" w:type="dxa"/>
          </w:tcPr>
          <w:p w:rsidRPr="006F34CD" w:rsidR="00515FE0" w:rsidP="006F34CD" w:rsidRDefault="00515FE0" w14:paraId="67839D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305F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DE8A88" w14:textId="77777777">
            <w:pPr>
              <w:spacing w:before="120" w:after="120"/>
              <w:jc w:val="center"/>
              <w:rPr>
                <w:rFonts w:ascii="Times New Roman" w:hAnsi="Times New Roman" w:cs="Times New Roman"/>
                <w:sz w:val="18"/>
                <w:szCs w:val="18"/>
              </w:rPr>
            </w:pPr>
          </w:p>
        </w:tc>
      </w:tr>
      <w:tr w:rsidRPr="006F34CD" w:rsidR="00515FE0" w:rsidTr="00EF028C" w14:paraId="07A5AF3C" w14:textId="77777777">
        <w:trPr>
          <w:cantSplit/>
        </w:trPr>
        <w:tc>
          <w:tcPr>
            <w:tcW w:w="2249" w:type="dxa"/>
          </w:tcPr>
          <w:p w:rsidRPr="006F34CD" w:rsidR="00515FE0" w:rsidP="006F34CD" w:rsidRDefault="00515FE0" w14:paraId="37AFCC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Anatolyevich MOISEYEV</w:t>
            </w:r>
          </w:p>
        </w:tc>
        <w:tc>
          <w:tcPr>
            <w:tcW w:w="836" w:type="dxa"/>
          </w:tcPr>
          <w:p w:rsidRPr="006F34CD" w:rsidR="00515FE0" w:rsidP="006F34CD" w:rsidRDefault="00515FE0" w14:paraId="6E3CA00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26D302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Novotitarovskaya</w:t>
            </w:r>
          </w:p>
        </w:tc>
        <w:tc>
          <w:tcPr>
            <w:tcW w:w="1134" w:type="dxa"/>
          </w:tcPr>
          <w:p w:rsidRPr="006F34CD" w:rsidR="00515FE0" w:rsidP="006F34CD" w:rsidRDefault="00515FE0" w14:paraId="0814EFD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6424C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8BD636" w14:textId="77777777">
            <w:pPr>
              <w:spacing w:before="120" w:after="120"/>
              <w:jc w:val="center"/>
              <w:rPr>
                <w:rFonts w:ascii="Times New Roman" w:hAnsi="Times New Roman" w:cs="Times New Roman"/>
                <w:sz w:val="18"/>
                <w:szCs w:val="18"/>
              </w:rPr>
            </w:pPr>
          </w:p>
        </w:tc>
      </w:tr>
      <w:tr w:rsidRPr="006F34CD" w:rsidR="00515FE0" w:rsidTr="00EF028C" w14:paraId="1BCC28C2" w14:textId="77777777">
        <w:trPr>
          <w:cantSplit/>
        </w:trPr>
        <w:tc>
          <w:tcPr>
            <w:tcW w:w="2249" w:type="dxa"/>
          </w:tcPr>
          <w:p w:rsidRPr="006F34CD" w:rsidR="00515FE0" w:rsidP="006F34CD" w:rsidRDefault="00515FE0" w14:paraId="7A404D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Denis Vladimirovich MOROZOV</w:t>
            </w:r>
          </w:p>
        </w:tc>
        <w:tc>
          <w:tcPr>
            <w:tcW w:w="836" w:type="dxa"/>
          </w:tcPr>
          <w:p w:rsidRPr="006F34CD" w:rsidR="00515FE0" w:rsidP="006F34CD" w:rsidRDefault="00515FE0" w14:paraId="0FEC73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7D0720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Zelenogorsk</w:t>
            </w:r>
          </w:p>
        </w:tc>
        <w:tc>
          <w:tcPr>
            <w:tcW w:w="1134" w:type="dxa"/>
          </w:tcPr>
          <w:p w:rsidRPr="006F34CD" w:rsidR="00515FE0" w:rsidP="006F34CD" w:rsidRDefault="00515FE0" w14:paraId="1573D9D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795B8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B95A5C" w14:textId="77777777">
            <w:pPr>
              <w:spacing w:before="120" w:after="120"/>
              <w:jc w:val="center"/>
              <w:rPr>
                <w:rFonts w:ascii="Times New Roman" w:hAnsi="Times New Roman" w:cs="Times New Roman"/>
                <w:sz w:val="18"/>
                <w:szCs w:val="18"/>
              </w:rPr>
            </w:pPr>
          </w:p>
        </w:tc>
      </w:tr>
      <w:tr w:rsidRPr="006F34CD" w:rsidR="00515FE0" w:rsidTr="00EF028C" w14:paraId="294FC6D9" w14:textId="77777777">
        <w:trPr>
          <w:cantSplit/>
        </w:trPr>
        <w:tc>
          <w:tcPr>
            <w:tcW w:w="2249" w:type="dxa"/>
          </w:tcPr>
          <w:p w:rsidRPr="006F34CD" w:rsidR="00515FE0" w:rsidP="006F34CD" w:rsidRDefault="00515FE0" w14:paraId="024449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Georgiy Aleksandrovich MUSOYANTS</w:t>
            </w:r>
          </w:p>
        </w:tc>
        <w:tc>
          <w:tcPr>
            <w:tcW w:w="836" w:type="dxa"/>
          </w:tcPr>
          <w:p w:rsidRPr="006F34CD" w:rsidR="00515FE0" w:rsidP="006F34CD" w:rsidRDefault="00515FE0" w14:paraId="10D1596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4A609D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Usinsk</w:t>
            </w:r>
          </w:p>
        </w:tc>
        <w:tc>
          <w:tcPr>
            <w:tcW w:w="1134" w:type="dxa"/>
          </w:tcPr>
          <w:p w:rsidRPr="006F34CD" w:rsidR="00515FE0" w:rsidP="006F34CD" w:rsidRDefault="00515FE0" w14:paraId="779139A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95D802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0A32E8" w14:textId="77777777">
            <w:pPr>
              <w:spacing w:before="120" w:after="120"/>
              <w:jc w:val="center"/>
              <w:rPr>
                <w:rFonts w:ascii="Times New Roman" w:hAnsi="Times New Roman" w:cs="Times New Roman"/>
                <w:sz w:val="18"/>
                <w:szCs w:val="18"/>
              </w:rPr>
            </w:pPr>
          </w:p>
        </w:tc>
      </w:tr>
      <w:tr w:rsidRPr="006F34CD" w:rsidR="00515FE0" w:rsidTr="00EF028C" w14:paraId="66B58D20" w14:textId="77777777">
        <w:trPr>
          <w:cantSplit/>
        </w:trPr>
        <w:tc>
          <w:tcPr>
            <w:tcW w:w="2249" w:type="dxa"/>
          </w:tcPr>
          <w:p w:rsidRPr="006F34CD" w:rsidR="00515FE0" w:rsidP="006F34CD" w:rsidRDefault="00515FE0" w14:paraId="748C41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Aleksandrovich MYSIN</w:t>
            </w:r>
          </w:p>
        </w:tc>
        <w:tc>
          <w:tcPr>
            <w:tcW w:w="836" w:type="dxa"/>
          </w:tcPr>
          <w:p w:rsidRPr="006F34CD" w:rsidR="00515FE0" w:rsidP="006F34CD" w:rsidRDefault="00515FE0" w14:paraId="43AB881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269008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Ulyanovsk</w:t>
            </w:r>
          </w:p>
        </w:tc>
        <w:tc>
          <w:tcPr>
            <w:tcW w:w="1134" w:type="dxa"/>
          </w:tcPr>
          <w:p w:rsidRPr="006F34CD" w:rsidR="00515FE0" w:rsidP="006F34CD" w:rsidRDefault="00515FE0" w14:paraId="7EACDB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768C4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F100BA" w14:textId="77777777">
            <w:pPr>
              <w:spacing w:before="120" w:after="120"/>
              <w:jc w:val="center"/>
              <w:rPr>
                <w:rFonts w:ascii="Times New Roman" w:hAnsi="Times New Roman" w:cs="Times New Roman"/>
                <w:sz w:val="18"/>
                <w:szCs w:val="18"/>
              </w:rPr>
            </w:pPr>
          </w:p>
        </w:tc>
      </w:tr>
      <w:tr w:rsidRPr="006F34CD" w:rsidR="00515FE0" w:rsidTr="00EF028C" w14:paraId="08F24E90" w14:textId="77777777">
        <w:trPr>
          <w:cantSplit/>
        </w:trPr>
        <w:tc>
          <w:tcPr>
            <w:tcW w:w="2249" w:type="dxa"/>
          </w:tcPr>
          <w:p w:rsidRPr="006F34CD" w:rsidR="00515FE0" w:rsidP="006F34CD" w:rsidRDefault="00515FE0" w14:paraId="5DF3EF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Vyacheslavovich NADEYEV</w:t>
            </w:r>
          </w:p>
        </w:tc>
        <w:tc>
          <w:tcPr>
            <w:tcW w:w="836" w:type="dxa"/>
          </w:tcPr>
          <w:p w:rsidRPr="006F34CD" w:rsidR="00515FE0" w:rsidP="006F34CD" w:rsidRDefault="00515FE0" w14:paraId="722E2F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70F1BA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Korsakov</w:t>
            </w:r>
          </w:p>
        </w:tc>
        <w:tc>
          <w:tcPr>
            <w:tcW w:w="1134" w:type="dxa"/>
          </w:tcPr>
          <w:p w:rsidRPr="006F34CD" w:rsidR="00515FE0" w:rsidP="006F34CD" w:rsidRDefault="00515FE0" w14:paraId="0498B96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20E217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2621FB" w14:textId="77777777">
            <w:pPr>
              <w:spacing w:before="120" w:after="120"/>
              <w:jc w:val="center"/>
              <w:rPr>
                <w:rFonts w:ascii="Times New Roman" w:hAnsi="Times New Roman" w:cs="Times New Roman"/>
                <w:sz w:val="18"/>
                <w:szCs w:val="18"/>
              </w:rPr>
            </w:pPr>
          </w:p>
        </w:tc>
      </w:tr>
      <w:tr w:rsidRPr="006F34CD" w:rsidR="00515FE0" w:rsidTr="00EF028C" w14:paraId="4603CE59" w14:textId="77777777">
        <w:trPr>
          <w:cantSplit/>
        </w:trPr>
        <w:tc>
          <w:tcPr>
            <w:tcW w:w="2249" w:type="dxa"/>
          </w:tcPr>
          <w:p w:rsidRPr="006F34CD" w:rsidR="00515FE0" w:rsidP="006F34CD" w:rsidRDefault="00515FE0" w14:paraId="52BC9C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Grigoriy Oganesovich NALBANDYAN</w:t>
            </w:r>
          </w:p>
        </w:tc>
        <w:tc>
          <w:tcPr>
            <w:tcW w:w="836" w:type="dxa"/>
          </w:tcPr>
          <w:p w:rsidRPr="006F34CD" w:rsidR="00515FE0" w:rsidP="006F34CD" w:rsidRDefault="00515FE0" w14:paraId="28CD42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65738A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Maykop</w:t>
            </w:r>
          </w:p>
        </w:tc>
        <w:tc>
          <w:tcPr>
            <w:tcW w:w="1134" w:type="dxa"/>
          </w:tcPr>
          <w:p w:rsidRPr="006F34CD" w:rsidR="00515FE0" w:rsidP="006F34CD" w:rsidRDefault="00515FE0" w14:paraId="1C8ECD1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5F195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5BEF9B" w14:textId="77777777">
            <w:pPr>
              <w:spacing w:before="120" w:after="120"/>
              <w:jc w:val="center"/>
              <w:rPr>
                <w:rFonts w:ascii="Times New Roman" w:hAnsi="Times New Roman" w:cs="Times New Roman"/>
                <w:sz w:val="18"/>
                <w:szCs w:val="18"/>
              </w:rPr>
            </w:pPr>
          </w:p>
        </w:tc>
      </w:tr>
      <w:tr w:rsidRPr="006F34CD" w:rsidR="00515FE0" w:rsidTr="00EF028C" w14:paraId="685247F9" w14:textId="77777777">
        <w:trPr>
          <w:cantSplit/>
        </w:trPr>
        <w:tc>
          <w:tcPr>
            <w:tcW w:w="2249" w:type="dxa"/>
          </w:tcPr>
          <w:p w:rsidRPr="006F34CD" w:rsidR="00515FE0" w:rsidP="006F34CD" w:rsidRDefault="00515FE0" w14:paraId="1B0FF9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Fadeyevich NAYDICH</w:t>
            </w:r>
          </w:p>
        </w:tc>
        <w:tc>
          <w:tcPr>
            <w:tcW w:w="836" w:type="dxa"/>
          </w:tcPr>
          <w:p w:rsidRPr="006F34CD" w:rsidR="00515FE0" w:rsidP="006F34CD" w:rsidRDefault="00515FE0" w14:paraId="4EDB2D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497CBC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Dzerzhinsk</w:t>
            </w:r>
          </w:p>
        </w:tc>
        <w:tc>
          <w:tcPr>
            <w:tcW w:w="1134" w:type="dxa"/>
          </w:tcPr>
          <w:p w:rsidRPr="006F34CD" w:rsidR="00515FE0" w:rsidP="006F34CD" w:rsidRDefault="00515FE0" w14:paraId="514DD79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254592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ED07D4" w14:textId="77777777">
            <w:pPr>
              <w:spacing w:before="120" w:after="120"/>
              <w:jc w:val="center"/>
              <w:rPr>
                <w:rFonts w:ascii="Times New Roman" w:hAnsi="Times New Roman" w:cs="Times New Roman"/>
                <w:sz w:val="18"/>
                <w:szCs w:val="18"/>
              </w:rPr>
            </w:pPr>
          </w:p>
        </w:tc>
      </w:tr>
      <w:tr w:rsidRPr="006F34CD" w:rsidR="00515FE0" w:rsidTr="00EF028C" w14:paraId="262B14A1" w14:textId="77777777">
        <w:trPr>
          <w:cantSplit/>
        </w:trPr>
        <w:tc>
          <w:tcPr>
            <w:tcW w:w="2249" w:type="dxa"/>
          </w:tcPr>
          <w:p w:rsidRPr="006F34CD" w:rsidR="00515FE0" w:rsidP="006F34CD" w:rsidRDefault="00515FE0" w14:paraId="37A014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Anatolyevich NEGREBA</w:t>
            </w:r>
          </w:p>
        </w:tc>
        <w:tc>
          <w:tcPr>
            <w:tcW w:w="836" w:type="dxa"/>
          </w:tcPr>
          <w:p w:rsidRPr="006F34CD" w:rsidR="00515FE0" w:rsidP="006F34CD" w:rsidRDefault="00515FE0" w14:paraId="133560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01D216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Nazarovo</w:t>
            </w:r>
          </w:p>
        </w:tc>
        <w:tc>
          <w:tcPr>
            <w:tcW w:w="1134" w:type="dxa"/>
          </w:tcPr>
          <w:p w:rsidRPr="006F34CD" w:rsidR="00515FE0" w:rsidP="006F34CD" w:rsidRDefault="00515FE0" w14:paraId="73B1C9D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9899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37E3CE" w14:textId="77777777">
            <w:pPr>
              <w:spacing w:before="120" w:after="120"/>
              <w:jc w:val="center"/>
              <w:rPr>
                <w:rFonts w:ascii="Times New Roman" w:hAnsi="Times New Roman" w:cs="Times New Roman"/>
                <w:sz w:val="18"/>
                <w:szCs w:val="18"/>
              </w:rPr>
            </w:pPr>
          </w:p>
        </w:tc>
      </w:tr>
      <w:tr w:rsidRPr="006F34CD" w:rsidR="00515FE0" w:rsidTr="00EF028C" w14:paraId="0196A05C" w14:textId="77777777">
        <w:trPr>
          <w:cantSplit/>
        </w:trPr>
        <w:tc>
          <w:tcPr>
            <w:tcW w:w="2249" w:type="dxa"/>
          </w:tcPr>
          <w:p w:rsidRPr="006F34CD" w:rsidR="00515FE0" w:rsidP="006F34CD" w:rsidRDefault="00515FE0" w14:paraId="5DC320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Aleksandrovich NEKRASOV</w:t>
            </w:r>
          </w:p>
        </w:tc>
        <w:tc>
          <w:tcPr>
            <w:tcW w:w="836" w:type="dxa"/>
          </w:tcPr>
          <w:p w:rsidRPr="006F34CD" w:rsidR="00515FE0" w:rsidP="006F34CD" w:rsidRDefault="00515FE0" w14:paraId="21B7622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133E38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Almetyevsk</w:t>
            </w:r>
          </w:p>
        </w:tc>
        <w:tc>
          <w:tcPr>
            <w:tcW w:w="1134" w:type="dxa"/>
          </w:tcPr>
          <w:p w:rsidRPr="006F34CD" w:rsidR="00515FE0" w:rsidP="006F34CD" w:rsidRDefault="00515FE0" w14:paraId="551521B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6BBCAF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654862" w14:textId="77777777">
            <w:pPr>
              <w:spacing w:before="120" w:after="120"/>
              <w:jc w:val="center"/>
              <w:rPr>
                <w:rFonts w:ascii="Times New Roman" w:hAnsi="Times New Roman" w:cs="Times New Roman"/>
                <w:sz w:val="18"/>
                <w:szCs w:val="18"/>
              </w:rPr>
            </w:pPr>
          </w:p>
        </w:tc>
      </w:tr>
      <w:tr w:rsidRPr="006F34CD" w:rsidR="00515FE0" w:rsidTr="00EF028C" w14:paraId="2B639340" w14:textId="77777777">
        <w:trPr>
          <w:cantSplit/>
        </w:trPr>
        <w:tc>
          <w:tcPr>
            <w:tcW w:w="2249" w:type="dxa"/>
          </w:tcPr>
          <w:p w:rsidRPr="006F34CD" w:rsidR="00515FE0" w:rsidP="006F34CD" w:rsidRDefault="00515FE0" w14:paraId="0A92AB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Nikolaeyevich NEROPOV</w:t>
            </w:r>
          </w:p>
        </w:tc>
        <w:tc>
          <w:tcPr>
            <w:tcW w:w="836" w:type="dxa"/>
          </w:tcPr>
          <w:p w:rsidRPr="006F34CD" w:rsidR="00515FE0" w:rsidP="006F34CD" w:rsidRDefault="00515FE0" w14:paraId="37BEFC8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34EA98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Zheleznogorsk</w:t>
            </w:r>
          </w:p>
        </w:tc>
        <w:tc>
          <w:tcPr>
            <w:tcW w:w="1134" w:type="dxa"/>
          </w:tcPr>
          <w:p w:rsidRPr="006F34CD" w:rsidR="00515FE0" w:rsidP="006F34CD" w:rsidRDefault="00515FE0" w14:paraId="26D90E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1EAE3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40EEB3E" w14:textId="77777777">
            <w:pPr>
              <w:spacing w:before="120" w:after="120"/>
              <w:jc w:val="center"/>
              <w:rPr>
                <w:rFonts w:ascii="Times New Roman" w:hAnsi="Times New Roman" w:cs="Times New Roman"/>
                <w:sz w:val="18"/>
                <w:szCs w:val="18"/>
              </w:rPr>
            </w:pPr>
          </w:p>
        </w:tc>
      </w:tr>
      <w:tr w:rsidRPr="006F34CD" w:rsidR="00515FE0" w:rsidTr="00EF028C" w14:paraId="5B1EDACE" w14:textId="77777777">
        <w:trPr>
          <w:cantSplit/>
        </w:trPr>
        <w:tc>
          <w:tcPr>
            <w:tcW w:w="2249" w:type="dxa"/>
          </w:tcPr>
          <w:p w:rsidRPr="006F34CD" w:rsidR="00515FE0" w:rsidP="006F34CD" w:rsidRDefault="00515FE0" w14:paraId="2614BD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Vyacheslavovich NIKITIN</w:t>
            </w:r>
          </w:p>
        </w:tc>
        <w:tc>
          <w:tcPr>
            <w:tcW w:w="836" w:type="dxa"/>
          </w:tcPr>
          <w:p w:rsidRPr="006F34CD" w:rsidR="00515FE0" w:rsidP="006F34CD" w:rsidRDefault="00515FE0" w14:paraId="04A50A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4A98DF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Nefteyugansk</w:t>
            </w:r>
          </w:p>
        </w:tc>
        <w:tc>
          <w:tcPr>
            <w:tcW w:w="1134" w:type="dxa"/>
          </w:tcPr>
          <w:p w:rsidRPr="006F34CD" w:rsidR="00515FE0" w:rsidP="006F34CD" w:rsidRDefault="00515FE0" w14:paraId="65BF52D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DA464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C68D13" w14:textId="77777777">
            <w:pPr>
              <w:spacing w:before="120" w:after="120"/>
              <w:jc w:val="center"/>
              <w:rPr>
                <w:rFonts w:ascii="Times New Roman" w:hAnsi="Times New Roman" w:cs="Times New Roman"/>
                <w:sz w:val="18"/>
                <w:szCs w:val="18"/>
              </w:rPr>
            </w:pPr>
          </w:p>
        </w:tc>
      </w:tr>
      <w:tr w:rsidRPr="006F34CD" w:rsidR="00515FE0" w:rsidTr="00EF028C" w14:paraId="6DFB1DD9" w14:textId="77777777">
        <w:trPr>
          <w:cantSplit/>
        </w:trPr>
        <w:tc>
          <w:tcPr>
            <w:tcW w:w="2249" w:type="dxa"/>
          </w:tcPr>
          <w:p w:rsidRPr="006F34CD" w:rsidR="00515FE0" w:rsidP="006F34CD" w:rsidRDefault="00515FE0" w14:paraId="49BD06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Valentinovich NIKITIN</w:t>
            </w:r>
          </w:p>
        </w:tc>
        <w:tc>
          <w:tcPr>
            <w:tcW w:w="836" w:type="dxa"/>
          </w:tcPr>
          <w:p w:rsidRPr="006F34CD" w:rsidR="00515FE0" w:rsidP="006F34CD" w:rsidRDefault="00515FE0" w14:paraId="73BF6FC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122F78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Yoshkar-Ola</w:t>
            </w:r>
          </w:p>
        </w:tc>
        <w:tc>
          <w:tcPr>
            <w:tcW w:w="1134" w:type="dxa"/>
          </w:tcPr>
          <w:p w:rsidRPr="006F34CD" w:rsidR="00515FE0" w:rsidP="006F34CD" w:rsidRDefault="00515FE0" w14:paraId="422E15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FE6AC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539EAD" w14:textId="77777777">
            <w:pPr>
              <w:spacing w:before="120" w:after="120"/>
              <w:jc w:val="center"/>
              <w:rPr>
                <w:rFonts w:ascii="Times New Roman" w:hAnsi="Times New Roman" w:cs="Times New Roman"/>
                <w:sz w:val="18"/>
                <w:szCs w:val="18"/>
              </w:rPr>
            </w:pPr>
          </w:p>
        </w:tc>
      </w:tr>
      <w:tr w:rsidRPr="006F34CD" w:rsidR="00515FE0" w:rsidTr="00EF028C" w14:paraId="5C356911" w14:textId="77777777">
        <w:trPr>
          <w:cantSplit/>
        </w:trPr>
        <w:tc>
          <w:tcPr>
            <w:tcW w:w="2249" w:type="dxa"/>
          </w:tcPr>
          <w:p w:rsidRPr="006F34CD" w:rsidR="00515FE0" w:rsidP="006F34CD" w:rsidRDefault="00515FE0" w14:paraId="55B507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Aleksandrovich NIKITKOV</w:t>
            </w:r>
          </w:p>
        </w:tc>
        <w:tc>
          <w:tcPr>
            <w:tcW w:w="836" w:type="dxa"/>
          </w:tcPr>
          <w:p w:rsidRPr="006F34CD" w:rsidR="00515FE0" w:rsidP="006F34CD" w:rsidRDefault="00515FE0" w14:paraId="1CE2AC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3F0892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r.pos.Lesogorsk</w:t>
            </w:r>
          </w:p>
        </w:tc>
        <w:tc>
          <w:tcPr>
            <w:tcW w:w="1134" w:type="dxa"/>
          </w:tcPr>
          <w:p w:rsidRPr="006F34CD" w:rsidR="00515FE0" w:rsidP="006F34CD" w:rsidRDefault="00515FE0" w14:paraId="46F8075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3DD47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0CC6DA" w14:textId="77777777">
            <w:pPr>
              <w:spacing w:before="120" w:after="120"/>
              <w:jc w:val="center"/>
              <w:rPr>
                <w:rFonts w:ascii="Times New Roman" w:hAnsi="Times New Roman" w:cs="Times New Roman"/>
                <w:sz w:val="18"/>
                <w:szCs w:val="18"/>
              </w:rPr>
            </w:pPr>
          </w:p>
        </w:tc>
      </w:tr>
      <w:tr w:rsidRPr="006F34CD" w:rsidR="00515FE0" w:rsidTr="00EF028C" w14:paraId="3BBA6127" w14:textId="77777777">
        <w:trPr>
          <w:cantSplit/>
        </w:trPr>
        <w:tc>
          <w:tcPr>
            <w:tcW w:w="2249" w:type="dxa"/>
          </w:tcPr>
          <w:p w:rsidRPr="006F34CD" w:rsidR="00515FE0" w:rsidP="006F34CD" w:rsidRDefault="00515FE0" w14:paraId="080CA3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Mikhaylovich NOVIKOV</w:t>
            </w:r>
          </w:p>
        </w:tc>
        <w:tc>
          <w:tcPr>
            <w:tcW w:w="836" w:type="dxa"/>
          </w:tcPr>
          <w:p w:rsidRPr="006F34CD" w:rsidR="00515FE0" w:rsidP="006F34CD" w:rsidRDefault="00515FE0" w14:paraId="67DB80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6ADCD7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Podolsk</w:t>
            </w:r>
          </w:p>
        </w:tc>
        <w:tc>
          <w:tcPr>
            <w:tcW w:w="1134" w:type="dxa"/>
          </w:tcPr>
          <w:p w:rsidRPr="006F34CD" w:rsidR="00515FE0" w:rsidP="006F34CD" w:rsidRDefault="00515FE0" w14:paraId="354FF3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4F4DE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6D7F53" w14:textId="77777777">
            <w:pPr>
              <w:spacing w:before="120" w:after="120"/>
              <w:jc w:val="center"/>
              <w:rPr>
                <w:rFonts w:ascii="Times New Roman" w:hAnsi="Times New Roman" w:cs="Times New Roman"/>
                <w:sz w:val="18"/>
                <w:szCs w:val="18"/>
              </w:rPr>
            </w:pPr>
          </w:p>
        </w:tc>
      </w:tr>
      <w:tr w:rsidRPr="006F34CD" w:rsidR="00515FE0" w:rsidTr="00EF028C" w14:paraId="27D19DC3" w14:textId="77777777">
        <w:trPr>
          <w:cantSplit/>
        </w:trPr>
        <w:tc>
          <w:tcPr>
            <w:tcW w:w="2249" w:type="dxa"/>
          </w:tcPr>
          <w:p w:rsidRPr="006F34CD" w:rsidR="00515FE0" w:rsidP="006F34CD" w:rsidRDefault="00515FE0" w14:paraId="782DF2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Germanovich NOVOBRITSKIY</w:t>
            </w:r>
          </w:p>
        </w:tc>
        <w:tc>
          <w:tcPr>
            <w:tcW w:w="836" w:type="dxa"/>
          </w:tcPr>
          <w:p w:rsidRPr="006F34CD" w:rsidR="00515FE0" w:rsidP="006F34CD" w:rsidRDefault="00515FE0" w14:paraId="15B84B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5A384C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Sayansk</w:t>
            </w:r>
          </w:p>
        </w:tc>
        <w:tc>
          <w:tcPr>
            <w:tcW w:w="1134" w:type="dxa"/>
          </w:tcPr>
          <w:p w:rsidRPr="006F34CD" w:rsidR="00515FE0" w:rsidP="006F34CD" w:rsidRDefault="00515FE0" w14:paraId="3CDF6FA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CA82D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09C4DA" w14:textId="77777777">
            <w:pPr>
              <w:spacing w:before="120" w:after="120"/>
              <w:jc w:val="center"/>
              <w:rPr>
                <w:rFonts w:ascii="Times New Roman" w:hAnsi="Times New Roman" w:cs="Times New Roman"/>
                <w:sz w:val="18"/>
                <w:szCs w:val="18"/>
              </w:rPr>
            </w:pPr>
          </w:p>
        </w:tc>
      </w:tr>
      <w:tr w:rsidRPr="006F34CD" w:rsidR="00515FE0" w:rsidTr="00EF028C" w14:paraId="11744223" w14:textId="77777777">
        <w:trPr>
          <w:cantSplit/>
        </w:trPr>
        <w:tc>
          <w:tcPr>
            <w:tcW w:w="2249" w:type="dxa"/>
          </w:tcPr>
          <w:p w:rsidRPr="006F34CD" w:rsidR="00515FE0" w:rsidP="006F34CD" w:rsidRDefault="00515FE0" w14:paraId="2F9E0F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Pavlovich OGORODNIKOV</w:t>
            </w:r>
          </w:p>
        </w:tc>
        <w:tc>
          <w:tcPr>
            <w:tcW w:w="836" w:type="dxa"/>
          </w:tcPr>
          <w:p w:rsidRPr="006F34CD" w:rsidR="00515FE0" w:rsidP="006F34CD" w:rsidRDefault="00515FE0" w14:paraId="5DB2E9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33BDD6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Kostomuksha</w:t>
            </w:r>
          </w:p>
        </w:tc>
        <w:tc>
          <w:tcPr>
            <w:tcW w:w="1134" w:type="dxa"/>
          </w:tcPr>
          <w:p w:rsidRPr="006F34CD" w:rsidR="00515FE0" w:rsidP="006F34CD" w:rsidRDefault="00515FE0" w14:paraId="14ECC3B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1DBC6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D131E7" w14:textId="77777777">
            <w:pPr>
              <w:spacing w:before="120" w:after="120"/>
              <w:jc w:val="center"/>
              <w:rPr>
                <w:rFonts w:ascii="Times New Roman" w:hAnsi="Times New Roman" w:cs="Times New Roman"/>
                <w:sz w:val="18"/>
                <w:szCs w:val="18"/>
              </w:rPr>
            </w:pPr>
          </w:p>
        </w:tc>
      </w:tr>
      <w:tr w:rsidRPr="006F34CD" w:rsidR="00515FE0" w:rsidTr="00EF028C" w14:paraId="598D0B03" w14:textId="77777777">
        <w:trPr>
          <w:cantSplit/>
        </w:trPr>
        <w:tc>
          <w:tcPr>
            <w:tcW w:w="2249" w:type="dxa"/>
          </w:tcPr>
          <w:p w:rsidRPr="006F34CD" w:rsidR="00515FE0" w:rsidP="006F34CD" w:rsidRDefault="00515FE0" w14:paraId="3419FC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Borisovich OKHAPKIN</w:t>
            </w:r>
          </w:p>
        </w:tc>
        <w:tc>
          <w:tcPr>
            <w:tcW w:w="836" w:type="dxa"/>
          </w:tcPr>
          <w:p w:rsidRPr="006F34CD" w:rsidR="00515FE0" w:rsidP="006F34CD" w:rsidRDefault="00515FE0" w14:paraId="63FF490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53A12C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Kineshma</w:t>
            </w:r>
          </w:p>
        </w:tc>
        <w:tc>
          <w:tcPr>
            <w:tcW w:w="1134" w:type="dxa"/>
          </w:tcPr>
          <w:p w:rsidRPr="006F34CD" w:rsidR="00515FE0" w:rsidP="006F34CD" w:rsidRDefault="00515FE0" w14:paraId="692D0D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5EEEE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4FF19C9" w14:textId="77777777">
            <w:pPr>
              <w:spacing w:before="120" w:after="120"/>
              <w:jc w:val="center"/>
              <w:rPr>
                <w:rFonts w:ascii="Times New Roman" w:hAnsi="Times New Roman" w:cs="Times New Roman"/>
                <w:sz w:val="18"/>
                <w:szCs w:val="18"/>
              </w:rPr>
            </w:pPr>
          </w:p>
        </w:tc>
      </w:tr>
      <w:tr w:rsidRPr="006F34CD" w:rsidR="00515FE0" w:rsidTr="00EF028C" w14:paraId="0F05A709" w14:textId="77777777">
        <w:trPr>
          <w:cantSplit/>
        </w:trPr>
        <w:tc>
          <w:tcPr>
            <w:tcW w:w="2249" w:type="dxa"/>
          </w:tcPr>
          <w:p w:rsidRPr="006F34CD" w:rsidR="00515FE0" w:rsidP="006F34CD" w:rsidRDefault="00515FE0" w14:paraId="12EC55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Aleksandrovich OMELCHENKO</w:t>
            </w:r>
          </w:p>
        </w:tc>
        <w:tc>
          <w:tcPr>
            <w:tcW w:w="836" w:type="dxa"/>
          </w:tcPr>
          <w:p w:rsidRPr="006F34CD" w:rsidR="00515FE0" w:rsidP="006F34CD" w:rsidRDefault="00515FE0" w14:paraId="0FA809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3C91E4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g.Lesosibirsk</w:t>
            </w:r>
          </w:p>
        </w:tc>
        <w:tc>
          <w:tcPr>
            <w:tcW w:w="1134" w:type="dxa"/>
          </w:tcPr>
          <w:p w:rsidRPr="006F34CD" w:rsidR="00515FE0" w:rsidP="006F34CD" w:rsidRDefault="00515FE0" w14:paraId="43EC523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1AF21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C5CAE7" w14:textId="77777777">
            <w:pPr>
              <w:spacing w:before="120" w:after="120"/>
              <w:jc w:val="center"/>
              <w:rPr>
                <w:rFonts w:ascii="Times New Roman" w:hAnsi="Times New Roman" w:cs="Times New Roman"/>
                <w:sz w:val="18"/>
                <w:szCs w:val="18"/>
              </w:rPr>
            </w:pPr>
          </w:p>
        </w:tc>
      </w:tr>
      <w:tr w:rsidRPr="006F34CD" w:rsidR="00515FE0" w:rsidTr="00EF028C" w14:paraId="5629A6D8" w14:textId="77777777">
        <w:trPr>
          <w:cantSplit/>
        </w:trPr>
        <w:tc>
          <w:tcPr>
            <w:tcW w:w="2249" w:type="dxa"/>
          </w:tcPr>
          <w:p w:rsidRPr="006F34CD" w:rsidR="00515FE0" w:rsidP="006F34CD" w:rsidRDefault="00515FE0" w14:paraId="66E5B0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Anatolyevich ONOSOV</w:t>
            </w:r>
          </w:p>
        </w:tc>
        <w:tc>
          <w:tcPr>
            <w:tcW w:w="836" w:type="dxa"/>
          </w:tcPr>
          <w:p w:rsidRPr="006F34CD" w:rsidR="00515FE0" w:rsidP="006F34CD" w:rsidRDefault="00515FE0" w14:paraId="14B8B83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0D7FF3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Pervouralsk</w:t>
            </w:r>
          </w:p>
        </w:tc>
        <w:tc>
          <w:tcPr>
            <w:tcW w:w="1134" w:type="dxa"/>
          </w:tcPr>
          <w:p w:rsidRPr="006F34CD" w:rsidR="00515FE0" w:rsidP="006F34CD" w:rsidRDefault="00515FE0" w14:paraId="009E974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1E15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3CC3A0" w14:textId="77777777">
            <w:pPr>
              <w:spacing w:before="120" w:after="120"/>
              <w:jc w:val="center"/>
              <w:rPr>
                <w:rFonts w:ascii="Times New Roman" w:hAnsi="Times New Roman" w:cs="Times New Roman"/>
                <w:sz w:val="18"/>
                <w:szCs w:val="18"/>
              </w:rPr>
            </w:pPr>
          </w:p>
        </w:tc>
      </w:tr>
      <w:tr w:rsidRPr="006F34CD" w:rsidR="00515FE0" w:rsidTr="00EF028C" w14:paraId="348B961A" w14:textId="77777777">
        <w:trPr>
          <w:cantSplit/>
        </w:trPr>
        <w:tc>
          <w:tcPr>
            <w:tcW w:w="2249" w:type="dxa"/>
          </w:tcPr>
          <w:p w:rsidRPr="006F34CD" w:rsidR="00515FE0" w:rsidP="006F34CD" w:rsidRDefault="00515FE0" w14:paraId="16F27E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Vadim Albertovich OPYAKIN</w:t>
            </w:r>
          </w:p>
        </w:tc>
        <w:tc>
          <w:tcPr>
            <w:tcW w:w="836" w:type="dxa"/>
          </w:tcPr>
          <w:p w:rsidRPr="006F34CD" w:rsidR="00515FE0" w:rsidP="006F34CD" w:rsidRDefault="00515FE0" w14:paraId="6FEC63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5ABE4F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Simferopol</w:t>
            </w:r>
          </w:p>
        </w:tc>
        <w:tc>
          <w:tcPr>
            <w:tcW w:w="1134" w:type="dxa"/>
          </w:tcPr>
          <w:p w:rsidRPr="006F34CD" w:rsidR="00515FE0" w:rsidP="006F34CD" w:rsidRDefault="00515FE0" w14:paraId="51F3FE2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8691F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3F18BC4" w14:textId="77777777">
            <w:pPr>
              <w:spacing w:before="120" w:after="120"/>
              <w:jc w:val="center"/>
              <w:rPr>
                <w:rFonts w:ascii="Times New Roman" w:hAnsi="Times New Roman" w:cs="Times New Roman"/>
                <w:sz w:val="18"/>
                <w:szCs w:val="18"/>
              </w:rPr>
            </w:pPr>
          </w:p>
        </w:tc>
      </w:tr>
      <w:tr w:rsidRPr="006F34CD" w:rsidR="00515FE0" w:rsidTr="00EF028C" w14:paraId="3CF4AD25" w14:textId="77777777">
        <w:trPr>
          <w:cantSplit/>
        </w:trPr>
        <w:tc>
          <w:tcPr>
            <w:tcW w:w="2249" w:type="dxa"/>
          </w:tcPr>
          <w:p w:rsidRPr="006F34CD" w:rsidR="00515FE0" w:rsidP="006F34CD" w:rsidRDefault="00515FE0" w14:paraId="6A0A2A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Stanislav Anatolyevich OREKHOV</w:t>
            </w:r>
          </w:p>
        </w:tc>
        <w:tc>
          <w:tcPr>
            <w:tcW w:w="836" w:type="dxa"/>
          </w:tcPr>
          <w:p w:rsidRPr="006F34CD" w:rsidR="00515FE0" w:rsidP="006F34CD" w:rsidRDefault="00515FE0" w14:paraId="2303CC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63B77FF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Balashikha</w:t>
            </w:r>
          </w:p>
        </w:tc>
        <w:tc>
          <w:tcPr>
            <w:tcW w:w="1134" w:type="dxa"/>
          </w:tcPr>
          <w:p w:rsidRPr="006F34CD" w:rsidR="00515FE0" w:rsidP="006F34CD" w:rsidRDefault="00515FE0" w14:paraId="11B4E28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6306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8FFEB59" w14:textId="77777777">
            <w:pPr>
              <w:spacing w:before="120" w:after="120"/>
              <w:jc w:val="center"/>
              <w:rPr>
                <w:rFonts w:ascii="Times New Roman" w:hAnsi="Times New Roman" w:cs="Times New Roman"/>
                <w:sz w:val="18"/>
                <w:szCs w:val="18"/>
              </w:rPr>
            </w:pPr>
          </w:p>
        </w:tc>
      </w:tr>
      <w:tr w:rsidRPr="006F34CD" w:rsidR="00515FE0" w:rsidTr="00EF028C" w14:paraId="3CACB142" w14:textId="77777777">
        <w:trPr>
          <w:cantSplit/>
        </w:trPr>
        <w:tc>
          <w:tcPr>
            <w:tcW w:w="2249" w:type="dxa"/>
          </w:tcPr>
          <w:p w:rsidRPr="006F34CD" w:rsidR="00515FE0" w:rsidP="006F34CD" w:rsidRDefault="00515FE0" w14:paraId="11A328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Nikolayevich OSIPENKO</w:t>
            </w:r>
          </w:p>
        </w:tc>
        <w:tc>
          <w:tcPr>
            <w:tcW w:w="836" w:type="dxa"/>
          </w:tcPr>
          <w:p w:rsidRPr="006F34CD" w:rsidR="00515FE0" w:rsidP="006F34CD" w:rsidRDefault="00515FE0" w14:paraId="3B65E6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4F4FB8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Sharypovo</w:t>
            </w:r>
          </w:p>
        </w:tc>
        <w:tc>
          <w:tcPr>
            <w:tcW w:w="1134" w:type="dxa"/>
          </w:tcPr>
          <w:p w:rsidRPr="006F34CD" w:rsidR="00515FE0" w:rsidP="006F34CD" w:rsidRDefault="00515FE0" w14:paraId="406869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995B5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510154" w14:textId="77777777">
            <w:pPr>
              <w:spacing w:before="120" w:after="120"/>
              <w:jc w:val="center"/>
              <w:rPr>
                <w:rFonts w:ascii="Times New Roman" w:hAnsi="Times New Roman" w:cs="Times New Roman"/>
                <w:sz w:val="18"/>
                <w:szCs w:val="18"/>
              </w:rPr>
            </w:pPr>
          </w:p>
        </w:tc>
      </w:tr>
      <w:tr w:rsidRPr="006F34CD" w:rsidR="00515FE0" w:rsidTr="00EF028C" w14:paraId="652A25DE" w14:textId="77777777">
        <w:trPr>
          <w:cantSplit/>
        </w:trPr>
        <w:tc>
          <w:tcPr>
            <w:tcW w:w="2249" w:type="dxa"/>
          </w:tcPr>
          <w:p w:rsidRPr="006F34CD" w:rsidR="00515FE0" w:rsidP="006F34CD" w:rsidRDefault="00515FE0" w14:paraId="481909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Timofey Yuryevich OSTAPENKO</w:t>
            </w:r>
          </w:p>
        </w:tc>
        <w:tc>
          <w:tcPr>
            <w:tcW w:w="836" w:type="dxa"/>
          </w:tcPr>
          <w:p w:rsidRPr="006F34CD" w:rsidR="00515FE0" w:rsidP="006F34CD" w:rsidRDefault="00515FE0" w14:paraId="039717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566DC8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Syktyvkar</w:t>
            </w:r>
          </w:p>
        </w:tc>
        <w:tc>
          <w:tcPr>
            <w:tcW w:w="1134" w:type="dxa"/>
          </w:tcPr>
          <w:p w:rsidRPr="006F34CD" w:rsidR="00515FE0" w:rsidP="006F34CD" w:rsidRDefault="00515FE0" w14:paraId="4CB163B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4A2F9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101608" w14:textId="77777777">
            <w:pPr>
              <w:spacing w:before="120" w:after="120"/>
              <w:jc w:val="center"/>
              <w:rPr>
                <w:rFonts w:ascii="Times New Roman" w:hAnsi="Times New Roman" w:cs="Times New Roman"/>
                <w:sz w:val="18"/>
                <w:szCs w:val="18"/>
              </w:rPr>
            </w:pPr>
          </w:p>
        </w:tc>
      </w:tr>
      <w:tr w:rsidRPr="006F34CD" w:rsidR="00515FE0" w:rsidTr="00EF028C" w14:paraId="40F726A5" w14:textId="77777777">
        <w:trPr>
          <w:cantSplit/>
        </w:trPr>
        <w:tc>
          <w:tcPr>
            <w:tcW w:w="2249" w:type="dxa"/>
          </w:tcPr>
          <w:p w:rsidRPr="006F34CD" w:rsidR="00515FE0" w:rsidP="006F34CD" w:rsidRDefault="00515FE0" w14:paraId="1CFBA4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Rafik Gegamovich OVEYAN</w:t>
            </w:r>
          </w:p>
        </w:tc>
        <w:tc>
          <w:tcPr>
            <w:tcW w:w="836" w:type="dxa"/>
          </w:tcPr>
          <w:p w:rsidRPr="006F34CD" w:rsidR="00515FE0" w:rsidP="006F34CD" w:rsidRDefault="00515FE0" w14:paraId="7CD8BC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21BB12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 Nizhneosinovskiy</w:t>
            </w:r>
          </w:p>
        </w:tc>
        <w:tc>
          <w:tcPr>
            <w:tcW w:w="1134" w:type="dxa"/>
          </w:tcPr>
          <w:p w:rsidRPr="006F34CD" w:rsidR="00515FE0" w:rsidP="006F34CD" w:rsidRDefault="00515FE0" w14:paraId="20CA795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29E87B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C8D097" w14:textId="77777777">
            <w:pPr>
              <w:spacing w:before="120" w:after="120"/>
              <w:jc w:val="center"/>
              <w:rPr>
                <w:rFonts w:ascii="Times New Roman" w:hAnsi="Times New Roman" w:cs="Times New Roman"/>
                <w:sz w:val="18"/>
                <w:szCs w:val="18"/>
              </w:rPr>
            </w:pPr>
          </w:p>
        </w:tc>
      </w:tr>
      <w:tr w:rsidRPr="006F34CD" w:rsidR="00515FE0" w:rsidTr="00EF028C" w14:paraId="2357F054" w14:textId="77777777">
        <w:trPr>
          <w:cantSplit/>
        </w:trPr>
        <w:tc>
          <w:tcPr>
            <w:tcW w:w="2249" w:type="dxa"/>
          </w:tcPr>
          <w:p w:rsidRPr="006F34CD" w:rsidR="00515FE0" w:rsidP="006F34CD" w:rsidRDefault="00515FE0" w14:paraId="6492501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Dmitriyevich PANOV</w:t>
            </w:r>
          </w:p>
        </w:tc>
        <w:tc>
          <w:tcPr>
            <w:tcW w:w="836" w:type="dxa"/>
          </w:tcPr>
          <w:p w:rsidRPr="006F34CD" w:rsidR="00515FE0" w:rsidP="006F34CD" w:rsidRDefault="00515FE0" w14:paraId="5C17A5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12425CB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Myski</w:t>
            </w:r>
          </w:p>
        </w:tc>
        <w:tc>
          <w:tcPr>
            <w:tcW w:w="1134" w:type="dxa"/>
          </w:tcPr>
          <w:p w:rsidRPr="006F34CD" w:rsidR="00515FE0" w:rsidP="006F34CD" w:rsidRDefault="00515FE0" w14:paraId="16EB74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E70FE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59AD3D" w14:textId="77777777">
            <w:pPr>
              <w:spacing w:before="120" w:after="120"/>
              <w:jc w:val="center"/>
              <w:rPr>
                <w:rFonts w:ascii="Times New Roman" w:hAnsi="Times New Roman" w:cs="Times New Roman"/>
                <w:sz w:val="18"/>
                <w:szCs w:val="18"/>
              </w:rPr>
            </w:pPr>
          </w:p>
        </w:tc>
      </w:tr>
      <w:tr w:rsidRPr="006F34CD" w:rsidR="00515FE0" w:rsidTr="00EF028C" w14:paraId="7496F083" w14:textId="77777777">
        <w:trPr>
          <w:cantSplit/>
        </w:trPr>
        <w:tc>
          <w:tcPr>
            <w:tcW w:w="2249" w:type="dxa"/>
          </w:tcPr>
          <w:p w:rsidRPr="006F34CD" w:rsidR="00515FE0" w:rsidP="006F34CD" w:rsidRDefault="00515FE0" w14:paraId="7FAB81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Valeriy Viktorovich PANYUSHEV</w:t>
            </w:r>
          </w:p>
        </w:tc>
        <w:tc>
          <w:tcPr>
            <w:tcW w:w="836" w:type="dxa"/>
          </w:tcPr>
          <w:p w:rsidRPr="006F34CD" w:rsidR="00515FE0" w:rsidP="006F34CD" w:rsidRDefault="00515FE0" w14:paraId="71820A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24E4BD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Severomorsk</w:t>
            </w:r>
          </w:p>
        </w:tc>
        <w:tc>
          <w:tcPr>
            <w:tcW w:w="1134" w:type="dxa"/>
          </w:tcPr>
          <w:p w:rsidRPr="006F34CD" w:rsidR="00515FE0" w:rsidP="006F34CD" w:rsidRDefault="00515FE0" w14:paraId="763480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3A0D9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296866" w14:textId="77777777">
            <w:pPr>
              <w:spacing w:before="120" w:after="120"/>
              <w:jc w:val="center"/>
              <w:rPr>
                <w:rFonts w:ascii="Times New Roman" w:hAnsi="Times New Roman" w:cs="Times New Roman"/>
                <w:sz w:val="18"/>
                <w:szCs w:val="18"/>
              </w:rPr>
            </w:pPr>
          </w:p>
        </w:tc>
      </w:tr>
      <w:tr w:rsidRPr="006F34CD" w:rsidR="00515FE0" w:rsidTr="00EF028C" w14:paraId="624C0954" w14:textId="77777777">
        <w:trPr>
          <w:cantSplit/>
        </w:trPr>
        <w:tc>
          <w:tcPr>
            <w:tcW w:w="2249" w:type="dxa"/>
          </w:tcPr>
          <w:p w:rsidRPr="006F34CD" w:rsidR="00515FE0" w:rsidP="006F34CD" w:rsidRDefault="00515FE0" w14:paraId="5D95BB2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Georgiyevich PARFENOVICH</w:t>
            </w:r>
          </w:p>
        </w:tc>
        <w:tc>
          <w:tcPr>
            <w:tcW w:w="836" w:type="dxa"/>
          </w:tcPr>
          <w:p w:rsidRPr="006F34CD" w:rsidR="00515FE0" w:rsidP="006F34CD" w:rsidRDefault="00515FE0" w14:paraId="543A118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52C019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Petrovka</w:t>
            </w:r>
          </w:p>
        </w:tc>
        <w:tc>
          <w:tcPr>
            <w:tcW w:w="1134" w:type="dxa"/>
          </w:tcPr>
          <w:p w:rsidRPr="006F34CD" w:rsidR="00515FE0" w:rsidP="006F34CD" w:rsidRDefault="00515FE0" w14:paraId="2E91B93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7B813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182B90" w14:textId="77777777">
            <w:pPr>
              <w:spacing w:before="120" w:after="120"/>
              <w:jc w:val="center"/>
              <w:rPr>
                <w:rFonts w:ascii="Times New Roman" w:hAnsi="Times New Roman" w:cs="Times New Roman"/>
                <w:sz w:val="18"/>
                <w:szCs w:val="18"/>
              </w:rPr>
            </w:pPr>
          </w:p>
        </w:tc>
      </w:tr>
      <w:tr w:rsidRPr="006F34CD" w:rsidR="00515FE0" w:rsidTr="00EF028C" w14:paraId="409CD787" w14:textId="77777777">
        <w:trPr>
          <w:cantSplit/>
        </w:trPr>
        <w:tc>
          <w:tcPr>
            <w:tcW w:w="2249" w:type="dxa"/>
          </w:tcPr>
          <w:p w:rsidRPr="006F34CD" w:rsidR="00515FE0" w:rsidP="006F34CD" w:rsidRDefault="00515FE0" w14:paraId="1A0EC9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Yevgenyevich PARKHACHEV</w:t>
            </w:r>
          </w:p>
        </w:tc>
        <w:tc>
          <w:tcPr>
            <w:tcW w:w="836" w:type="dxa"/>
          </w:tcPr>
          <w:p w:rsidRPr="006F34CD" w:rsidR="00515FE0" w:rsidP="006F34CD" w:rsidRDefault="00515FE0" w14:paraId="445293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2EE0FB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Shchelkino</w:t>
            </w:r>
          </w:p>
        </w:tc>
        <w:tc>
          <w:tcPr>
            <w:tcW w:w="1134" w:type="dxa"/>
          </w:tcPr>
          <w:p w:rsidRPr="006F34CD" w:rsidR="00515FE0" w:rsidP="006F34CD" w:rsidRDefault="00515FE0" w14:paraId="080AD4B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8F71E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10B92D" w14:textId="77777777">
            <w:pPr>
              <w:spacing w:before="120" w:after="120"/>
              <w:jc w:val="center"/>
              <w:rPr>
                <w:rFonts w:ascii="Times New Roman" w:hAnsi="Times New Roman" w:cs="Times New Roman"/>
                <w:sz w:val="18"/>
                <w:szCs w:val="18"/>
              </w:rPr>
            </w:pPr>
          </w:p>
        </w:tc>
      </w:tr>
      <w:tr w:rsidRPr="006F34CD" w:rsidR="00515FE0" w:rsidTr="00EF028C" w14:paraId="43A6C9E3" w14:textId="77777777">
        <w:trPr>
          <w:cantSplit/>
        </w:trPr>
        <w:tc>
          <w:tcPr>
            <w:tcW w:w="2249" w:type="dxa"/>
          </w:tcPr>
          <w:p w:rsidRPr="006F34CD" w:rsidR="00515FE0" w:rsidP="006F34CD" w:rsidRDefault="00515FE0" w14:paraId="5C052A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Nikolayevich PAVLYK</w:t>
            </w:r>
          </w:p>
        </w:tc>
        <w:tc>
          <w:tcPr>
            <w:tcW w:w="836" w:type="dxa"/>
          </w:tcPr>
          <w:p w:rsidRPr="006F34CD" w:rsidR="00515FE0" w:rsidP="006F34CD" w:rsidRDefault="00515FE0" w14:paraId="4D360C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2D8463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Moscow</w:t>
            </w:r>
          </w:p>
        </w:tc>
        <w:tc>
          <w:tcPr>
            <w:tcW w:w="1134" w:type="dxa"/>
          </w:tcPr>
          <w:p w:rsidRPr="006F34CD" w:rsidR="00515FE0" w:rsidP="006F34CD" w:rsidRDefault="00515FE0" w14:paraId="4AE68C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9612E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5FEA27" w14:textId="77777777">
            <w:pPr>
              <w:spacing w:before="120" w:after="120"/>
              <w:jc w:val="center"/>
              <w:rPr>
                <w:rFonts w:ascii="Times New Roman" w:hAnsi="Times New Roman" w:cs="Times New Roman"/>
                <w:sz w:val="18"/>
                <w:szCs w:val="18"/>
              </w:rPr>
            </w:pPr>
          </w:p>
        </w:tc>
      </w:tr>
      <w:tr w:rsidRPr="006F34CD" w:rsidR="00515FE0" w:rsidTr="00EF028C" w14:paraId="4FABA47C" w14:textId="77777777">
        <w:trPr>
          <w:cantSplit/>
        </w:trPr>
        <w:tc>
          <w:tcPr>
            <w:tcW w:w="2249" w:type="dxa"/>
          </w:tcPr>
          <w:p w:rsidRPr="006F34CD" w:rsidR="00515FE0" w:rsidP="006F34CD" w:rsidRDefault="00515FE0" w14:paraId="709BDC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Vasilyevich PAZHITNYKH</w:t>
            </w:r>
          </w:p>
        </w:tc>
        <w:tc>
          <w:tcPr>
            <w:tcW w:w="836" w:type="dxa"/>
          </w:tcPr>
          <w:p w:rsidRPr="006F34CD" w:rsidR="00515FE0" w:rsidP="006F34CD" w:rsidRDefault="00515FE0" w14:paraId="266C24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1DC1CA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Pivovarikha</w:t>
            </w:r>
          </w:p>
        </w:tc>
        <w:tc>
          <w:tcPr>
            <w:tcW w:w="1134" w:type="dxa"/>
          </w:tcPr>
          <w:p w:rsidRPr="006F34CD" w:rsidR="00515FE0" w:rsidP="006F34CD" w:rsidRDefault="00515FE0" w14:paraId="2E9299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928CD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5DB9BF" w14:textId="77777777">
            <w:pPr>
              <w:spacing w:before="120" w:after="120"/>
              <w:jc w:val="center"/>
              <w:rPr>
                <w:rFonts w:ascii="Times New Roman" w:hAnsi="Times New Roman" w:cs="Times New Roman"/>
                <w:sz w:val="18"/>
                <w:szCs w:val="18"/>
              </w:rPr>
            </w:pPr>
          </w:p>
        </w:tc>
      </w:tr>
      <w:tr w:rsidRPr="006F34CD" w:rsidR="00515FE0" w:rsidTr="00EF028C" w14:paraId="26D38E29" w14:textId="77777777">
        <w:trPr>
          <w:cantSplit/>
        </w:trPr>
        <w:tc>
          <w:tcPr>
            <w:tcW w:w="2249" w:type="dxa"/>
          </w:tcPr>
          <w:p w:rsidRPr="006F34CD" w:rsidR="00515FE0" w:rsidP="006F34CD" w:rsidRDefault="00515FE0" w14:paraId="06D209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Mikhaylovich PETROV</w:t>
            </w:r>
          </w:p>
        </w:tc>
        <w:tc>
          <w:tcPr>
            <w:tcW w:w="836" w:type="dxa"/>
          </w:tcPr>
          <w:p w:rsidRPr="006F34CD" w:rsidR="00515FE0" w:rsidP="006F34CD" w:rsidRDefault="00515FE0" w14:paraId="42C564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29B238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Barnaul</w:t>
            </w:r>
          </w:p>
        </w:tc>
        <w:tc>
          <w:tcPr>
            <w:tcW w:w="1134" w:type="dxa"/>
          </w:tcPr>
          <w:p w:rsidRPr="006F34CD" w:rsidR="00515FE0" w:rsidP="006F34CD" w:rsidRDefault="00515FE0" w14:paraId="3529841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BCDED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BE97D5" w14:textId="77777777">
            <w:pPr>
              <w:spacing w:before="120" w:after="120"/>
              <w:jc w:val="center"/>
              <w:rPr>
                <w:rFonts w:ascii="Times New Roman" w:hAnsi="Times New Roman" w:cs="Times New Roman"/>
                <w:sz w:val="18"/>
                <w:szCs w:val="18"/>
              </w:rPr>
            </w:pPr>
          </w:p>
        </w:tc>
      </w:tr>
      <w:tr w:rsidRPr="006F34CD" w:rsidR="00515FE0" w:rsidTr="00EF028C" w14:paraId="43B50BAE" w14:textId="77777777">
        <w:trPr>
          <w:cantSplit/>
        </w:trPr>
        <w:tc>
          <w:tcPr>
            <w:tcW w:w="2249" w:type="dxa"/>
          </w:tcPr>
          <w:p w:rsidRPr="006F34CD" w:rsidR="00515FE0" w:rsidP="006F34CD" w:rsidRDefault="00515FE0" w14:paraId="1D0195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Anatolyevich PILYUGA</w:t>
            </w:r>
          </w:p>
        </w:tc>
        <w:tc>
          <w:tcPr>
            <w:tcW w:w="836" w:type="dxa"/>
          </w:tcPr>
          <w:p w:rsidRPr="006F34CD" w:rsidR="00515FE0" w:rsidP="006F34CD" w:rsidRDefault="00515FE0" w14:paraId="60C501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00CB9B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Kanevskaya</w:t>
            </w:r>
          </w:p>
        </w:tc>
        <w:tc>
          <w:tcPr>
            <w:tcW w:w="1134" w:type="dxa"/>
          </w:tcPr>
          <w:p w:rsidRPr="006F34CD" w:rsidR="00515FE0" w:rsidP="006F34CD" w:rsidRDefault="00515FE0" w14:paraId="1E25E4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EBB6C6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3A53FD" w14:textId="77777777">
            <w:pPr>
              <w:spacing w:before="120" w:after="120"/>
              <w:jc w:val="center"/>
              <w:rPr>
                <w:rFonts w:ascii="Times New Roman" w:hAnsi="Times New Roman" w:cs="Times New Roman"/>
                <w:sz w:val="18"/>
                <w:szCs w:val="18"/>
              </w:rPr>
            </w:pPr>
          </w:p>
        </w:tc>
      </w:tr>
      <w:tr w:rsidRPr="006F34CD" w:rsidR="00515FE0" w:rsidTr="00EF028C" w14:paraId="372C6EF0" w14:textId="77777777">
        <w:trPr>
          <w:cantSplit/>
        </w:trPr>
        <w:tc>
          <w:tcPr>
            <w:tcW w:w="2249" w:type="dxa"/>
          </w:tcPr>
          <w:p w:rsidRPr="006F34CD" w:rsidR="00515FE0" w:rsidP="006F34CD" w:rsidRDefault="00515FE0" w14:paraId="138DF0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Yevgenyevich PLUZHNOV</w:t>
            </w:r>
          </w:p>
        </w:tc>
        <w:tc>
          <w:tcPr>
            <w:tcW w:w="836" w:type="dxa"/>
          </w:tcPr>
          <w:p w:rsidRPr="006F34CD" w:rsidR="00515FE0" w:rsidP="006F34CD" w:rsidRDefault="00515FE0" w14:paraId="4754D8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1D02B7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Monchegorsk</w:t>
            </w:r>
          </w:p>
        </w:tc>
        <w:tc>
          <w:tcPr>
            <w:tcW w:w="1134" w:type="dxa"/>
          </w:tcPr>
          <w:p w:rsidRPr="006F34CD" w:rsidR="00515FE0" w:rsidP="006F34CD" w:rsidRDefault="00515FE0" w14:paraId="0C431C3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9E91D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4CFA56" w14:textId="77777777">
            <w:pPr>
              <w:spacing w:before="120" w:after="120"/>
              <w:jc w:val="center"/>
              <w:rPr>
                <w:rFonts w:ascii="Times New Roman" w:hAnsi="Times New Roman" w:cs="Times New Roman"/>
                <w:sz w:val="18"/>
                <w:szCs w:val="18"/>
              </w:rPr>
            </w:pPr>
          </w:p>
        </w:tc>
      </w:tr>
      <w:tr w:rsidRPr="006F34CD" w:rsidR="00515FE0" w:rsidTr="00EF028C" w14:paraId="4246ED65" w14:textId="77777777">
        <w:trPr>
          <w:cantSplit/>
        </w:trPr>
        <w:tc>
          <w:tcPr>
            <w:tcW w:w="2249" w:type="dxa"/>
          </w:tcPr>
          <w:p w:rsidRPr="006F34CD" w:rsidR="00515FE0" w:rsidP="006F34CD" w:rsidRDefault="00515FE0" w14:paraId="3EA8C1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Viktorovich PONOMARENKO</w:t>
            </w:r>
          </w:p>
        </w:tc>
        <w:tc>
          <w:tcPr>
            <w:tcW w:w="836" w:type="dxa"/>
          </w:tcPr>
          <w:p w:rsidRPr="006F34CD" w:rsidR="00515FE0" w:rsidP="006F34CD" w:rsidRDefault="00515FE0" w14:paraId="6B1EF2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1D4108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pos.Luchegorsk</w:t>
            </w:r>
          </w:p>
        </w:tc>
        <w:tc>
          <w:tcPr>
            <w:tcW w:w="1134" w:type="dxa"/>
          </w:tcPr>
          <w:p w:rsidRPr="006F34CD" w:rsidR="00515FE0" w:rsidP="006F34CD" w:rsidRDefault="00515FE0" w14:paraId="62DDA8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9A987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D778EE" w14:textId="77777777">
            <w:pPr>
              <w:spacing w:before="120" w:after="120"/>
              <w:jc w:val="center"/>
              <w:rPr>
                <w:rFonts w:ascii="Times New Roman" w:hAnsi="Times New Roman" w:cs="Times New Roman"/>
                <w:sz w:val="18"/>
                <w:szCs w:val="18"/>
              </w:rPr>
            </w:pPr>
          </w:p>
        </w:tc>
      </w:tr>
      <w:tr w:rsidRPr="006F34CD" w:rsidR="00515FE0" w:rsidTr="00EF028C" w14:paraId="7D4EA522" w14:textId="77777777">
        <w:trPr>
          <w:cantSplit/>
        </w:trPr>
        <w:tc>
          <w:tcPr>
            <w:tcW w:w="2249" w:type="dxa"/>
          </w:tcPr>
          <w:p w:rsidRPr="006F34CD" w:rsidR="00515FE0" w:rsidP="006F34CD" w:rsidRDefault="00515FE0" w14:paraId="360E18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Sergeyevich POPOV</w:t>
            </w:r>
          </w:p>
        </w:tc>
        <w:tc>
          <w:tcPr>
            <w:tcW w:w="836" w:type="dxa"/>
          </w:tcPr>
          <w:p w:rsidRPr="006F34CD" w:rsidR="00515FE0" w:rsidP="006F34CD" w:rsidRDefault="00515FE0" w14:paraId="55D2C5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11FA4A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Dimitrovgrad</w:t>
            </w:r>
          </w:p>
        </w:tc>
        <w:tc>
          <w:tcPr>
            <w:tcW w:w="1134" w:type="dxa"/>
          </w:tcPr>
          <w:p w:rsidRPr="006F34CD" w:rsidR="00515FE0" w:rsidP="006F34CD" w:rsidRDefault="00515FE0" w14:paraId="4A07BC0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C4471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E8C15B" w14:textId="77777777">
            <w:pPr>
              <w:spacing w:before="120" w:after="120"/>
              <w:jc w:val="center"/>
              <w:rPr>
                <w:rFonts w:ascii="Times New Roman" w:hAnsi="Times New Roman" w:cs="Times New Roman"/>
                <w:sz w:val="18"/>
                <w:szCs w:val="18"/>
              </w:rPr>
            </w:pPr>
          </w:p>
        </w:tc>
      </w:tr>
      <w:tr w:rsidRPr="006F34CD" w:rsidR="00515FE0" w:rsidTr="00EF028C" w14:paraId="6A8B1CCC" w14:textId="77777777">
        <w:trPr>
          <w:cantSplit/>
        </w:trPr>
        <w:tc>
          <w:tcPr>
            <w:tcW w:w="2249" w:type="dxa"/>
          </w:tcPr>
          <w:p w:rsidRPr="006F34CD" w:rsidR="00515FE0" w:rsidP="006F34CD" w:rsidRDefault="00515FE0" w14:paraId="4D220A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Vasilyevich POPOVICH</w:t>
            </w:r>
          </w:p>
        </w:tc>
        <w:tc>
          <w:tcPr>
            <w:tcW w:w="836" w:type="dxa"/>
          </w:tcPr>
          <w:p w:rsidRPr="006F34CD" w:rsidR="00515FE0" w:rsidP="006F34CD" w:rsidRDefault="00515FE0" w14:paraId="2E091C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2E8435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Angarsk</w:t>
            </w:r>
          </w:p>
        </w:tc>
        <w:tc>
          <w:tcPr>
            <w:tcW w:w="1134" w:type="dxa"/>
          </w:tcPr>
          <w:p w:rsidRPr="006F34CD" w:rsidR="00515FE0" w:rsidP="006F34CD" w:rsidRDefault="00515FE0" w14:paraId="20FC68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51B27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38A126" w14:textId="77777777">
            <w:pPr>
              <w:spacing w:before="120" w:after="120"/>
              <w:jc w:val="center"/>
              <w:rPr>
                <w:rFonts w:ascii="Times New Roman" w:hAnsi="Times New Roman" w:cs="Times New Roman"/>
                <w:sz w:val="18"/>
                <w:szCs w:val="18"/>
              </w:rPr>
            </w:pPr>
          </w:p>
        </w:tc>
      </w:tr>
      <w:tr w:rsidRPr="006F34CD" w:rsidR="00515FE0" w:rsidTr="00EF028C" w14:paraId="2B3D30FF" w14:textId="77777777">
        <w:trPr>
          <w:cantSplit/>
        </w:trPr>
        <w:tc>
          <w:tcPr>
            <w:tcW w:w="2249" w:type="dxa"/>
          </w:tcPr>
          <w:p w:rsidRPr="006F34CD" w:rsidR="00515FE0" w:rsidP="006F34CD" w:rsidRDefault="00515FE0" w14:paraId="75DCB0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Galina Ivanovna POPOVICH</w:t>
            </w:r>
          </w:p>
        </w:tc>
        <w:tc>
          <w:tcPr>
            <w:tcW w:w="836" w:type="dxa"/>
          </w:tcPr>
          <w:p w:rsidRPr="006F34CD" w:rsidR="00515FE0" w:rsidP="006F34CD" w:rsidRDefault="00515FE0" w14:paraId="2E786C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5CD495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Angarsk</w:t>
            </w:r>
          </w:p>
        </w:tc>
        <w:tc>
          <w:tcPr>
            <w:tcW w:w="1134" w:type="dxa"/>
          </w:tcPr>
          <w:p w:rsidRPr="006F34CD" w:rsidR="00515FE0" w:rsidP="006F34CD" w:rsidRDefault="00515FE0" w14:paraId="6278CE6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93435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F8C7A50" w14:textId="77777777">
            <w:pPr>
              <w:spacing w:before="120" w:after="120"/>
              <w:jc w:val="center"/>
              <w:rPr>
                <w:rFonts w:ascii="Times New Roman" w:hAnsi="Times New Roman" w:cs="Times New Roman"/>
                <w:sz w:val="18"/>
                <w:szCs w:val="18"/>
              </w:rPr>
            </w:pPr>
          </w:p>
        </w:tc>
      </w:tr>
      <w:tr w:rsidRPr="006F34CD" w:rsidR="00515FE0" w:rsidTr="00EF028C" w14:paraId="62B0C50C" w14:textId="77777777">
        <w:trPr>
          <w:cantSplit/>
        </w:trPr>
        <w:tc>
          <w:tcPr>
            <w:tcW w:w="2249" w:type="dxa"/>
          </w:tcPr>
          <w:p w:rsidRPr="006F34CD" w:rsidR="00515FE0" w:rsidP="006F34CD" w:rsidRDefault="00515FE0" w14:paraId="658D699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Dmitriyevich POSOKHOV</w:t>
            </w:r>
          </w:p>
        </w:tc>
        <w:tc>
          <w:tcPr>
            <w:tcW w:w="836" w:type="dxa"/>
          </w:tcPr>
          <w:p w:rsidRPr="006F34CD" w:rsidR="00515FE0" w:rsidP="006F34CD" w:rsidRDefault="00515FE0" w14:paraId="7D19E1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64EA56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Pyatigorsk</w:t>
            </w:r>
          </w:p>
        </w:tc>
        <w:tc>
          <w:tcPr>
            <w:tcW w:w="1134" w:type="dxa"/>
          </w:tcPr>
          <w:p w:rsidRPr="006F34CD" w:rsidR="00515FE0" w:rsidP="006F34CD" w:rsidRDefault="00515FE0" w14:paraId="0CF280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2AB0C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CBC77C" w14:textId="77777777">
            <w:pPr>
              <w:spacing w:before="120" w:after="120"/>
              <w:jc w:val="center"/>
              <w:rPr>
                <w:rFonts w:ascii="Times New Roman" w:hAnsi="Times New Roman" w:cs="Times New Roman"/>
                <w:sz w:val="18"/>
                <w:szCs w:val="18"/>
              </w:rPr>
            </w:pPr>
          </w:p>
        </w:tc>
      </w:tr>
      <w:tr w:rsidRPr="006F34CD" w:rsidR="00515FE0" w:rsidTr="00EF028C" w14:paraId="786C1F91" w14:textId="77777777">
        <w:trPr>
          <w:cantSplit/>
        </w:trPr>
        <w:tc>
          <w:tcPr>
            <w:tcW w:w="2249" w:type="dxa"/>
          </w:tcPr>
          <w:p w:rsidRPr="006F34CD" w:rsidR="00515FE0" w:rsidP="006F34CD" w:rsidRDefault="00515FE0" w14:paraId="328457D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Nikolayevich PUTINTSEV</w:t>
            </w:r>
          </w:p>
        </w:tc>
        <w:tc>
          <w:tcPr>
            <w:tcW w:w="836" w:type="dxa"/>
          </w:tcPr>
          <w:p w:rsidRPr="006F34CD" w:rsidR="00515FE0" w:rsidP="006F34CD" w:rsidRDefault="00515FE0" w14:paraId="1A2BB8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1A5DE3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Chita</w:t>
            </w:r>
          </w:p>
        </w:tc>
        <w:tc>
          <w:tcPr>
            <w:tcW w:w="1134" w:type="dxa"/>
          </w:tcPr>
          <w:p w:rsidRPr="006F34CD" w:rsidR="00515FE0" w:rsidP="006F34CD" w:rsidRDefault="00515FE0" w14:paraId="1EE3C00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49B1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20766F" w14:textId="77777777">
            <w:pPr>
              <w:spacing w:before="120" w:after="120"/>
              <w:jc w:val="center"/>
              <w:rPr>
                <w:rFonts w:ascii="Times New Roman" w:hAnsi="Times New Roman" w:cs="Times New Roman"/>
                <w:sz w:val="18"/>
                <w:szCs w:val="18"/>
              </w:rPr>
            </w:pPr>
          </w:p>
        </w:tc>
      </w:tr>
      <w:tr w:rsidRPr="006F34CD" w:rsidR="00515FE0" w:rsidTr="00EF028C" w14:paraId="7C767D05" w14:textId="77777777">
        <w:trPr>
          <w:cantSplit/>
        </w:trPr>
        <w:tc>
          <w:tcPr>
            <w:tcW w:w="2249" w:type="dxa"/>
          </w:tcPr>
          <w:p w:rsidRPr="006F34CD" w:rsidR="00515FE0" w:rsidP="006F34CD" w:rsidRDefault="00515FE0" w14:paraId="6703F4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Anatolyevich PUZYREV</w:t>
            </w:r>
          </w:p>
        </w:tc>
        <w:tc>
          <w:tcPr>
            <w:tcW w:w="836" w:type="dxa"/>
          </w:tcPr>
          <w:p w:rsidRPr="006F34CD" w:rsidR="00515FE0" w:rsidP="006F34CD" w:rsidRDefault="00515FE0" w14:paraId="1DB6F1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1984</w:t>
            </w:r>
          </w:p>
        </w:tc>
        <w:tc>
          <w:tcPr>
            <w:tcW w:w="1305" w:type="dxa"/>
          </w:tcPr>
          <w:p w:rsidRPr="006F34CD" w:rsidR="00515FE0" w:rsidP="006F34CD" w:rsidRDefault="00515FE0" w14:paraId="0E64B7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Nezlobnaya</w:t>
            </w:r>
          </w:p>
        </w:tc>
        <w:tc>
          <w:tcPr>
            <w:tcW w:w="1134" w:type="dxa"/>
          </w:tcPr>
          <w:p w:rsidRPr="006F34CD" w:rsidR="00515FE0" w:rsidP="006F34CD" w:rsidRDefault="00515FE0" w14:paraId="48CE597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4A0BF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BA8469" w14:textId="77777777">
            <w:pPr>
              <w:spacing w:before="120" w:after="120"/>
              <w:jc w:val="center"/>
              <w:rPr>
                <w:rFonts w:ascii="Times New Roman" w:hAnsi="Times New Roman" w:cs="Times New Roman"/>
                <w:sz w:val="18"/>
                <w:szCs w:val="18"/>
              </w:rPr>
            </w:pPr>
          </w:p>
        </w:tc>
      </w:tr>
      <w:tr w:rsidRPr="006F34CD" w:rsidR="00515FE0" w:rsidTr="00EF028C" w14:paraId="0D0CAA5E" w14:textId="77777777">
        <w:trPr>
          <w:cantSplit/>
        </w:trPr>
        <w:tc>
          <w:tcPr>
            <w:tcW w:w="2249" w:type="dxa"/>
          </w:tcPr>
          <w:p w:rsidRPr="006F34CD" w:rsidR="00515FE0" w:rsidP="006F34CD" w:rsidRDefault="00515FE0" w14:paraId="68A710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Nikolayevich PYATUNIN</w:t>
            </w:r>
          </w:p>
        </w:tc>
        <w:tc>
          <w:tcPr>
            <w:tcW w:w="836" w:type="dxa"/>
          </w:tcPr>
          <w:p w:rsidRPr="006F34CD" w:rsidR="00515FE0" w:rsidP="006F34CD" w:rsidRDefault="00515FE0" w14:paraId="6C3460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306F7A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Beslan</w:t>
            </w:r>
          </w:p>
        </w:tc>
        <w:tc>
          <w:tcPr>
            <w:tcW w:w="1134" w:type="dxa"/>
          </w:tcPr>
          <w:p w:rsidRPr="006F34CD" w:rsidR="00515FE0" w:rsidP="006F34CD" w:rsidRDefault="00515FE0" w14:paraId="3FB4387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E7DCB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0A3E80" w14:textId="77777777">
            <w:pPr>
              <w:spacing w:before="120" w:after="120"/>
              <w:jc w:val="center"/>
              <w:rPr>
                <w:rFonts w:ascii="Times New Roman" w:hAnsi="Times New Roman" w:cs="Times New Roman"/>
                <w:sz w:val="18"/>
                <w:szCs w:val="18"/>
              </w:rPr>
            </w:pPr>
          </w:p>
        </w:tc>
      </w:tr>
      <w:tr w:rsidRPr="006F34CD" w:rsidR="00515FE0" w:rsidTr="00EF028C" w14:paraId="0A6014F1" w14:textId="77777777">
        <w:trPr>
          <w:cantSplit/>
        </w:trPr>
        <w:tc>
          <w:tcPr>
            <w:tcW w:w="2249" w:type="dxa"/>
          </w:tcPr>
          <w:p w:rsidRPr="006F34CD" w:rsidR="00515FE0" w:rsidP="006F34CD" w:rsidRDefault="00515FE0" w14:paraId="39F080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Boris Geradyevich REMIZOV</w:t>
            </w:r>
          </w:p>
        </w:tc>
        <w:tc>
          <w:tcPr>
            <w:tcW w:w="836" w:type="dxa"/>
          </w:tcPr>
          <w:p w:rsidRPr="006F34CD" w:rsidR="00515FE0" w:rsidP="006F34CD" w:rsidRDefault="00515FE0" w14:paraId="5A911D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0C1891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Salavat</w:t>
            </w:r>
          </w:p>
        </w:tc>
        <w:tc>
          <w:tcPr>
            <w:tcW w:w="1134" w:type="dxa"/>
          </w:tcPr>
          <w:p w:rsidRPr="006F34CD" w:rsidR="00515FE0" w:rsidP="006F34CD" w:rsidRDefault="00515FE0" w14:paraId="258078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AC35E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9D9B6B" w14:textId="77777777">
            <w:pPr>
              <w:spacing w:before="120" w:after="120"/>
              <w:jc w:val="center"/>
              <w:rPr>
                <w:rFonts w:ascii="Times New Roman" w:hAnsi="Times New Roman" w:cs="Times New Roman"/>
                <w:sz w:val="18"/>
                <w:szCs w:val="18"/>
              </w:rPr>
            </w:pPr>
          </w:p>
        </w:tc>
      </w:tr>
      <w:tr w:rsidRPr="006F34CD" w:rsidR="00515FE0" w:rsidTr="00EF028C" w14:paraId="4CADC89B" w14:textId="77777777">
        <w:trPr>
          <w:cantSplit/>
        </w:trPr>
        <w:tc>
          <w:tcPr>
            <w:tcW w:w="2249" w:type="dxa"/>
          </w:tcPr>
          <w:p w:rsidRPr="006F34CD" w:rsidR="00515FE0" w:rsidP="006F34CD" w:rsidRDefault="00515FE0" w14:paraId="231016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Gennadyevich RODIONOV</w:t>
            </w:r>
          </w:p>
        </w:tc>
        <w:tc>
          <w:tcPr>
            <w:tcW w:w="836" w:type="dxa"/>
          </w:tcPr>
          <w:p w:rsidRPr="006F34CD" w:rsidR="00515FE0" w:rsidP="006F34CD" w:rsidRDefault="00515FE0" w14:paraId="3B3A1C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3F6E164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Sochi</w:t>
            </w:r>
          </w:p>
        </w:tc>
        <w:tc>
          <w:tcPr>
            <w:tcW w:w="1134" w:type="dxa"/>
          </w:tcPr>
          <w:p w:rsidRPr="006F34CD" w:rsidR="00515FE0" w:rsidP="006F34CD" w:rsidRDefault="00515FE0" w14:paraId="7D5A109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3B46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0987DC" w14:textId="77777777">
            <w:pPr>
              <w:spacing w:before="120" w:after="120"/>
              <w:jc w:val="center"/>
              <w:rPr>
                <w:rFonts w:ascii="Times New Roman" w:hAnsi="Times New Roman" w:cs="Times New Roman"/>
                <w:sz w:val="18"/>
                <w:szCs w:val="18"/>
              </w:rPr>
            </w:pPr>
          </w:p>
        </w:tc>
      </w:tr>
      <w:tr w:rsidRPr="006F34CD" w:rsidR="00515FE0" w:rsidTr="00EF028C" w14:paraId="223D3195" w14:textId="77777777">
        <w:trPr>
          <w:cantSplit/>
        </w:trPr>
        <w:tc>
          <w:tcPr>
            <w:tcW w:w="2249" w:type="dxa"/>
          </w:tcPr>
          <w:p w:rsidRPr="006F34CD" w:rsidR="00515FE0" w:rsidP="006F34CD" w:rsidRDefault="00515FE0" w14:paraId="41F5D0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Andreyevich ROGUTSKIY</w:t>
            </w:r>
          </w:p>
        </w:tc>
        <w:tc>
          <w:tcPr>
            <w:tcW w:w="836" w:type="dxa"/>
          </w:tcPr>
          <w:p w:rsidRPr="006F34CD" w:rsidR="00515FE0" w:rsidP="006F34CD" w:rsidRDefault="00515FE0" w14:paraId="0E450C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0A0499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Razdolnoye</w:t>
            </w:r>
          </w:p>
        </w:tc>
        <w:tc>
          <w:tcPr>
            <w:tcW w:w="1134" w:type="dxa"/>
          </w:tcPr>
          <w:p w:rsidRPr="006F34CD" w:rsidR="00515FE0" w:rsidP="006F34CD" w:rsidRDefault="00515FE0" w14:paraId="6D79DEE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6881F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4F5A03" w14:textId="77777777">
            <w:pPr>
              <w:spacing w:before="120" w:after="120"/>
              <w:jc w:val="center"/>
              <w:rPr>
                <w:rFonts w:ascii="Times New Roman" w:hAnsi="Times New Roman" w:cs="Times New Roman"/>
                <w:sz w:val="18"/>
                <w:szCs w:val="18"/>
              </w:rPr>
            </w:pPr>
          </w:p>
        </w:tc>
      </w:tr>
      <w:tr w:rsidRPr="006F34CD" w:rsidR="00515FE0" w:rsidTr="00EF028C" w14:paraId="4115E91A" w14:textId="77777777">
        <w:trPr>
          <w:cantSplit/>
        </w:trPr>
        <w:tc>
          <w:tcPr>
            <w:tcW w:w="2249" w:type="dxa"/>
          </w:tcPr>
          <w:p w:rsidRPr="006F34CD" w:rsidR="00515FE0" w:rsidP="006F34CD" w:rsidRDefault="00515FE0" w14:paraId="20A3EA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Nikolayevich ROMANYUKOV</w:t>
            </w:r>
          </w:p>
        </w:tc>
        <w:tc>
          <w:tcPr>
            <w:tcW w:w="836" w:type="dxa"/>
          </w:tcPr>
          <w:p w:rsidRPr="006F34CD" w:rsidR="00515FE0" w:rsidP="006F34CD" w:rsidRDefault="00515FE0" w14:paraId="4B72E9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127C59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Armavir</w:t>
            </w:r>
          </w:p>
        </w:tc>
        <w:tc>
          <w:tcPr>
            <w:tcW w:w="1134" w:type="dxa"/>
          </w:tcPr>
          <w:p w:rsidRPr="006F34CD" w:rsidR="00515FE0" w:rsidP="006F34CD" w:rsidRDefault="00515FE0" w14:paraId="477736A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78437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C0F8CE" w14:textId="77777777">
            <w:pPr>
              <w:spacing w:before="120" w:after="120"/>
              <w:jc w:val="center"/>
              <w:rPr>
                <w:rFonts w:ascii="Times New Roman" w:hAnsi="Times New Roman" w:cs="Times New Roman"/>
                <w:sz w:val="18"/>
                <w:szCs w:val="18"/>
              </w:rPr>
            </w:pPr>
          </w:p>
        </w:tc>
      </w:tr>
      <w:tr w:rsidRPr="006F34CD" w:rsidR="00515FE0" w:rsidTr="00EF028C" w14:paraId="0BC985DE" w14:textId="77777777">
        <w:trPr>
          <w:cantSplit/>
        </w:trPr>
        <w:tc>
          <w:tcPr>
            <w:tcW w:w="2249" w:type="dxa"/>
          </w:tcPr>
          <w:p w:rsidRPr="006F34CD" w:rsidR="00515FE0" w:rsidP="006F34CD" w:rsidRDefault="00515FE0" w14:paraId="009C64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Nikonovich RONSHIN</w:t>
            </w:r>
          </w:p>
        </w:tc>
        <w:tc>
          <w:tcPr>
            <w:tcW w:w="836" w:type="dxa"/>
          </w:tcPr>
          <w:p w:rsidRPr="006F34CD" w:rsidR="00515FE0" w:rsidP="006F34CD" w:rsidRDefault="00515FE0" w14:paraId="0AC5D5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62AD02F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g.Liski</w:t>
            </w:r>
          </w:p>
        </w:tc>
        <w:tc>
          <w:tcPr>
            <w:tcW w:w="1134" w:type="dxa"/>
          </w:tcPr>
          <w:p w:rsidRPr="006F34CD" w:rsidR="00515FE0" w:rsidP="006F34CD" w:rsidRDefault="00515FE0" w14:paraId="2257E4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F678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6BFCAF" w14:textId="77777777">
            <w:pPr>
              <w:spacing w:before="120" w:after="120"/>
              <w:jc w:val="center"/>
              <w:rPr>
                <w:rFonts w:ascii="Times New Roman" w:hAnsi="Times New Roman" w:cs="Times New Roman"/>
                <w:sz w:val="18"/>
                <w:szCs w:val="18"/>
              </w:rPr>
            </w:pPr>
          </w:p>
        </w:tc>
      </w:tr>
      <w:tr w:rsidRPr="006F34CD" w:rsidR="00515FE0" w:rsidTr="00EF028C" w14:paraId="3CCAA053" w14:textId="77777777">
        <w:trPr>
          <w:cantSplit/>
        </w:trPr>
        <w:tc>
          <w:tcPr>
            <w:tcW w:w="2249" w:type="dxa"/>
          </w:tcPr>
          <w:p w:rsidRPr="006F34CD" w:rsidR="00515FE0" w:rsidP="006F34CD" w:rsidRDefault="00515FE0" w14:paraId="4D2143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Nikolayevich RUBEZHANSKIY</w:t>
            </w:r>
          </w:p>
        </w:tc>
        <w:tc>
          <w:tcPr>
            <w:tcW w:w="836" w:type="dxa"/>
          </w:tcPr>
          <w:p w:rsidRPr="006F34CD" w:rsidR="00515FE0" w:rsidP="006F34CD" w:rsidRDefault="00515FE0" w14:paraId="101EEC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0D5F53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Kamyshin</w:t>
            </w:r>
          </w:p>
        </w:tc>
        <w:tc>
          <w:tcPr>
            <w:tcW w:w="1134" w:type="dxa"/>
          </w:tcPr>
          <w:p w:rsidRPr="006F34CD" w:rsidR="00515FE0" w:rsidP="006F34CD" w:rsidRDefault="00515FE0" w14:paraId="1D14396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EB430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77C4ED" w14:textId="77777777">
            <w:pPr>
              <w:spacing w:before="120" w:after="120"/>
              <w:jc w:val="center"/>
              <w:rPr>
                <w:rFonts w:ascii="Times New Roman" w:hAnsi="Times New Roman" w:cs="Times New Roman"/>
                <w:sz w:val="18"/>
                <w:szCs w:val="18"/>
              </w:rPr>
            </w:pPr>
          </w:p>
        </w:tc>
      </w:tr>
      <w:tr w:rsidRPr="006F34CD" w:rsidR="00515FE0" w:rsidTr="00EF028C" w14:paraId="0870875C" w14:textId="77777777">
        <w:trPr>
          <w:cantSplit/>
        </w:trPr>
        <w:tc>
          <w:tcPr>
            <w:tcW w:w="2249" w:type="dxa"/>
          </w:tcPr>
          <w:p w:rsidRPr="006F34CD" w:rsidR="00515FE0" w:rsidP="006F34CD" w:rsidRDefault="00515FE0" w14:paraId="44755D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Fedorovich RUDENKO</w:t>
            </w:r>
          </w:p>
        </w:tc>
        <w:tc>
          <w:tcPr>
            <w:tcW w:w="836" w:type="dxa"/>
          </w:tcPr>
          <w:p w:rsidRPr="006F34CD" w:rsidR="00515FE0" w:rsidP="006F34CD" w:rsidRDefault="00515FE0" w14:paraId="65819D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1988</w:t>
            </w:r>
          </w:p>
        </w:tc>
        <w:tc>
          <w:tcPr>
            <w:tcW w:w="1305" w:type="dxa"/>
          </w:tcPr>
          <w:p w:rsidRPr="006F34CD" w:rsidR="00515FE0" w:rsidP="006F34CD" w:rsidRDefault="00515FE0" w14:paraId="387826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Yuzhno-Sakhalinsk</w:t>
            </w:r>
          </w:p>
        </w:tc>
        <w:tc>
          <w:tcPr>
            <w:tcW w:w="1134" w:type="dxa"/>
          </w:tcPr>
          <w:p w:rsidRPr="006F34CD" w:rsidR="00515FE0" w:rsidP="006F34CD" w:rsidRDefault="00515FE0" w14:paraId="745ADAA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84559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D4A952" w14:textId="77777777">
            <w:pPr>
              <w:spacing w:before="120" w:after="120"/>
              <w:jc w:val="center"/>
              <w:rPr>
                <w:rFonts w:ascii="Times New Roman" w:hAnsi="Times New Roman" w:cs="Times New Roman"/>
                <w:sz w:val="18"/>
                <w:szCs w:val="18"/>
              </w:rPr>
            </w:pPr>
          </w:p>
        </w:tc>
      </w:tr>
      <w:tr w:rsidRPr="006F34CD" w:rsidR="00515FE0" w:rsidTr="00EF028C" w14:paraId="62CA95EB" w14:textId="77777777">
        <w:trPr>
          <w:cantSplit/>
        </w:trPr>
        <w:tc>
          <w:tcPr>
            <w:tcW w:w="2249" w:type="dxa"/>
          </w:tcPr>
          <w:p w:rsidRPr="006F34CD" w:rsidR="00515FE0" w:rsidP="006F34CD" w:rsidRDefault="00515FE0" w14:paraId="60057C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Mikhaylovich RUDIY</w:t>
            </w:r>
          </w:p>
        </w:tc>
        <w:tc>
          <w:tcPr>
            <w:tcW w:w="836" w:type="dxa"/>
          </w:tcPr>
          <w:p w:rsidRPr="006F34CD" w:rsidR="00515FE0" w:rsidP="006F34CD" w:rsidRDefault="00515FE0" w14:paraId="4D80A82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5BBF5B4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Zelenokumsk</w:t>
            </w:r>
          </w:p>
        </w:tc>
        <w:tc>
          <w:tcPr>
            <w:tcW w:w="1134" w:type="dxa"/>
          </w:tcPr>
          <w:p w:rsidRPr="006F34CD" w:rsidR="00515FE0" w:rsidP="006F34CD" w:rsidRDefault="00515FE0" w14:paraId="571E53D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843CA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176D59" w14:textId="77777777">
            <w:pPr>
              <w:spacing w:before="120" w:after="120"/>
              <w:jc w:val="center"/>
              <w:rPr>
                <w:rFonts w:ascii="Times New Roman" w:hAnsi="Times New Roman" w:cs="Times New Roman"/>
                <w:sz w:val="18"/>
                <w:szCs w:val="18"/>
              </w:rPr>
            </w:pPr>
          </w:p>
        </w:tc>
      </w:tr>
      <w:tr w:rsidRPr="006F34CD" w:rsidR="00515FE0" w:rsidTr="00EF028C" w14:paraId="1CC53A9D" w14:textId="77777777">
        <w:trPr>
          <w:cantSplit/>
        </w:trPr>
        <w:tc>
          <w:tcPr>
            <w:tcW w:w="2249" w:type="dxa"/>
          </w:tcPr>
          <w:p w:rsidRPr="006F34CD" w:rsidR="00515FE0" w:rsidP="006F34CD" w:rsidRDefault="00515FE0" w14:paraId="10E6471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Vladimirovich RYNDIN</w:t>
            </w:r>
          </w:p>
        </w:tc>
        <w:tc>
          <w:tcPr>
            <w:tcW w:w="836" w:type="dxa"/>
          </w:tcPr>
          <w:p w:rsidRPr="006F34CD" w:rsidR="00515FE0" w:rsidP="006F34CD" w:rsidRDefault="00515FE0" w14:paraId="6D430F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40AB3E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Nogliki</w:t>
            </w:r>
          </w:p>
        </w:tc>
        <w:tc>
          <w:tcPr>
            <w:tcW w:w="1134" w:type="dxa"/>
          </w:tcPr>
          <w:p w:rsidRPr="006F34CD" w:rsidR="00515FE0" w:rsidP="006F34CD" w:rsidRDefault="00515FE0" w14:paraId="0493CF3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581BEB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7F03E5" w14:textId="77777777">
            <w:pPr>
              <w:spacing w:before="120" w:after="120"/>
              <w:jc w:val="center"/>
              <w:rPr>
                <w:rFonts w:ascii="Times New Roman" w:hAnsi="Times New Roman" w:cs="Times New Roman"/>
                <w:sz w:val="18"/>
                <w:szCs w:val="18"/>
              </w:rPr>
            </w:pPr>
          </w:p>
        </w:tc>
      </w:tr>
      <w:tr w:rsidRPr="006F34CD" w:rsidR="00515FE0" w:rsidTr="00EF028C" w14:paraId="5A72108B" w14:textId="77777777">
        <w:trPr>
          <w:cantSplit/>
        </w:trPr>
        <w:tc>
          <w:tcPr>
            <w:tcW w:w="2249" w:type="dxa"/>
          </w:tcPr>
          <w:p w:rsidRPr="006F34CD" w:rsidR="00515FE0" w:rsidP="006F34CD" w:rsidRDefault="00515FE0" w14:paraId="55666B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Vasilyevich RYSHKOV</w:t>
            </w:r>
          </w:p>
        </w:tc>
        <w:tc>
          <w:tcPr>
            <w:tcW w:w="836" w:type="dxa"/>
          </w:tcPr>
          <w:p w:rsidRPr="006F34CD" w:rsidR="00515FE0" w:rsidP="006F34CD" w:rsidRDefault="00515FE0" w14:paraId="553259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07B2C1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g.Labinsk</w:t>
            </w:r>
          </w:p>
        </w:tc>
        <w:tc>
          <w:tcPr>
            <w:tcW w:w="1134" w:type="dxa"/>
          </w:tcPr>
          <w:p w:rsidRPr="006F34CD" w:rsidR="00515FE0" w:rsidP="006F34CD" w:rsidRDefault="00515FE0" w14:paraId="6FBD25B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5C16A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DEABCF" w14:textId="77777777">
            <w:pPr>
              <w:spacing w:before="120" w:after="120"/>
              <w:jc w:val="center"/>
              <w:rPr>
                <w:rFonts w:ascii="Times New Roman" w:hAnsi="Times New Roman" w:cs="Times New Roman"/>
                <w:sz w:val="18"/>
                <w:szCs w:val="18"/>
              </w:rPr>
            </w:pPr>
          </w:p>
        </w:tc>
      </w:tr>
      <w:tr w:rsidRPr="006F34CD" w:rsidR="00515FE0" w:rsidTr="00EF028C" w14:paraId="7DD1D21A" w14:textId="77777777">
        <w:trPr>
          <w:cantSplit/>
        </w:trPr>
        <w:tc>
          <w:tcPr>
            <w:tcW w:w="2249" w:type="dxa"/>
          </w:tcPr>
          <w:p w:rsidRPr="006F34CD" w:rsidR="00515FE0" w:rsidP="006F34CD" w:rsidRDefault="00515FE0" w14:paraId="64F197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Gennadyevich SAFONOV</w:t>
            </w:r>
          </w:p>
        </w:tc>
        <w:tc>
          <w:tcPr>
            <w:tcW w:w="836" w:type="dxa"/>
          </w:tcPr>
          <w:p w:rsidRPr="006F34CD" w:rsidR="00515FE0" w:rsidP="006F34CD" w:rsidRDefault="00515FE0" w14:paraId="23488FB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31BE63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g.Leninsk</w:t>
            </w:r>
          </w:p>
        </w:tc>
        <w:tc>
          <w:tcPr>
            <w:tcW w:w="1134" w:type="dxa"/>
          </w:tcPr>
          <w:p w:rsidRPr="006F34CD" w:rsidR="00515FE0" w:rsidP="006F34CD" w:rsidRDefault="00515FE0" w14:paraId="700A870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EA0A2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945D72" w14:textId="77777777">
            <w:pPr>
              <w:spacing w:before="120" w:after="120"/>
              <w:jc w:val="center"/>
              <w:rPr>
                <w:rFonts w:ascii="Times New Roman" w:hAnsi="Times New Roman" w:cs="Times New Roman"/>
                <w:sz w:val="18"/>
                <w:szCs w:val="18"/>
              </w:rPr>
            </w:pPr>
          </w:p>
        </w:tc>
      </w:tr>
      <w:tr w:rsidRPr="006F34CD" w:rsidR="00515FE0" w:rsidTr="00EF028C" w14:paraId="41345244" w14:textId="77777777">
        <w:trPr>
          <w:cantSplit/>
        </w:trPr>
        <w:tc>
          <w:tcPr>
            <w:tcW w:w="2249" w:type="dxa"/>
          </w:tcPr>
          <w:p w:rsidRPr="006F34CD" w:rsidR="00515FE0" w:rsidP="006F34CD" w:rsidRDefault="00515FE0" w14:paraId="75761A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Vladimirovich SAFONOV</w:t>
            </w:r>
          </w:p>
        </w:tc>
        <w:tc>
          <w:tcPr>
            <w:tcW w:w="836" w:type="dxa"/>
          </w:tcPr>
          <w:p w:rsidRPr="006F34CD" w:rsidR="00515FE0" w:rsidP="006F34CD" w:rsidRDefault="00515FE0" w14:paraId="4EE9E94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7EA692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57596AD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642A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9B1B332" w14:textId="77777777">
            <w:pPr>
              <w:spacing w:before="120" w:after="120"/>
              <w:jc w:val="center"/>
              <w:rPr>
                <w:rFonts w:ascii="Times New Roman" w:hAnsi="Times New Roman" w:cs="Times New Roman"/>
                <w:sz w:val="18"/>
                <w:szCs w:val="18"/>
              </w:rPr>
            </w:pPr>
          </w:p>
        </w:tc>
      </w:tr>
      <w:tr w:rsidRPr="006F34CD" w:rsidR="00515FE0" w:rsidTr="00EF028C" w14:paraId="2DA48106" w14:textId="77777777">
        <w:trPr>
          <w:cantSplit/>
        </w:trPr>
        <w:tc>
          <w:tcPr>
            <w:tcW w:w="2249" w:type="dxa"/>
          </w:tcPr>
          <w:p w:rsidRPr="006F34CD" w:rsidR="00515FE0" w:rsidP="006F34CD" w:rsidRDefault="00515FE0" w14:paraId="0F44D1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Aleksandrovich SAFONOV</w:t>
            </w:r>
          </w:p>
        </w:tc>
        <w:tc>
          <w:tcPr>
            <w:tcW w:w="836" w:type="dxa"/>
          </w:tcPr>
          <w:p w:rsidRPr="006F34CD" w:rsidR="00515FE0" w:rsidP="006F34CD" w:rsidRDefault="00515FE0" w14:paraId="5E13903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2F919C2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 Trudobelikovskiy</w:t>
            </w:r>
          </w:p>
        </w:tc>
        <w:tc>
          <w:tcPr>
            <w:tcW w:w="1134" w:type="dxa"/>
          </w:tcPr>
          <w:p w:rsidRPr="006F34CD" w:rsidR="00515FE0" w:rsidP="006F34CD" w:rsidRDefault="00515FE0" w14:paraId="002040C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6236D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DE8517" w14:textId="77777777">
            <w:pPr>
              <w:spacing w:before="120" w:after="120"/>
              <w:jc w:val="center"/>
              <w:rPr>
                <w:rFonts w:ascii="Times New Roman" w:hAnsi="Times New Roman" w:cs="Times New Roman"/>
                <w:sz w:val="18"/>
                <w:szCs w:val="18"/>
              </w:rPr>
            </w:pPr>
          </w:p>
        </w:tc>
      </w:tr>
      <w:tr w:rsidRPr="006F34CD" w:rsidR="00515FE0" w:rsidTr="00EF028C" w14:paraId="16DC11E7" w14:textId="77777777">
        <w:trPr>
          <w:cantSplit/>
        </w:trPr>
        <w:tc>
          <w:tcPr>
            <w:tcW w:w="2249" w:type="dxa"/>
          </w:tcPr>
          <w:p w:rsidRPr="006F34CD" w:rsidR="00515FE0" w:rsidP="006F34CD" w:rsidRDefault="00515FE0" w14:paraId="1AF6897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Petrovich SAGIN</w:t>
            </w:r>
          </w:p>
        </w:tc>
        <w:tc>
          <w:tcPr>
            <w:tcW w:w="836" w:type="dxa"/>
          </w:tcPr>
          <w:p w:rsidRPr="006F34CD" w:rsidR="00515FE0" w:rsidP="006F34CD" w:rsidRDefault="00515FE0" w14:paraId="7F0473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68C609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Achinsk</w:t>
            </w:r>
          </w:p>
        </w:tc>
        <w:tc>
          <w:tcPr>
            <w:tcW w:w="1134" w:type="dxa"/>
          </w:tcPr>
          <w:p w:rsidRPr="006F34CD" w:rsidR="00515FE0" w:rsidP="006F34CD" w:rsidRDefault="00515FE0" w14:paraId="106C6C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82FD9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477839" w14:textId="77777777">
            <w:pPr>
              <w:spacing w:before="120" w:after="120"/>
              <w:jc w:val="center"/>
              <w:rPr>
                <w:rFonts w:ascii="Times New Roman" w:hAnsi="Times New Roman" w:cs="Times New Roman"/>
                <w:sz w:val="18"/>
                <w:szCs w:val="18"/>
              </w:rPr>
            </w:pPr>
          </w:p>
        </w:tc>
      </w:tr>
      <w:tr w:rsidRPr="006F34CD" w:rsidR="00515FE0" w:rsidTr="00EF028C" w14:paraId="5F5E9BF9" w14:textId="77777777">
        <w:trPr>
          <w:cantSplit/>
        </w:trPr>
        <w:tc>
          <w:tcPr>
            <w:tcW w:w="2249" w:type="dxa"/>
          </w:tcPr>
          <w:p w:rsidRPr="006F34CD" w:rsidR="00515FE0" w:rsidP="006F34CD" w:rsidRDefault="00515FE0" w14:paraId="13A793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Gerasimovich SALTYKOV</w:t>
            </w:r>
          </w:p>
        </w:tc>
        <w:tc>
          <w:tcPr>
            <w:tcW w:w="836" w:type="dxa"/>
          </w:tcPr>
          <w:p w:rsidRPr="006F34CD" w:rsidR="00515FE0" w:rsidP="006F34CD" w:rsidRDefault="00515FE0" w14:paraId="1ED915A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1945</w:t>
            </w:r>
          </w:p>
        </w:tc>
        <w:tc>
          <w:tcPr>
            <w:tcW w:w="1305" w:type="dxa"/>
          </w:tcPr>
          <w:p w:rsidRPr="006F34CD" w:rsidR="00515FE0" w:rsidP="006F34CD" w:rsidRDefault="00515FE0" w14:paraId="091FD42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Shushenskoye</w:t>
            </w:r>
          </w:p>
        </w:tc>
        <w:tc>
          <w:tcPr>
            <w:tcW w:w="1134" w:type="dxa"/>
          </w:tcPr>
          <w:p w:rsidRPr="006F34CD" w:rsidR="00515FE0" w:rsidP="006F34CD" w:rsidRDefault="00515FE0" w14:paraId="251995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17C0E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565DEF" w14:textId="77777777">
            <w:pPr>
              <w:spacing w:before="120" w:after="120"/>
              <w:jc w:val="center"/>
              <w:rPr>
                <w:rFonts w:ascii="Times New Roman" w:hAnsi="Times New Roman" w:cs="Times New Roman"/>
                <w:sz w:val="18"/>
                <w:szCs w:val="18"/>
              </w:rPr>
            </w:pPr>
          </w:p>
        </w:tc>
      </w:tr>
      <w:tr w:rsidRPr="006F34CD" w:rsidR="00515FE0" w:rsidTr="00EF028C" w14:paraId="1B674923" w14:textId="77777777">
        <w:trPr>
          <w:cantSplit/>
        </w:trPr>
        <w:tc>
          <w:tcPr>
            <w:tcW w:w="2249" w:type="dxa"/>
          </w:tcPr>
          <w:p w:rsidRPr="006F34CD" w:rsidR="00515FE0" w:rsidP="006F34CD" w:rsidRDefault="00515FE0" w14:paraId="4B928CE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Aleksandrovich SARAPULTSEV</w:t>
            </w:r>
          </w:p>
        </w:tc>
        <w:tc>
          <w:tcPr>
            <w:tcW w:w="836" w:type="dxa"/>
          </w:tcPr>
          <w:p w:rsidRPr="006F34CD" w:rsidR="00515FE0" w:rsidP="006F34CD" w:rsidRDefault="00515FE0" w14:paraId="503548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272744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Yeysk</w:t>
            </w:r>
          </w:p>
        </w:tc>
        <w:tc>
          <w:tcPr>
            <w:tcW w:w="1134" w:type="dxa"/>
          </w:tcPr>
          <w:p w:rsidRPr="006F34CD" w:rsidR="00515FE0" w:rsidP="006F34CD" w:rsidRDefault="00515FE0" w14:paraId="288B0F3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D354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5A89DA" w14:textId="77777777">
            <w:pPr>
              <w:spacing w:before="120" w:after="120"/>
              <w:jc w:val="center"/>
              <w:rPr>
                <w:rFonts w:ascii="Times New Roman" w:hAnsi="Times New Roman" w:cs="Times New Roman"/>
                <w:sz w:val="18"/>
                <w:szCs w:val="18"/>
              </w:rPr>
            </w:pPr>
          </w:p>
        </w:tc>
      </w:tr>
      <w:tr w:rsidRPr="006F34CD" w:rsidR="00515FE0" w:rsidTr="00EF028C" w14:paraId="6A05EC11" w14:textId="77777777">
        <w:trPr>
          <w:cantSplit/>
        </w:trPr>
        <w:tc>
          <w:tcPr>
            <w:tcW w:w="2249" w:type="dxa"/>
          </w:tcPr>
          <w:p w:rsidRPr="006F34CD" w:rsidR="00515FE0" w:rsidP="006F34CD" w:rsidRDefault="00515FE0" w14:paraId="646D8E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Vagan Sokratovich SARGSYAN</w:t>
            </w:r>
          </w:p>
        </w:tc>
        <w:tc>
          <w:tcPr>
            <w:tcW w:w="836" w:type="dxa"/>
          </w:tcPr>
          <w:p w:rsidRPr="006F34CD" w:rsidR="00515FE0" w:rsidP="006F34CD" w:rsidRDefault="00515FE0" w14:paraId="5A005C4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5ADFF3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Volnoye</w:t>
            </w:r>
          </w:p>
        </w:tc>
        <w:tc>
          <w:tcPr>
            <w:tcW w:w="1134" w:type="dxa"/>
          </w:tcPr>
          <w:p w:rsidRPr="006F34CD" w:rsidR="00515FE0" w:rsidP="006F34CD" w:rsidRDefault="00515FE0" w14:paraId="5C8746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ACF8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C49146" w14:textId="77777777">
            <w:pPr>
              <w:spacing w:before="120" w:after="120"/>
              <w:jc w:val="center"/>
              <w:rPr>
                <w:rFonts w:ascii="Times New Roman" w:hAnsi="Times New Roman" w:cs="Times New Roman"/>
                <w:sz w:val="18"/>
                <w:szCs w:val="18"/>
              </w:rPr>
            </w:pPr>
          </w:p>
        </w:tc>
      </w:tr>
      <w:tr w:rsidRPr="006F34CD" w:rsidR="00515FE0" w:rsidTr="00EF028C" w14:paraId="5F011B09" w14:textId="77777777">
        <w:trPr>
          <w:cantSplit/>
        </w:trPr>
        <w:tc>
          <w:tcPr>
            <w:tcW w:w="2249" w:type="dxa"/>
          </w:tcPr>
          <w:p w:rsidRPr="006F34CD" w:rsidR="00515FE0" w:rsidP="006F34CD" w:rsidRDefault="00515FE0" w14:paraId="003E268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Leonid Nikolayevich SECHIN</w:t>
            </w:r>
          </w:p>
        </w:tc>
        <w:tc>
          <w:tcPr>
            <w:tcW w:w="836" w:type="dxa"/>
          </w:tcPr>
          <w:p w:rsidRPr="006F34CD" w:rsidR="00515FE0" w:rsidP="006F34CD" w:rsidRDefault="00515FE0" w14:paraId="6B583D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333707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Maykop</w:t>
            </w:r>
          </w:p>
        </w:tc>
        <w:tc>
          <w:tcPr>
            <w:tcW w:w="1134" w:type="dxa"/>
          </w:tcPr>
          <w:p w:rsidRPr="006F34CD" w:rsidR="00515FE0" w:rsidP="006F34CD" w:rsidRDefault="00515FE0" w14:paraId="6125E0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51AF1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A1E5FD" w14:textId="77777777">
            <w:pPr>
              <w:spacing w:before="120" w:after="120"/>
              <w:jc w:val="center"/>
              <w:rPr>
                <w:rFonts w:ascii="Times New Roman" w:hAnsi="Times New Roman" w:cs="Times New Roman"/>
                <w:sz w:val="18"/>
                <w:szCs w:val="18"/>
              </w:rPr>
            </w:pPr>
          </w:p>
        </w:tc>
      </w:tr>
      <w:tr w:rsidRPr="006F34CD" w:rsidR="00515FE0" w:rsidTr="00EF028C" w14:paraId="5AFF2D2B" w14:textId="77777777">
        <w:trPr>
          <w:cantSplit/>
        </w:trPr>
        <w:tc>
          <w:tcPr>
            <w:tcW w:w="2249" w:type="dxa"/>
          </w:tcPr>
          <w:p w:rsidRPr="006F34CD" w:rsidR="00515FE0" w:rsidP="006F34CD" w:rsidRDefault="00515FE0" w14:paraId="487719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Nikolayevich SEDUNOV</w:t>
            </w:r>
          </w:p>
        </w:tc>
        <w:tc>
          <w:tcPr>
            <w:tcW w:w="836" w:type="dxa"/>
          </w:tcPr>
          <w:p w:rsidRPr="006F34CD" w:rsidR="00515FE0" w:rsidP="006F34CD" w:rsidRDefault="00515FE0" w14:paraId="1C1995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1C88EEB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Blagoveshchensk</w:t>
            </w:r>
          </w:p>
        </w:tc>
        <w:tc>
          <w:tcPr>
            <w:tcW w:w="1134" w:type="dxa"/>
          </w:tcPr>
          <w:p w:rsidRPr="006F34CD" w:rsidR="00515FE0" w:rsidP="006F34CD" w:rsidRDefault="00515FE0" w14:paraId="4C3BE56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0DCC6A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BF03BD" w14:textId="77777777">
            <w:pPr>
              <w:spacing w:before="120" w:after="120"/>
              <w:jc w:val="center"/>
              <w:rPr>
                <w:rFonts w:ascii="Times New Roman" w:hAnsi="Times New Roman" w:cs="Times New Roman"/>
                <w:sz w:val="18"/>
                <w:szCs w:val="18"/>
              </w:rPr>
            </w:pPr>
          </w:p>
        </w:tc>
      </w:tr>
      <w:tr w:rsidRPr="006F34CD" w:rsidR="00515FE0" w:rsidTr="00EF028C" w14:paraId="7675EBD1" w14:textId="77777777">
        <w:trPr>
          <w:cantSplit/>
        </w:trPr>
        <w:tc>
          <w:tcPr>
            <w:tcW w:w="2249" w:type="dxa"/>
          </w:tcPr>
          <w:p w:rsidRPr="006F34CD" w:rsidR="00515FE0" w:rsidP="006F34CD" w:rsidRDefault="00515FE0" w14:paraId="0A74BD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Sergeyevich SEGAL</w:t>
            </w:r>
          </w:p>
        </w:tc>
        <w:tc>
          <w:tcPr>
            <w:tcW w:w="836" w:type="dxa"/>
          </w:tcPr>
          <w:p w:rsidRPr="006F34CD" w:rsidR="00515FE0" w:rsidP="006F34CD" w:rsidRDefault="00515FE0" w14:paraId="3B9EC8F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559030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Kerch</w:t>
            </w:r>
          </w:p>
        </w:tc>
        <w:tc>
          <w:tcPr>
            <w:tcW w:w="1134" w:type="dxa"/>
          </w:tcPr>
          <w:p w:rsidRPr="006F34CD" w:rsidR="00515FE0" w:rsidP="006F34CD" w:rsidRDefault="00515FE0" w14:paraId="17A8363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B3590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0F0F1B8" w14:textId="77777777">
            <w:pPr>
              <w:spacing w:before="120" w:after="120"/>
              <w:jc w:val="center"/>
              <w:rPr>
                <w:rFonts w:ascii="Times New Roman" w:hAnsi="Times New Roman" w:cs="Times New Roman"/>
                <w:sz w:val="18"/>
                <w:szCs w:val="18"/>
              </w:rPr>
            </w:pPr>
          </w:p>
        </w:tc>
      </w:tr>
      <w:tr w:rsidRPr="006F34CD" w:rsidR="00515FE0" w:rsidTr="00EF028C" w14:paraId="50835FC9" w14:textId="77777777">
        <w:trPr>
          <w:cantSplit/>
        </w:trPr>
        <w:tc>
          <w:tcPr>
            <w:tcW w:w="2249" w:type="dxa"/>
          </w:tcPr>
          <w:p w:rsidRPr="006F34CD" w:rsidR="00515FE0" w:rsidP="006F34CD" w:rsidRDefault="00515FE0" w14:paraId="24E4B8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Anatolyevich SELEZNEV</w:t>
            </w:r>
          </w:p>
        </w:tc>
        <w:tc>
          <w:tcPr>
            <w:tcW w:w="836" w:type="dxa"/>
          </w:tcPr>
          <w:p w:rsidRPr="006F34CD" w:rsidR="00515FE0" w:rsidP="006F34CD" w:rsidRDefault="00515FE0" w14:paraId="757A449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6EA5BE6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Vilyuchinsk</w:t>
            </w:r>
          </w:p>
        </w:tc>
        <w:tc>
          <w:tcPr>
            <w:tcW w:w="1134" w:type="dxa"/>
          </w:tcPr>
          <w:p w:rsidRPr="006F34CD" w:rsidR="00515FE0" w:rsidP="006F34CD" w:rsidRDefault="00515FE0" w14:paraId="6785563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48969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C67500" w14:textId="77777777">
            <w:pPr>
              <w:spacing w:before="120" w:after="120"/>
              <w:jc w:val="center"/>
              <w:rPr>
                <w:rFonts w:ascii="Times New Roman" w:hAnsi="Times New Roman" w:cs="Times New Roman"/>
                <w:sz w:val="18"/>
                <w:szCs w:val="18"/>
              </w:rPr>
            </w:pPr>
          </w:p>
        </w:tc>
      </w:tr>
      <w:tr w:rsidRPr="006F34CD" w:rsidR="00515FE0" w:rsidTr="00EF028C" w14:paraId="44FCB6CD" w14:textId="77777777">
        <w:trPr>
          <w:cantSplit/>
        </w:trPr>
        <w:tc>
          <w:tcPr>
            <w:tcW w:w="2249" w:type="dxa"/>
          </w:tcPr>
          <w:p w:rsidRPr="006F34CD" w:rsidR="00515FE0" w:rsidP="006F34CD" w:rsidRDefault="00515FE0" w14:paraId="5AFE7E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Vasilyevich SELIVANOV</w:t>
            </w:r>
          </w:p>
        </w:tc>
        <w:tc>
          <w:tcPr>
            <w:tcW w:w="836" w:type="dxa"/>
          </w:tcPr>
          <w:p w:rsidRPr="006F34CD" w:rsidR="00515FE0" w:rsidP="006F34CD" w:rsidRDefault="00515FE0" w14:paraId="704FB3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3CACF0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Bryanskoye</w:t>
            </w:r>
          </w:p>
        </w:tc>
        <w:tc>
          <w:tcPr>
            <w:tcW w:w="1134" w:type="dxa"/>
          </w:tcPr>
          <w:p w:rsidRPr="006F34CD" w:rsidR="00515FE0" w:rsidP="006F34CD" w:rsidRDefault="00515FE0" w14:paraId="51916E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4FC93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E68803" w14:textId="77777777">
            <w:pPr>
              <w:spacing w:before="120" w:after="120"/>
              <w:jc w:val="center"/>
              <w:rPr>
                <w:rFonts w:ascii="Times New Roman" w:hAnsi="Times New Roman" w:cs="Times New Roman"/>
                <w:sz w:val="18"/>
                <w:szCs w:val="18"/>
              </w:rPr>
            </w:pPr>
          </w:p>
        </w:tc>
      </w:tr>
      <w:tr w:rsidRPr="006F34CD" w:rsidR="00515FE0" w:rsidTr="00EF028C" w14:paraId="6B54AA35" w14:textId="77777777">
        <w:trPr>
          <w:cantSplit/>
        </w:trPr>
        <w:tc>
          <w:tcPr>
            <w:tcW w:w="2249" w:type="dxa"/>
          </w:tcPr>
          <w:p w:rsidRPr="006F34CD" w:rsidR="00515FE0" w:rsidP="006F34CD" w:rsidRDefault="00515FE0" w14:paraId="2DFDBC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Sergeyevich SEMENOV</w:t>
            </w:r>
          </w:p>
        </w:tc>
        <w:tc>
          <w:tcPr>
            <w:tcW w:w="836" w:type="dxa"/>
          </w:tcPr>
          <w:p w:rsidRPr="006F34CD" w:rsidR="00515FE0" w:rsidP="006F34CD" w:rsidRDefault="00515FE0" w14:paraId="7A44A90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371489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Glazov</w:t>
            </w:r>
          </w:p>
        </w:tc>
        <w:tc>
          <w:tcPr>
            <w:tcW w:w="1134" w:type="dxa"/>
          </w:tcPr>
          <w:p w:rsidRPr="006F34CD" w:rsidR="00515FE0" w:rsidP="006F34CD" w:rsidRDefault="00515FE0" w14:paraId="29E4CF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9F1A5D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75413D" w14:textId="77777777">
            <w:pPr>
              <w:spacing w:before="120" w:after="120"/>
              <w:jc w:val="center"/>
              <w:rPr>
                <w:rFonts w:ascii="Times New Roman" w:hAnsi="Times New Roman" w:cs="Times New Roman"/>
                <w:sz w:val="18"/>
                <w:szCs w:val="18"/>
              </w:rPr>
            </w:pPr>
          </w:p>
        </w:tc>
      </w:tr>
      <w:tr w:rsidRPr="006F34CD" w:rsidR="00515FE0" w:rsidTr="00EF028C" w14:paraId="118A46B5" w14:textId="77777777">
        <w:trPr>
          <w:cantSplit/>
        </w:trPr>
        <w:tc>
          <w:tcPr>
            <w:tcW w:w="2249" w:type="dxa"/>
          </w:tcPr>
          <w:p w:rsidRPr="006F34CD" w:rsidR="00515FE0" w:rsidP="006F34CD" w:rsidRDefault="00515FE0" w14:paraId="2A12A6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Vasilyevich SEMIN</w:t>
            </w:r>
          </w:p>
        </w:tc>
        <w:tc>
          <w:tcPr>
            <w:tcW w:w="836" w:type="dxa"/>
          </w:tcPr>
          <w:p w:rsidRPr="006F34CD" w:rsidR="00515FE0" w:rsidP="006F34CD" w:rsidRDefault="00515FE0" w14:paraId="288737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6672BB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Pushkino</w:t>
            </w:r>
          </w:p>
        </w:tc>
        <w:tc>
          <w:tcPr>
            <w:tcW w:w="1134" w:type="dxa"/>
          </w:tcPr>
          <w:p w:rsidRPr="006F34CD" w:rsidR="00515FE0" w:rsidP="006F34CD" w:rsidRDefault="00515FE0" w14:paraId="5A950B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E6D23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1B61F9" w14:textId="77777777">
            <w:pPr>
              <w:spacing w:before="120" w:after="120"/>
              <w:jc w:val="center"/>
              <w:rPr>
                <w:rFonts w:ascii="Times New Roman" w:hAnsi="Times New Roman" w:cs="Times New Roman"/>
                <w:sz w:val="18"/>
                <w:szCs w:val="18"/>
              </w:rPr>
            </w:pPr>
          </w:p>
        </w:tc>
      </w:tr>
      <w:tr w:rsidRPr="006F34CD" w:rsidR="00515FE0" w:rsidTr="00EF028C" w14:paraId="45BCD485" w14:textId="77777777">
        <w:trPr>
          <w:cantSplit/>
        </w:trPr>
        <w:tc>
          <w:tcPr>
            <w:tcW w:w="2249" w:type="dxa"/>
          </w:tcPr>
          <w:p w:rsidRPr="006F34CD" w:rsidR="00515FE0" w:rsidP="006F34CD" w:rsidRDefault="00515FE0" w14:paraId="00C738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Aleksandrovich SERGEYECHEV</w:t>
            </w:r>
          </w:p>
        </w:tc>
        <w:tc>
          <w:tcPr>
            <w:tcW w:w="836" w:type="dxa"/>
          </w:tcPr>
          <w:p w:rsidRPr="006F34CD" w:rsidR="00515FE0" w:rsidP="006F34CD" w:rsidRDefault="00515FE0" w14:paraId="75D0D5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1951</w:t>
            </w:r>
          </w:p>
        </w:tc>
        <w:tc>
          <w:tcPr>
            <w:tcW w:w="1305" w:type="dxa"/>
          </w:tcPr>
          <w:p w:rsidRPr="006F34CD" w:rsidR="00515FE0" w:rsidP="006F34CD" w:rsidRDefault="00515FE0" w14:paraId="678C57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Adygeysk</w:t>
            </w:r>
          </w:p>
        </w:tc>
        <w:tc>
          <w:tcPr>
            <w:tcW w:w="1134" w:type="dxa"/>
          </w:tcPr>
          <w:p w:rsidRPr="006F34CD" w:rsidR="00515FE0" w:rsidP="006F34CD" w:rsidRDefault="00515FE0" w14:paraId="0E144DD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FB420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207888" w14:textId="77777777">
            <w:pPr>
              <w:spacing w:before="120" w:after="120"/>
              <w:jc w:val="center"/>
              <w:rPr>
                <w:rFonts w:ascii="Times New Roman" w:hAnsi="Times New Roman" w:cs="Times New Roman"/>
                <w:sz w:val="18"/>
                <w:szCs w:val="18"/>
              </w:rPr>
            </w:pPr>
          </w:p>
        </w:tc>
      </w:tr>
      <w:tr w:rsidRPr="006F34CD" w:rsidR="00515FE0" w:rsidTr="00EF028C" w14:paraId="1921E938" w14:textId="77777777">
        <w:trPr>
          <w:cantSplit/>
        </w:trPr>
        <w:tc>
          <w:tcPr>
            <w:tcW w:w="2249" w:type="dxa"/>
          </w:tcPr>
          <w:p w:rsidRPr="006F34CD" w:rsidR="00515FE0" w:rsidP="006F34CD" w:rsidRDefault="00515FE0" w14:paraId="7831C75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Aleksandrovich SEROSHTANOV</w:t>
            </w:r>
          </w:p>
        </w:tc>
        <w:tc>
          <w:tcPr>
            <w:tcW w:w="836" w:type="dxa"/>
          </w:tcPr>
          <w:p w:rsidRPr="006F34CD" w:rsidR="00515FE0" w:rsidP="006F34CD" w:rsidRDefault="00515FE0" w14:paraId="28B9F47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00E4E7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Yekaterinburg</w:t>
            </w:r>
          </w:p>
        </w:tc>
        <w:tc>
          <w:tcPr>
            <w:tcW w:w="1134" w:type="dxa"/>
          </w:tcPr>
          <w:p w:rsidRPr="006F34CD" w:rsidR="00515FE0" w:rsidP="006F34CD" w:rsidRDefault="00515FE0" w14:paraId="688F2B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770F8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D9B47E6" w14:textId="77777777">
            <w:pPr>
              <w:spacing w:before="120" w:after="120"/>
              <w:jc w:val="center"/>
              <w:rPr>
                <w:rFonts w:ascii="Times New Roman" w:hAnsi="Times New Roman" w:cs="Times New Roman"/>
                <w:sz w:val="18"/>
                <w:szCs w:val="18"/>
              </w:rPr>
            </w:pPr>
          </w:p>
        </w:tc>
      </w:tr>
      <w:tr w:rsidRPr="006F34CD" w:rsidR="00515FE0" w:rsidTr="00EF028C" w14:paraId="0D2D525D" w14:textId="77777777">
        <w:trPr>
          <w:cantSplit/>
        </w:trPr>
        <w:tc>
          <w:tcPr>
            <w:tcW w:w="2249" w:type="dxa"/>
          </w:tcPr>
          <w:p w:rsidRPr="006F34CD" w:rsidR="00515FE0" w:rsidP="006F34CD" w:rsidRDefault="00515FE0" w14:paraId="44FCD8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Grigoryevich SHABUNIN</w:t>
            </w:r>
          </w:p>
        </w:tc>
        <w:tc>
          <w:tcPr>
            <w:tcW w:w="836" w:type="dxa"/>
          </w:tcPr>
          <w:p w:rsidRPr="006F34CD" w:rsidR="00515FE0" w:rsidP="006F34CD" w:rsidRDefault="00515FE0" w14:paraId="3311E5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50ABB7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Petropavlovsk-Kamchatskiy</w:t>
            </w:r>
          </w:p>
        </w:tc>
        <w:tc>
          <w:tcPr>
            <w:tcW w:w="1134" w:type="dxa"/>
          </w:tcPr>
          <w:p w:rsidRPr="006F34CD" w:rsidR="00515FE0" w:rsidP="006F34CD" w:rsidRDefault="00515FE0" w14:paraId="669B872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9BE96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56349E" w14:textId="77777777">
            <w:pPr>
              <w:spacing w:before="120" w:after="120"/>
              <w:jc w:val="center"/>
              <w:rPr>
                <w:rFonts w:ascii="Times New Roman" w:hAnsi="Times New Roman" w:cs="Times New Roman"/>
                <w:sz w:val="18"/>
                <w:szCs w:val="18"/>
              </w:rPr>
            </w:pPr>
          </w:p>
        </w:tc>
      </w:tr>
      <w:tr w:rsidRPr="006F34CD" w:rsidR="00515FE0" w:rsidTr="00EF028C" w14:paraId="7DED89F0" w14:textId="77777777">
        <w:trPr>
          <w:cantSplit/>
        </w:trPr>
        <w:tc>
          <w:tcPr>
            <w:tcW w:w="2249" w:type="dxa"/>
          </w:tcPr>
          <w:p w:rsidRPr="006F34CD" w:rsidR="00515FE0" w:rsidP="006F34CD" w:rsidRDefault="00515FE0" w14:paraId="1EBD7F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Roman Andreyevich SHAUROV</w:t>
            </w:r>
          </w:p>
        </w:tc>
        <w:tc>
          <w:tcPr>
            <w:tcW w:w="836" w:type="dxa"/>
          </w:tcPr>
          <w:p w:rsidRPr="006F34CD" w:rsidR="00515FE0" w:rsidP="006F34CD" w:rsidRDefault="00515FE0" w14:paraId="66DB751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0C26F8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Ishnya</w:t>
            </w:r>
          </w:p>
        </w:tc>
        <w:tc>
          <w:tcPr>
            <w:tcW w:w="1134" w:type="dxa"/>
          </w:tcPr>
          <w:p w:rsidRPr="006F34CD" w:rsidR="00515FE0" w:rsidP="006F34CD" w:rsidRDefault="00515FE0" w14:paraId="4E1717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00438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02BDDED" w14:textId="77777777">
            <w:pPr>
              <w:spacing w:before="120" w:after="120"/>
              <w:jc w:val="center"/>
              <w:rPr>
                <w:rFonts w:ascii="Times New Roman" w:hAnsi="Times New Roman" w:cs="Times New Roman"/>
                <w:sz w:val="18"/>
                <w:szCs w:val="18"/>
              </w:rPr>
            </w:pPr>
          </w:p>
        </w:tc>
      </w:tr>
      <w:tr w:rsidRPr="006F34CD" w:rsidR="00515FE0" w:rsidTr="00EF028C" w14:paraId="3CA6C8D6" w14:textId="77777777">
        <w:trPr>
          <w:cantSplit/>
        </w:trPr>
        <w:tc>
          <w:tcPr>
            <w:tcW w:w="2249" w:type="dxa"/>
          </w:tcPr>
          <w:p w:rsidRPr="006F34CD" w:rsidR="00515FE0" w:rsidP="006F34CD" w:rsidRDefault="00515FE0" w14:paraId="1CD1A8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Nikolayevich SHEMYAKOV</w:t>
            </w:r>
          </w:p>
        </w:tc>
        <w:tc>
          <w:tcPr>
            <w:tcW w:w="836" w:type="dxa"/>
          </w:tcPr>
          <w:p w:rsidRPr="006F34CD" w:rsidR="00515FE0" w:rsidP="006F34CD" w:rsidRDefault="00515FE0" w14:paraId="3249BB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51B29F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Buzuluk</w:t>
            </w:r>
          </w:p>
        </w:tc>
        <w:tc>
          <w:tcPr>
            <w:tcW w:w="1134" w:type="dxa"/>
          </w:tcPr>
          <w:p w:rsidRPr="006F34CD" w:rsidR="00515FE0" w:rsidP="006F34CD" w:rsidRDefault="00515FE0" w14:paraId="4CA4FEB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CCEC9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9DB148" w14:textId="77777777">
            <w:pPr>
              <w:spacing w:before="120" w:after="120"/>
              <w:jc w:val="center"/>
              <w:rPr>
                <w:rFonts w:ascii="Times New Roman" w:hAnsi="Times New Roman" w:cs="Times New Roman"/>
                <w:sz w:val="18"/>
                <w:szCs w:val="18"/>
              </w:rPr>
            </w:pPr>
          </w:p>
        </w:tc>
      </w:tr>
      <w:tr w:rsidRPr="006F34CD" w:rsidR="00515FE0" w:rsidTr="00EF028C" w14:paraId="4ACC913A" w14:textId="77777777">
        <w:trPr>
          <w:cantSplit/>
        </w:trPr>
        <w:tc>
          <w:tcPr>
            <w:tcW w:w="2249" w:type="dxa"/>
          </w:tcPr>
          <w:p w:rsidRPr="006F34CD" w:rsidR="00515FE0" w:rsidP="006F34CD" w:rsidRDefault="00515FE0" w14:paraId="65737D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Boris Gennadyevich SHEVCHENKO</w:t>
            </w:r>
          </w:p>
        </w:tc>
        <w:tc>
          <w:tcPr>
            <w:tcW w:w="836" w:type="dxa"/>
          </w:tcPr>
          <w:p w:rsidRPr="006F34CD" w:rsidR="00515FE0" w:rsidP="006F34CD" w:rsidRDefault="00515FE0" w14:paraId="1AA75E2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21D408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Kotelnikovo</w:t>
            </w:r>
          </w:p>
        </w:tc>
        <w:tc>
          <w:tcPr>
            <w:tcW w:w="1134" w:type="dxa"/>
          </w:tcPr>
          <w:p w:rsidRPr="006F34CD" w:rsidR="00515FE0" w:rsidP="006F34CD" w:rsidRDefault="00515FE0" w14:paraId="5E48035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B62E4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1925D0" w14:textId="77777777">
            <w:pPr>
              <w:spacing w:before="120" w:after="120"/>
              <w:jc w:val="center"/>
              <w:rPr>
                <w:rFonts w:ascii="Times New Roman" w:hAnsi="Times New Roman" w:cs="Times New Roman"/>
                <w:sz w:val="18"/>
                <w:szCs w:val="18"/>
              </w:rPr>
            </w:pPr>
          </w:p>
        </w:tc>
      </w:tr>
      <w:tr w:rsidRPr="006F34CD" w:rsidR="00515FE0" w:rsidTr="00EF028C" w14:paraId="3FAB7F54" w14:textId="77777777">
        <w:trPr>
          <w:cantSplit/>
        </w:trPr>
        <w:tc>
          <w:tcPr>
            <w:tcW w:w="2249" w:type="dxa"/>
          </w:tcPr>
          <w:p w:rsidRPr="006F34CD" w:rsidR="00515FE0" w:rsidP="006F34CD" w:rsidRDefault="00515FE0" w14:paraId="24EC30C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Vasiliy Andreyevich SHEVCHENKO</w:t>
            </w:r>
          </w:p>
        </w:tc>
        <w:tc>
          <w:tcPr>
            <w:tcW w:w="836" w:type="dxa"/>
          </w:tcPr>
          <w:p w:rsidRPr="006F34CD" w:rsidR="00515FE0" w:rsidP="006F34CD" w:rsidRDefault="00515FE0" w14:paraId="1418A3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10492C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Chekhov</w:t>
            </w:r>
          </w:p>
        </w:tc>
        <w:tc>
          <w:tcPr>
            <w:tcW w:w="1134" w:type="dxa"/>
          </w:tcPr>
          <w:p w:rsidRPr="006F34CD" w:rsidR="00515FE0" w:rsidP="006F34CD" w:rsidRDefault="00515FE0" w14:paraId="623197E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9CC6D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85FF99" w14:textId="77777777">
            <w:pPr>
              <w:spacing w:before="120" w:after="120"/>
              <w:jc w:val="center"/>
              <w:rPr>
                <w:rFonts w:ascii="Times New Roman" w:hAnsi="Times New Roman" w:cs="Times New Roman"/>
                <w:sz w:val="18"/>
                <w:szCs w:val="18"/>
              </w:rPr>
            </w:pPr>
          </w:p>
        </w:tc>
      </w:tr>
      <w:tr w:rsidRPr="006F34CD" w:rsidR="00515FE0" w:rsidTr="00EF028C" w14:paraId="48EF91AE" w14:textId="77777777">
        <w:trPr>
          <w:cantSplit/>
        </w:trPr>
        <w:tc>
          <w:tcPr>
            <w:tcW w:w="2249" w:type="dxa"/>
          </w:tcPr>
          <w:p w:rsidRPr="006F34CD" w:rsidR="00515FE0" w:rsidP="006F34CD" w:rsidRDefault="00515FE0" w14:paraId="31407E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Grigoryevich SHIDLOVSKIY</w:t>
            </w:r>
          </w:p>
        </w:tc>
        <w:tc>
          <w:tcPr>
            <w:tcW w:w="836" w:type="dxa"/>
          </w:tcPr>
          <w:p w:rsidRPr="006F34CD" w:rsidR="00515FE0" w:rsidP="006F34CD" w:rsidRDefault="00515FE0" w14:paraId="124E3F2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EDA18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Zverevo</w:t>
            </w:r>
          </w:p>
        </w:tc>
        <w:tc>
          <w:tcPr>
            <w:tcW w:w="1134" w:type="dxa"/>
          </w:tcPr>
          <w:p w:rsidRPr="006F34CD" w:rsidR="00515FE0" w:rsidP="006F34CD" w:rsidRDefault="00515FE0" w14:paraId="6FE25CD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A0FB5E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C197F6" w14:textId="77777777">
            <w:pPr>
              <w:spacing w:before="120" w:after="120"/>
              <w:jc w:val="center"/>
              <w:rPr>
                <w:rFonts w:ascii="Times New Roman" w:hAnsi="Times New Roman" w:cs="Times New Roman"/>
                <w:sz w:val="18"/>
                <w:szCs w:val="18"/>
              </w:rPr>
            </w:pPr>
          </w:p>
        </w:tc>
      </w:tr>
      <w:tr w:rsidRPr="006F34CD" w:rsidR="00515FE0" w:rsidTr="00EF028C" w14:paraId="4DC7CC4B" w14:textId="77777777">
        <w:trPr>
          <w:cantSplit/>
        </w:trPr>
        <w:tc>
          <w:tcPr>
            <w:tcW w:w="2249" w:type="dxa"/>
          </w:tcPr>
          <w:p w:rsidRPr="006F34CD" w:rsidR="00515FE0" w:rsidP="006F34CD" w:rsidRDefault="00515FE0" w14:paraId="29B4ADD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Viktorovich SHIKHOV</w:t>
            </w:r>
          </w:p>
        </w:tc>
        <w:tc>
          <w:tcPr>
            <w:tcW w:w="836" w:type="dxa"/>
          </w:tcPr>
          <w:p w:rsidRPr="006F34CD" w:rsidR="00515FE0" w:rsidP="006F34CD" w:rsidRDefault="00515FE0" w14:paraId="137D944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1976</w:t>
            </w:r>
          </w:p>
        </w:tc>
        <w:tc>
          <w:tcPr>
            <w:tcW w:w="1305" w:type="dxa"/>
          </w:tcPr>
          <w:p w:rsidRPr="006F34CD" w:rsidR="00515FE0" w:rsidP="006F34CD" w:rsidRDefault="00515FE0" w14:paraId="53AD4D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Konosha</w:t>
            </w:r>
          </w:p>
        </w:tc>
        <w:tc>
          <w:tcPr>
            <w:tcW w:w="1134" w:type="dxa"/>
          </w:tcPr>
          <w:p w:rsidRPr="006F34CD" w:rsidR="00515FE0" w:rsidP="006F34CD" w:rsidRDefault="00515FE0" w14:paraId="3A781B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BF67B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FB1E57" w14:textId="77777777">
            <w:pPr>
              <w:spacing w:before="120" w:after="120"/>
              <w:jc w:val="center"/>
              <w:rPr>
                <w:rFonts w:ascii="Times New Roman" w:hAnsi="Times New Roman" w:cs="Times New Roman"/>
                <w:sz w:val="18"/>
                <w:szCs w:val="18"/>
              </w:rPr>
            </w:pPr>
          </w:p>
        </w:tc>
      </w:tr>
      <w:tr w:rsidRPr="006F34CD" w:rsidR="00515FE0" w:rsidTr="00EF028C" w14:paraId="01D18CD7" w14:textId="77777777">
        <w:trPr>
          <w:cantSplit/>
        </w:trPr>
        <w:tc>
          <w:tcPr>
            <w:tcW w:w="2249" w:type="dxa"/>
          </w:tcPr>
          <w:p w:rsidRPr="006F34CD" w:rsidR="00515FE0" w:rsidP="006F34CD" w:rsidRDefault="00515FE0" w14:paraId="04F527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Nikolayevich SHILOV</w:t>
            </w:r>
          </w:p>
        </w:tc>
        <w:tc>
          <w:tcPr>
            <w:tcW w:w="836" w:type="dxa"/>
          </w:tcPr>
          <w:p w:rsidRPr="006F34CD" w:rsidR="00515FE0" w:rsidP="006F34CD" w:rsidRDefault="00515FE0" w14:paraId="4BEC99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4EBF22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Kotovo</w:t>
            </w:r>
          </w:p>
        </w:tc>
        <w:tc>
          <w:tcPr>
            <w:tcW w:w="1134" w:type="dxa"/>
          </w:tcPr>
          <w:p w:rsidRPr="006F34CD" w:rsidR="00515FE0" w:rsidP="006F34CD" w:rsidRDefault="00515FE0" w14:paraId="159C9AC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EB19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D50DA3F" w14:textId="77777777">
            <w:pPr>
              <w:spacing w:before="120" w:after="120"/>
              <w:jc w:val="center"/>
              <w:rPr>
                <w:rFonts w:ascii="Times New Roman" w:hAnsi="Times New Roman" w:cs="Times New Roman"/>
                <w:sz w:val="18"/>
                <w:szCs w:val="18"/>
              </w:rPr>
            </w:pPr>
          </w:p>
        </w:tc>
      </w:tr>
      <w:tr w:rsidRPr="006F34CD" w:rsidR="00515FE0" w:rsidTr="00EF028C" w14:paraId="49A94F7D" w14:textId="77777777">
        <w:trPr>
          <w:cantSplit/>
        </w:trPr>
        <w:tc>
          <w:tcPr>
            <w:tcW w:w="2249" w:type="dxa"/>
          </w:tcPr>
          <w:p w:rsidRPr="006F34CD" w:rsidR="00515FE0" w:rsidP="006F34CD" w:rsidRDefault="00515FE0" w14:paraId="5F14C1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Timofey Yuryevich SHILYAYEV</w:t>
            </w:r>
          </w:p>
        </w:tc>
        <w:tc>
          <w:tcPr>
            <w:tcW w:w="836" w:type="dxa"/>
          </w:tcPr>
          <w:p w:rsidRPr="006F34CD" w:rsidR="00515FE0" w:rsidP="006F34CD" w:rsidRDefault="00515FE0" w14:paraId="3A4DBB6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531B6D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Kirovsk</w:t>
            </w:r>
          </w:p>
        </w:tc>
        <w:tc>
          <w:tcPr>
            <w:tcW w:w="1134" w:type="dxa"/>
          </w:tcPr>
          <w:p w:rsidRPr="006F34CD" w:rsidR="00515FE0" w:rsidP="006F34CD" w:rsidRDefault="00515FE0" w14:paraId="5E51512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A4328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632E5DD" w14:textId="77777777">
            <w:pPr>
              <w:spacing w:before="120" w:after="120"/>
              <w:jc w:val="center"/>
              <w:rPr>
                <w:rFonts w:ascii="Times New Roman" w:hAnsi="Times New Roman" w:cs="Times New Roman"/>
                <w:sz w:val="18"/>
                <w:szCs w:val="18"/>
              </w:rPr>
            </w:pPr>
          </w:p>
        </w:tc>
      </w:tr>
      <w:tr w:rsidRPr="006F34CD" w:rsidR="00515FE0" w:rsidTr="00EF028C" w14:paraId="6E7C1D07" w14:textId="77777777">
        <w:trPr>
          <w:cantSplit/>
        </w:trPr>
        <w:tc>
          <w:tcPr>
            <w:tcW w:w="2249" w:type="dxa"/>
          </w:tcPr>
          <w:p w:rsidRPr="006F34CD" w:rsidR="00515FE0" w:rsidP="006F34CD" w:rsidRDefault="00515FE0" w14:paraId="7F5B40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Ivan Ivanovich SHINKARENKO</w:t>
            </w:r>
          </w:p>
        </w:tc>
        <w:tc>
          <w:tcPr>
            <w:tcW w:w="836" w:type="dxa"/>
          </w:tcPr>
          <w:p w:rsidRPr="006F34CD" w:rsidR="00515FE0" w:rsidP="006F34CD" w:rsidRDefault="00515FE0" w14:paraId="6AB63F0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6C9C71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Tbilisskaya</w:t>
            </w:r>
          </w:p>
        </w:tc>
        <w:tc>
          <w:tcPr>
            <w:tcW w:w="1134" w:type="dxa"/>
          </w:tcPr>
          <w:p w:rsidRPr="006F34CD" w:rsidR="00515FE0" w:rsidP="006F34CD" w:rsidRDefault="00515FE0" w14:paraId="48AC5E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7B6C19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2EABA7" w14:textId="77777777">
            <w:pPr>
              <w:spacing w:before="120" w:after="120"/>
              <w:jc w:val="center"/>
              <w:rPr>
                <w:rFonts w:ascii="Times New Roman" w:hAnsi="Times New Roman" w:cs="Times New Roman"/>
                <w:sz w:val="18"/>
                <w:szCs w:val="18"/>
              </w:rPr>
            </w:pPr>
          </w:p>
        </w:tc>
      </w:tr>
      <w:tr w:rsidRPr="006F34CD" w:rsidR="00515FE0" w:rsidTr="00EF028C" w14:paraId="471564C6" w14:textId="77777777">
        <w:trPr>
          <w:cantSplit/>
        </w:trPr>
        <w:tc>
          <w:tcPr>
            <w:tcW w:w="2249" w:type="dxa"/>
          </w:tcPr>
          <w:p w:rsidRPr="006F34CD" w:rsidR="00515FE0" w:rsidP="006F34CD" w:rsidRDefault="00515FE0" w14:paraId="2A727C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Gennadiy Valerianovich SHPAKOVSKIY</w:t>
            </w:r>
          </w:p>
        </w:tc>
        <w:tc>
          <w:tcPr>
            <w:tcW w:w="836" w:type="dxa"/>
          </w:tcPr>
          <w:p w:rsidRPr="006F34CD" w:rsidR="00515FE0" w:rsidP="006F34CD" w:rsidRDefault="00515FE0" w14:paraId="05301C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21D0390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Pskov</w:t>
            </w:r>
          </w:p>
        </w:tc>
        <w:tc>
          <w:tcPr>
            <w:tcW w:w="1134" w:type="dxa"/>
          </w:tcPr>
          <w:p w:rsidRPr="006F34CD" w:rsidR="00515FE0" w:rsidP="006F34CD" w:rsidRDefault="00515FE0" w14:paraId="4C28AD3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89F17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0258CB" w14:textId="77777777">
            <w:pPr>
              <w:spacing w:before="120" w:after="120"/>
              <w:jc w:val="center"/>
              <w:rPr>
                <w:rFonts w:ascii="Times New Roman" w:hAnsi="Times New Roman" w:cs="Times New Roman"/>
                <w:sz w:val="18"/>
                <w:szCs w:val="18"/>
              </w:rPr>
            </w:pPr>
          </w:p>
        </w:tc>
      </w:tr>
      <w:tr w:rsidRPr="006F34CD" w:rsidR="00515FE0" w:rsidTr="00EF028C" w14:paraId="602B9C01" w14:textId="77777777">
        <w:trPr>
          <w:cantSplit/>
        </w:trPr>
        <w:tc>
          <w:tcPr>
            <w:tcW w:w="2249" w:type="dxa"/>
          </w:tcPr>
          <w:p w:rsidRPr="006F34CD" w:rsidR="00515FE0" w:rsidP="006F34CD" w:rsidRDefault="00515FE0" w14:paraId="1AC7D1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Aleksandrovich SHUPROV</w:t>
            </w:r>
          </w:p>
        </w:tc>
        <w:tc>
          <w:tcPr>
            <w:tcW w:w="836" w:type="dxa"/>
          </w:tcPr>
          <w:p w:rsidRPr="006F34CD" w:rsidR="00515FE0" w:rsidP="006F34CD" w:rsidRDefault="00515FE0" w14:paraId="7EC3BA3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35CB4D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Shchelkan</w:t>
            </w:r>
          </w:p>
        </w:tc>
        <w:tc>
          <w:tcPr>
            <w:tcW w:w="1134" w:type="dxa"/>
          </w:tcPr>
          <w:p w:rsidRPr="006F34CD" w:rsidR="00515FE0" w:rsidP="006F34CD" w:rsidRDefault="00515FE0" w14:paraId="53638EA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635F8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556C61" w14:textId="77777777">
            <w:pPr>
              <w:spacing w:before="120" w:after="120"/>
              <w:jc w:val="center"/>
              <w:rPr>
                <w:rFonts w:ascii="Times New Roman" w:hAnsi="Times New Roman" w:cs="Times New Roman"/>
                <w:sz w:val="18"/>
                <w:szCs w:val="18"/>
              </w:rPr>
            </w:pPr>
          </w:p>
        </w:tc>
      </w:tr>
      <w:tr w:rsidRPr="006F34CD" w:rsidR="00515FE0" w:rsidTr="00EF028C" w14:paraId="6F6AC424" w14:textId="77777777">
        <w:trPr>
          <w:cantSplit/>
        </w:trPr>
        <w:tc>
          <w:tcPr>
            <w:tcW w:w="2249" w:type="dxa"/>
          </w:tcPr>
          <w:p w:rsidRPr="006F34CD" w:rsidR="00515FE0" w:rsidP="006F34CD" w:rsidRDefault="00515FE0" w14:paraId="040CB9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Anatolyevich SHURMANOV</w:t>
            </w:r>
          </w:p>
        </w:tc>
        <w:tc>
          <w:tcPr>
            <w:tcW w:w="836" w:type="dxa"/>
          </w:tcPr>
          <w:p w:rsidRPr="006F34CD" w:rsidR="00515FE0" w:rsidP="006F34CD" w:rsidRDefault="00515FE0" w14:paraId="772B42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51921E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Rybinsk</w:t>
            </w:r>
          </w:p>
        </w:tc>
        <w:tc>
          <w:tcPr>
            <w:tcW w:w="1134" w:type="dxa"/>
          </w:tcPr>
          <w:p w:rsidRPr="006F34CD" w:rsidR="00515FE0" w:rsidP="006F34CD" w:rsidRDefault="00515FE0" w14:paraId="6DAFBB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CB133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AD74E8" w14:textId="77777777">
            <w:pPr>
              <w:spacing w:before="120" w:after="120"/>
              <w:jc w:val="center"/>
              <w:rPr>
                <w:rFonts w:ascii="Times New Roman" w:hAnsi="Times New Roman" w:cs="Times New Roman"/>
                <w:sz w:val="18"/>
                <w:szCs w:val="18"/>
              </w:rPr>
            </w:pPr>
          </w:p>
        </w:tc>
      </w:tr>
      <w:tr w:rsidRPr="006F34CD" w:rsidR="00515FE0" w:rsidTr="00EF028C" w14:paraId="2FC80226" w14:textId="77777777">
        <w:trPr>
          <w:cantSplit/>
        </w:trPr>
        <w:tc>
          <w:tcPr>
            <w:tcW w:w="2249" w:type="dxa"/>
          </w:tcPr>
          <w:p w:rsidRPr="006F34CD" w:rsidR="00515FE0" w:rsidP="006F34CD" w:rsidRDefault="00515FE0" w14:paraId="6DF38D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Ivanovich SIDORENKO</w:t>
            </w:r>
          </w:p>
        </w:tc>
        <w:tc>
          <w:tcPr>
            <w:tcW w:w="836" w:type="dxa"/>
          </w:tcPr>
          <w:p w:rsidRPr="006F34CD" w:rsidR="00515FE0" w:rsidP="006F34CD" w:rsidRDefault="00515FE0" w14:paraId="3386055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378793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Goryachiy Klyuch</w:t>
            </w:r>
          </w:p>
        </w:tc>
        <w:tc>
          <w:tcPr>
            <w:tcW w:w="1134" w:type="dxa"/>
          </w:tcPr>
          <w:p w:rsidRPr="006F34CD" w:rsidR="00515FE0" w:rsidP="006F34CD" w:rsidRDefault="00515FE0" w14:paraId="673743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2E384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319903" w14:textId="77777777">
            <w:pPr>
              <w:spacing w:before="120" w:after="120"/>
              <w:jc w:val="center"/>
              <w:rPr>
                <w:rFonts w:ascii="Times New Roman" w:hAnsi="Times New Roman" w:cs="Times New Roman"/>
                <w:sz w:val="18"/>
                <w:szCs w:val="18"/>
              </w:rPr>
            </w:pPr>
          </w:p>
        </w:tc>
      </w:tr>
      <w:tr w:rsidRPr="006F34CD" w:rsidR="00515FE0" w:rsidTr="00EF028C" w14:paraId="1D629CF1" w14:textId="77777777">
        <w:trPr>
          <w:cantSplit/>
        </w:trPr>
        <w:tc>
          <w:tcPr>
            <w:tcW w:w="2249" w:type="dxa"/>
          </w:tcPr>
          <w:p w:rsidRPr="006F34CD" w:rsidR="00515FE0" w:rsidP="006F34CD" w:rsidRDefault="00515FE0" w14:paraId="270741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Boris Nikolayevich SIMONENKO</w:t>
            </w:r>
          </w:p>
        </w:tc>
        <w:tc>
          <w:tcPr>
            <w:tcW w:w="836" w:type="dxa"/>
          </w:tcPr>
          <w:p w:rsidRPr="006F34CD" w:rsidR="00515FE0" w:rsidP="006F34CD" w:rsidRDefault="00515FE0" w14:paraId="5C6983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1955</w:t>
            </w:r>
          </w:p>
        </w:tc>
        <w:tc>
          <w:tcPr>
            <w:tcW w:w="1305" w:type="dxa"/>
          </w:tcPr>
          <w:p w:rsidRPr="006F34CD" w:rsidR="00515FE0" w:rsidP="006F34CD" w:rsidRDefault="00515FE0" w14:paraId="56EF4C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Kovrov</w:t>
            </w:r>
          </w:p>
        </w:tc>
        <w:tc>
          <w:tcPr>
            <w:tcW w:w="1134" w:type="dxa"/>
          </w:tcPr>
          <w:p w:rsidRPr="006F34CD" w:rsidR="00515FE0" w:rsidP="006F34CD" w:rsidRDefault="00515FE0" w14:paraId="355444A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DB481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6A3AE9" w14:textId="77777777">
            <w:pPr>
              <w:spacing w:before="120" w:after="120"/>
              <w:jc w:val="center"/>
              <w:rPr>
                <w:rFonts w:ascii="Times New Roman" w:hAnsi="Times New Roman" w:cs="Times New Roman"/>
                <w:sz w:val="18"/>
                <w:szCs w:val="18"/>
              </w:rPr>
            </w:pPr>
          </w:p>
        </w:tc>
      </w:tr>
      <w:tr w:rsidRPr="006F34CD" w:rsidR="00515FE0" w:rsidTr="00EF028C" w14:paraId="1AE5641B" w14:textId="77777777">
        <w:trPr>
          <w:cantSplit/>
        </w:trPr>
        <w:tc>
          <w:tcPr>
            <w:tcW w:w="2249" w:type="dxa"/>
          </w:tcPr>
          <w:p w:rsidRPr="006F34CD" w:rsidR="00515FE0" w:rsidP="006F34CD" w:rsidRDefault="00515FE0" w14:paraId="6B2B880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Aleksandrovich SIMONOV</w:t>
            </w:r>
          </w:p>
        </w:tc>
        <w:tc>
          <w:tcPr>
            <w:tcW w:w="836" w:type="dxa"/>
          </w:tcPr>
          <w:p w:rsidRPr="006F34CD" w:rsidR="00515FE0" w:rsidP="006F34CD" w:rsidRDefault="00515FE0" w14:paraId="000ED43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53EFB0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2D4E126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25552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E41BC65" w14:textId="77777777">
            <w:pPr>
              <w:spacing w:before="120" w:after="120"/>
              <w:jc w:val="center"/>
              <w:rPr>
                <w:rFonts w:ascii="Times New Roman" w:hAnsi="Times New Roman" w:cs="Times New Roman"/>
                <w:sz w:val="18"/>
                <w:szCs w:val="18"/>
              </w:rPr>
            </w:pPr>
          </w:p>
        </w:tc>
      </w:tr>
      <w:tr w:rsidRPr="006F34CD" w:rsidR="00515FE0" w:rsidTr="00EF028C" w14:paraId="494D6394" w14:textId="77777777">
        <w:trPr>
          <w:cantSplit/>
        </w:trPr>
        <w:tc>
          <w:tcPr>
            <w:tcW w:w="2249" w:type="dxa"/>
          </w:tcPr>
          <w:p w:rsidRPr="006F34CD" w:rsidR="00515FE0" w:rsidP="006F34CD" w:rsidRDefault="00515FE0" w14:paraId="6D3E2B7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Yuryevich SKACHIDUB</w:t>
            </w:r>
          </w:p>
        </w:tc>
        <w:tc>
          <w:tcPr>
            <w:tcW w:w="836" w:type="dxa"/>
          </w:tcPr>
          <w:p w:rsidRPr="006F34CD" w:rsidR="00515FE0" w:rsidP="006F34CD" w:rsidRDefault="00515FE0" w14:paraId="05171F6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631D30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Pavloskaya</w:t>
            </w:r>
          </w:p>
        </w:tc>
        <w:tc>
          <w:tcPr>
            <w:tcW w:w="1134" w:type="dxa"/>
          </w:tcPr>
          <w:p w:rsidRPr="006F34CD" w:rsidR="00515FE0" w:rsidP="006F34CD" w:rsidRDefault="00515FE0" w14:paraId="71EBB5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A9A925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6EE26A6" w14:textId="77777777">
            <w:pPr>
              <w:spacing w:before="120" w:after="120"/>
              <w:jc w:val="center"/>
              <w:rPr>
                <w:rFonts w:ascii="Times New Roman" w:hAnsi="Times New Roman" w:cs="Times New Roman"/>
                <w:sz w:val="18"/>
                <w:szCs w:val="18"/>
              </w:rPr>
            </w:pPr>
          </w:p>
        </w:tc>
      </w:tr>
      <w:tr w:rsidRPr="006F34CD" w:rsidR="00515FE0" w:rsidTr="00EF028C" w14:paraId="35FA0166" w14:textId="77777777">
        <w:trPr>
          <w:cantSplit/>
        </w:trPr>
        <w:tc>
          <w:tcPr>
            <w:tcW w:w="2249" w:type="dxa"/>
          </w:tcPr>
          <w:p w:rsidRPr="006F34CD" w:rsidR="00515FE0" w:rsidP="006F34CD" w:rsidRDefault="00515FE0" w14:paraId="38F2043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Vladimirovich SKUDAYEV</w:t>
            </w:r>
          </w:p>
        </w:tc>
        <w:tc>
          <w:tcPr>
            <w:tcW w:w="836" w:type="dxa"/>
          </w:tcPr>
          <w:p w:rsidRPr="006F34CD" w:rsidR="00515FE0" w:rsidP="006F34CD" w:rsidRDefault="00515FE0" w14:paraId="3798E84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0013E9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Kurgan</w:t>
            </w:r>
          </w:p>
        </w:tc>
        <w:tc>
          <w:tcPr>
            <w:tcW w:w="1134" w:type="dxa"/>
          </w:tcPr>
          <w:p w:rsidRPr="006F34CD" w:rsidR="00515FE0" w:rsidP="006F34CD" w:rsidRDefault="00515FE0" w14:paraId="16ECCBD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54A0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AE2623" w14:textId="77777777">
            <w:pPr>
              <w:spacing w:before="120" w:after="120"/>
              <w:jc w:val="center"/>
              <w:rPr>
                <w:rFonts w:ascii="Times New Roman" w:hAnsi="Times New Roman" w:cs="Times New Roman"/>
                <w:sz w:val="18"/>
                <w:szCs w:val="18"/>
              </w:rPr>
            </w:pPr>
          </w:p>
        </w:tc>
      </w:tr>
      <w:tr w:rsidRPr="006F34CD" w:rsidR="00515FE0" w:rsidTr="00EF028C" w14:paraId="368076DE" w14:textId="77777777">
        <w:trPr>
          <w:cantSplit/>
        </w:trPr>
        <w:tc>
          <w:tcPr>
            <w:tcW w:w="2249" w:type="dxa"/>
          </w:tcPr>
          <w:p w:rsidRPr="006F34CD" w:rsidR="00515FE0" w:rsidP="006F34CD" w:rsidRDefault="00515FE0" w14:paraId="531470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Valeriy Vladimirovich SLASHCHEV</w:t>
            </w:r>
          </w:p>
        </w:tc>
        <w:tc>
          <w:tcPr>
            <w:tcW w:w="836" w:type="dxa"/>
          </w:tcPr>
          <w:p w:rsidRPr="006F34CD" w:rsidR="00515FE0" w:rsidP="006F34CD" w:rsidRDefault="00515FE0" w14:paraId="523C5FB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1981</w:t>
            </w:r>
          </w:p>
        </w:tc>
        <w:tc>
          <w:tcPr>
            <w:tcW w:w="1305" w:type="dxa"/>
          </w:tcPr>
          <w:p w:rsidRPr="006F34CD" w:rsidR="00515FE0" w:rsidP="006F34CD" w:rsidRDefault="00515FE0" w14:paraId="71314E8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Tynda</w:t>
            </w:r>
          </w:p>
        </w:tc>
        <w:tc>
          <w:tcPr>
            <w:tcW w:w="1134" w:type="dxa"/>
          </w:tcPr>
          <w:p w:rsidRPr="006F34CD" w:rsidR="00515FE0" w:rsidP="006F34CD" w:rsidRDefault="00515FE0" w14:paraId="0B9EFA8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FD99D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0442B8" w14:textId="77777777">
            <w:pPr>
              <w:spacing w:before="120" w:after="120"/>
              <w:jc w:val="center"/>
              <w:rPr>
                <w:rFonts w:ascii="Times New Roman" w:hAnsi="Times New Roman" w:cs="Times New Roman"/>
                <w:sz w:val="18"/>
                <w:szCs w:val="18"/>
              </w:rPr>
            </w:pPr>
          </w:p>
        </w:tc>
      </w:tr>
      <w:tr w:rsidRPr="006F34CD" w:rsidR="00515FE0" w:rsidTr="00EF028C" w14:paraId="2FCFA9BA" w14:textId="77777777">
        <w:trPr>
          <w:cantSplit/>
        </w:trPr>
        <w:tc>
          <w:tcPr>
            <w:tcW w:w="2249" w:type="dxa"/>
          </w:tcPr>
          <w:p w:rsidRPr="006F34CD" w:rsidR="00515FE0" w:rsidP="006F34CD" w:rsidRDefault="00515FE0" w14:paraId="795CFD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Anatolyevich SMOLIKOV</w:t>
            </w:r>
          </w:p>
        </w:tc>
        <w:tc>
          <w:tcPr>
            <w:tcW w:w="836" w:type="dxa"/>
          </w:tcPr>
          <w:p w:rsidRPr="006F34CD" w:rsidR="00515FE0" w:rsidP="006F34CD" w:rsidRDefault="00515FE0" w14:paraId="7F6EB7A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5588A0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Zarinsk</w:t>
            </w:r>
          </w:p>
        </w:tc>
        <w:tc>
          <w:tcPr>
            <w:tcW w:w="1134" w:type="dxa"/>
          </w:tcPr>
          <w:p w:rsidRPr="006F34CD" w:rsidR="00515FE0" w:rsidP="006F34CD" w:rsidRDefault="00515FE0" w14:paraId="7591243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2746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CB1ACA" w14:textId="77777777">
            <w:pPr>
              <w:spacing w:before="120" w:after="120"/>
              <w:jc w:val="center"/>
              <w:rPr>
                <w:rFonts w:ascii="Times New Roman" w:hAnsi="Times New Roman" w:cs="Times New Roman"/>
                <w:sz w:val="18"/>
                <w:szCs w:val="18"/>
              </w:rPr>
            </w:pPr>
          </w:p>
        </w:tc>
      </w:tr>
      <w:tr w:rsidRPr="006F34CD" w:rsidR="00515FE0" w:rsidTr="00EF028C" w14:paraId="790C586F" w14:textId="77777777">
        <w:trPr>
          <w:cantSplit/>
        </w:trPr>
        <w:tc>
          <w:tcPr>
            <w:tcW w:w="2249" w:type="dxa"/>
          </w:tcPr>
          <w:p w:rsidRPr="006F34CD" w:rsidR="00515FE0" w:rsidP="006F34CD" w:rsidRDefault="00515FE0" w14:paraId="4CAEFF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Vladimirovich SMOLNIKOV</w:t>
            </w:r>
          </w:p>
        </w:tc>
        <w:tc>
          <w:tcPr>
            <w:tcW w:w="836" w:type="dxa"/>
          </w:tcPr>
          <w:p w:rsidRPr="006F34CD" w:rsidR="00515FE0" w:rsidP="006F34CD" w:rsidRDefault="00515FE0" w14:paraId="707CE9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03250C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Ozersk</w:t>
            </w:r>
          </w:p>
        </w:tc>
        <w:tc>
          <w:tcPr>
            <w:tcW w:w="1134" w:type="dxa"/>
          </w:tcPr>
          <w:p w:rsidRPr="006F34CD" w:rsidR="00515FE0" w:rsidP="006F34CD" w:rsidRDefault="00515FE0" w14:paraId="3F4AE6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8B990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17B7A38" w14:textId="77777777">
            <w:pPr>
              <w:spacing w:before="120" w:after="120"/>
              <w:jc w:val="center"/>
              <w:rPr>
                <w:rFonts w:ascii="Times New Roman" w:hAnsi="Times New Roman" w:cs="Times New Roman"/>
                <w:sz w:val="18"/>
                <w:szCs w:val="18"/>
              </w:rPr>
            </w:pPr>
          </w:p>
        </w:tc>
      </w:tr>
      <w:tr w:rsidRPr="006F34CD" w:rsidR="00515FE0" w:rsidTr="00EF028C" w14:paraId="1D329CF5" w14:textId="77777777">
        <w:trPr>
          <w:cantSplit/>
        </w:trPr>
        <w:tc>
          <w:tcPr>
            <w:tcW w:w="2249" w:type="dxa"/>
          </w:tcPr>
          <w:p w:rsidRPr="006F34CD" w:rsidR="00515FE0" w:rsidP="006F34CD" w:rsidRDefault="00515FE0" w14:paraId="69A98CF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Vasilyevich SOLOVYEV</w:t>
            </w:r>
          </w:p>
        </w:tc>
        <w:tc>
          <w:tcPr>
            <w:tcW w:w="836" w:type="dxa"/>
          </w:tcPr>
          <w:p w:rsidRPr="006F34CD" w:rsidR="00515FE0" w:rsidP="006F34CD" w:rsidRDefault="00515FE0" w14:paraId="2891C1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1970</w:t>
            </w:r>
          </w:p>
        </w:tc>
        <w:tc>
          <w:tcPr>
            <w:tcW w:w="1305" w:type="dxa"/>
          </w:tcPr>
          <w:p w:rsidRPr="006F34CD" w:rsidR="00515FE0" w:rsidP="006F34CD" w:rsidRDefault="00515FE0" w14:paraId="7ABF59B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Perm</w:t>
            </w:r>
          </w:p>
        </w:tc>
        <w:tc>
          <w:tcPr>
            <w:tcW w:w="1134" w:type="dxa"/>
          </w:tcPr>
          <w:p w:rsidRPr="006F34CD" w:rsidR="00515FE0" w:rsidP="006F34CD" w:rsidRDefault="00515FE0" w14:paraId="19E2B6B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87C1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14489D" w14:textId="77777777">
            <w:pPr>
              <w:spacing w:before="120" w:after="120"/>
              <w:jc w:val="center"/>
              <w:rPr>
                <w:rFonts w:ascii="Times New Roman" w:hAnsi="Times New Roman" w:cs="Times New Roman"/>
                <w:sz w:val="18"/>
                <w:szCs w:val="18"/>
              </w:rPr>
            </w:pPr>
          </w:p>
        </w:tc>
      </w:tr>
      <w:tr w:rsidRPr="006F34CD" w:rsidR="00515FE0" w:rsidTr="00EF028C" w14:paraId="7A2C8B9A" w14:textId="77777777">
        <w:trPr>
          <w:cantSplit/>
        </w:trPr>
        <w:tc>
          <w:tcPr>
            <w:tcW w:w="2249" w:type="dxa"/>
          </w:tcPr>
          <w:p w:rsidRPr="006F34CD" w:rsidR="00515FE0" w:rsidP="006F34CD" w:rsidRDefault="00515FE0" w14:paraId="39BC286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Nikolayevich SOPRYSHIN</w:t>
            </w:r>
          </w:p>
        </w:tc>
        <w:tc>
          <w:tcPr>
            <w:tcW w:w="836" w:type="dxa"/>
          </w:tcPr>
          <w:p w:rsidRPr="006F34CD" w:rsidR="00515FE0" w:rsidP="006F34CD" w:rsidRDefault="00515FE0" w14:paraId="02663F7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279CDE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Rodniki</w:t>
            </w:r>
          </w:p>
        </w:tc>
        <w:tc>
          <w:tcPr>
            <w:tcW w:w="1134" w:type="dxa"/>
          </w:tcPr>
          <w:p w:rsidRPr="006F34CD" w:rsidR="00515FE0" w:rsidP="006F34CD" w:rsidRDefault="00515FE0" w14:paraId="4809A47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F74E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E8407D1" w14:textId="77777777">
            <w:pPr>
              <w:spacing w:before="120" w:after="120"/>
              <w:jc w:val="center"/>
              <w:rPr>
                <w:rFonts w:ascii="Times New Roman" w:hAnsi="Times New Roman" w:cs="Times New Roman"/>
                <w:sz w:val="18"/>
                <w:szCs w:val="18"/>
              </w:rPr>
            </w:pPr>
          </w:p>
        </w:tc>
      </w:tr>
      <w:tr w:rsidRPr="006F34CD" w:rsidR="00515FE0" w:rsidTr="00EF028C" w14:paraId="1F8919AB" w14:textId="77777777">
        <w:trPr>
          <w:cantSplit/>
        </w:trPr>
        <w:tc>
          <w:tcPr>
            <w:tcW w:w="2249" w:type="dxa"/>
          </w:tcPr>
          <w:p w:rsidRPr="006F34CD" w:rsidR="00515FE0" w:rsidP="006F34CD" w:rsidRDefault="00515FE0" w14:paraId="19F4995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Mikhaylovich SOROKIN</w:t>
            </w:r>
          </w:p>
        </w:tc>
        <w:tc>
          <w:tcPr>
            <w:tcW w:w="836" w:type="dxa"/>
          </w:tcPr>
          <w:p w:rsidRPr="006F34CD" w:rsidR="00515FE0" w:rsidP="006F34CD" w:rsidRDefault="00515FE0" w14:paraId="57AC7F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0FB338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Kansk</w:t>
            </w:r>
          </w:p>
        </w:tc>
        <w:tc>
          <w:tcPr>
            <w:tcW w:w="1134" w:type="dxa"/>
          </w:tcPr>
          <w:p w:rsidRPr="006F34CD" w:rsidR="00515FE0" w:rsidP="006F34CD" w:rsidRDefault="00515FE0" w14:paraId="69869F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B32EC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157728" w14:textId="77777777">
            <w:pPr>
              <w:spacing w:before="120" w:after="120"/>
              <w:jc w:val="center"/>
              <w:rPr>
                <w:rFonts w:ascii="Times New Roman" w:hAnsi="Times New Roman" w:cs="Times New Roman"/>
                <w:sz w:val="18"/>
                <w:szCs w:val="18"/>
              </w:rPr>
            </w:pPr>
          </w:p>
        </w:tc>
      </w:tr>
      <w:tr w:rsidRPr="006F34CD" w:rsidR="00515FE0" w:rsidTr="00EF028C" w14:paraId="44CDD2BD" w14:textId="77777777">
        <w:trPr>
          <w:cantSplit/>
        </w:trPr>
        <w:tc>
          <w:tcPr>
            <w:tcW w:w="2249" w:type="dxa"/>
          </w:tcPr>
          <w:p w:rsidRPr="006F34CD" w:rsidR="00515FE0" w:rsidP="006F34CD" w:rsidRDefault="00515FE0" w14:paraId="69AA6A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Aleksandrovich SOROKIN</w:t>
            </w:r>
          </w:p>
        </w:tc>
        <w:tc>
          <w:tcPr>
            <w:tcW w:w="836" w:type="dxa"/>
          </w:tcPr>
          <w:p w:rsidRPr="006F34CD" w:rsidR="00515FE0" w:rsidP="006F34CD" w:rsidRDefault="00515FE0" w14:paraId="49BDA4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0B5425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Svetliy Yar</w:t>
            </w:r>
          </w:p>
        </w:tc>
        <w:tc>
          <w:tcPr>
            <w:tcW w:w="1134" w:type="dxa"/>
          </w:tcPr>
          <w:p w:rsidRPr="006F34CD" w:rsidR="00515FE0" w:rsidP="006F34CD" w:rsidRDefault="00515FE0" w14:paraId="362F034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9C9C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1D297F" w14:textId="77777777">
            <w:pPr>
              <w:spacing w:before="120" w:after="120"/>
              <w:jc w:val="center"/>
              <w:rPr>
                <w:rFonts w:ascii="Times New Roman" w:hAnsi="Times New Roman" w:cs="Times New Roman"/>
                <w:sz w:val="18"/>
                <w:szCs w:val="18"/>
              </w:rPr>
            </w:pPr>
          </w:p>
        </w:tc>
      </w:tr>
      <w:tr w:rsidRPr="006F34CD" w:rsidR="00515FE0" w:rsidTr="00EF028C" w14:paraId="0ED892B7" w14:textId="77777777">
        <w:trPr>
          <w:cantSplit/>
        </w:trPr>
        <w:tc>
          <w:tcPr>
            <w:tcW w:w="2249" w:type="dxa"/>
          </w:tcPr>
          <w:p w:rsidRPr="006F34CD" w:rsidR="00515FE0" w:rsidP="006F34CD" w:rsidRDefault="00515FE0" w14:paraId="271A82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Viktorovich SOYENKO</w:t>
            </w:r>
          </w:p>
        </w:tc>
        <w:tc>
          <w:tcPr>
            <w:tcW w:w="836" w:type="dxa"/>
          </w:tcPr>
          <w:p w:rsidRPr="006F34CD" w:rsidR="00515FE0" w:rsidP="006F34CD" w:rsidRDefault="00515FE0" w14:paraId="3F0149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2F809E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Sayanogorsk</w:t>
            </w:r>
          </w:p>
        </w:tc>
        <w:tc>
          <w:tcPr>
            <w:tcW w:w="1134" w:type="dxa"/>
          </w:tcPr>
          <w:p w:rsidRPr="006F34CD" w:rsidR="00515FE0" w:rsidP="006F34CD" w:rsidRDefault="00515FE0" w14:paraId="74466B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9FCAC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9326EFC" w14:textId="77777777">
            <w:pPr>
              <w:spacing w:before="120" w:after="120"/>
              <w:jc w:val="center"/>
              <w:rPr>
                <w:rFonts w:ascii="Times New Roman" w:hAnsi="Times New Roman" w:cs="Times New Roman"/>
                <w:sz w:val="18"/>
                <w:szCs w:val="18"/>
              </w:rPr>
            </w:pPr>
          </w:p>
        </w:tc>
      </w:tr>
      <w:tr w:rsidRPr="006F34CD" w:rsidR="00515FE0" w:rsidTr="00EF028C" w14:paraId="5022BD38" w14:textId="77777777">
        <w:trPr>
          <w:cantSplit/>
        </w:trPr>
        <w:tc>
          <w:tcPr>
            <w:tcW w:w="2249" w:type="dxa"/>
          </w:tcPr>
          <w:p w:rsidRPr="006F34CD" w:rsidR="00515FE0" w:rsidP="006F34CD" w:rsidRDefault="00515FE0" w14:paraId="25812FC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Pavel Vasilyevich STARCHENKO</w:t>
            </w:r>
          </w:p>
        </w:tc>
        <w:tc>
          <w:tcPr>
            <w:tcW w:w="836" w:type="dxa"/>
          </w:tcPr>
          <w:p w:rsidRPr="006F34CD" w:rsidR="00515FE0" w:rsidP="006F34CD" w:rsidRDefault="00515FE0" w14:paraId="6813A3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5477A2B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Marinskaya</w:t>
            </w:r>
          </w:p>
        </w:tc>
        <w:tc>
          <w:tcPr>
            <w:tcW w:w="1134" w:type="dxa"/>
          </w:tcPr>
          <w:p w:rsidRPr="006F34CD" w:rsidR="00515FE0" w:rsidP="006F34CD" w:rsidRDefault="00515FE0" w14:paraId="0CA9E5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CAC17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96E1B86" w14:textId="77777777">
            <w:pPr>
              <w:spacing w:before="120" w:after="120"/>
              <w:jc w:val="center"/>
              <w:rPr>
                <w:rFonts w:ascii="Times New Roman" w:hAnsi="Times New Roman" w:cs="Times New Roman"/>
                <w:sz w:val="18"/>
                <w:szCs w:val="18"/>
              </w:rPr>
            </w:pPr>
          </w:p>
        </w:tc>
      </w:tr>
      <w:tr w:rsidRPr="006F34CD" w:rsidR="00515FE0" w:rsidTr="00EF028C" w14:paraId="76CD7A83" w14:textId="77777777">
        <w:trPr>
          <w:cantSplit/>
        </w:trPr>
        <w:tc>
          <w:tcPr>
            <w:tcW w:w="2249" w:type="dxa"/>
          </w:tcPr>
          <w:p w:rsidRPr="006F34CD" w:rsidR="00515FE0" w:rsidP="006F34CD" w:rsidRDefault="00515FE0" w14:paraId="5FC1E98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Timofey Timofeyevich STARIKOV</w:t>
            </w:r>
          </w:p>
        </w:tc>
        <w:tc>
          <w:tcPr>
            <w:tcW w:w="836" w:type="dxa"/>
          </w:tcPr>
          <w:p w:rsidRPr="006F34CD" w:rsidR="00515FE0" w:rsidP="006F34CD" w:rsidRDefault="00515FE0" w14:paraId="2D27E3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6E58966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Kaluga</w:t>
            </w:r>
          </w:p>
        </w:tc>
        <w:tc>
          <w:tcPr>
            <w:tcW w:w="1134" w:type="dxa"/>
          </w:tcPr>
          <w:p w:rsidRPr="006F34CD" w:rsidR="00515FE0" w:rsidP="006F34CD" w:rsidRDefault="00515FE0" w14:paraId="578E2DC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80099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EFC797D" w14:textId="77777777">
            <w:pPr>
              <w:spacing w:before="120" w:after="120"/>
              <w:jc w:val="center"/>
              <w:rPr>
                <w:rFonts w:ascii="Times New Roman" w:hAnsi="Times New Roman" w:cs="Times New Roman"/>
                <w:sz w:val="18"/>
                <w:szCs w:val="18"/>
              </w:rPr>
            </w:pPr>
          </w:p>
        </w:tc>
      </w:tr>
      <w:tr w:rsidRPr="006F34CD" w:rsidR="00515FE0" w:rsidTr="00EF028C" w14:paraId="41E0D4B2" w14:textId="77777777">
        <w:trPr>
          <w:cantSplit/>
        </w:trPr>
        <w:tc>
          <w:tcPr>
            <w:tcW w:w="2249" w:type="dxa"/>
          </w:tcPr>
          <w:p w:rsidRPr="006F34CD" w:rsidR="00515FE0" w:rsidP="006F34CD" w:rsidRDefault="00515FE0" w14:paraId="43E1E6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Nikolayevich STATSENKO</w:t>
            </w:r>
          </w:p>
        </w:tc>
        <w:tc>
          <w:tcPr>
            <w:tcW w:w="836" w:type="dxa"/>
          </w:tcPr>
          <w:p w:rsidRPr="006F34CD" w:rsidR="00515FE0" w:rsidP="006F34CD" w:rsidRDefault="00515FE0" w14:paraId="4C447C1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7A59244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Krasnoselskiy</w:t>
            </w:r>
          </w:p>
        </w:tc>
        <w:tc>
          <w:tcPr>
            <w:tcW w:w="1134" w:type="dxa"/>
          </w:tcPr>
          <w:p w:rsidRPr="006F34CD" w:rsidR="00515FE0" w:rsidP="006F34CD" w:rsidRDefault="00515FE0" w14:paraId="48D1417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C90FF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76C7EF" w14:textId="77777777">
            <w:pPr>
              <w:spacing w:before="120" w:after="120"/>
              <w:jc w:val="center"/>
              <w:rPr>
                <w:rFonts w:ascii="Times New Roman" w:hAnsi="Times New Roman" w:cs="Times New Roman"/>
                <w:sz w:val="18"/>
                <w:szCs w:val="18"/>
              </w:rPr>
            </w:pPr>
          </w:p>
        </w:tc>
      </w:tr>
      <w:tr w:rsidRPr="006F34CD" w:rsidR="00515FE0" w:rsidTr="00EF028C" w14:paraId="39429FA7" w14:textId="77777777">
        <w:trPr>
          <w:cantSplit/>
        </w:trPr>
        <w:tc>
          <w:tcPr>
            <w:tcW w:w="2249" w:type="dxa"/>
          </w:tcPr>
          <w:p w:rsidRPr="006F34CD" w:rsidR="00515FE0" w:rsidP="006F34CD" w:rsidRDefault="00515FE0" w14:paraId="694C855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Aleksandrovich STEPANOV</w:t>
            </w:r>
          </w:p>
        </w:tc>
        <w:tc>
          <w:tcPr>
            <w:tcW w:w="836" w:type="dxa"/>
          </w:tcPr>
          <w:p w:rsidRPr="006F34CD" w:rsidR="00515FE0" w:rsidP="006F34CD" w:rsidRDefault="00515FE0" w14:paraId="37A3F17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2772FE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Vologda</w:t>
            </w:r>
          </w:p>
        </w:tc>
        <w:tc>
          <w:tcPr>
            <w:tcW w:w="1134" w:type="dxa"/>
          </w:tcPr>
          <w:p w:rsidRPr="006F34CD" w:rsidR="00515FE0" w:rsidP="006F34CD" w:rsidRDefault="00515FE0" w14:paraId="01A21A2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2D13C8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0CE1E2" w14:textId="77777777">
            <w:pPr>
              <w:spacing w:before="120" w:after="120"/>
              <w:jc w:val="center"/>
              <w:rPr>
                <w:rFonts w:ascii="Times New Roman" w:hAnsi="Times New Roman" w:cs="Times New Roman"/>
                <w:sz w:val="18"/>
                <w:szCs w:val="18"/>
              </w:rPr>
            </w:pPr>
          </w:p>
        </w:tc>
      </w:tr>
      <w:tr w:rsidRPr="006F34CD" w:rsidR="00515FE0" w:rsidTr="00EF028C" w14:paraId="3BF5EA80" w14:textId="77777777">
        <w:trPr>
          <w:cantSplit/>
        </w:trPr>
        <w:tc>
          <w:tcPr>
            <w:tcW w:w="2249" w:type="dxa"/>
          </w:tcPr>
          <w:p w:rsidRPr="006F34CD" w:rsidR="00515FE0" w:rsidP="006F34CD" w:rsidRDefault="00515FE0" w14:paraId="4BF3899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Vyacheslav Vladimirovich STEPANOV</w:t>
            </w:r>
          </w:p>
        </w:tc>
        <w:tc>
          <w:tcPr>
            <w:tcW w:w="836" w:type="dxa"/>
          </w:tcPr>
          <w:p w:rsidRPr="006F34CD" w:rsidR="00515FE0" w:rsidP="006F34CD" w:rsidRDefault="00515FE0" w14:paraId="58F1F0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54A9C9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s.Lugovoye</w:t>
            </w:r>
          </w:p>
        </w:tc>
        <w:tc>
          <w:tcPr>
            <w:tcW w:w="1134" w:type="dxa"/>
          </w:tcPr>
          <w:p w:rsidRPr="006F34CD" w:rsidR="00515FE0" w:rsidP="006F34CD" w:rsidRDefault="00515FE0" w14:paraId="10AE96F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4E304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4235EBA" w14:textId="77777777">
            <w:pPr>
              <w:spacing w:before="120" w:after="120"/>
              <w:jc w:val="center"/>
              <w:rPr>
                <w:rFonts w:ascii="Times New Roman" w:hAnsi="Times New Roman" w:cs="Times New Roman"/>
                <w:sz w:val="18"/>
                <w:szCs w:val="18"/>
              </w:rPr>
            </w:pPr>
          </w:p>
        </w:tc>
      </w:tr>
      <w:tr w:rsidRPr="006F34CD" w:rsidR="00515FE0" w:rsidTr="00EF028C" w14:paraId="0F9CE0A4" w14:textId="77777777">
        <w:trPr>
          <w:cantSplit/>
        </w:trPr>
        <w:tc>
          <w:tcPr>
            <w:tcW w:w="2249" w:type="dxa"/>
          </w:tcPr>
          <w:p w:rsidRPr="006F34CD" w:rsidR="00515FE0" w:rsidP="006F34CD" w:rsidRDefault="00515FE0" w14:paraId="6431FD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Vyacheslav Yuryevich STEPANOV</w:t>
            </w:r>
          </w:p>
        </w:tc>
        <w:tc>
          <w:tcPr>
            <w:tcW w:w="836" w:type="dxa"/>
          </w:tcPr>
          <w:p w:rsidRPr="006F34CD" w:rsidR="00515FE0" w:rsidP="006F34CD" w:rsidRDefault="00515FE0" w14:paraId="6CDDB3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102DFEA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Sergiyev-Posad</w:t>
            </w:r>
          </w:p>
        </w:tc>
        <w:tc>
          <w:tcPr>
            <w:tcW w:w="1134" w:type="dxa"/>
          </w:tcPr>
          <w:p w:rsidRPr="006F34CD" w:rsidR="00515FE0" w:rsidP="006F34CD" w:rsidRDefault="00515FE0" w14:paraId="4F8F750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89935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1E7405C" w14:textId="77777777">
            <w:pPr>
              <w:spacing w:before="120" w:after="120"/>
              <w:jc w:val="center"/>
              <w:rPr>
                <w:rFonts w:ascii="Times New Roman" w:hAnsi="Times New Roman" w:cs="Times New Roman"/>
                <w:sz w:val="18"/>
                <w:szCs w:val="18"/>
              </w:rPr>
            </w:pPr>
          </w:p>
        </w:tc>
      </w:tr>
      <w:tr w:rsidRPr="006F34CD" w:rsidR="00515FE0" w:rsidTr="00EF028C" w14:paraId="254BDA98" w14:textId="77777777">
        <w:trPr>
          <w:cantSplit/>
        </w:trPr>
        <w:tc>
          <w:tcPr>
            <w:tcW w:w="2249" w:type="dxa"/>
          </w:tcPr>
          <w:p w:rsidRPr="006F34CD" w:rsidR="00515FE0" w:rsidP="006F34CD" w:rsidRDefault="00515FE0" w14:paraId="1062B7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Filippovich STRYAPCHEV</w:t>
            </w:r>
          </w:p>
        </w:tc>
        <w:tc>
          <w:tcPr>
            <w:tcW w:w="836" w:type="dxa"/>
          </w:tcPr>
          <w:p w:rsidRPr="006F34CD" w:rsidR="00515FE0" w:rsidP="006F34CD" w:rsidRDefault="00515FE0" w14:paraId="3627F94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36940C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Ukhta</w:t>
            </w:r>
          </w:p>
        </w:tc>
        <w:tc>
          <w:tcPr>
            <w:tcW w:w="1134" w:type="dxa"/>
          </w:tcPr>
          <w:p w:rsidRPr="006F34CD" w:rsidR="00515FE0" w:rsidP="006F34CD" w:rsidRDefault="00515FE0" w14:paraId="68BC5B7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0E68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C46462" w14:textId="77777777">
            <w:pPr>
              <w:spacing w:before="120" w:after="120"/>
              <w:jc w:val="center"/>
              <w:rPr>
                <w:rFonts w:ascii="Times New Roman" w:hAnsi="Times New Roman" w:cs="Times New Roman"/>
                <w:sz w:val="18"/>
                <w:szCs w:val="18"/>
              </w:rPr>
            </w:pPr>
          </w:p>
        </w:tc>
      </w:tr>
      <w:tr w:rsidRPr="006F34CD" w:rsidR="00515FE0" w:rsidTr="00EF028C" w14:paraId="7FAB8B98" w14:textId="77777777">
        <w:trPr>
          <w:cantSplit/>
        </w:trPr>
        <w:tc>
          <w:tcPr>
            <w:tcW w:w="2249" w:type="dxa"/>
          </w:tcPr>
          <w:p w:rsidRPr="006F34CD" w:rsidR="00515FE0" w:rsidP="006F34CD" w:rsidRDefault="00515FE0" w14:paraId="6A0DCEA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Vasilyevich SUSHILNIKOV</w:t>
            </w:r>
          </w:p>
        </w:tc>
        <w:tc>
          <w:tcPr>
            <w:tcW w:w="836" w:type="dxa"/>
          </w:tcPr>
          <w:p w:rsidRPr="006F34CD" w:rsidR="00515FE0" w:rsidP="006F34CD" w:rsidRDefault="00515FE0" w14:paraId="2EBD1F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1957</w:t>
            </w:r>
          </w:p>
        </w:tc>
        <w:tc>
          <w:tcPr>
            <w:tcW w:w="1305" w:type="dxa"/>
          </w:tcPr>
          <w:p w:rsidRPr="006F34CD" w:rsidR="00515FE0" w:rsidP="006F34CD" w:rsidRDefault="00515FE0" w14:paraId="2877EF1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Novokuznetsk</w:t>
            </w:r>
          </w:p>
        </w:tc>
        <w:tc>
          <w:tcPr>
            <w:tcW w:w="1134" w:type="dxa"/>
          </w:tcPr>
          <w:p w:rsidRPr="006F34CD" w:rsidR="00515FE0" w:rsidP="006F34CD" w:rsidRDefault="00515FE0" w14:paraId="1C1C96E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FD7042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C7F269" w14:textId="77777777">
            <w:pPr>
              <w:spacing w:before="120" w:after="120"/>
              <w:jc w:val="center"/>
              <w:rPr>
                <w:rFonts w:ascii="Times New Roman" w:hAnsi="Times New Roman" w:cs="Times New Roman"/>
                <w:sz w:val="18"/>
                <w:szCs w:val="18"/>
              </w:rPr>
            </w:pPr>
          </w:p>
        </w:tc>
      </w:tr>
      <w:tr w:rsidRPr="006F34CD" w:rsidR="00515FE0" w:rsidTr="00EF028C" w14:paraId="5B081E4E" w14:textId="77777777">
        <w:trPr>
          <w:cantSplit/>
        </w:trPr>
        <w:tc>
          <w:tcPr>
            <w:tcW w:w="2249" w:type="dxa"/>
          </w:tcPr>
          <w:p w:rsidRPr="006F34CD" w:rsidR="00515FE0" w:rsidP="006F34CD" w:rsidRDefault="00515FE0" w14:paraId="731744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Vasilyevich SUSLONOV</w:t>
            </w:r>
          </w:p>
        </w:tc>
        <w:tc>
          <w:tcPr>
            <w:tcW w:w="836" w:type="dxa"/>
          </w:tcPr>
          <w:p w:rsidRPr="006F34CD" w:rsidR="00515FE0" w:rsidP="006F34CD" w:rsidRDefault="00515FE0" w14:paraId="5E9F32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1C6F0A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Kotlas</w:t>
            </w:r>
          </w:p>
        </w:tc>
        <w:tc>
          <w:tcPr>
            <w:tcW w:w="1134" w:type="dxa"/>
          </w:tcPr>
          <w:p w:rsidRPr="006F34CD" w:rsidR="00515FE0" w:rsidP="006F34CD" w:rsidRDefault="00515FE0" w14:paraId="6B01DF6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E3BDE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8F8C771" w14:textId="77777777">
            <w:pPr>
              <w:spacing w:before="120" w:after="120"/>
              <w:jc w:val="center"/>
              <w:rPr>
                <w:rFonts w:ascii="Times New Roman" w:hAnsi="Times New Roman" w:cs="Times New Roman"/>
                <w:sz w:val="18"/>
                <w:szCs w:val="18"/>
              </w:rPr>
            </w:pPr>
          </w:p>
        </w:tc>
      </w:tr>
      <w:tr w:rsidRPr="006F34CD" w:rsidR="00515FE0" w:rsidTr="00EF028C" w14:paraId="0A8C5FA0" w14:textId="77777777">
        <w:trPr>
          <w:cantSplit/>
        </w:trPr>
        <w:tc>
          <w:tcPr>
            <w:tcW w:w="2249" w:type="dxa"/>
          </w:tcPr>
          <w:p w:rsidRPr="006F34CD" w:rsidR="00515FE0" w:rsidP="006F34CD" w:rsidRDefault="00515FE0" w14:paraId="617F71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Borisovich SUSLOV</w:t>
            </w:r>
          </w:p>
        </w:tc>
        <w:tc>
          <w:tcPr>
            <w:tcW w:w="836" w:type="dxa"/>
          </w:tcPr>
          <w:p w:rsidRPr="006F34CD" w:rsidR="00515FE0" w:rsidP="006F34CD" w:rsidRDefault="00515FE0" w14:paraId="7132FDB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4C3B4B3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Azov</w:t>
            </w:r>
          </w:p>
        </w:tc>
        <w:tc>
          <w:tcPr>
            <w:tcW w:w="1134" w:type="dxa"/>
          </w:tcPr>
          <w:p w:rsidRPr="006F34CD" w:rsidR="00515FE0" w:rsidP="006F34CD" w:rsidRDefault="00515FE0" w14:paraId="19C2383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F302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7C4F8DF" w14:textId="77777777">
            <w:pPr>
              <w:spacing w:before="120" w:after="120"/>
              <w:jc w:val="center"/>
              <w:rPr>
                <w:rFonts w:ascii="Times New Roman" w:hAnsi="Times New Roman" w:cs="Times New Roman"/>
                <w:sz w:val="18"/>
                <w:szCs w:val="18"/>
              </w:rPr>
            </w:pPr>
          </w:p>
        </w:tc>
      </w:tr>
      <w:tr w:rsidRPr="006F34CD" w:rsidR="00515FE0" w:rsidTr="00EF028C" w14:paraId="385F0F72" w14:textId="77777777">
        <w:trPr>
          <w:cantSplit/>
        </w:trPr>
        <w:tc>
          <w:tcPr>
            <w:tcW w:w="2249" w:type="dxa"/>
          </w:tcPr>
          <w:p w:rsidRPr="006F34CD" w:rsidR="00515FE0" w:rsidP="006F34CD" w:rsidRDefault="00515FE0" w14:paraId="463D441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Gennadyevich SUVOROV</w:t>
            </w:r>
          </w:p>
        </w:tc>
        <w:tc>
          <w:tcPr>
            <w:tcW w:w="836" w:type="dxa"/>
          </w:tcPr>
          <w:p w:rsidRPr="006F34CD" w:rsidR="00515FE0" w:rsidP="006F34CD" w:rsidRDefault="00515FE0" w14:paraId="3769B3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1980</w:t>
            </w:r>
          </w:p>
        </w:tc>
        <w:tc>
          <w:tcPr>
            <w:tcW w:w="1305" w:type="dxa"/>
          </w:tcPr>
          <w:p w:rsidRPr="006F34CD" w:rsidR="00515FE0" w:rsidP="006F34CD" w:rsidRDefault="00515FE0" w14:paraId="6D2AF3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Orenburg</w:t>
            </w:r>
          </w:p>
        </w:tc>
        <w:tc>
          <w:tcPr>
            <w:tcW w:w="1134" w:type="dxa"/>
          </w:tcPr>
          <w:p w:rsidRPr="006F34CD" w:rsidR="00515FE0" w:rsidP="006F34CD" w:rsidRDefault="00515FE0" w14:paraId="23C6F35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71AE5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3AFF3F" w14:textId="77777777">
            <w:pPr>
              <w:spacing w:before="120" w:after="120"/>
              <w:jc w:val="center"/>
              <w:rPr>
                <w:rFonts w:ascii="Times New Roman" w:hAnsi="Times New Roman" w:cs="Times New Roman"/>
                <w:sz w:val="18"/>
                <w:szCs w:val="18"/>
              </w:rPr>
            </w:pPr>
          </w:p>
        </w:tc>
      </w:tr>
      <w:tr w:rsidRPr="006F34CD" w:rsidR="00515FE0" w:rsidTr="00EF028C" w14:paraId="35459EFF" w14:textId="77777777">
        <w:trPr>
          <w:cantSplit/>
        </w:trPr>
        <w:tc>
          <w:tcPr>
            <w:tcW w:w="2249" w:type="dxa"/>
          </w:tcPr>
          <w:p w:rsidRPr="006F34CD" w:rsidR="00515FE0" w:rsidP="006F34CD" w:rsidRDefault="00515FE0" w14:paraId="31E0501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Vladimirovich SUVOROV</w:t>
            </w:r>
          </w:p>
        </w:tc>
        <w:tc>
          <w:tcPr>
            <w:tcW w:w="836" w:type="dxa"/>
          </w:tcPr>
          <w:p w:rsidRPr="006F34CD" w:rsidR="00515FE0" w:rsidP="006F34CD" w:rsidRDefault="00515FE0" w14:paraId="056E889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7C7A95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Tayshet</w:t>
            </w:r>
          </w:p>
        </w:tc>
        <w:tc>
          <w:tcPr>
            <w:tcW w:w="1134" w:type="dxa"/>
          </w:tcPr>
          <w:p w:rsidRPr="006F34CD" w:rsidR="00515FE0" w:rsidP="006F34CD" w:rsidRDefault="00515FE0" w14:paraId="05C11DC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CA1159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C72791" w14:textId="77777777">
            <w:pPr>
              <w:spacing w:before="120" w:after="120"/>
              <w:jc w:val="center"/>
              <w:rPr>
                <w:rFonts w:ascii="Times New Roman" w:hAnsi="Times New Roman" w:cs="Times New Roman"/>
                <w:sz w:val="18"/>
                <w:szCs w:val="18"/>
              </w:rPr>
            </w:pPr>
          </w:p>
        </w:tc>
      </w:tr>
      <w:tr w:rsidRPr="006F34CD" w:rsidR="00515FE0" w:rsidTr="00EF028C" w14:paraId="642F769B" w14:textId="77777777">
        <w:trPr>
          <w:cantSplit/>
        </w:trPr>
        <w:tc>
          <w:tcPr>
            <w:tcW w:w="2249" w:type="dxa"/>
          </w:tcPr>
          <w:p w:rsidRPr="006F34CD" w:rsidR="00515FE0" w:rsidP="006F34CD" w:rsidRDefault="00515FE0" w14:paraId="4AF174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Roman Vladimirovich SVATEYEV</w:t>
            </w:r>
          </w:p>
        </w:tc>
        <w:tc>
          <w:tcPr>
            <w:tcW w:w="836" w:type="dxa"/>
          </w:tcPr>
          <w:p w:rsidRPr="006F34CD" w:rsidR="00515FE0" w:rsidP="006F34CD" w:rsidRDefault="00515FE0" w14:paraId="2C18DA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5095212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Volgograd</w:t>
            </w:r>
          </w:p>
        </w:tc>
        <w:tc>
          <w:tcPr>
            <w:tcW w:w="1134" w:type="dxa"/>
          </w:tcPr>
          <w:p w:rsidRPr="006F34CD" w:rsidR="00515FE0" w:rsidP="006F34CD" w:rsidRDefault="00515FE0" w14:paraId="0426A75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9EDC4D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1A4391B" w14:textId="77777777">
            <w:pPr>
              <w:spacing w:before="120" w:after="120"/>
              <w:jc w:val="center"/>
              <w:rPr>
                <w:rFonts w:ascii="Times New Roman" w:hAnsi="Times New Roman" w:cs="Times New Roman"/>
                <w:sz w:val="18"/>
                <w:szCs w:val="18"/>
              </w:rPr>
            </w:pPr>
          </w:p>
        </w:tc>
      </w:tr>
      <w:tr w:rsidRPr="006F34CD" w:rsidR="00515FE0" w:rsidTr="00EF028C" w14:paraId="231D2F03" w14:textId="77777777">
        <w:trPr>
          <w:cantSplit/>
        </w:trPr>
        <w:tc>
          <w:tcPr>
            <w:tcW w:w="2249" w:type="dxa"/>
          </w:tcPr>
          <w:p w:rsidRPr="006F34CD" w:rsidR="00515FE0" w:rsidP="006F34CD" w:rsidRDefault="00515FE0" w14:paraId="0BE6023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Sergeyevich SVISTELNIKOV</w:t>
            </w:r>
          </w:p>
        </w:tc>
        <w:tc>
          <w:tcPr>
            <w:tcW w:w="836" w:type="dxa"/>
          </w:tcPr>
          <w:p w:rsidRPr="006F34CD" w:rsidR="00515FE0" w:rsidP="006F34CD" w:rsidRDefault="00515FE0" w14:paraId="11EE91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085C3F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Kalach</w:t>
            </w:r>
          </w:p>
        </w:tc>
        <w:tc>
          <w:tcPr>
            <w:tcW w:w="1134" w:type="dxa"/>
          </w:tcPr>
          <w:p w:rsidRPr="006F34CD" w:rsidR="00515FE0" w:rsidP="006F34CD" w:rsidRDefault="00515FE0" w14:paraId="55F5B1B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DB052B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60F82B" w14:textId="77777777">
            <w:pPr>
              <w:spacing w:before="120" w:after="120"/>
              <w:jc w:val="center"/>
              <w:rPr>
                <w:rFonts w:ascii="Times New Roman" w:hAnsi="Times New Roman" w:cs="Times New Roman"/>
                <w:sz w:val="18"/>
                <w:szCs w:val="18"/>
              </w:rPr>
            </w:pPr>
          </w:p>
        </w:tc>
      </w:tr>
      <w:tr w:rsidRPr="006F34CD" w:rsidR="00515FE0" w:rsidTr="00EF028C" w14:paraId="6A2961B5" w14:textId="77777777">
        <w:trPr>
          <w:cantSplit/>
        </w:trPr>
        <w:tc>
          <w:tcPr>
            <w:tcW w:w="2249" w:type="dxa"/>
          </w:tcPr>
          <w:p w:rsidRPr="006F34CD" w:rsidR="00515FE0" w:rsidP="006F34CD" w:rsidRDefault="00515FE0" w14:paraId="31A1521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Pyotr Ivanovich TALALUYEV</w:t>
            </w:r>
          </w:p>
        </w:tc>
        <w:tc>
          <w:tcPr>
            <w:tcW w:w="836" w:type="dxa"/>
          </w:tcPr>
          <w:p w:rsidRPr="006F34CD" w:rsidR="00515FE0" w:rsidP="006F34CD" w:rsidRDefault="00515FE0" w14:paraId="14D645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7B32F6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Kalininskaya</w:t>
            </w:r>
          </w:p>
        </w:tc>
        <w:tc>
          <w:tcPr>
            <w:tcW w:w="1134" w:type="dxa"/>
          </w:tcPr>
          <w:p w:rsidRPr="006F34CD" w:rsidR="00515FE0" w:rsidP="006F34CD" w:rsidRDefault="00515FE0" w14:paraId="6D1980B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66CE5C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B69972" w14:textId="77777777">
            <w:pPr>
              <w:spacing w:before="120" w:after="120"/>
              <w:jc w:val="center"/>
              <w:rPr>
                <w:rFonts w:ascii="Times New Roman" w:hAnsi="Times New Roman" w:cs="Times New Roman"/>
                <w:sz w:val="18"/>
                <w:szCs w:val="18"/>
              </w:rPr>
            </w:pPr>
          </w:p>
        </w:tc>
      </w:tr>
      <w:tr w:rsidRPr="006F34CD" w:rsidR="00515FE0" w:rsidTr="00EF028C" w14:paraId="19FA83F9" w14:textId="77777777">
        <w:trPr>
          <w:cantSplit/>
        </w:trPr>
        <w:tc>
          <w:tcPr>
            <w:tcW w:w="2249" w:type="dxa"/>
          </w:tcPr>
          <w:p w:rsidRPr="006F34CD" w:rsidR="00515FE0" w:rsidP="006F34CD" w:rsidRDefault="00515FE0" w14:paraId="50965E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Rashid Yunusovich TALIPOV</w:t>
            </w:r>
          </w:p>
        </w:tc>
        <w:tc>
          <w:tcPr>
            <w:tcW w:w="836" w:type="dxa"/>
          </w:tcPr>
          <w:p w:rsidRPr="006F34CD" w:rsidR="00515FE0" w:rsidP="006F34CD" w:rsidRDefault="00515FE0" w14:paraId="33C3B1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75762B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Vyborg</w:t>
            </w:r>
          </w:p>
        </w:tc>
        <w:tc>
          <w:tcPr>
            <w:tcW w:w="1134" w:type="dxa"/>
          </w:tcPr>
          <w:p w:rsidRPr="006F34CD" w:rsidR="00515FE0" w:rsidP="006F34CD" w:rsidRDefault="00515FE0" w14:paraId="516B99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F2A57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C27B22" w14:textId="77777777">
            <w:pPr>
              <w:spacing w:before="120" w:after="120"/>
              <w:jc w:val="center"/>
              <w:rPr>
                <w:rFonts w:ascii="Times New Roman" w:hAnsi="Times New Roman" w:cs="Times New Roman"/>
                <w:sz w:val="18"/>
                <w:szCs w:val="18"/>
              </w:rPr>
            </w:pPr>
          </w:p>
        </w:tc>
      </w:tr>
      <w:tr w:rsidRPr="006F34CD" w:rsidR="00515FE0" w:rsidTr="00EF028C" w14:paraId="7174B5D1" w14:textId="77777777">
        <w:trPr>
          <w:cantSplit/>
        </w:trPr>
        <w:tc>
          <w:tcPr>
            <w:tcW w:w="2249" w:type="dxa"/>
          </w:tcPr>
          <w:p w:rsidRPr="006F34CD" w:rsidR="00515FE0" w:rsidP="006F34CD" w:rsidRDefault="00515FE0" w14:paraId="3AA598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Anatolyevich TARANENKO</w:t>
            </w:r>
          </w:p>
        </w:tc>
        <w:tc>
          <w:tcPr>
            <w:tcW w:w="836" w:type="dxa"/>
          </w:tcPr>
          <w:p w:rsidRPr="006F34CD" w:rsidR="00515FE0" w:rsidP="006F34CD" w:rsidRDefault="00515FE0" w14:paraId="7DE7F7F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47217A7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Chelyabinsk</w:t>
            </w:r>
          </w:p>
        </w:tc>
        <w:tc>
          <w:tcPr>
            <w:tcW w:w="1134" w:type="dxa"/>
          </w:tcPr>
          <w:p w:rsidRPr="006F34CD" w:rsidR="00515FE0" w:rsidP="006F34CD" w:rsidRDefault="00515FE0" w14:paraId="6A6484F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D4CFD9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DA9AD92" w14:textId="77777777">
            <w:pPr>
              <w:spacing w:before="120" w:after="120"/>
              <w:jc w:val="center"/>
              <w:rPr>
                <w:rFonts w:ascii="Times New Roman" w:hAnsi="Times New Roman" w:cs="Times New Roman"/>
                <w:sz w:val="18"/>
                <w:szCs w:val="18"/>
              </w:rPr>
            </w:pPr>
          </w:p>
        </w:tc>
      </w:tr>
      <w:tr w:rsidRPr="006F34CD" w:rsidR="00515FE0" w:rsidTr="00EF028C" w14:paraId="36C5FEF0" w14:textId="77777777">
        <w:trPr>
          <w:cantSplit/>
        </w:trPr>
        <w:tc>
          <w:tcPr>
            <w:tcW w:w="2249" w:type="dxa"/>
          </w:tcPr>
          <w:p w:rsidRPr="006F34CD" w:rsidR="00515FE0" w:rsidP="006F34CD" w:rsidRDefault="00515FE0" w14:paraId="257015D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Ivanovich TATANKIN</w:t>
            </w:r>
          </w:p>
        </w:tc>
        <w:tc>
          <w:tcPr>
            <w:tcW w:w="836" w:type="dxa"/>
          </w:tcPr>
          <w:p w:rsidRPr="006F34CD" w:rsidR="00515FE0" w:rsidP="006F34CD" w:rsidRDefault="00515FE0" w14:paraId="5802261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657BB2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Kumertau</w:t>
            </w:r>
          </w:p>
        </w:tc>
        <w:tc>
          <w:tcPr>
            <w:tcW w:w="1134" w:type="dxa"/>
          </w:tcPr>
          <w:p w:rsidRPr="006F34CD" w:rsidR="00515FE0" w:rsidP="006F34CD" w:rsidRDefault="00515FE0" w14:paraId="5584146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10CD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9A268E" w14:textId="77777777">
            <w:pPr>
              <w:spacing w:before="120" w:after="120"/>
              <w:jc w:val="center"/>
              <w:rPr>
                <w:rFonts w:ascii="Times New Roman" w:hAnsi="Times New Roman" w:cs="Times New Roman"/>
                <w:sz w:val="18"/>
                <w:szCs w:val="18"/>
              </w:rPr>
            </w:pPr>
          </w:p>
        </w:tc>
      </w:tr>
      <w:tr w:rsidRPr="006F34CD" w:rsidR="00515FE0" w:rsidTr="00EF028C" w14:paraId="4A3C476E" w14:textId="77777777">
        <w:trPr>
          <w:cantSplit/>
        </w:trPr>
        <w:tc>
          <w:tcPr>
            <w:tcW w:w="2249" w:type="dxa"/>
          </w:tcPr>
          <w:p w:rsidRPr="006F34CD" w:rsidR="00515FE0" w:rsidP="006F34CD" w:rsidRDefault="00515FE0" w14:paraId="64D1FF7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Roman Borisovich TELYUSHKIN</w:t>
            </w:r>
          </w:p>
        </w:tc>
        <w:tc>
          <w:tcPr>
            <w:tcW w:w="836" w:type="dxa"/>
          </w:tcPr>
          <w:p w:rsidRPr="006F34CD" w:rsidR="00515FE0" w:rsidP="006F34CD" w:rsidRDefault="00515FE0" w14:paraId="6743A1D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28A3EA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Tutayev</w:t>
            </w:r>
          </w:p>
        </w:tc>
        <w:tc>
          <w:tcPr>
            <w:tcW w:w="1134" w:type="dxa"/>
          </w:tcPr>
          <w:p w:rsidRPr="006F34CD" w:rsidR="00515FE0" w:rsidP="006F34CD" w:rsidRDefault="00515FE0" w14:paraId="336FC7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34C28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1859DD" w14:textId="77777777">
            <w:pPr>
              <w:spacing w:before="120" w:after="120"/>
              <w:jc w:val="center"/>
              <w:rPr>
                <w:rFonts w:ascii="Times New Roman" w:hAnsi="Times New Roman" w:cs="Times New Roman"/>
                <w:sz w:val="18"/>
                <w:szCs w:val="18"/>
              </w:rPr>
            </w:pPr>
          </w:p>
        </w:tc>
      </w:tr>
      <w:tr w:rsidRPr="006F34CD" w:rsidR="00515FE0" w:rsidTr="00EF028C" w14:paraId="624E74EA" w14:textId="77777777">
        <w:trPr>
          <w:cantSplit/>
        </w:trPr>
        <w:tc>
          <w:tcPr>
            <w:tcW w:w="2249" w:type="dxa"/>
          </w:tcPr>
          <w:p w:rsidRPr="006F34CD" w:rsidR="00515FE0" w:rsidP="006F34CD" w:rsidRDefault="00515FE0" w14:paraId="058D202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Viktorovich TEPLYAKOV</w:t>
            </w:r>
          </w:p>
        </w:tc>
        <w:tc>
          <w:tcPr>
            <w:tcW w:w="836" w:type="dxa"/>
          </w:tcPr>
          <w:p w:rsidRPr="006F34CD" w:rsidR="00515FE0" w:rsidP="006F34CD" w:rsidRDefault="00515FE0" w14:paraId="12164B5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7C53ED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Guryevsk</w:t>
            </w:r>
          </w:p>
        </w:tc>
        <w:tc>
          <w:tcPr>
            <w:tcW w:w="1134" w:type="dxa"/>
          </w:tcPr>
          <w:p w:rsidRPr="006F34CD" w:rsidR="00515FE0" w:rsidP="006F34CD" w:rsidRDefault="00515FE0" w14:paraId="3AD735C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36FED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DA6480" w14:textId="77777777">
            <w:pPr>
              <w:spacing w:before="120" w:after="120"/>
              <w:jc w:val="center"/>
              <w:rPr>
                <w:rFonts w:ascii="Times New Roman" w:hAnsi="Times New Roman" w:cs="Times New Roman"/>
                <w:sz w:val="18"/>
                <w:szCs w:val="18"/>
              </w:rPr>
            </w:pPr>
          </w:p>
        </w:tc>
      </w:tr>
      <w:tr w:rsidRPr="006F34CD" w:rsidR="00515FE0" w:rsidTr="00EF028C" w14:paraId="67C89736" w14:textId="77777777">
        <w:trPr>
          <w:cantSplit/>
        </w:trPr>
        <w:tc>
          <w:tcPr>
            <w:tcW w:w="2249" w:type="dxa"/>
          </w:tcPr>
          <w:p w:rsidRPr="006F34CD" w:rsidR="00515FE0" w:rsidP="006F34CD" w:rsidRDefault="00515FE0" w14:paraId="76E81CE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Grigoryevich TER-AVANESOV</w:t>
            </w:r>
          </w:p>
        </w:tc>
        <w:tc>
          <w:tcPr>
            <w:tcW w:w="836" w:type="dxa"/>
          </w:tcPr>
          <w:p w:rsidRPr="006F34CD" w:rsidR="00515FE0" w:rsidP="006F34CD" w:rsidRDefault="00515FE0" w14:paraId="41AAD4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519B2D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Kaliningrad</w:t>
            </w:r>
          </w:p>
        </w:tc>
        <w:tc>
          <w:tcPr>
            <w:tcW w:w="1134" w:type="dxa"/>
          </w:tcPr>
          <w:p w:rsidRPr="006F34CD" w:rsidR="00515FE0" w:rsidP="006F34CD" w:rsidRDefault="00515FE0" w14:paraId="493AB3B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C0CBA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48D2B7" w14:textId="77777777">
            <w:pPr>
              <w:spacing w:before="120" w:after="120"/>
              <w:jc w:val="center"/>
              <w:rPr>
                <w:rFonts w:ascii="Times New Roman" w:hAnsi="Times New Roman" w:cs="Times New Roman"/>
                <w:sz w:val="18"/>
                <w:szCs w:val="18"/>
              </w:rPr>
            </w:pPr>
          </w:p>
        </w:tc>
      </w:tr>
      <w:tr w:rsidRPr="006F34CD" w:rsidR="00515FE0" w:rsidTr="00EF028C" w14:paraId="068F7710" w14:textId="77777777">
        <w:trPr>
          <w:cantSplit/>
        </w:trPr>
        <w:tc>
          <w:tcPr>
            <w:tcW w:w="2249" w:type="dxa"/>
          </w:tcPr>
          <w:p w:rsidRPr="006F34CD" w:rsidR="00515FE0" w:rsidP="006F34CD" w:rsidRDefault="00515FE0" w14:paraId="155DDF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Ivanovich TIMOFEYEV</w:t>
            </w:r>
          </w:p>
        </w:tc>
        <w:tc>
          <w:tcPr>
            <w:tcW w:w="836" w:type="dxa"/>
          </w:tcPr>
          <w:p w:rsidRPr="006F34CD" w:rsidR="00515FE0" w:rsidP="006F34CD" w:rsidRDefault="00515FE0" w14:paraId="4D5675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1956</w:t>
            </w:r>
          </w:p>
        </w:tc>
        <w:tc>
          <w:tcPr>
            <w:tcW w:w="1305" w:type="dxa"/>
          </w:tcPr>
          <w:p w:rsidRPr="006F34CD" w:rsidR="00515FE0" w:rsidP="006F34CD" w:rsidRDefault="00515FE0" w14:paraId="08DAEF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Tomsk</w:t>
            </w:r>
          </w:p>
        </w:tc>
        <w:tc>
          <w:tcPr>
            <w:tcW w:w="1134" w:type="dxa"/>
          </w:tcPr>
          <w:p w:rsidRPr="006F34CD" w:rsidR="00515FE0" w:rsidP="006F34CD" w:rsidRDefault="00515FE0" w14:paraId="5230859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A81D45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BACE76" w14:textId="77777777">
            <w:pPr>
              <w:spacing w:before="120" w:after="120"/>
              <w:jc w:val="center"/>
              <w:rPr>
                <w:rFonts w:ascii="Times New Roman" w:hAnsi="Times New Roman" w:cs="Times New Roman"/>
                <w:sz w:val="18"/>
                <w:szCs w:val="18"/>
              </w:rPr>
            </w:pPr>
          </w:p>
        </w:tc>
      </w:tr>
      <w:tr w:rsidRPr="006F34CD" w:rsidR="00515FE0" w:rsidTr="00EF028C" w14:paraId="44535569" w14:textId="77777777">
        <w:trPr>
          <w:cantSplit/>
        </w:trPr>
        <w:tc>
          <w:tcPr>
            <w:tcW w:w="2249" w:type="dxa"/>
          </w:tcPr>
          <w:p w:rsidRPr="006F34CD" w:rsidR="00515FE0" w:rsidP="006F34CD" w:rsidRDefault="00515FE0" w14:paraId="48D74D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Valentinovich TIMOSHKIN</w:t>
            </w:r>
          </w:p>
        </w:tc>
        <w:tc>
          <w:tcPr>
            <w:tcW w:w="836" w:type="dxa"/>
          </w:tcPr>
          <w:p w:rsidRPr="006F34CD" w:rsidR="00515FE0" w:rsidP="006F34CD" w:rsidRDefault="00515FE0" w14:paraId="06C0F87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34084F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Solikamsk</w:t>
            </w:r>
          </w:p>
        </w:tc>
        <w:tc>
          <w:tcPr>
            <w:tcW w:w="1134" w:type="dxa"/>
          </w:tcPr>
          <w:p w:rsidRPr="006F34CD" w:rsidR="00515FE0" w:rsidP="006F34CD" w:rsidRDefault="00515FE0" w14:paraId="3DCCDE6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7C7F2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274A1E" w14:textId="77777777">
            <w:pPr>
              <w:spacing w:before="120" w:after="120"/>
              <w:jc w:val="center"/>
              <w:rPr>
                <w:rFonts w:ascii="Times New Roman" w:hAnsi="Times New Roman" w:cs="Times New Roman"/>
                <w:sz w:val="18"/>
                <w:szCs w:val="18"/>
              </w:rPr>
            </w:pPr>
          </w:p>
        </w:tc>
      </w:tr>
      <w:tr w:rsidRPr="006F34CD" w:rsidR="00515FE0" w:rsidTr="00EF028C" w14:paraId="24458AB1" w14:textId="77777777">
        <w:trPr>
          <w:cantSplit/>
        </w:trPr>
        <w:tc>
          <w:tcPr>
            <w:tcW w:w="2249" w:type="dxa"/>
          </w:tcPr>
          <w:p w:rsidRPr="006F34CD" w:rsidR="00515FE0" w:rsidP="006F34CD" w:rsidRDefault="00515FE0" w14:paraId="4C00885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Gennadiy Matveyevich TISHCHENKO</w:t>
            </w:r>
          </w:p>
        </w:tc>
        <w:tc>
          <w:tcPr>
            <w:tcW w:w="836" w:type="dxa"/>
          </w:tcPr>
          <w:p w:rsidRPr="006F34CD" w:rsidR="00515FE0" w:rsidP="006F34CD" w:rsidRDefault="00515FE0" w14:paraId="4B7C553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1952</w:t>
            </w:r>
          </w:p>
        </w:tc>
        <w:tc>
          <w:tcPr>
            <w:tcW w:w="1305" w:type="dxa"/>
          </w:tcPr>
          <w:p w:rsidRPr="006F34CD" w:rsidR="00515FE0" w:rsidP="006F34CD" w:rsidRDefault="00515FE0" w14:paraId="7BDDFB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Shchelkovo</w:t>
            </w:r>
          </w:p>
        </w:tc>
        <w:tc>
          <w:tcPr>
            <w:tcW w:w="1134" w:type="dxa"/>
          </w:tcPr>
          <w:p w:rsidRPr="006F34CD" w:rsidR="00515FE0" w:rsidP="006F34CD" w:rsidRDefault="00515FE0" w14:paraId="0E011D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D8040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91FCE99" w14:textId="77777777">
            <w:pPr>
              <w:spacing w:before="120" w:after="120"/>
              <w:jc w:val="center"/>
              <w:rPr>
                <w:rFonts w:ascii="Times New Roman" w:hAnsi="Times New Roman" w:cs="Times New Roman"/>
                <w:sz w:val="18"/>
                <w:szCs w:val="18"/>
              </w:rPr>
            </w:pPr>
          </w:p>
        </w:tc>
      </w:tr>
      <w:tr w:rsidRPr="006F34CD" w:rsidR="00515FE0" w:rsidTr="00EF028C" w14:paraId="03EB8C7E" w14:textId="77777777">
        <w:trPr>
          <w:cantSplit/>
        </w:trPr>
        <w:tc>
          <w:tcPr>
            <w:tcW w:w="2249" w:type="dxa"/>
          </w:tcPr>
          <w:p w:rsidRPr="006F34CD" w:rsidR="00515FE0" w:rsidP="006F34CD" w:rsidRDefault="00515FE0" w14:paraId="1AE66A3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Denis Yuryevich TITARENKO</w:t>
            </w:r>
          </w:p>
        </w:tc>
        <w:tc>
          <w:tcPr>
            <w:tcW w:w="836" w:type="dxa"/>
          </w:tcPr>
          <w:p w:rsidRPr="006F34CD" w:rsidR="00515FE0" w:rsidP="006F34CD" w:rsidRDefault="00515FE0" w14:paraId="14867A0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1979</w:t>
            </w:r>
          </w:p>
        </w:tc>
        <w:tc>
          <w:tcPr>
            <w:tcW w:w="1305" w:type="dxa"/>
          </w:tcPr>
          <w:p w:rsidRPr="006F34CD" w:rsidR="00515FE0" w:rsidP="006F34CD" w:rsidRDefault="00515FE0" w14:paraId="06035C0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Pervomayskoye</w:t>
            </w:r>
          </w:p>
        </w:tc>
        <w:tc>
          <w:tcPr>
            <w:tcW w:w="1134" w:type="dxa"/>
          </w:tcPr>
          <w:p w:rsidRPr="006F34CD" w:rsidR="00515FE0" w:rsidP="006F34CD" w:rsidRDefault="00515FE0" w14:paraId="49EDF59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8F4AB6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D5F812D" w14:textId="77777777">
            <w:pPr>
              <w:spacing w:before="120" w:after="120"/>
              <w:jc w:val="center"/>
              <w:rPr>
                <w:rFonts w:ascii="Times New Roman" w:hAnsi="Times New Roman" w:cs="Times New Roman"/>
                <w:sz w:val="18"/>
                <w:szCs w:val="18"/>
              </w:rPr>
            </w:pPr>
          </w:p>
        </w:tc>
      </w:tr>
      <w:tr w:rsidRPr="006F34CD" w:rsidR="00515FE0" w:rsidTr="00EF028C" w14:paraId="50E0DC7A" w14:textId="77777777">
        <w:trPr>
          <w:cantSplit/>
        </w:trPr>
        <w:tc>
          <w:tcPr>
            <w:tcW w:w="2249" w:type="dxa"/>
          </w:tcPr>
          <w:p w:rsidRPr="006F34CD" w:rsidR="00515FE0" w:rsidP="006F34CD" w:rsidRDefault="00515FE0" w14:paraId="7E797C0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Lazar Mikhaylovich TOKOYAKOV</w:t>
            </w:r>
          </w:p>
        </w:tc>
        <w:tc>
          <w:tcPr>
            <w:tcW w:w="836" w:type="dxa"/>
          </w:tcPr>
          <w:p w:rsidRPr="006F34CD" w:rsidR="00515FE0" w:rsidP="006F34CD" w:rsidRDefault="00515FE0" w14:paraId="1598634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122648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Beltirskoye</w:t>
            </w:r>
          </w:p>
        </w:tc>
        <w:tc>
          <w:tcPr>
            <w:tcW w:w="1134" w:type="dxa"/>
          </w:tcPr>
          <w:p w:rsidRPr="006F34CD" w:rsidR="00515FE0" w:rsidP="006F34CD" w:rsidRDefault="00515FE0" w14:paraId="61B94EC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D107CD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C931031" w14:textId="77777777">
            <w:pPr>
              <w:spacing w:before="120" w:after="120"/>
              <w:jc w:val="center"/>
              <w:rPr>
                <w:rFonts w:ascii="Times New Roman" w:hAnsi="Times New Roman" w:cs="Times New Roman"/>
                <w:sz w:val="18"/>
                <w:szCs w:val="18"/>
              </w:rPr>
            </w:pPr>
          </w:p>
        </w:tc>
      </w:tr>
      <w:tr w:rsidRPr="006F34CD" w:rsidR="00515FE0" w:rsidTr="00EF028C" w14:paraId="1387E214" w14:textId="77777777">
        <w:trPr>
          <w:cantSplit/>
        </w:trPr>
        <w:tc>
          <w:tcPr>
            <w:tcW w:w="2249" w:type="dxa"/>
          </w:tcPr>
          <w:p w:rsidRPr="006F34CD" w:rsidR="00515FE0" w:rsidP="006F34CD" w:rsidRDefault="00515FE0" w14:paraId="5D77026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Aslan Alikhanovich TOMAYEV</w:t>
            </w:r>
          </w:p>
        </w:tc>
        <w:tc>
          <w:tcPr>
            <w:tcW w:w="836" w:type="dxa"/>
          </w:tcPr>
          <w:p w:rsidRPr="006F34CD" w:rsidR="00515FE0" w:rsidP="006F34CD" w:rsidRDefault="00515FE0" w14:paraId="39A3C0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5A2AFF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Alagir</w:t>
            </w:r>
          </w:p>
        </w:tc>
        <w:tc>
          <w:tcPr>
            <w:tcW w:w="1134" w:type="dxa"/>
          </w:tcPr>
          <w:p w:rsidRPr="006F34CD" w:rsidR="00515FE0" w:rsidP="006F34CD" w:rsidRDefault="00515FE0" w14:paraId="3E8E5A9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635483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2124A6" w14:textId="77777777">
            <w:pPr>
              <w:spacing w:before="120" w:after="120"/>
              <w:jc w:val="center"/>
              <w:rPr>
                <w:rFonts w:ascii="Times New Roman" w:hAnsi="Times New Roman" w:cs="Times New Roman"/>
                <w:sz w:val="18"/>
                <w:szCs w:val="18"/>
              </w:rPr>
            </w:pPr>
          </w:p>
        </w:tc>
      </w:tr>
      <w:tr w:rsidRPr="006F34CD" w:rsidR="00515FE0" w:rsidTr="00EF028C" w14:paraId="5592CF16" w14:textId="77777777">
        <w:trPr>
          <w:cantSplit/>
        </w:trPr>
        <w:tc>
          <w:tcPr>
            <w:tcW w:w="2249" w:type="dxa"/>
          </w:tcPr>
          <w:p w:rsidRPr="006F34CD" w:rsidR="00515FE0" w:rsidP="006F34CD" w:rsidRDefault="00515FE0" w14:paraId="5EF8D0C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Serezhovich TOROSYAN</w:t>
            </w:r>
          </w:p>
        </w:tc>
        <w:tc>
          <w:tcPr>
            <w:tcW w:w="836" w:type="dxa"/>
          </w:tcPr>
          <w:p w:rsidRPr="006F34CD" w:rsidR="00515FE0" w:rsidP="006F34CD" w:rsidRDefault="00515FE0" w14:paraId="0A6E9F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50F1EA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Sochi</w:t>
            </w:r>
          </w:p>
        </w:tc>
        <w:tc>
          <w:tcPr>
            <w:tcW w:w="1134" w:type="dxa"/>
          </w:tcPr>
          <w:p w:rsidRPr="006F34CD" w:rsidR="00515FE0" w:rsidP="006F34CD" w:rsidRDefault="00515FE0" w14:paraId="6BB0964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08155B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CC325ED" w14:textId="77777777">
            <w:pPr>
              <w:spacing w:before="120" w:after="120"/>
              <w:jc w:val="center"/>
              <w:rPr>
                <w:rFonts w:ascii="Times New Roman" w:hAnsi="Times New Roman" w:cs="Times New Roman"/>
                <w:sz w:val="18"/>
                <w:szCs w:val="18"/>
              </w:rPr>
            </w:pPr>
          </w:p>
        </w:tc>
      </w:tr>
      <w:tr w:rsidRPr="006F34CD" w:rsidR="00515FE0" w:rsidTr="00EF028C" w14:paraId="319A4841" w14:textId="77777777">
        <w:trPr>
          <w:cantSplit/>
        </w:trPr>
        <w:tc>
          <w:tcPr>
            <w:tcW w:w="2249" w:type="dxa"/>
          </w:tcPr>
          <w:p w:rsidRPr="006F34CD" w:rsidR="00515FE0" w:rsidP="006F34CD" w:rsidRDefault="00515FE0" w14:paraId="7C1F5E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Gennadiy Mikhaylovich TRACH</w:t>
            </w:r>
          </w:p>
        </w:tc>
        <w:tc>
          <w:tcPr>
            <w:tcW w:w="836" w:type="dxa"/>
          </w:tcPr>
          <w:p w:rsidRPr="006F34CD" w:rsidR="00515FE0" w:rsidP="006F34CD" w:rsidRDefault="00515FE0" w14:paraId="5A7D0B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1958</w:t>
            </w:r>
          </w:p>
        </w:tc>
        <w:tc>
          <w:tcPr>
            <w:tcW w:w="1305" w:type="dxa"/>
          </w:tcPr>
          <w:p w:rsidRPr="006F34CD" w:rsidR="00515FE0" w:rsidP="006F34CD" w:rsidRDefault="00515FE0" w14:paraId="0A1F66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Pereyaslavka</w:t>
            </w:r>
          </w:p>
        </w:tc>
        <w:tc>
          <w:tcPr>
            <w:tcW w:w="1134" w:type="dxa"/>
          </w:tcPr>
          <w:p w:rsidRPr="006F34CD" w:rsidR="00515FE0" w:rsidP="006F34CD" w:rsidRDefault="00515FE0" w14:paraId="71B65F3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70B8E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720E46" w14:textId="77777777">
            <w:pPr>
              <w:spacing w:before="120" w:after="120"/>
              <w:jc w:val="center"/>
              <w:rPr>
                <w:rFonts w:ascii="Times New Roman" w:hAnsi="Times New Roman" w:cs="Times New Roman"/>
                <w:sz w:val="18"/>
                <w:szCs w:val="18"/>
              </w:rPr>
            </w:pPr>
          </w:p>
        </w:tc>
      </w:tr>
      <w:tr w:rsidRPr="006F34CD" w:rsidR="00515FE0" w:rsidTr="00EF028C" w14:paraId="6A93BF0D" w14:textId="77777777">
        <w:trPr>
          <w:cantSplit/>
        </w:trPr>
        <w:tc>
          <w:tcPr>
            <w:tcW w:w="2249" w:type="dxa"/>
          </w:tcPr>
          <w:p w:rsidRPr="006F34CD" w:rsidR="00515FE0" w:rsidP="006F34CD" w:rsidRDefault="00515FE0" w14:paraId="06D2C1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Ivanovich TRETYAKOV</w:t>
            </w:r>
          </w:p>
        </w:tc>
        <w:tc>
          <w:tcPr>
            <w:tcW w:w="836" w:type="dxa"/>
          </w:tcPr>
          <w:p w:rsidRPr="006F34CD" w:rsidR="00515FE0" w:rsidP="006F34CD" w:rsidRDefault="00515FE0" w14:paraId="5E5AF3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622B81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Norilsk</w:t>
            </w:r>
          </w:p>
        </w:tc>
        <w:tc>
          <w:tcPr>
            <w:tcW w:w="1134" w:type="dxa"/>
          </w:tcPr>
          <w:p w:rsidRPr="006F34CD" w:rsidR="00515FE0" w:rsidP="006F34CD" w:rsidRDefault="00515FE0" w14:paraId="3A1EAEB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22AE1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7DF7AF" w14:textId="77777777">
            <w:pPr>
              <w:spacing w:before="120" w:after="120"/>
              <w:jc w:val="center"/>
              <w:rPr>
                <w:rFonts w:ascii="Times New Roman" w:hAnsi="Times New Roman" w:cs="Times New Roman"/>
                <w:sz w:val="18"/>
                <w:szCs w:val="18"/>
              </w:rPr>
            </w:pPr>
          </w:p>
        </w:tc>
      </w:tr>
      <w:tr w:rsidRPr="006F34CD" w:rsidR="00515FE0" w:rsidTr="00EF028C" w14:paraId="483558DD" w14:textId="77777777">
        <w:trPr>
          <w:cantSplit/>
        </w:trPr>
        <w:tc>
          <w:tcPr>
            <w:tcW w:w="2249" w:type="dxa"/>
          </w:tcPr>
          <w:p w:rsidRPr="006F34CD" w:rsidR="00515FE0" w:rsidP="006F34CD" w:rsidRDefault="00515FE0" w14:paraId="411544B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Yuryevich TRINADTSATKO</w:t>
            </w:r>
          </w:p>
        </w:tc>
        <w:tc>
          <w:tcPr>
            <w:tcW w:w="836" w:type="dxa"/>
          </w:tcPr>
          <w:p w:rsidRPr="006F34CD" w:rsidR="00515FE0" w:rsidP="006F34CD" w:rsidRDefault="00515FE0" w14:paraId="67F914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5994DA1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Khabarovsk</w:t>
            </w:r>
          </w:p>
        </w:tc>
        <w:tc>
          <w:tcPr>
            <w:tcW w:w="1134" w:type="dxa"/>
          </w:tcPr>
          <w:p w:rsidRPr="006F34CD" w:rsidR="00515FE0" w:rsidP="006F34CD" w:rsidRDefault="00515FE0" w14:paraId="3E80029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F0515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16C70EF" w14:textId="77777777">
            <w:pPr>
              <w:spacing w:before="120" w:after="120"/>
              <w:jc w:val="center"/>
              <w:rPr>
                <w:rFonts w:ascii="Times New Roman" w:hAnsi="Times New Roman" w:cs="Times New Roman"/>
                <w:sz w:val="18"/>
                <w:szCs w:val="18"/>
              </w:rPr>
            </w:pPr>
          </w:p>
        </w:tc>
      </w:tr>
      <w:tr w:rsidRPr="006F34CD" w:rsidR="00515FE0" w:rsidTr="00EF028C" w14:paraId="42D2DD32" w14:textId="77777777">
        <w:trPr>
          <w:cantSplit/>
        </w:trPr>
        <w:tc>
          <w:tcPr>
            <w:tcW w:w="2249" w:type="dxa"/>
          </w:tcPr>
          <w:p w:rsidRPr="006F34CD" w:rsidR="00515FE0" w:rsidP="006F34CD" w:rsidRDefault="00515FE0" w14:paraId="419F00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Viktor Fedorovich TROFIMOV</w:t>
            </w:r>
          </w:p>
        </w:tc>
        <w:tc>
          <w:tcPr>
            <w:tcW w:w="836" w:type="dxa"/>
          </w:tcPr>
          <w:p w:rsidRPr="006F34CD" w:rsidR="00515FE0" w:rsidP="006F34CD" w:rsidRDefault="00515FE0" w14:paraId="0BE450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51034C0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Polyarniy</w:t>
            </w:r>
          </w:p>
        </w:tc>
        <w:tc>
          <w:tcPr>
            <w:tcW w:w="1134" w:type="dxa"/>
          </w:tcPr>
          <w:p w:rsidRPr="006F34CD" w:rsidR="00515FE0" w:rsidP="006F34CD" w:rsidRDefault="00515FE0" w14:paraId="068988A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4B76A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12FF25" w14:textId="77777777">
            <w:pPr>
              <w:spacing w:before="120" w:after="120"/>
              <w:jc w:val="center"/>
              <w:rPr>
                <w:rFonts w:ascii="Times New Roman" w:hAnsi="Times New Roman" w:cs="Times New Roman"/>
                <w:sz w:val="18"/>
                <w:szCs w:val="18"/>
              </w:rPr>
            </w:pPr>
          </w:p>
        </w:tc>
      </w:tr>
      <w:tr w:rsidRPr="006F34CD" w:rsidR="00515FE0" w:rsidTr="00EF028C" w14:paraId="3D681789" w14:textId="77777777">
        <w:trPr>
          <w:cantSplit/>
        </w:trPr>
        <w:tc>
          <w:tcPr>
            <w:tcW w:w="2249" w:type="dxa"/>
          </w:tcPr>
          <w:p w:rsidRPr="006F34CD" w:rsidR="00515FE0" w:rsidP="006F34CD" w:rsidRDefault="00515FE0" w14:paraId="2E7CAE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Valeryevich TSAREV</w:t>
            </w:r>
          </w:p>
        </w:tc>
        <w:tc>
          <w:tcPr>
            <w:tcW w:w="836" w:type="dxa"/>
          </w:tcPr>
          <w:p w:rsidRPr="006F34CD" w:rsidR="00515FE0" w:rsidP="006F34CD" w:rsidRDefault="00515FE0" w14:paraId="00335E4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4DB4806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Ivanovo</w:t>
            </w:r>
          </w:p>
        </w:tc>
        <w:tc>
          <w:tcPr>
            <w:tcW w:w="1134" w:type="dxa"/>
          </w:tcPr>
          <w:p w:rsidRPr="006F34CD" w:rsidR="00515FE0" w:rsidP="006F34CD" w:rsidRDefault="00515FE0" w14:paraId="20AF4C4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0F46D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1DA5A2" w14:textId="77777777">
            <w:pPr>
              <w:spacing w:before="120" w:after="120"/>
              <w:jc w:val="center"/>
              <w:rPr>
                <w:rFonts w:ascii="Times New Roman" w:hAnsi="Times New Roman" w:cs="Times New Roman"/>
                <w:sz w:val="18"/>
                <w:szCs w:val="18"/>
              </w:rPr>
            </w:pPr>
          </w:p>
        </w:tc>
      </w:tr>
      <w:tr w:rsidRPr="006F34CD" w:rsidR="00515FE0" w:rsidTr="00EF028C" w14:paraId="11F68C0B" w14:textId="77777777">
        <w:trPr>
          <w:cantSplit/>
        </w:trPr>
        <w:tc>
          <w:tcPr>
            <w:tcW w:w="2249" w:type="dxa"/>
          </w:tcPr>
          <w:p w:rsidRPr="006F34CD" w:rsidR="00515FE0" w:rsidP="006F34CD" w:rsidRDefault="00515FE0" w14:paraId="5D5BC8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Georgiyevich TSARKOV</w:t>
            </w:r>
          </w:p>
        </w:tc>
        <w:tc>
          <w:tcPr>
            <w:tcW w:w="836" w:type="dxa"/>
          </w:tcPr>
          <w:p w:rsidRPr="006F34CD" w:rsidR="00515FE0" w:rsidP="006F34CD" w:rsidRDefault="00515FE0" w14:paraId="252889C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1F3A93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w:t>
            </w:r>
          </w:p>
        </w:tc>
        <w:tc>
          <w:tcPr>
            <w:tcW w:w="1134" w:type="dxa"/>
          </w:tcPr>
          <w:p w:rsidRPr="006F34CD" w:rsidR="00515FE0" w:rsidP="006F34CD" w:rsidRDefault="00515FE0" w14:paraId="254B9AE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081D1B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57AF8C" w14:textId="77777777">
            <w:pPr>
              <w:spacing w:before="120" w:after="120"/>
              <w:jc w:val="center"/>
              <w:rPr>
                <w:rFonts w:ascii="Times New Roman" w:hAnsi="Times New Roman" w:cs="Times New Roman"/>
                <w:sz w:val="18"/>
                <w:szCs w:val="18"/>
              </w:rPr>
            </w:pPr>
          </w:p>
        </w:tc>
      </w:tr>
      <w:tr w:rsidRPr="006F34CD" w:rsidR="00515FE0" w:rsidTr="00EF028C" w14:paraId="165987CC" w14:textId="77777777">
        <w:trPr>
          <w:cantSplit/>
        </w:trPr>
        <w:tc>
          <w:tcPr>
            <w:tcW w:w="2249" w:type="dxa"/>
          </w:tcPr>
          <w:p w:rsidRPr="006F34CD" w:rsidR="00515FE0" w:rsidP="006F34CD" w:rsidRDefault="00515FE0" w14:paraId="3A6730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Gennadyevich TSIKUNOV</w:t>
            </w:r>
          </w:p>
        </w:tc>
        <w:tc>
          <w:tcPr>
            <w:tcW w:w="836" w:type="dxa"/>
          </w:tcPr>
          <w:p w:rsidRPr="006F34CD" w:rsidR="00515FE0" w:rsidP="006F34CD" w:rsidRDefault="00515FE0" w14:paraId="23CEBC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4D1E0C7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Kaltan</w:t>
            </w:r>
          </w:p>
        </w:tc>
        <w:tc>
          <w:tcPr>
            <w:tcW w:w="1134" w:type="dxa"/>
          </w:tcPr>
          <w:p w:rsidRPr="006F34CD" w:rsidR="00515FE0" w:rsidP="006F34CD" w:rsidRDefault="00515FE0" w14:paraId="14D002C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B082B5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73A3A3" w14:textId="77777777">
            <w:pPr>
              <w:spacing w:before="120" w:after="120"/>
              <w:jc w:val="center"/>
              <w:rPr>
                <w:rFonts w:ascii="Times New Roman" w:hAnsi="Times New Roman" w:cs="Times New Roman"/>
                <w:sz w:val="18"/>
                <w:szCs w:val="18"/>
              </w:rPr>
            </w:pPr>
          </w:p>
        </w:tc>
      </w:tr>
      <w:tr w:rsidRPr="006F34CD" w:rsidR="00515FE0" w:rsidTr="00EF028C" w14:paraId="3023A68F" w14:textId="77777777">
        <w:trPr>
          <w:cantSplit/>
        </w:trPr>
        <w:tc>
          <w:tcPr>
            <w:tcW w:w="2249" w:type="dxa"/>
          </w:tcPr>
          <w:p w:rsidRPr="006F34CD" w:rsidR="00515FE0" w:rsidP="006F34CD" w:rsidRDefault="00515FE0" w14:paraId="03BB5FF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Petrovich TSIMERMAN</w:t>
            </w:r>
          </w:p>
        </w:tc>
        <w:tc>
          <w:tcPr>
            <w:tcW w:w="836" w:type="dxa"/>
          </w:tcPr>
          <w:p w:rsidRPr="006F34CD" w:rsidR="00515FE0" w:rsidP="006F34CD" w:rsidRDefault="00515FE0" w14:paraId="465CA1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6AB25C3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Kholmsk</w:t>
            </w:r>
          </w:p>
        </w:tc>
        <w:tc>
          <w:tcPr>
            <w:tcW w:w="1134" w:type="dxa"/>
          </w:tcPr>
          <w:p w:rsidRPr="006F34CD" w:rsidR="00515FE0" w:rsidP="006F34CD" w:rsidRDefault="00515FE0" w14:paraId="5789381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39E9C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CB4BB1" w14:textId="77777777">
            <w:pPr>
              <w:spacing w:before="120" w:after="120"/>
              <w:jc w:val="center"/>
              <w:rPr>
                <w:rFonts w:ascii="Times New Roman" w:hAnsi="Times New Roman" w:cs="Times New Roman"/>
                <w:sz w:val="18"/>
                <w:szCs w:val="18"/>
              </w:rPr>
            </w:pPr>
          </w:p>
        </w:tc>
      </w:tr>
      <w:tr w:rsidRPr="006F34CD" w:rsidR="00515FE0" w:rsidTr="00EF028C" w14:paraId="280836BF" w14:textId="77777777">
        <w:trPr>
          <w:cantSplit/>
        </w:trPr>
        <w:tc>
          <w:tcPr>
            <w:tcW w:w="2249" w:type="dxa"/>
          </w:tcPr>
          <w:p w:rsidRPr="006F34CD" w:rsidR="00515FE0" w:rsidP="006F34CD" w:rsidRDefault="00515FE0" w14:paraId="62B98C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Vladimirovich TSUKANOV</w:t>
            </w:r>
          </w:p>
        </w:tc>
        <w:tc>
          <w:tcPr>
            <w:tcW w:w="836" w:type="dxa"/>
          </w:tcPr>
          <w:p w:rsidRPr="006F34CD" w:rsidR="00515FE0" w:rsidP="006F34CD" w:rsidRDefault="00515FE0" w14:paraId="0361075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3C627B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g.Leninsk-Kuznetskiy</w:t>
            </w:r>
          </w:p>
        </w:tc>
        <w:tc>
          <w:tcPr>
            <w:tcW w:w="1134" w:type="dxa"/>
          </w:tcPr>
          <w:p w:rsidRPr="006F34CD" w:rsidR="00515FE0" w:rsidP="006F34CD" w:rsidRDefault="00515FE0" w14:paraId="2924009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3899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755220D" w14:textId="77777777">
            <w:pPr>
              <w:spacing w:before="120" w:after="120"/>
              <w:jc w:val="center"/>
              <w:rPr>
                <w:rFonts w:ascii="Times New Roman" w:hAnsi="Times New Roman" w:cs="Times New Roman"/>
                <w:sz w:val="18"/>
                <w:szCs w:val="18"/>
              </w:rPr>
            </w:pPr>
          </w:p>
        </w:tc>
      </w:tr>
      <w:tr w:rsidRPr="006F34CD" w:rsidR="00515FE0" w:rsidTr="00EF028C" w14:paraId="53BBAE9C" w14:textId="77777777">
        <w:trPr>
          <w:cantSplit/>
        </w:trPr>
        <w:tc>
          <w:tcPr>
            <w:tcW w:w="2249" w:type="dxa"/>
          </w:tcPr>
          <w:p w:rsidRPr="006F34CD" w:rsidR="00515FE0" w:rsidP="006F34CD" w:rsidRDefault="00515FE0" w14:paraId="5E2918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Artur Aslanbekovich TSUTSIYEV</w:t>
            </w:r>
          </w:p>
        </w:tc>
        <w:tc>
          <w:tcPr>
            <w:tcW w:w="836" w:type="dxa"/>
          </w:tcPr>
          <w:p w:rsidRPr="006F34CD" w:rsidR="00515FE0" w:rsidP="006F34CD" w:rsidRDefault="00515FE0" w14:paraId="698C7C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4D8A28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Vladikavkaz</w:t>
            </w:r>
          </w:p>
        </w:tc>
        <w:tc>
          <w:tcPr>
            <w:tcW w:w="1134" w:type="dxa"/>
          </w:tcPr>
          <w:p w:rsidRPr="006F34CD" w:rsidR="00515FE0" w:rsidP="006F34CD" w:rsidRDefault="00515FE0" w14:paraId="483571F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61DC1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45EDAB" w14:textId="77777777">
            <w:pPr>
              <w:spacing w:before="120" w:after="120"/>
              <w:jc w:val="center"/>
              <w:rPr>
                <w:rFonts w:ascii="Times New Roman" w:hAnsi="Times New Roman" w:cs="Times New Roman"/>
                <w:sz w:val="18"/>
                <w:szCs w:val="18"/>
              </w:rPr>
            </w:pPr>
          </w:p>
        </w:tc>
      </w:tr>
      <w:tr w:rsidRPr="006F34CD" w:rsidR="00515FE0" w:rsidTr="00EF028C" w14:paraId="1EDB002D" w14:textId="77777777">
        <w:trPr>
          <w:cantSplit/>
        </w:trPr>
        <w:tc>
          <w:tcPr>
            <w:tcW w:w="2249" w:type="dxa"/>
          </w:tcPr>
          <w:p w:rsidRPr="006F34CD" w:rsidR="00515FE0" w:rsidP="006F34CD" w:rsidRDefault="00515FE0" w14:paraId="622669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Yevgeniy Viktorovich TSVETASH</w:t>
            </w:r>
          </w:p>
        </w:tc>
        <w:tc>
          <w:tcPr>
            <w:tcW w:w="836" w:type="dxa"/>
          </w:tcPr>
          <w:p w:rsidRPr="006F34CD" w:rsidR="00515FE0" w:rsidP="006F34CD" w:rsidRDefault="00515FE0" w14:paraId="76A32FA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6D68E539" w14:textId="77777777">
            <w:pPr>
              <w:spacing w:before="120" w:after="120"/>
              <w:rPr>
                <w:rFonts w:ascii="Times New Roman" w:hAnsi="Times New Roman" w:cs="Times New Roman"/>
                <w:sz w:val="18"/>
                <w:szCs w:val="18"/>
              </w:rPr>
            </w:pPr>
          </w:p>
        </w:tc>
        <w:tc>
          <w:tcPr>
            <w:tcW w:w="1134" w:type="dxa"/>
          </w:tcPr>
          <w:p w:rsidRPr="006F34CD" w:rsidR="00515FE0" w:rsidP="006F34CD" w:rsidRDefault="00515FE0" w14:paraId="6C2EB2C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8CFB2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8C8519" w14:textId="77777777">
            <w:pPr>
              <w:spacing w:before="120" w:after="120"/>
              <w:jc w:val="center"/>
              <w:rPr>
                <w:rFonts w:ascii="Times New Roman" w:hAnsi="Times New Roman" w:cs="Times New Roman"/>
                <w:sz w:val="18"/>
                <w:szCs w:val="18"/>
              </w:rPr>
            </w:pPr>
          </w:p>
        </w:tc>
      </w:tr>
      <w:tr w:rsidRPr="006F34CD" w:rsidR="00515FE0" w:rsidTr="00EF028C" w14:paraId="4744CFED" w14:textId="77777777">
        <w:trPr>
          <w:cantSplit/>
        </w:trPr>
        <w:tc>
          <w:tcPr>
            <w:tcW w:w="2249" w:type="dxa"/>
          </w:tcPr>
          <w:p w:rsidRPr="006F34CD" w:rsidR="00515FE0" w:rsidP="006F34CD" w:rsidRDefault="00515FE0" w14:paraId="52A28D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Gennadyevich TSVETKOV</w:t>
            </w:r>
          </w:p>
        </w:tc>
        <w:tc>
          <w:tcPr>
            <w:tcW w:w="836" w:type="dxa"/>
          </w:tcPr>
          <w:p w:rsidRPr="006F34CD" w:rsidR="00515FE0" w:rsidP="006F34CD" w:rsidRDefault="00515FE0" w14:paraId="412E4CB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2841396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Donetsk</w:t>
            </w:r>
          </w:p>
        </w:tc>
        <w:tc>
          <w:tcPr>
            <w:tcW w:w="1134" w:type="dxa"/>
          </w:tcPr>
          <w:p w:rsidRPr="006F34CD" w:rsidR="00515FE0" w:rsidP="006F34CD" w:rsidRDefault="00515FE0" w14:paraId="694518F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DB73B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F28E2A" w14:textId="77777777">
            <w:pPr>
              <w:spacing w:before="120" w:after="120"/>
              <w:jc w:val="center"/>
              <w:rPr>
                <w:rFonts w:ascii="Times New Roman" w:hAnsi="Times New Roman" w:cs="Times New Roman"/>
                <w:sz w:val="18"/>
                <w:szCs w:val="18"/>
              </w:rPr>
            </w:pPr>
          </w:p>
        </w:tc>
      </w:tr>
      <w:tr w:rsidRPr="006F34CD" w:rsidR="00515FE0" w:rsidTr="00EF028C" w14:paraId="73EDA62D" w14:textId="77777777">
        <w:trPr>
          <w:cantSplit/>
        </w:trPr>
        <w:tc>
          <w:tcPr>
            <w:tcW w:w="2249" w:type="dxa"/>
          </w:tcPr>
          <w:p w:rsidRPr="006F34CD" w:rsidR="00515FE0" w:rsidP="006F34CD" w:rsidRDefault="00515FE0" w14:paraId="35E99BE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Aleksandrovich TSYGANOV</w:t>
            </w:r>
          </w:p>
        </w:tc>
        <w:tc>
          <w:tcPr>
            <w:tcW w:w="836" w:type="dxa"/>
          </w:tcPr>
          <w:p w:rsidRPr="006F34CD" w:rsidR="00515FE0" w:rsidP="006F34CD" w:rsidRDefault="00515FE0" w14:paraId="5E0DC5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1969</w:t>
            </w:r>
          </w:p>
        </w:tc>
        <w:tc>
          <w:tcPr>
            <w:tcW w:w="1305" w:type="dxa"/>
          </w:tcPr>
          <w:p w:rsidRPr="006F34CD" w:rsidR="00515FE0" w:rsidP="006F34CD" w:rsidRDefault="00515FE0" w14:paraId="5170ED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pgt. Chernomorskoye</w:t>
            </w:r>
          </w:p>
        </w:tc>
        <w:tc>
          <w:tcPr>
            <w:tcW w:w="1134" w:type="dxa"/>
          </w:tcPr>
          <w:p w:rsidRPr="006F34CD" w:rsidR="00515FE0" w:rsidP="006F34CD" w:rsidRDefault="00515FE0" w14:paraId="744E4DE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0F068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798B9C" w14:textId="77777777">
            <w:pPr>
              <w:spacing w:before="120" w:after="120"/>
              <w:jc w:val="center"/>
              <w:rPr>
                <w:rFonts w:ascii="Times New Roman" w:hAnsi="Times New Roman" w:cs="Times New Roman"/>
                <w:sz w:val="18"/>
                <w:szCs w:val="18"/>
              </w:rPr>
            </w:pPr>
          </w:p>
        </w:tc>
      </w:tr>
      <w:tr w:rsidRPr="006F34CD" w:rsidR="00515FE0" w:rsidTr="00EF028C" w14:paraId="5607433B" w14:textId="77777777">
        <w:trPr>
          <w:cantSplit/>
        </w:trPr>
        <w:tc>
          <w:tcPr>
            <w:tcW w:w="2249" w:type="dxa"/>
          </w:tcPr>
          <w:p w:rsidRPr="006F34CD" w:rsidR="00515FE0" w:rsidP="006F34CD" w:rsidRDefault="00515FE0" w14:paraId="7F0D09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Viktorovich TUSHIN</w:t>
            </w:r>
          </w:p>
        </w:tc>
        <w:tc>
          <w:tcPr>
            <w:tcW w:w="836" w:type="dxa"/>
          </w:tcPr>
          <w:p w:rsidRPr="006F34CD" w:rsidR="00515FE0" w:rsidP="006F34CD" w:rsidRDefault="00515FE0" w14:paraId="323733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0AD05EE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Ivanovo</w:t>
            </w:r>
          </w:p>
        </w:tc>
        <w:tc>
          <w:tcPr>
            <w:tcW w:w="1134" w:type="dxa"/>
          </w:tcPr>
          <w:p w:rsidRPr="006F34CD" w:rsidR="00515FE0" w:rsidP="006F34CD" w:rsidRDefault="00515FE0" w14:paraId="76D64A5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EDE35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363E77" w14:textId="77777777">
            <w:pPr>
              <w:spacing w:before="120" w:after="120"/>
              <w:jc w:val="center"/>
              <w:rPr>
                <w:rFonts w:ascii="Times New Roman" w:hAnsi="Times New Roman" w:cs="Times New Roman"/>
                <w:sz w:val="18"/>
                <w:szCs w:val="18"/>
              </w:rPr>
            </w:pPr>
          </w:p>
        </w:tc>
      </w:tr>
      <w:tr w:rsidRPr="006F34CD" w:rsidR="00515FE0" w:rsidTr="00EF028C" w14:paraId="04BC8618" w14:textId="77777777">
        <w:trPr>
          <w:cantSplit/>
        </w:trPr>
        <w:tc>
          <w:tcPr>
            <w:tcW w:w="2249" w:type="dxa"/>
          </w:tcPr>
          <w:p w:rsidRPr="006F34CD" w:rsidR="00515FE0" w:rsidP="006F34CD" w:rsidRDefault="00515FE0" w14:paraId="6FAB0CC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Alekseyevich TYUKPIYEKOV</w:t>
            </w:r>
          </w:p>
        </w:tc>
        <w:tc>
          <w:tcPr>
            <w:tcW w:w="836" w:type="dxa"/>
          </w:tcPr>
          <w:p w:rsidRPr="006F34CD" w:rsidR="00515FE0" w:rsidP="006F34CD" w:rsidRDefault="00515FE0" w14:paraId="1015AF5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1986</w:t>
            </w:r>
          </w:p>
        </w:tc>
        <w:tc>
          <w:tcPr>
            <w:tcW w:w="1305" w:type="dxa"/>
          </w:tcPr>
          <w:p w:rsidRPr="006F34CD" w:rsidR="00515FE0" w:rsidP="006F34CD" w:rsidRDefault="00515FE0" w14:paraId="2AF48B6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Malye Arbaty</w:t>
            </w:r>
          </w:p>
        </w:tc>
        <w:tc>
          <w:tcPr>
            <w:tcW w:w="1134" w:type="dxa"/>
          </w:tcPr>
          <w:p w:rsidRPr="006F34CD" w:rsidR="00515FE0" w:rsidP="006F34CD" w:rsidRDefault="00515FE0" w14:paraId="0295A0E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4987C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EA549B" w14:textId="77777777">
            <w:pPr>
              <w:spacing w:before="120" w:after="120"/>
              <w:jc w:val="center"/>
              <w:rPr>
                <w:rFonts w:ascii="Times New Roman" w:hAnsi="Times New Roman" w:cs="Times New Roman"/>
                <w:sz w:val="18"/>
                <w:szCs w:val="18"/>
              </w:rPr>
            </w:pPr>
          </w:p>
        </w:tc>
      </w:tr>
      <w:tr w:rsidRPr="006F34CD" w:rsidR="00515FE0" w:rsidTr="00EF028C" w14:paraId="6F9A980D" w14:textId="77777777">
        <w:trPr>
          <w:cantSplit/>
        </w:trPr>
        <w:tc>
          <w:tcPr>
            <w:tcW w:w="2249" w:type="dxa"/>
          </w:tcPr>
          <w:p w:rsidRPr="006F34CD" w:rsidR="00515FE0" w:rsidP="006F34CD" w:rsidRDefault="00515FE0" w14:paraId="4F70FA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Aleksandrovich ULYANOV</w:t>
            </w:r>
          </w:p>
        </w:tc>
        <w:tc>
          <w:tcPr>
            <w:tcW w:w="836" w:type="dxa"/>
          </w:tcPr>
          <w:p w:rsidRPr="006F34CD" w:rsidR="00515FE0" w:rsidP="006F34CD" w:rsidRDefault="00515FE0" w14:paraId="3C4C610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593463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Yelizovo</w:t>
            </w:r>
          </w:p>
        </w:tc>
        <w:tc>
          <w:tcPr>
            <w:tcW w:w="1134" w:type="dxa"/>
          </w:tcPr>
          <w:p w:rsidRPr="006F34CD" w:rsidR="00515FE0" w:rsidP="006F34CD" w:rsidRDefault="00515FE0" w14:paraId="49D90FC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73FBBB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11DEBB" w14:textId="77777777">
            <w:pPr>
              <w:spacing w:before="120" w:after="120"/>
              <w:jc w:val="center"/>
              <w:rPr>
                <w:rFonts w:ascii="Times New Roman" w:hAnsi="Times New Roman" w:cs="Times New Roman"/>
                <w:sz w:val="18"/>
                <w:szCs w:val="18"/>
              </w:rPr>
            </w:pPr>
          </w:p>
        </w:tc>
      </w:tr>
      <w:tr w:rsidRPr="006F34CD" w:rsidR="00515FE0" w:rsidTr="00EF028C" w14:paraId="53E90196" w14:textId="77777777">
        <w:trPr>
          <w:cantSplit/>
        </w:trPr>
        <w:tc>
          <w:tcPr>
            <w:tcW w:w="2249" w:type="dxa"/>
          </w:tcPr>
          <w:p w:rsidRPr="006F34CD" w:rsidR="00515FE0" w:rsidP="006F34CD" w:rsidRDefault="00515FE0" w14:paraId="18C82F0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Ildar Ismagilovich URAZBAKHTIN</w:t>
            </w:r>
          </w:p>
        </w:tc>
        <w:tc>
          <w:tcPr>
            <w:tcW w:w="836" w:type="dxa"/>
          </w:tcPr>
          <w:p w:rsidRPr="006F34CD" w:rsidR="00515FE0" w:rsidP="006F34CD" w:rsidRDefault="00515FE0" w14:paraId="52C1B0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6BA8B9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Kodinsk</w:t>
            </w:r>
          </w:p>
        </w:tc>
        <w:tc>
          <w:tcPr>
            <w:tcW w:w="1134" w:type="dxa"/>
          </w:tcPr>
          <w:p w:rsidRPr="006F34CD" w:rsidR="00515FE0" w:rsidP="006F34CD" w:rsidRDefault="00515FE0" w14:paraId="42E849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44B9AF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84ACE1" w14:textId="77777777">
            <w:pPr>
              <w:spacing w:before="120" w:after="120"/>
              <w:jc w:val="center"/>
              <w:rPr>
                <w:rFonts w:ascii="Times New Roman" w:hAnsi="Times New Roman" w:cs="Times New Roman"/>
                <w:sz w:val="18"/>
                <w:szCs w:val="18"/>
              </w:rPr>
            </w:pPr>
          </w:p>
        </w:tc>
      </w:tr>
      <w:tr w:rsidRPr="006F34CD" w:rsidR="00515FE0" w:rsidTr="00EF028C" w14:paraId="3B72E2DA" w14:textId="77777777">
        <w:trPr>
          <w:cantSplit/>
        </w:trPr>
        <w:tc>
          <w:tcPr>
            <w:tcW w:w="2249" w:type="dxa"/>
          </w:tcPr>
          <w:p w:rsidRPr="006F34CD" w:rsidR="00515FE0" w:rsidP="006F34CD" w:rsidRDefault="00515FE0" w14:paraId="2CEECD2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Vasilyevich USHITSKIY</w:t>
            </w:r>
          </w:p>
        </w:tc>
        <w:tc>
          <w:tcPr>
            <w:tcW w:w="836" w:type="dxa"/>
          </w:tcPr>
          <w:p w:rsidRPr="006F34CD" w:rsidR="00515FE0" w:rsidP="006F34CD" w:rsidRDefault="00515FE0" w14:paraId="60404B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1950</w:t>
            </w:r>
          </w:p>
        </w:tc>
        <w:tc>
          <w:tcPr>
            <w:tcW w:w="1305" w:type="dxa"/>
          </w:tcPr>
          <w:p w:rsidRPr="006F34CD" w:rsidR="00515FE0" w:rsidP="006F34CD" w:rsidRDefault="00515FE0" w14:paraId="1D9FFF0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Nartkala</w:t>
            </w:r>
          </w:p>
        </w:tc>
        <w:tc>
          <w:tcPr>
            <w:tcW w:w="1134" w:type="dxa"/>
          </w:tcPr>
          <w:p w:rsidRPr="006F34CD" w:rsidR="00515FE0" w:rsidP="006F34CD" w:rsidRDefault="00515FE0" w14:paraId="1E08557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0C465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98982FC" w14:textId="77777777">
            <w:pPr>
              <w:spacing w:before="120" w:after="120"/>
              <w:jc w:val="center"/>
              <w:rPr>
                <w:rFonts w:ascii="Times New Roman" w:hAnsi="Times New Roman" w:cs="Times New Roman"/>
                <w:sz w:val="18"/>
                <w:szCs w:val="18"/>
              </w:rPr>
            </w:pPr>
          </w:p>
        </w:tc>
      </w:tr>
      <w:tr w:rsidRPr="006F34CD" w:rsidR="00515FE0" w:rsidTr="00EF028C" w14:paraId="13B1BEC4" w14:textId="77777777">
        <w:trPr>
          <w:cantSplit/>
        </w:trPr>
        <w:tc>
          <w:tcPr>
            <w:tcW w:w="2249" w:type="dxa"/>
          </w:tcPr>
          <w:p w:rsidRPr="006F34CD" w:rsidR="00515FE0" w:rsidP="006F34CD" w:rsidRDefault="00515FE0" w14:paraId="41758E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Leonid Aleksandrovich USOLTSEV</w:t>
            </w:r>
          </w:p>
        </w:tc>
        <w:tc>
          <w:tcPr>
            <w:tcW w:w="836" w:type="dxa"/>
          </w:tcPr>
          <w:p w:rsidRPr="006F34CD" w:rsidR="00515FE0" w:rsidP="006F34CD" w:rsidRDefault="00515FE0" w14:paraId="55F609E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5AE5B78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Neftekamsk</w:t>
            </w:r>
          </w:p>
        </w:tc>
        <w:tc>
          <w:tcPr>
            <w:tcW w:w="1134" w:type="dxa"/>
          </w:tcPr>
          <w:p w:rsidRPr="006F34CD" w:rsidR="00515FE0" w:rsidP="006F34CD" w:rsidRDefault="00515FE0" w14:paraId="39BFB2F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420C5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2E0588C" w14:textId="77777777">
            <w:pPr>
              <w:spacing w:before="120" w:after="120"/>
              <w:jc w:val="center"/>
              <w:rPr>
                <w:rFonts w:ascii="Times New Roman" w:hAnsi="Times New Roman" w:cs="Times New Roman"/>
                <w:sz w:val="18"/>
                <w:szCs w:val="18"/>
              </w:rPr>
            </w:pPr>
          </w:p>
        </w:tc>
      </w:tr>
      <w:tr w:rsidRPr="006F34CD" w:rsidR="00515FE0" w:rsidTr="00EF028C" w14:paraId="50CD9164" w14:textId="77777777">
        <w:trPr>
          <w:cantSplit/>
        </w:trPr>
        <w:tc>
          <w:tcPr>
            <w:tcW w:w="2249" w:type="dxa"/>
          </w:tcPr>
          <w:p w:rsidRPr="006F34CD" w:rsidR="00515FE0" w:rsidP="006F34CD" w:rsidRDefault="00515FE0" w14:paraId="24F018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Yakovlevich UZBEKOV</w:t>
            </w:r>
          </w:p>
        </w:tc>
        <w:tc>
          <w:tcPr>
            <w:tcW w:w="836" w:type="dxa"/>
          </w:tcPr>
          <w:p w:rsidRPr="006F34CD" w:rsidR="00515FE0" w:rsidP="006F34CD" w:rsidRDefault="00515FE0" w14:paraId="29F27CC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56A8CD6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Ukhta</w:t>
            </w:r>
          </w:p>
        </w:tc>
        <w:tc>
          <w:tcPr>
            <w:tcW w:w="1134" w:type="dxa"/>
          </w:tcPr>
          <w:p w:rsidRPr="006F34CD" w:rsidR="00515FE0" w:rsidP="006F34CD" w:rsidRDefault="00515FE0" w14:paraId="24DBF73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5A74E2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6CD900" w14:textId="77777777">
            <w:pPr>
              <w:spacing w:before="120" w:after="120"/>
              <w:jc w:val="center"/>
              <w:rPr>
                <w:rFonts w:ascii="Times New Roman" w:hAnsi="Times New Roman" w:cs="Times New Roman"/>
                <w:sz w:val="18"/>
                <w:szCs w:val="18"/>
              </w:rPr>
            </w:pPr>
          </w:p>
        </w:tc>
      </w:tr>
      <w:tr w:rsidRPr="006F34CD" w:rsidR="00515FE0" w:rsidTr="00EF028C" w14:paraId="167FB778" w14:textId="77777777">
        <w:trPr>
          <w:cantSplit/>
        </w:trPr>
        <w:tc>
          <w:tcPr>
            <w:tcW w:w="2249" w:type="dxa"/>
          </w:tcPr>
          <w:p w:rsidRPr="006F34CD" w:rsidR="00515FE0" w:rsidP="006F34CD" w:rsidRDefault="00515FE0" w14:paraId="794F929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Rustam Ismailovich UZDENOV</w:t>
            </w:r>
          </w:p>
        </w:tc>
        <w:tc>
          <w:tcPr>
            <w:tcW w:w="836" w:type="dxa"/>
          </w:tcPr>
          <w:p w:rsidRPr="006F34CD" w:rsidR="00515FE0" w:rsidP="006F34CD" w:rsidRDefault="00515FE0" w14:paraId="7CB7FFA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39D77E1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Nalchik</w:t>
            </w:r>
          </w:p>
        </w:tc>
        <w:tc>
          <w:tcPr>
            <w:tcW w:w="1134" w:type="dxa"/>
          </w:tcPr>
          <w:p w:rsidRPr="006F34CD" w:rsidR="00515FE0" w:rsidP="006F34CD" w:rsidRDefault="00515FE0" w14:paraId="1B0DED4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054DFB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316386E" w14:textId="77777777">
            <w:pPr>
              <w:spacing w:before="120" w:after="120"/>
              <w:jc w:val="center"/>
              <w:rPr>
                <w:rFonts w:ascii="Times New Roman" w:hAnsi="Times New Roman" w:cs="Times New Roman"/>
                <w:sz w:val="18"/>
                <w:szCs w:val="18"/>
              </w:rPr>
            </w:pPr>
          </w:p>
        </w:tc>
      </w:tr>
      <w:tr w:rsidRPr="006F34CD" w:rsidR="00515FE0" w:rsidTr="00EF028C" w14:paraId="7701F2F5" w14:textId="77777777">
        <w:trPr>
          <w:cantSplit/>
        </w:trPr>
        <w:tc>
          <w:tcPr>
            <w:tcW w:w="2249" w:type="dxa"/>
          </w:tcPr>
          <w:p w:rsidRPr="006F34CD" w:rsidR="00515FE0" w:rsidP="006F34CD" w:rsidRDefault="00515FE0" w14:paraId="3CAE40D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Anas Runarovich VALIAKHMETOV</w:t>
            </w:r>
          </w:p>
        </w:tc>
        <w:tc>
          <w:tcPr>
            <w:tcW w:w="836" w:type="dxa"/>
          </w:tcPr>
          <w:p w:rsidRPr="006F34CD" w:rsidR="00515FE0" w:rsidP="006F34CD" w:rsidRDefault="00515FE0" w14:paraId="03FA9E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40AE9DC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g.Lysva</w:t>
            </w:r>
          </w:p>
        </w:tc>
        <w:tc>
          <w:tcPr>
            <w:tcW w:w="1134" w:type="dxa"/>
          </w:tcPr>
          <w:p w:rsidRPr="006F34CD" w:rsidR="00515FE0" w:rsidP="006F34CD" w:rsidRDefault="00515FE0" w14:paraId="05E75B9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7B1A59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529933B" w14:textId="77777777">
            <w:pPr>
              <w:spacing w:before="120" w:after="120"/>
              <w:jc w:val="center"/>
              <w:rPr>
                <w:rFonts w:ascii="Times New Roman" w:hAnsi="Times New Roman" w:cs="Times New Roman"/>
                <w:sz w:val="18"/>
                <w:szCs w:val="18"/>
              </w:rPr>
            </w:pPr>
          </w:p>
        </w:tc>
      </w:tr>
      <w:tr w:rsidRPr="006F34CD" w:rsidR="00515FE0" w:rsidTr="00EF028C" w14:paraId="171B6173" w14:textId="77777777">
        <w:trPr>
          <w:cantSplit/>
        </w:trPr>
        <w:tc>
          <w:tcPr>
            <w:tcW w:w="2249" w:type="dxa"/>
          </w:tcPr>
          <w:p w:rsidRPr="006F34CD" w:rsidR="00515FE0" w:rsidP="006F34CD" w:rsidRDefault="00515FE0" w14:paraId="20D287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Yemelyanovich VERKHOTUROV</w:t>
            </w:r>
          </w:p>
        </w:tc>
        <w:tc>
          <w:tcPr>
            <w:tcW w:w="836" w:type="dxa"/>
          </w:tcPr>
          <w:p w:rsidRPr="006F34CD" w:rsidR="00515FE0" w:rsidP="006F34CD" w:rsidRDefault="00515FE0" w14:paraId="47A54C4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1961</w:t>
            </w:r>
          </w:p>
        </w:tc>
        <w:tc>
          <w:tcPr>
            <w:tcW w:w="1305" w:type="dxa"/>
          </w:tcPr>
          <w:p w:rsidRPr="006F34CD" w:rsidR="00515FE0" w:rsidP="006F34CD" w:rsidRDefault="00515FE0" w14:paraId="2B6C5FF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Oktyabrskiy</w:t>
            </w:r>
          </w:p>
        </w:tc>
        <w:tc>
          <w:tcPr>
            <w:tcW w:w="1134" w:type="dxa"/>
          </w:tcPr>
          <w:p w:rsidRPr="006F34CD" w:rsidR="00515FE0" w:rsidP="006F34CD" w:rsidRDefault="00515FE0" w14:paraId="77AB541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2C5AE6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C07A29" w14:textId="77777777">
            <w:pPr>
              <w:spacing w:before="120" w:after="120"/>
              <w:jc w:val="center"/>
              <w:rPr>
                <w:rFonts w:ascii="Times New Roman" w:hAnsi="Times New Roman" w:cs="Times New Roman"/>
                <w:sz w:val="18"/>
                <w:szCs w:val="18"/>
              </w:rPr>
            </w:pPr>
          </w:p>
        </w:tc>
      </w:tr>
      <w:tr w:rsidRPr="006F34CD" w:rsidR="00515FE0" w:rsidTr="00EF028C" w14:paraId="1EB6A241" w14:textId="77777777">
        <w:trPr>
          <w:cantSplit/>
        </w:trPr>
        <w:tc>
          <w:tcPr>
            <w:tcW w:w="2249" w:type="dxa"/>
          </w:tcPr>
          <w:p w:rsidRPr="006F34CD" w:rsidR="00515FE0" w:rsidP="006F34CD" w:rsidRDefault="00515FE0" w14:paraId="1076283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Aleksandrovich VIZNYAK</w:t>
            </w:r>
          </w:p>
        </w:tc>
        <w:tc>
          <w:tcPr>
            <w:tcW w:w="836" w:type="dxa"/>
          </w:tcPr>
          <w:p w:rsidRPr="006F34CD" w:rsidR="00515FE0" w:rsidP="006F34CD" w:rsidRDefault="00515FE0" w14:paraId="1FF152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1948</w:t>
            </w:r>
          </w:p>
        </w:tc>
        <w:tc>
          <w:tcPr>
            <w:tcW w:w="1305" w:type="dxa"/>
          </w:tcPr>
          <w:p w:rsidRPr="006F34CD" w:rsidR="00515FE0" w:rsidP="006F34CD" w:rsidRDefault="00515FE0" w14:paraId="07EDF2D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Prokhladniy</w:t>
            </w:r>
          </w:p>
        </w:tc>
        <w:tc>
          <w:tcPr>
            <w:tcW w:w="1134" w:type="dxa"/>
          </w:tcPr>
          <w:p w:rsidRPr="006F34CD" w:rsidR="00515FE0" w:rsidP="006F34CD" w:rsidRDefault="00515FE0" w14:paraId="4E88F5E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74F28D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2DE8C3C" w14:textId="77777777">
            <w:pPr>
              <w:spacing w:before="120" w:after="120"/>
              <w:jc w:val="center"/>
              <w:rPr>
                <w:rFonts w:ascii="Times New Roman" w:hAnsi="Times New Roman" w:cs="Times New Roman"/>
                <w:sz w:val="18"/>
                <w:szCs w:val="18"/>
              </w:rPr>
            </w:pPr>
          </w:p>
        </w:tc>
      </w:tr>
      <w:tr w:rsidRPr="006F34CD" w:rsidR="00515FE0" w:rsidTr="00EF028C" w14:paraId="26A7809E" w14:textId="77777777">
        <w:trPr>
          <w:cantSplit/>
        </w:trPr>
        <w:tc>
          <w:tcPr>
            <w:tcW w:w="2249" w:type="dxa"/>
          </w:tcPr>
          <w:p w:rsidRPr="006F34CD" w:rsidR="00515FE0" w:rsidP="006F34CD" w:rsidRDefault="00515FE0" w14:paraId="5F7B63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Dominka Dionisovna VIZNYAK</w:t>
            </w:r>
          </w:p>
        </w:tc>
        <w:tc>
          <w:tcPr>
            <w:tcW w:w="836" w:type="dxa"/>
          </w:tcPr>
          <w:p w:rsidRPr="006F34CD" w:rsidR="00515FE0" w:rsidP="006F34CD" w:rsidRDefault="00515FE0" w14:paraId="1BB3F83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624666B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Prokhladniy</w:t>
            </w:r>
          </w:p>
        </w:tc>
        <w:tc>
          <w:tcPr>
            <w:tcW w:w="1134" w:type="dxa"/>
          </w:tcPr>
          <w:p w:rsidRPr="006F34CD" w:rsidR="00515FE0" w:rsidP="006F34CD" w:rsidRDefault="00515FE0" w14:paraId="41E05E2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789549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7FDF54" w14:textId="77777777">
            <w:pPr>
              <w:spacing w:before="120" w:after="120"/>
              <w:jc w:val="center"/>
              <w:rPr>
                <w:rFonts w:ascii="Times New Roman" w:hAnsi="Times New Roman" w:cs="Times New Roman"/>
                <w:sz w:val="18"/>
                <w:szCs w:val="18"/>
              </w:rPr>
            </w:pPr>
          </w:p>
        </w:tc>
      </w:tr>
      <w:tr w:rsidRPr="006F34CD" w:rsidR="00515FE0" w:rsidTr="00EF028C" w14:paraId="4D207682" w14:textId="77777777">
        <w:trPr>
          <w:cantSplit/>
        </w:trPr>
        <w:tc>
          <w:tcPr>
            <w:tcW w:w="2249" w:type="dxa"/>
          </w:tcPr>
          <w:p w:rsidRPr="006F34CD" w:rsidR="00515FE0" w:rsidP="006F34CD" w:rsidRDefault="00515FE0" w14:paraId="02FE04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Andreyevich VORONTSOV</w:t>
            </w:r>
          </w:p>
        </w:tc>
        <w:tc>
          <w:tcPr>
            <w:tcW w:w="836" w:type="dxa"/>
          </w:tcPr>
          <w:p w:rsidRPr="006F34CD" w:rsidR="00515FE0" w:rsidP="006F34CD" w:rsidRDefault="00515FE0" w14:paraId="660C84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0956084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Uchaly</w:t>
            </w:r>
          </w:p>
        </w:tc>
        <w:tc>
          <w:tcPr>
            <w:tcW w:w="1134" w:type="dxa"/>
          </w:tcPr>
          <w:p w:rsidRPr="006F34CD" w:rsidR="00515FE0" w:rsidP="006F34CD" w:rsidRDefault="00515FE0" w14:paraId="4488184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4194E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9F813E8" w14:textId="77777777">
            <w:pPr>
              <w:spacing w:before="120" w:after="120"/>
              <w:jc w:val="center"/>
              <w:rPr>
                <w:rFonts w:ascii="Times New Roman" w:hAnsi="Times New Roman" w:cs="Times New Roman"/>
                <w:sz w:val="18"/>
                <w:szCs w:val="18"/>
              </w:rPr>
            </w:pPr>
          </w:p>
        </w:tc>
      </w:tr>
      <w:tr w:rsidRPr="006F34CD" w:rsidR="00515FE0" w:rsidTr="00EF028C" w14:paraId="1D80A0AF" w14:textId="77777777">
        <w:trPr>
          <w:cantSplit/>
        </w:trPr>
        <w:tc>
          <w:tcPr>
            <w:tcW w:w="2249" w:type="dxa"/>
          </w:tcPr>
          <w:p w:rsidRPr="006F34CD" w:rsidR="00515FE0" w:rsidP="006F34CD" w:rsidRDefault="00515FE0" w14:paraId="716F41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Vladimir Anatolyevich VOVCHENKO</w:t>
            </w:r>
          </w:p>
        </w:tc>
        <w:tc>
          <w:tcPr>
            <w:tcW w:w="836" w:type="dxa"/>
          </w:tcPr>
          <w:p w:rsidRPr="006F34CD" w:rsidR="00515FE0" w:rsidP="006F34CD" w:rsidRDefault="00515FE0" w14:paraId="54234C8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1985</w:t>
            </w:r>
          </w:p>
        </w:tc>
        <w:tc>
          <w:tcPr>
            <w:tcW w:w="1305" w:type="dxa"/>
          </w:tcPr>
          <w:p w:rsidRPr="006F34CD" w:rsidR="00515FE0" w:rsidP="006F34CD" w:rsidRDefault="00515FE0" w14:paraId="693BF5D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Dinskaya</w:t>
            </w:r>
          </w:p>
        </w:tc>
        <w:tc>
          <w:tcPr>
            <w:tcW w:w="1134" w:type="dxa"/>
          </w:tcPr>
          <w:p w:rsidRPr="006F34CD" w:rsidR="00515FE0" w:rsidP="006F34CD" w:rsidRDefault="00515FE0" w14:paraId="3C5228C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F3D3B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0E7A8F" w14:textId="77777777">
            <w:pPr>
              <w:spacing w:before="120" w:after="120"/>
              <w:jc w:val="center"/>
              <w:rPr>
                <w:rFonts w:ascii="Times New Roman" w:hAnsi="Times New Roman" w:cs="Times New Roman"/>
                <w:sz w:val="18"/>
                <w:szCs w:val="18"/>
              </w:rPr>
            </w:pPr>
          </w:p>
        </w:tc>
      </w:tr>
      <w:tr w:rsidRPr="006F34CD" w:rsidR="00515FE0" w:rsidTr="00EF028C" w14:paraId="2D9445FA" w14:textId="77777777">
        <w:trPr>
          <w:cantSplit/>
        </w:trPr>
        <w:tc>
          <w:tcPr>
            <w:tcW w:w="2249" w:type="dxa"/>
          </w:tcPr>
          <w:p w:rsidRPr="006F34CD" w:rsidR="00515FE0" w:rsidP="006F34CD" w:rsidRDefault="00515FE0" w14:paraId="6AA120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Anna Stepanovna VOVCHUK</w:t>
            </w:r>
          </w:p>
        </w:tc>
        <w:tc>
          <w:tcPr>
            <w:tcW w:w="836" w:type="dxa"/>
          </w:tcPr>
          <w:p w:rsidRPr="006F34CD" w:rsidR="00515FE0" w:rsidP="006F34CD" w:rsidRDefault="00515FE0" w14:paraId="425B7C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1940</w:t>
            </w:r>
          </w:p>
        </w:tc>
        <w:tc>
          <w:tcPr>
            <w:tcW w:w="1305" w:type="dxa"/>
          </w:tcPr>
          <w:p w:rsidRPr="006F34CD" w:rsidR="00515FE0" w:rsidP="006F34CD" w:rsidRDefault="00515FE0" w14:paraId="4AC0DF3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Usolye-Sibirskoye</w:t>
            </w:r>
          </w:p>
        </w:tc>
        <w:tc>
          <w:tcPr>
            <w:tcW w:w="1134" w:type="dxa"/>
          </w:tcPr>
          <w:p w:rsidRPr="006F34CD" w:rsidR="00515FE0" w:rsidP="006F34CD" w:rsidRDefault="00515FE0" w14:paraId="643F888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66B86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3BD3B2F" w14:textId="77777777">
            <w:pPr>
              <w:spacing w:before="120" w:after="120"/>
              <w:jc w:val="center"/>
              <w:rPr>
                <w:rFonts w:ascii="Times New Roman" w:hAnsi="Times New Roman" w:cs="Times New Roman"/>
                <w:sz w:val="18"/>
                <w:szCs w:val="18"/>
              </w:rPr>
            </w:pPr>
          </w:p>
        </w:tc>
      </w:tr>
      <w:tr w:rsidRPr="006F34CD" w:rsidR="00515FE0" w:rsidTr="00EF028C" w14:paraId="429CA1E7" w14:textId="77777777">
        <w:trPr>
          <w:cantSplit/>
        </w:trPr>
        <w:tc>
          <w:tcPr>
            <w:tcW w:w="2249" w:type="dxa"/>
          </w:tcPr>
          <w:p w:rsidRPr="006F34CD" w:rsidR="00515FE0" w:rsidP="006F34CD" w:rsidRDefault="00515FE0" w14:paraId="2C4D61B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Karpovich VOYSHCHEV</w:t>
            </w:r>
          </w:p>
        </w:tc>
        <w:tc>
          <w:tcPr>
            <w:tcW w:w="836" w:type="dxa"/>
          </w:tcPr>
          <w:p w:rsidRPr="006F34CD" w:rsidR="00515FE0" w:rsidP="006F34CD" w:rsidRDefault="00515FE0" w14:paraId="2FAB41F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580D697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Chernogorsk</w:t>
            </w:r>
          </w:p>
        </w:tc>
        <w:tc>
          <w:tcPr>
            <w:tcW w:w="1134" w:type="dxa"/>
          </w:tcPr>
          <w:p w:rsidRPr="006F34CD" w:rsidR="00515FE0" w:rsidP="006F34CD" w:rsidRDefault="00515FE0" w14:paraId="15937C1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0CE00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6FBBD5E" w14:textId="77777777">
            <w:pPr>
              <w:spacing w:before="120" w:after="120"/>
              <w:jc w:val="center"/>
              <w:rPr>
                <w:rFonts w:ascii="Times New Roman" w:hAnsi="Times New Roman" w:cs="Times New Roman"/>
                <w:sz w:val="18"/>
                <w:szCs w:val="18"/>
              </w:rPr>
            </w:pPr>
          </w:p>
        </w:tc>
      </w:tr>
      <w:tr w:rsidRPr="006F34CD" w:rsidR="00515FE0" w:rsidTr="00EF028C" w14:paraId="6857E2A9" w14:textId="77777777">
        <w:trPr>
          <w:cantSplit/>
        </w:trPr>
        <w:tc>
          <w:tcPr>
            <w:tcW w:w="2249" w:type="dxa"/>
          </w:tcPr>
          <w:p w:rsidRPr="006F34CD" w:rsidR="00515FE0" w:rsidP="006F34CD" w:rsidRDefault="00515FE0" w14:paraId="0DFC04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Maria Antonovna VOZNYUK</w:t>
            </w:r>
          </w:p>
        </w:tc>
        <w:tc>
          <w:tcPr>
            <w:tcW w:w="836" w:type="dxa"/>
          </w:tcPr>
          <w:p w:rsidRPr="006F34CD" w:rsidR="00515FE0" w:rsidP="006F34CD" w:rsidRDefault="00515FE0" w14:paraId="1839AD8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1937</w:t>
            </w:r>
          </w:p>
        </w:tc>
        <w:tc>
          <w:tcPr>
            <w:tcW w:w="1305" w:type="dxa"/>
          </w:tcPr>
          <w:p w:rsidRPr="006F34CD" w:rsidR="00515FE0" w:rsidP="006F34CD" w:rsidRDefault="00515FE0" w14:paraId="77C228A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Angarsk</w:t>
            </w:r>
          </w:p>
        </w:tc>
        <w:tc>
          <w:tcPr>
            <w:tcW w:w="1134" w:type="dxa"/>
          </w:tcPr>
          <w:p w:rsidRPr="006F34CD" w:rsidR="00515FE0" w:rsidP="006F34CD" w:rsidRDefault="00515FE0" w14:paraId="6E9F1D2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92E7D3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879B26" w14:textId="77777777">
            <w:pPr>
              <w:spacing w:before="120" w:after="120"/>
              <w:jc w:val="center"/>
              <w:rPr>
                <w:rFonts w:ascii="Times New Roman" w:hAnsi="Times New Roman" w:cs="Times New Roman"/>
                <w:sz w:val="18"/>
                <w:szCs w:val="18"/>
              </w:rPr>
            </w:pPr>
          </w:p>
        </w:tc>
      </w:tr>
      <w:tr w:rsidRPr="006F34CD" w:rsidR="00515FE0" w:rsidTr="00EF028C" w14:paraId="24AB4EB7" w14:textId="77777777">
        <w:trPr>
          <w:cantSplit/>
        </w:trPr>
        <w:tc>
          <w:tcPr>
            <w:tcW w:w="2249" w:type="dxa"/>
          </w:tcPr>
          <w:p w:rsidRPr="006F34CD" w:rsidR="00515FE0" w:rsidP="006F34CD" w:rsidRDefault="00515FE0" w14:paraId="0E9F4FC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Vasilyevich YASHIN</w:t>
            </w:r>
          </w:p>
        </w:tc>
        <w:tc>
          <w:tcPr>
            <w:tcW w:w="836" w:type="dxa"/>
          </w:tcPr>
          <w:p w:rsidRPr="006F34CD" w:rsidR="00515FE0" w:rsidP="006F34CD" w:rsidRDefault="00515FE0" w14:paraId="10C44BB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1967</w:t>
            </w:r>
          </w:p>
        </w:tc>
        <w:tc>
          <w:tcPr>
            <w:tcW w:w="1305" w:type="dxa"/>
          </w:tcPr>
          <w:p w:rsidRPr="006F34CD" w:rsidR="00515FE0" w:rsidP="006F34CD" w:rsidRDefault="00515FE0" w14:paraId="5599EE8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Komsomolsk-on-Amur</w:t>
            </w:r>
          </w:p>
        </w:tc>
        <w:tc>
          <w:tcPr>
            <w:tcW w:w="1134" w:type="dxa"/>
          </w:tcPr>
          <w:p w:rsidRPr="006F34CD" w:rsidR="00515FE0" w:rsidP="006F34CD" w:rsidRDefault="00515FE0" w14:paraId="0D6036E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F2682C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372C2E3" w14:textId="77777777">
            <w:pPr>
              <w:spacing w:before="120" w:after="120"/>
              <w:jc w:val="center"/>
              <w:rPr>
                <w:rFonts w:ascii="Times New Roman" w:hAnsi="Times New Roman" w:cs="Times New Roman"/>
                <w:sz w:val="18"/>
                <w:szCs w:val="18"/>
              </w:rPr>
            </w:pPr>
          </w:p>
        </w:tc>
      </w:tr>
      <w:tr w:rsidRPr="006F34CD" w:rsidR="00515FE0" w:rsidTr="00EF028C" w14:paraId="596807A5" w14:textId="77777777">
        <w:trPr>
          <w:cantSplit/>
        </w:trPr>
        <w:tc>
          <w:tcPr>
            <w:tcW w:w="2249" w:type="dxa"/>
          </w:tcPr>
          <w:p w:rsidRPr="006F34CD" w:rsidR="00515FE0" w:rsidP="006F34CD" w:rsidRDefault="00515FE0" w14:paraId="5AF78A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Alla Ivanovna YASINSKAYA</w:t>
            </w:r>
          </w:p>
        </w:tc>
        <w:tc>
          <w:tcPr>
            <w:tcW w:w="836" w:type="dxa"/>
          </w:tcPr>
          <w:p w:rsidRPr="006F34CD" w:rsidR="00515FE0" w:rsidP="006F34CD" w:rsidRDefault="00515FE0" w14:paraId="658B861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34A4CB2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Usolye-Sibirskoye</w:t>
            </w:r>
          </w:p>
        </w:tc>
        <w:tc>
          <w:tcPr>
            <w:tcW w:w="1134" w:type="dxa"/>
          </w:tcPr>
          <w:p w:rsidRPr="006F34CD" w:rsidR="00515FE0" w:rsidP="006F34CD" w:rsidRDefault="00515FE0" w14:paraId="3113192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4B8893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673F417" w14:textId="77777777">
            <w:pPr>
              <w:spacing w:before="120" w:after="120"/>
              <w:jc w:val="center"/>
              <w:rPr>
                <w:rFonts w:ascii="Times New Roman" w:hAnsi="Times New Roman" w:cs="Times New Roman"/>
                <w:sz w:val="18"/>
                <w:szCs w:val="18"/>
              </w:rPr>
            </w:pPr>
          </w:p>
        </w:tc>
      </w:tr>
      <w:tr w:rsidRPr="006F34CD" w:rsidR="00515FE0" w:rsidTr="00EF028C" w14:paraId="23C0BC97" w14:textId="77777777">
        <w:trPr>
          <w:cantSplit/>
        </w:trPr>
        <w:tc>
          <w:tcPr>
            <w:tcW w:w="2249" w:type="dxa"/>
          </w:tcPr>
          <w:p w:rsidRPr="006F34CD" w:rsidR="00515FE0" w:rsidP="006F34CD" w:rsidRDefault="00515FE0" w14:paraId="06FA37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Anatoliy Nikolayevich YASINSKIY</w:t>
            </w:r>
          </w:p>
        </w:tc>
        <w:tc>
          <w:tcPr>
            <w:tcW w:w="836" w:type="dxa"/>
          </w:tcPr>
          <w:p w:rsidRPr="006F34CD" w:rsidR="00515FE0" w:rsidP="006F34CD" w:rsidRDefault="00515FE0" w14:paraId="482A85E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22600C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Usolye-Sibirskoye</w:t>
            </w:r>
          </w:p>
        </w:tc>
        <w:tc>
          <w:tcPr>
            <w:tcW w:w="1134" w:type="dxa"/>
          </w:tcPr>
          <w:p w:rsidRPr="006F34CD" w:rsidR="00515FE0" w:rsidP="006F34CD" w:rsidRDefault="00515FE0" w14:paraId="59BAD80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FFDD9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87B0D78" w14:textId="77777777">
            <w:pPr>
              <w:spacing w:before="120" w:after="120"/>
              <w:jc w:val="center"/>
              <w:rPr>
                <w:rFonts w:ascii="Times New Roman" w:hAnsi="Times New Roman" w:cs="Times New Roman"/>
                <w:sz w:val="18"/>
                <w:szCs w:val="18"/>
              </w:rPr>
            </w:pPr>
          </w:p>
        </w:tc>
      </w:tr>
      <w:tr w:rsidRPr="006F34CD" w:rsidR="00515FE0" w:rsidTr="00EF028C" w14:paraId="4BFCF64C" w14:textId="77777777">
        <w:trPr>
          <w:cantSplit/>
        </w:trPr>
        <w:tc>
          <w:tcPr>
            <w:tcW w:w="2249" w:type="dxa"/>
          </w:tcPr>
          <w:p w:rsidRPr="006F34CD" w:rsidR="00515FE0" w:rsidP="006F34CD" w:rsidRDefault="00515FE0" w14:paraId="340FBA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Vladimirovich YEFREMOV</w:t>
            </w:r>
          </w:p>
        </w:tc>
        <w:tc>
          <w:tcPr>
            <w:tcW w:w="836" w:type="dxa"/>
          </w:tcPr>
          <w:p w:rsidRPr="006F34CD" w:rsidR="00515FE0" w:rsidP="006F34CD" w:rsidRDefault="00515FE0" w14:paraId="5A6F018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6F9B228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Voskresensk</w:t>
            </w:r>
          </w:p>
        </w:tc>
        <w:tc>
          <w:tcPr>
            <w:tcW w:w="1134" w:type="dxa"/>
          </w:tcPr>
          <w:p w:rsidRPr="006F34CD" w:rsidR="00515FE0" w:rsidP="006F34CD" w:rsidRDefault="00515FE0" w14:paraId="2D89CBD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A5D2B8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5AC324" w14:textId="77777777">
            <w:pPr>
              <w:spacing w:before="120" w:after="120"/>
              <w:jc w:val="center"/>
              <w:rPr>
                <w:rFonts w:ascii="Times New Roman" w:hAnsi="Times New Roman" w:cs="Times New Roman"/>
                <w:sz w:val="18"/>
                <w:szCs w:val="18"/>
              </w:rPr>
            </w:pPr>
          </w:p>
        </w:tc>
      </w:tr>
      <w:tr w:rsidRPr="006F34CD" w:rsidR="00515FE0" w:rsidTr="00EF028C" w14:paraId="4A906D91" w14:textId="77777777">
        <w:trPr>
          <w:cantSplit/>
        </w:trPr>
        <w:tc>
          <w:tcPr>
            <w:tcW w:w="2249" w:type="dxa"/>
          </w:tcPr>
          <w:p w:rsidRPr="006F34CD" w:rsidR="00515FE0" w:rsidP="006F34CD" w:rsidRDefault="00515FE0" w14:paraId="4281A0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Vladimirovich YEGOROV</w:t>
            </w:r>
          </w:p>
        </w:tc>
        <w:tc>
          <w:tcPr>
            <w:tcW w:w="836" w:type="dxa"/>
          </w:tcPr>
          <w:p w:rsidRPr="006F34CD" w:rsidR="00515FE0" w:rsidP="006F34CD" w:rsidRDefault="00515FE0" w14:paraId="01FBB38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30230B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Ozery</w:t>
            </w:r>
          </w:p>
        </w:tc>
        <w:tc>
          <w:tcPr>
            <w:tcW w:w="1134" w:type="dxa"/>
          </w:tcPr>
          <w:p w:rsidRPr="006F34CD" w:rsidR="00515FE0" w:rsidP="006F34CD" w:rsidRDefault="00515FE0" w14:paraId="4B81BAD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E9A00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FADD34F" w14:textId="77777777">
            <w:pPr>
              <w:spacing w:before="120" w:after="120"/>
              <w:jc w:val="center"/>
              <w:rPr>
                <w:rFonts w:ascii="Times New Roman" w:hAnsi="Times New Roman" w:cs="Times New Roman"/>
                <w:sz w:val="18"/>
                <w:szCs w:val="18"/>
              </w:rPr>
            </w:pPr>
          </w:p>
        </w:tc>
      </w:tr>
      <w:tr w:rsidRPr="006F34CD" w:rsidR="00515FE0" w:rsidTr="00EF028C" w14:paraId="10E04947" w14:textId="77777777">
        <w:trPr>
          <w:cantSplit/>
        </w:trPr>
        <w:tc>
          <w:tcPr>
            <w:tcW w:w="2249" w:type="dxa"/>
          </w:tcPr>
          <w:p w:rsidRPr="006F34CD" w:rsidR="00515FE0" w:rsidP="006F34CD" w:rsidRDefault="00515FE0" w14:paraId="21C834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Nikolayevich YELFIMOV</w:t>
            </w:r>
          </w:p>
        </w:tc>
        <w:tc>
          <w:tcPr>
            <w:tcW w:w="836" w:type="dxa"/>
          </w:tcPr>
          <w:p w:rsidRPr="006F34CD" w:rsidR="00515FE0" w:rsidP="006F34CD" w:rsidRDefault="00515FE0" w14:paraId="18A0A5F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660B46C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Solnechnodolsk</w:t>
            </w:r>
          </w:p>
        </w:tc>
        <w:tc>
          <w:tcPr>
            <w:tcW w:w="1134" w:type="dxa"/>
          </w:tcPr>
          <w:p w:rsidRPr="006F34CD" w:rsidR="00515FE0" w:rsidP="006F34CD" w:rsidRDefault="00515FE0" w14:paraId="59A7F30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B2405A1"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F8A50A" w14:textId="77777777">
            <w:pPr>
              <w:spacing w:before="120" w:after="120"/>
              <w:jc w:val="center"/>
              <w:rPr>
                <w:rFonts w:ascii="Times New Roman" w:hAnsi="Times New Roman" w:cs="Times New Roman"/>
                <w:sz w:val="18"/>
                <w:szCs w:val="18"/>
              </w:rPr>
            </w:pPr>
          </w:p>
        </w:tc>
      </w:tr>
      <w:tr w:rsidRPr="006F34CD" w:rsidR="00515FE0" w:rsidTr="00EF028C" w14:paraId="5FD6D18F" w14:textId="77777777">
        <w:trPr>
          <w:cantSplit/>
        </w:trPr>
        <w:tc>
          <w:tcPr>
            <w:tcW w:w="2249" w:type="dxa"/>
          </w:tcPr>
          <w:p w:rsidRPr="006F34CD" w:rsidR="00515FE0" w:rsidP="006F34CD" w:rsidRDefault="00515FE0" w14:paraId="0767D7B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Oleg Alekseyevich YELIKOV</w:t>
            </w:r>
          </w:p>
        </w:tc>
        <w:tc>
          <w:tcPr>
            <w:tcW w:w="836" w:type="dxa"/>
          </w:tcPr>
          <w:p w:rsidRPr="006F34CD" w:rsidR="00515FE0" w:rsidP="006F34CD" w:rsidRDefault="00515FE0" w14:paraId="35CABCA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3DB334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Sosnovoborsk</w:t>
            </w:r>
          </w:p>
        </w:tc>
        <w:tc>
          <w:tcPr>
            <w:tcW w:w="1134" w:type="dxa"/>
          </w:tcPr>
          <w:p w:rsidRPr="006F34CD" w:rsidR="00515FE0" w:rsidP="006F34CD" w:rsidRDefault="00515FE0" w14:paraId="1EFA549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8B948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CD9B96" w14:textId="77777777">
            <w:pPr>
              <w:spacing w:before="120" w:after="120"/>
              <w:jc w:val="center"/>
              <w:rPr>
                <w:rFonts w:ascii="Times New Roman" w:hAnsi="Times New Roman" w:cs="Times New Roman"/>
                <w:sz w:val="18"/>
                <w:szCs w:val="18"/>
              </w:rPr>
            </w:pPr>
          </w:p>
        </w:tc>
      </w:tr>
      <w:tr w:rsidRPr="006F34CD" w:rsidR="00515FE0" w:rsidTr="00EF028C" w14:paraId="233A93EF" w14:textId="77777777">
        <w:trPr>
          <w:cantSplit/>
        </w:trPr>
        <w:tc>
          <w:tcPr>
            <w:tcW w:w="2249" w:type="dxa"/>
          </w:tcPr>
          <w:p w:rsidRPr="006F34CD" w:rsidR="00515FE0" w:rsidP="006F34CD" w:rsidRDefault="00515FE0" w14:paraId="4F3255C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Nikolayevich YELISEYEV</w:t>
            </w:r>
          </w:p>
        </w:tc>
        <w:tc>
          <w:tcPr>
            <w:tcW w:w="836" w:type="dxa"/>
          </w:tcPr>
          <w:p w:rsidRPr="006F34CD" w:rsidR="00515FE0" w:rsidP="006F34CD" w:rsidRDefault="00515FE0" w14:paraId="5910C22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1983</w:t>
            </w:r>
          </w:p>
        </w:tc>
        <w:tc>
          <w:tcPr>
            <w:tcW w:w="1305" w:type="dxa"/>
          </w:tcPr>
          <w:p w:rsidRPr="006F34CD" w:rsidR="00515FE0" w:rsidP="006F34CD" w:rsidRDefault="00515FE0" w14:paraId="72F521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Snezhnogorsk</w:t>
            </w:r>
          </w:p>
        </w:tc>
        <w:tc>
          <w:tcPr>
            <w:tcW w:w="1134" w:type="dxa"/>
          </w:tcPr>
          <w:p w:rsidRPr="006F34CD" w:rsidR="00515FE0" w:rsidP="006F34CD" w:rsidRDefault="00515FE0" w14:paraId="410DECC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E40D7F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8AA2AD9" w14:textId="77777777">
            <w:pPr>
              <w:spacing w:before="120" w:after="120"/>
              <w:jc w:val="center"/>
              <w:rPr>
                <w:rFonts w:ascii="Times New Roman" w:hAnsi="Times New Roman" w:cs="Times New Roman"/>
                <w:sz w:val="18"/>
                <w:szCs w:val="18"/>
              </w:rPr>
            </w:pPr>
          </w:p>
        </w:tc>
      </w:tr>
      <w:tr w:rsidRPr="006F34CD" w:rsidR="00515FE0" w:rsidTr="00EF028C" w14:paraId="5EEB9A96" w14:textId="77777777">
        <w:trPr>
          <w:cantSplit/>
        </w:trPr>
        <w:tc>
          <w:tcPr>
            <w:tcW w:w="2249" w:type="dxa"/>
          </w:tcPr>
          <w:p w:rsidRPr="006F34CD" w:rsidR="00515FE0" w:rsidP="006F34CD" w:rsidRDefault="00515FE0" w14:paraId="194A0E2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Artem Anatolyevich YEMELYANOV</w:t>
            </w:r>
          </w:p>
        </w:tc>
        <w:tc>
          <w:tcPr>
            <w:tcW w:w="836" w:type="dxa"/>
          </w:tcPr>
          <w:p w:rsidRPr="006F34CD" w:rsidR="00515FE0" w:rsidP="006F34CD" w:rsidRDefault="00515FE0" w14:paraId="490D5E8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1978</w:t>
            </w:r>
          </w:p>
        </w:tc>
        <w:tc>
          <w:tcPr>
            <w:tcW w:w="1305" w:type="dxa"/>
          </w:tcPr>
          <w:p w:rsidRPr="006F34CD" w:rsidR="00515FE0" w:rsidP="006F34CD" w:rsidRDefault="00515FE0" w14:paraId="20EF7C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Kazan</w:t>
            </w:r>
          </w:p>
        </w:tc>
        <w:tc>
          <w:tcPr>
            <w:tcW w:w="1134" w:type="dxa"/>
          </w:tcPr>
          <w:p w:rsidRPr="006F34CD" w:rsidR="00515FE0" w:rsidP="006F34CD" w:rsidRDefault="00515FE0" w14:paraId="1E87AA6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5A09625"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CACDECA" w14:textId="77777777">
            <w:pPr>
              <w:spacing w:before="120" w:after="120"/>
              <w:jc w:val="center"/>
              <w:rPr>
                <w:rFonts w:ascii="Times New Roman" w:hAnsi="Times New Roman" w:cs="Times New Roman"/>
                <w:sz w:val="18"/>
                <w:szCs w:val="18"/>
              </w:rPr>
            </w:pPr>
          </w:p>
        </w:tc>
      </w:tr>
      <w:tr w:rsidRPr="006F34CD" w:rsidR="00515FE0" w:rsidTr="00EF028C" w14:paraId="4CCC98D6" w14:textId="77777777">
        <w:trPr>
          <w:cantSplit/>
        </w:trPr>
        <w:tc>
          <w:tcPr>
            <w:tcW w:w="2249" w:type="dxa"/>
          </w:tcPr>
          <w:p w:rsidRPr="006F34CD" w:rsidR="00515FE0" w:rsidP="006F34CD" w:rsidRDefault="00515FE0" w14:paraId="0F9656F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Dmitriy Aleksandrovich YERMOLAEV</w:t>
            </w:r>
          </w:p>
        </w:tc>
        <w:tc>
          <w:tcPr>
            <w:tcW w:w="836" w:type="dxa"/>
          </w:tcPr>
          <w:p w:rsidRPr="006F34CD" w:rsidR="00515FE0" w:rsidP="006F34CD" w:rsidRDefault="00515FE0" w14:paraId="15931FD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1977</w:t>
            </w:r>
          </w:p>
        </w:tc>
        <w:tc>
          <w:tcPr>
            <w:tcW w:w="1305" w:type="dxa"/>
          </w:tcPr>
          <w:p w:rsidRPr="006F34CD" w:rsidR="00515FE0" w:rsidP="006F34CD" w:rsidRDefault="00515FE0" w14:paraId="48395A5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Nizhniy Novgorod</w:t>
            </w:r>
          </w:p>
        </w:tc>
        <w:tc>
          <w:tcPr>
            <w:tcW w:w="1134" w:type="dxa"/>
          </w:tcPr>
          <w:p w:rsidRPr="006F34CD" w:rsidR="00515FE0" w:rsidP="006F34CD" w:rsidRDefault="00515FE0" w14:paraId="5B4B904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CEAB10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29582ED" w14:textId="77777777">
            <w:pPr>
              <w:spacing w:before="120" w:after="120"/>
              <w:jc w:val="center"/>
              <w:rPr>
                <w:rFonts w:ascii="Times New Roman" w:hAnsi="Times New Roman" w:cs="Times New Roman"/>
                <w:sz w:val="18"/>
                <w:szCs w:val="18"/>
              </w:rPr>
            </w:pPr>
          </w:p>
        </w:tc>
      </w:tr>
      <w:tr w:rsidRPr="006F34CD" w:rsidR="00515FE0" w:rsidTr="00EF028C" w14:paraId="3657CF2C" w14:textId="77777777">
        <w:trPr>
          <w:cantSplit/>
        </w:trPr>
        <w:tc>
          <w:tcPr>
            <w:tcW w:w="2249" w:type="dxa"/>
          </w:tcPr>
          <w:p w:rsidRPr="006F34CD" w:rsidR="00515FE0" w:rsidP="006F34CD" w:rsidRDefault="00515FE0" w14:paraId="6010224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Aleksey Nikolayevich YERSHOV</w:t>
            </w:r>
          </w:p>
        </w:tc>
        <w:tc>
          <w:tcPr>
            <w:tcW w:w="836" w:type="dxa"/>
          </w:tcPr>
          <w:p w:rsidRPr="006F34CD" w:rsidR="00515FE0" w:rsidP="006F34CD" w:rsidRDefault="00515FE0" w14:paraId="6600FEF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1953</w:t>
            </w:r>
          </w:p>
        </w:tc>
        <w:tc>
          <w:tcPr>
            <w:tcW w:w="1305" w:type="dxa"/>
          </w:tcPr>
          <w:p w:rsidRPr="006F34CD" w:rsidR="00515FE0" w:rsidP="006F34CD" w:rsidRDefault="00515FE0" w14:paraId="4F4375B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Seversk</w:t>
            </w:r>
          </w:p>
        </w:tc>
        <w:tc>
          <w:tcPr>
            <w:tcW w:w="1134" w:type="dxa"/>
          </w:tcPr>
          <w:p w:rsidRPr="006F34CD" w:rsidR="00515FE0" w:rsidP="006F34CD" w:rsidRDefault="00515FE0" w14:paraId="6A08021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044011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E9E089" w14:textId="77777777">
            <w:pPr>
              <w:spacing w:before="120" w:after="120"/>
              <w:jc w:val="center"/>
              <w:rPr>
                <w:rFonts w:ascii="Times New Roman" w:hAnsi="Times New Roman" w:cs="Times New Roman"/>
                <w:sz w:val="18"/>
                <w:szCs w:val="18"/>
              </w:rPr>
            </w:pPr>
          </w:p>
        </w:tc>
      </w:tr>
      <w:tr w:rsidRPr="006F34CD" w:rsidR="00515FE0" w:rsidTr="00EF028C" w14:paraId="3FF77649" w14:textId="77777777">
        <w:trPr>
          <w:cantSplit/>
        </w:trPr>
        <w:tc>
          <w:tcPr>
            <w:tcW w:w="2249" w:type="dxa"/>
          </w:tcPr>
          <w:p w:rsidRPr="006F34CD" w:rsidR="00515FE0" w:rsidP="006F34CD" w:rsidRDefault="00515FE0" w14:paraId="61B397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Yevgenyevich YERSHOV</w:t>
            </w:r>
          </w:p>
        </w:tc>
        <w:tc>
          <w:tcPr>
            <w:tcW w:w="836" w:type="dxa"/>
          </w:tcPr>
          <w:p w:rsidRPr="006F34CD" w:rsidR="00515FE0" w:rsidP="006F34CD" w:rsidRDefault="00515FE0" w14:paraId="41D89A9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2DAE985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st. Yevsino</w:t>
            </w:r>
          </w:p>
        </w:tc>
        <w:tc>
          <w:tcPr>
            <w:tcW w:w="1134" w:type="dxa"/>
          </w:tcPr>
          <w:p w:rsidRPr="006F34CD" w:rsidR="00515FE0" w:rsidP="006F34CD" w:rsidRDefault="00515FE0" w14:paraId="1E1768D9"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1E107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36B8C70" w14:textId="77777777">
            <w:pPr>
              <w:spacing w:before="120" w:after="120"/>
              <w:jc w:val="center"/>
              <w:rPr>
                <w:rFonts w:ascii="Times New Roman" w:hAnsi="Times New Roman" w:cs="Times New Roman"/>
                <w:sz w:val="18"/>
                <w:szCs w:val="18"/>
              </w:rPr>
            </w:pPr>
          </w:p>
        </w:tc>
      </w:tr>
      <w:tr w:rsidRPr="006F34CD" w:rsidR="00515FE0" w:rsidTr="00EF028C" w14:paraId="383BA9A3" w14:textId="77777777">
        <w:trPr>
          <w:cantSplit/>
        </w:trPr>
        <w:tc>
          <w:tcPr>
            <w:tcW w:w="2249" w:type="dxa"/>
          </w:tcPr>
          <w:p w:rsidRPr="006F34CD" w:rsidR="00515FE0" w:rsidP="006F34CD" w:rsidRDefault="00515FE0" w14:paraId="1381B7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Petr Arkadyevich YEVSEYEV</w:t>
            </w:r>
          </w:p>
        </w:tc>
        <w:tc>
          <w:tcPr>
            <w:tcW w:w="836" w:type="dxa"/>
          </w:tcPr>
          <w:p w:rsidRPr="006F34CD" w:rsidR="00515FE0" w:rsidP="006F34CD" w:rsidRDefault="00515FE0" w14:paraId="727A883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1971</w:t>
            </w:r>
          </w:p>
        </w:tc>
        <w:tc>
          <w:tcPr>
            <w:tcW w:w="1305" w:type="dxa"/>
          </w:tcPr>
          <w:p w:rsidRPr="006F34CD" w:rsidR="00515FE0" w:rsidP="006F34CD" w:rsidRDefault="00515FE0" w14:paraId="61C7B25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der. Bor</w:t>
            </w:r>
          </w:p>
        </w:tc>
        <w:tc>
          <w:tcPr>
            <w:tcW w:w="1134" w:type="dxa"/>
          </w:tcPr>
          <w:p w:rsidRPr="006F34CD" w:rsidR="00515FE0" w:rsidP="006F34CD" w:rsidRDefault="00515FE0" w14:paraId="45128FA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41DA26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FED289C" w14:textId="77777777">
            <w:pPr>
              <w:spacing w:before="120" w:after="120"/>
              <w:jc w:val="center"/>
              <w:rPr>
                <w:rFonts w:ascii="Times New Roman" w:hAnsi="Times New Roman" w:cs="Times New Roman"/>
                <w:sz w:val="18"/>
                <w:szCs w:val="18"/>
              </w:rPr>
            </w:pPr>
          </w:p>
        </w:tc>
      </w:tr>
      <w:tr w:rsidRPr="006F34CD" w:rsidR="00515FE0" w:rsidTr="00EF028C" w14:paraId="4C094CAE" w14:textId="77777777">
        <w:trPr>
          <w:cantSplit/>
        </w:trPr>
        <w:tc>
          <w:tcPr>
            <w:tcW w:w="2249" w:type="dxa"/>
          </w:tcPr>
          <w:p w:rsidRPr="006F34CD" w:rsidR="00515FE0" w:rsidP="006F34CD" w:rsidRDefault="00515FE0" w14:paraId="63E798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Ivanovich YEVSEYEV</w:t>
            </w:r>
          </w:p>
        </w:tc>
        <w:tc>
          <w:tcPr>
            <w:tcW w:w="836" w:type="dxa"/>
          </w:tcPr>
          <w:p w:rsidRPr="006F34CD" w:rsidR="00515FE0" w:rsidP="006F34CD" w:rsidRDefault="00515FE0" w14:paraId="46C6A90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1965</w:t>
            </w:r>
          </w:p>
        </w:tc>
        <w:tc>
          <w:tcPr>
            <w:tcW w:w="1305" w:type="dxa"/>
          </w:tcPr>
          <w:p w:rsidRPr="006F34CD" w:rsidR="00515FE0" w:rsidP="006F34CD" w:rsidRDefault="00515FE0" w14:paraId="4E4F5CD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Novocherkassk</w:t>
            </w:r>
          </w:p>
        </w:tc>
        <w:tc>
          <w:tcPr>
            <w:tcW w:w="1134" w:type="dxa"/>
          </w:tcPr>
          <w:p w:rsidRPr="006F34CD" w:rsidR="00515FE0" w:rsidP="006F34CD" w:rsidRDefault="00515FE0" w14:paraId="55A982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2F2775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AD943C3" w14:textId="77777777">
            <w:pPr>
              <w:spacing w:before="120" w:after="120"/>
              <w:jc w:val="center"/>
              <w:rPr>
                <w:rFonts w:ascii="Times New Roman" w:hAnsi="Times New Roman" w:cs="Times New Roman"/>
                <w:sz w:val="18"/>
                <w:szCs w:val="18"/>
              </w:rPr>
            </w:pPr>
          </w:p>
        </w:tc>
      </w:tr>
      <w:tr w:rsidRPr="006F34CD" w:rsidR="00515FE0" w:rsidTr="00EF028C" w14:paraId="3AA02170" w14:textId="77777777">
        <w:trPr>
          <w:cantSplit/>
        </w:trPr>
        <w:tc>
          <w:tcPr>
            <w:tcW w:w="2249" w:type="dxa"/>
          </w:tcPr>
          <w:p w:rsidRPr="006F34CD" w:rsidR="00515FE0" w:rsidP="006F34CD" w:rsidRDefault="00515FE0" w14:paraId="1BCF9BE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Nikolayevich YUBKO</w:t>
            </w:r>
          </w:p>
        </w:tc>
        <w:tc>
          <w:tcPr>
            <w:tcW w:w="836" w:type="dxa"/>
          </w:tcPr>
          <w:p w:rsidRPr="006F34CD" w:rsidR="00515FE0" w:rsidP="006F34CD" w:rsidRDefault="00515FE0" w14:paraId="069DE8C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72F8FD8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Bryansk</w:t>
            </w:r>
          </w:p>
        </w:tc>
        <w:tc>
          <w:tcPr>
            <w:tcW w:w="1134" w:type="dxa"/>
          </w:tcPr>
          <w:p w:rsidRPr="006F34CD" w:rsidR="00515FE0" w:rsidP="006F34CD" w:rsidRDefault="00515FE0" w14:paraId="552303F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5B6E4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A33E77" w14:textId="77777777">
            <w:pPr>
              <w:spacing w:before="120" w:after="120"/>
              <w:jc w:val="center"/>
              <w:rPr>
                <w:rFonts w:ascii="Times New Roman" w:hAnsi="Times New Roman" w:cs="Times New Roman"/>
                <w:sz w:val="18"/>
                <w:szCs w:val="18"/>
              </w:rPr>
            </w:pPr>
          </w:p>
        </w:tc>
      </w:tr>
      <w:tr w:rsidRPr="006F34CD" w:rsidR="00515FE0" w:rsidTr="00EF028C" w14:paraId="326A1C08" w14:textId="77777777">
        <w:trPr>
          <w:cantSplit/>
        </w:trPr>
        <w:tc>
          <w:tcPr>
            <w:tcW w:w="2249" w:type="dxa"/>
          </w:tcPr>
          <w:p w:rsidRPr="006F34CD" w:rsidR="00515FE0" w:rsidP="006F34CD" w:rsidRDefault="00515FE0" w14:paraId="2C2FA71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Mineyevich YURKOV</w:t>
            </w:r>
          </w:p>
        </w:tc>
        <w:tc>
          <w:tcPr>
            <w:tcW w:w="836" w:type="dxa"/>
          </w:tcPr>
          <w:p w:rsidRPr="006F34CD" w:rsidR="00515FE0" w:rsidP="006F34CD" w:rsidRDefault="00515FE0" w14:paraId="3B2A22A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1960</w:t>
            </w:r>
          </w:p>
        </w:tc>
        <w:tc>
          <w:tcPr>
            <w:tcW w:w="1305" w:type="dxa"/>
          </w:tcPr>
          <w:p w:rsidRPr="006F34CD" w:rsidR="00515FE0" w:rsidP="006F34CD" w:rsidRDefault="00515FE0" w14:paraId="5A803FD3"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Kaltan</w:t>
            </w:r>
          </w:p>
        </w:tc>
        <w:tc>
          <w:tcPr>
            <w:tcW w:w="1134" w:type="dxa"/>
          </w:tcPr>
          <w:p w:rsidRPr="006F34CD" w:rsidR="00515FE0" w:rsidP="006F34CD" w:rsidRDefault="00515FE0" w14:paraId="051D75B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39D52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B42E8A" w14:textId="77777777">
            <w:pPr>
              <w:spacing w:before="120" w:after="120"/>
              <w:jc w:val="center"/>
              <w:rPr>
                <w:rFonts w:ascii="Times New Roman" w:hAnsi="Times New Roman" w:cs="Times New Roman"/>
                <w:sz w:val="18"/>
                <w:szCs w:val="18"/>
              </w:rPr>
            </w:pPr>
          </w:p>
        </w:tc>
      </w:tr>
      <w:tr w:rsidRPr="006F34CD" w:rsidR="00515FE0" w:rsidTr="00EF028C" w14:paraId="508A1BAA" w14:textId="77777777">
        <w:trPr>
          <w:cantSplit/>
        </w:trPr>
        <w:tc>
          <w:tcPr>
            <w:tcW w:w="2249" w:type="dxa"/>
          </w:tcPr>
          <w:p w:rsidRPr="006F34CD" w:rsidR="00515FE0" w:rsidP="006F34CD" w:rsidRDefault="00515FE0" w14:paraId="2BC225B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Gennadiy Aleksandrovich ZAGLODIN</w:t>
            </w:r>
          </w:p>
        </w:tc>
        <w:tc>
          <w:tcPr>
            <w:tcW w:w="836" w:type="dxa"/>
          </w:tcPr>
          <w:p w:rsidRPr="006F34CD" w:rsidR="00515FE0" w:rsidP="006F34CD" w:rsidRDefault="00515FE0" w14:paraId="522DA9E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1973</w:t>
            </w:r>
          </w:p>
        </w:tc>
        <w:tc>
          <w:tcPr>
            <w:tcW w:w="1305" w:type="dxa"/>
          </w:tcPr>
          <w:p w:rsidRPr="006F34CD" w:rsidR="00515FE0" w:rsidP="006F34CD" w:rsidRDefault="00515FE0" w14:paraId="3CDC0D9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Shatura</w:t>
            </w:r>
          </w:p>
        </w:tc>
        <w:tc>
          <w:tcPr>
            <w:tcW w:w="1134" w:type="dxa"/>
          </w:tcPr>
          <w:p w:rsidRPr="006F34CD" w:rsidR="00515FE0" w:rsidP="006F34CD" w:rsidRDefault="00515FE0" w14:paraId="6102FBD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A83CBE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D325F98" w14:textId="77777777">
            <w:pPr>
              <w:spacing w:before="120" w:after="120"/>
              <w:jc w:val="center"/>
              <w:rPr>
                <w:rFonts w:ascii="Times New Roman" w:hAnsi="Times New Roman" w:cs="Times New Roman"/>
                <w:sz w:val="18"/>
                <w:szCs w:val="18"/>
              </w:rPr>
            </w:pPr>
          </w:p>
        </w:tc>
      </w:tr>
      <w:tr w:rsidRPr="006F34CD" w:rsidR="00515FE0" w:rsidTr="00EF028C" w14:paraId="6C7B242D" w14:textId="77777777">
        <w:trPr>
          <w:cantSplit/>
        </w:trPr>
        <w:tc>
          <w:tcPr>
            <w:tcW w:w="2249" w:type="dxa"/>
          </w:tcPr>
          <w:p w:rsidRPr="006F34CD" w:rsidR="00515FE0" w:rsidP="006F34CD" w:rsidRDefault="00515FE0" w14:paraId="5D54339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Igor Ivanovich ZAITS</w:t>
            </w:r>
          </w:p>
        </w:tc>
        <w:tc>
          <w:tcPr>
            <w:tcW w:w="836" w:type="dxa"/>
          </w:tcPr>
          <w:p w:rsidRPr="006F34CD" w:rsidR="00515FE0" w:rsidP="006F34CD" w:rsidRDefault="00515FE0" w14:paraId="024C9BE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1963</w:t>
            </w:r>
          </w:p>
        </w:tc>
        <w:tc>
          <w:tcPr>
            <w:tcW w:w="1305" w:type="dxa"/>
          </w:tcPr>
          <w:p w:rsidRPr="006F34CD" w:rsidR="00515FE0" w:rsidP="006F34CD" w:rsidRDefault="00515FE0" w14:paraId="5005912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Simferopol</w:t>
            </w:r>
          </w:p>
        </w:tc>
        <w:tc>
          <w:tcPr>
            <w:tcW w:w="1134" w:type="dxa"/>
          </w:tcPr>
          <w:p w:rsidRPr="006F34CD" w:rsidR="00515FE0" w:rsidP="006F34CD" w:rsidRDefault="00515FE0" w14:paraId="009F8E9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42F2C60"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20C624B6" w14:textId="77777777">
            <w:pPr>
              <w:spacing w:before="120" w:after="120"/>
              <w:jc w:val="center"/>
              <w:rPr>
                <w:rFonts w:ascii="Times New Roman" w:hAnsi="Times New Roman" w:cs="Times New Roman"/>
                <w:sz w:val="18"/>
                <w:szCs w:val="18"/>
              </w:rPr>
            </w:pPr>
          </w:p>
        </w:tc>
      </w:tr>
      <w:tr w:rsidRPr="006F34CD" w:rsidR="00515FE0" w:rsidTr="00EF028C" w14:paraId="749E9DCE" w14:textId="77777777">
        <w:trPr>
          <w:cantSplit/>
        </w:trPr>
        <w:tc>
          <w:tcPr>
            <w:tcW w:w="2249" w:type="dxa"/>
          </w:tcPr>
          <w:p w:rsidRPr="006F34CD" w:rsidR="00515FE0" w:rsidP="006F34CD" w:rsidRDefault="00515FE0" w14:paraId="4B27CCE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Albert Benikovich ZAKHARYAN</w:t>
            </w:r>
          </w:p>
        </w:tc>
        <w:tc>
          <w:tcPr>
            <w:tcW w:w="836" w:type="dxa"/>
          </w:tcPr>
          <w:p w:rsidRPr="006F34CD" w:rsidR="00515FE0" w:rsidP="006F34CD" w:rsidRDefault="00515FE0" w14:paraId="50EC36B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10FB2BC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Tulskiy</w:t>
            </w:r>
          </w:p>
        </w:tc>
        <w:tc>
          <w:tcPr>
            <w:tcW w:w="1134" w:type="dxa"/>
          </w:tcPr>
          <w:p w:rsidRPr="006F34CD" w:rsidR="00515FE0" w:rsidP="006F34CD" w:rsidRDefault="00515FE0" w14:paraId="0ECB0DF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1EE4928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D71DCA" w14:textId="77777777">
            <w:pPr>
              <w:spacing w:before="120" w:after="120"/>
              <w:jc w:val="center"/>
              <w:rPr>
                <w:rFonts w:ascii="Times New Roman" w:hAnsi="Times New Roman" w:cs="Times New Roman"/>
                <w:sz w:val="18"/>
                <w:szCs w:val="18"/>
              </w:rPr>
            </w:pPr>
          </w:p>
        </w:tc>
      </w:tr>
      <w:tr w:rsidRPr="006F34CD" w:rsidR="00515FE0" w:rsidTr="00EF028C" w14:paraId="2540EFAE" w14:textId="77777777">
        <w:trPr>
          <w:cantSplit/>
        </w:trPr>
        <w:tc>
          <w:tcPr>
            <w:tcW w:w="2249" w:type="dxa"/>
          </w:tcPr>
          <w:p w:rsidRPr="006F34CD" w:rsidR="00515FE0" w:rsidP="006F34CD" w:rsidRDefault="00515FE0" w14:paraId="0418D65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Yuriy Viktorovich ZALIPAYEV</w:t>
            </w:r>
          </w:p>
        </w:tc>
        <w:tc>
          <w:tcPr>
            <w:tcW w:w="836" w:type="dxa"/>
          </w:tcPr>
          <w:p w:rsidRPr="006F34CD" w:rsidR="00515FE0" w:rsidP="006F34CD" w:rsidRDefault="00515FE0" w14:paraId="47E437E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194160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Mayskiy</w:t>
            </w:r>
          </w:p>
        </w:tc>
        <w:tc>
          <w:tcPr>
            <w:tcW w:w="1134" w:type="dxa"/>
          </w:tcPr>
          <w:p w:rsidRPr="006F34CD" w:rsidR="00515FE0" w:rsidP="006F34CD" w:rsidRDefault="00515FE0" w14:paraId="7C1C0DD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B4B89FB"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BF947B5" w14:textId="77777777">
            <w:pPr>
              <w:spacing w:before="120" w:after="120"/>
              <w:jc w:val="center"/>
              <w:rPr>
                <w:rFonts w:ascii="Times New Roman" w:hAnsi="Times New Roman" w:cs="Times New Roman"/>
                <w:sz w:val="18"/>
                <w:szCs w:val="18"/>
              </w:rPr>
            </w:pPr>
          </w:p>
        </w:tc>
      </w:tr>
      <w:tr w:rsidRPr="006F34CD" w:rsidR="00515FE0" w:rsidTr="00EF028C" w14:paraId="174A1CF9" w14:textId="77777777">
        <w:trPr>
          <w:cantSplit/>
        </w:trPr>
        <w:tc>
          <w:tcPr>
            <w:tcW w:w="2249" w:type="dxa"/>
          </w:tcPr>
          <w:p w:rsidRPr="006F34CD" w:rsidR="00515FE0" w:rsidP="006F34CD" w:rsidRDefault="00515FE0" w14:paraId="4737A2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Aleksandr Georgiyevich ZAPOROZHTSEV</w:t>
            </w:r>
          </w:p>
        </w:tc>
        <w:tc>
          <w:tcPr>
            <w:tcW w:w="836" w:type="dxa"/>
          </w:tcPr>
          <w:p w:rsidRPr="006F34CD" w:rsidR="00515FE0" w:rsidP="006F34CD" w:rsidRDefault="00515FE0" w14:paraId="3C68B71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1954</w:t>
            </w:r>
          </w:p>
        </w:tc>
        <w:tc>
          <w:tcPr>
            <w:tcW w:w="1305" w:type="dxa"/>
          </w:tcPr>
          <w:p w:rsidRPr="006F34CD" w:rsidR="00515FE0" w:rsidP="006F34CD" w:rsidRDefault="00515FE0" w14:paraId="1844CAF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Novoshakhtinsk</w:t>
            </w:r>
          </w:p>
        </w:tc>
        <w:tc>
          <w:tcPr>
            <w:tcW w:w="1134" w:type="dxa"/>
          </w:tcPr>
          <w:p w:rsidRPr="006F34CD" w:rsidR="00515FE0" w:rsidP="006F34CD" w:rsidRDefault="00515FE0" w14:paraId="222A545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CF38BA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641D9B7" w14:textId="77777777">
            <w:pPr>
              <w:spacing w:before="120" w:after="120"/>
              <w:jc w:val="center"/>
              <w:rPr>
                <w:rFonts w:ascii="Times New Roman" w:hAnsi="Times New Roman" w:cs="Times New Roman"/>
                <w:sz w:val="18"/>
                <w:szCs w:val="18"/>
              </w:rPr>
            </w:pPr>
          </w:p>
        </w:tc>
      </w:tr>
      <w:tr w:rsidRPr="006F34CD" w:rsidR="00515FE0" w:rsidTr="00EF028C" w14:paraId="5FCB9584" w14:textId="77777777">
        <w:trPr>
          <w:cantSplit/>
        </w:trPr>
        <w:tc>
          <w:tcPr>
            <w:tcW w:w="2249" w:type="dxa"/>
          </w:tcPr>
          <w:p w:rsidRPr="006F34CD" w:rsidR="00515FE0" w:rsidP="006F34CD" w:rsidRDefault="00515FE0" w14:paraId="1146279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Ildar Vlarikovich ZARIPOV</w:t>
            </w:r>
          </w:p>
        </w:tc>
        <w:tc>
          <w:tcPr>
            <w:tcW w:w="836" w:type="dxa"/>
          </w:tcPr>
          <w:p w:rsidRPr="006F34CD" w:rsidR="00515FE0" w:rsidP="006F34CD" w:rsidRDefault="00515FE0" w14:paraId="4B6AA3D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1975</w:t>
            </w:r>
          </w:p>
        </w:tc>
        <w:tc>
          <w:tcPr>
            <w:tcW w:w="1305" w:type="dxa"/>
          </w:tcPr>
          <w:p w:rsidRPr="006F34CD" w:rsidR="00515FE0" w:rsidP="006F34CD" w:rsidRDefault="00515FE0" w14:paraId="551CB8A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Ufa</w:t>
            </w:r>
          </w:p>
        </w:tc>
        <w:tc>
          <w:tcPr>
            <w:tcW w:w="1134" w:type="dxa"/>
          </w:tcPr>
          <w:p w:rsidRPr="006F34CD" w:rsidR="00515FE0" w:rsidP="006F34CD" w:rsidRDefault="00515FE0" w14:paraId="49E51CC3"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58D37D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5A4D6A7" w14:textId="77777777">
            <w:pPr>
              <w:spacing w:before="120" w:after="120"/>
              <w:jc w:val="center"/>
              <w:rPr>
                <w:rFonts w:ascii="Times New Roman" w:hAnsi="Times New Roman" w:cs="Times New Roman"/>
                <w:sz w:val="18"/>
                <w:szCs w:val="18"/>
              </w:rPr>
            </w:pPr>
          </w:p>
        </w:tc>
      </w:tr>
      <w:tr w:rsidRPr="006F34CD" w:rsidR="00515FE0" w:rsidTr="00EF028C" w14:paraId="5D7BA730" w14:textId="77777777">
        <w:trPr>
          <w:cantSplit/>
        </w:trPr>
        <w:tc>
          <w:tcPr>
            <w:tcW w:w="2249" w:type="dxa"/>
          </w:tcPr>
          <w:p w:rsidRPr="006F34CD" w:rsidR="00515FE0" w:rsidP="006F34CD" w:rsidRDefault="00515FE0" w14:paraId="2033C26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Rashit Nurullovich ZARIPOV</w:t>
            </w:r>
          </w:p>
        </w:tc>
        <w:tc>
          <w:tcPr>
            <w:tcW w:w="836" w:type="dxa"/>
          </w:tcPr>
          <w:p w:rsidRPr="006F34CD" w:rsidR="00515FE0" w:rsidP="006F34CD" w:rsidRDefault="00515FE0" w14:paraId="7CB6581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1959</w:t>
            </w:r>
          </w:p>
        </w:tc>
        <w:tc>
          <w:tcPr>
            <w:tcW w:w="1305" w:type="dxa"/>
          </w:tcPr>
          <w:p w:rsidRPr="006F34CD" w:rsidR="00515FE0" w:rsidP="006F34CD" w:rsidRDefault="00515FE0" w14:paraId="7A5D4BC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Chulman</w:t>
            </w:r>
          </w:p>
        </w:tc>
        <w:tc>
          <w:tcPr>
            <w:tcW w:w="1134" w:type="dxa"/>
          </w:tcPr>
          <w:p w:rsidRPr="006F34CD" w:rsidR="00515FE0" w:rsidP="006F34CD" w:rsidRDefault="00515FE0" w14:paraId="6832108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3B1CEA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751F047" w14:textId="77777777">
            <w:pPr>
              <w:spacing w:before="120" w:after="120"/>
              <w:jc w:val="center"/>
              <w:rPr>
                <w:rFonts w:ascii="Times New Roman" w:hAnsi="Times New Roman" w:cs="Times New Roman"/>
                <w:sz w:val="18"/>
                <w:szCs w:val="18"/>
              </w:rPr>
            </w:pPr>
          </w:p>
        </w:tc>
      </w:tr>
      <w:tr w:rsidRPr="006F34CD" w:rsidR="00515FE0" w:rsidTr="00EF028C" w14:paraId="420729AD" w14:textId="77777777">
        <w:trPr>
          <w:cantSplit/>
        </w:trPr>
        <w:tc>
          <w:tcPr>
            <w:tcW w:w="2249" w:type="dxa"/>
          </w:tcPr>
          <w:p w:rsidRPr="006F34CD" w:rsidR="00515FE0" w:rsidP="006F34CD" w:rsidRDefault="00515FE0" w14:paraId="6BC9BCA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Gavrilovich ZARYAYEV</w:t>
            </w:r>
          </w:p>
        </w:tc>
        <w:tc>
          <w:tcPr>
            <w:tcW w:w="836" w:type="dxa"/>
          </w:tcPr>
          <w:p w:rsidRPr="006F34CD" w:rsidR="00515FE0" w:rsidP="006F34CD" w:rsidRDefault="00515FE0" w14:paraId="3556E879"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1962</w:t>
            </w:r>
          </w:p>
        </w:tc>
        <w:tc>
          <w:tcPr>
            <w:tcW w:w="1305" w:type="dxa"/>
          </w:tcPr>
          <w:p w:rsidRPr="006F34CD" w:rsidR="00515FE0" w:rsidP="006F34CD" w:rsidRDefault="00515FE0" w14:paraId="62213E6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 Barezovskoye</w:t>
            </w:r>
          </w:p>
        </w:tc>
        <w:tc>
          <w:tcPr>
            <w:tcW w:w="1134" w:type="dxa"/>
          </w:tcPr>
          <w:p w:rsidRPr="006F34CD" w:rsidR="00515FE0" w:rsidP="006F34CD" w:rsidRDefault="00515FE0" w14:paraId="3063C41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E669BEA"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1785FFC" w14:textId="77777777">
            <w:pPr>
              <w:spacing w:before="120" w:after="120"/>
              <w:jc w:val="center"/>
              <w:rPr>
                <w:rFonts w:ascii="Times New Roman" w:hAnsi="Times New Roman" w:cs="Times New Roman"/>
                <w:sz w:val="18"/>
                <w:szCs w:val="18"/>
              </w:rPr>
            </w:pPr>
          </w:p>
        </w:tc>
      </w:tr>
      <w:tr w:rsidRPr="006F34CD" w:rsidR="00515FE0" w:rsidTr="00EF028C" w14:paraId="5F9C2511" w14:textId="77777777">
        <w:trPr>
          <w:cantSplit/>
        </w:trPr>
        <w:tc>
          <w:tcPr>
            <w:tcW w:w="2249" w:type="dxa"/>
          </w:tcPr>
          <w:p w:rsidRPr="006F34CD" w:rsidR="00515FE0" w:rsidP="006F34CD" w:rsidRDefault="00515FE0" w14:paraId="27D6B79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Vitaliy Miniokmatovich ZAYNULIN</w:t>
            </w:r>
          </w:p>
        </w:tc>
        <w:tc>
          <w:tcPr>
            <w:tcW w:w="836" w:type="dxa"/>
          </w:tcPr>
          <w:p w:rsidRPr="006F34CD" w:rsidR="00515FE0" w:rsidP="006F34CD" w:rsidRDefault="00515FE0" w14:paraId="734E5C0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1968</w:t>
            </w:r>
          </w:p>
        </w:tc>
        <w:tc>
          <w:tcPr>
            <w:tcW w:w="1305" w:type="dxa"/>
          </w:tcPr>
          <w:p w:rsidRPr="006F34CD" w:rsidR="00515FE0" w:rsidP="006F34CD" w:rsidRDefault="00515FE0" w14:paraId="202E0EA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Saint Petersburg</w:t>
            </w:r>
          </w:p>
        </w:tc>
        <w:tc>
          <w:tcPr>
            <w:tcW w:w="1134" w:type="dxa"/>
          </w:tcPr>
          <w:p w:rsidRPr="006F34CD" w:rsidR="00515FE0" w:rsidP="006F34CD" w:rsidRDefault="00515FE0" w14:paraId="21F5E648"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1900D0E"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E51B511" w14:textId="77777777">
            <w:pPr>
              <w:spacing w:before="120" w:after="120"/>
              <w:jc w:val="center"/>
              <w:rPr>
                <w:rFonts w:ascii="Times New Roman" w:hAnsi="Times New Roman" w:cs="Times New Roman"/>
                <w:sz w:val="18"/>
                <w:szCs w:val="18"/>
              </w:rPr>
            </w:pPr>
          </w:p>
        </w:tc>
      </w:tr>
      <w:tr w:rsidRPr="006F34CD" w:rsidR="00515FE0" w:rsidTr="00EF028C" w14:paraId="68320CBB" w14:textId="77777777">
        <w:trPr>
          <w:cantSplit/>
        </w:trPr>
        <w:tc>
          <w:tcPr>
            <w:tcW w:w="2249" w:type="dxa"/>
          </w:tcPr>
          <w:p w:rsidRPr="006F34CD" w:rsidR="00515FE0" w:rsidP="006F34CD" w:rsidRDefault="00515FE0" w14:paraId="0446D97E"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Nikolayevich ZHABROV</w:t>
            </w:r>
          </w:p>
        </w:tc>
        <w:tc>
          <w:tcPr>
            <w:tcW w:w="836" w:type="dxa"/>
          </w:tcPr>
          <w:p w:rsidRPr="006F34CD" w:rsidR="00515FE0" w:rsidP="006F34CD" w:rsidRDefault="00515FE0" w14:paraId="2D1261DC"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1966</w:t>
            </w:r>
          </w:p>
        </w:tc>
        <w:tc>
          <w:tcPr>
            <w:tcW w:w="1305" w:type="dxa"/>
          </w:tcPr>
          <w:p w:rsidRPr="006F34CD" w:rsidR="00515FE0" w:rsidP="006F34CD" w:rsidRDefault="00515FE0" w14:paraId="3540F96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pos. Zavety Ilyicha</w:t>
            </w:r>
          </w:p>
        </w:tc>
        <w:tc>
          <w:tcPr>
            <w:tcW w:w="1134" w:type="dxa"/>
          </w:tcPr>
          <w:p w:rsidRPr="006F34CD" w:rsidR="00515FE0" w:rsidP="006F34CD" w:rsidRDefault="00515FE0" w14:paraId="18ACE55F"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BE8382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56BE939F" w14:textId="77777777">
            <w:pPr>
              <w:spacing w:before="120" w:after="120"/>
              <w:jc w:val="center"/>
              <w:rPr>
                <w:rFonts w:ascii="Times New Roman" w:hAnsi="Times New Roman" w:cs="Times New Roman"/>
                <w:sz w:val="18"/>
                <w:szCs w:val="18"/>
              </w:rPr>
            </w:pPr>
          </w:p>
        </w:tc>
      </w:tr>
      <w:tr w:rsidRPr="006F34CD" w:rsidR="00515FE0" w:rsidTr="00EF028C" w14:paraId="07FC56FD" w14:textId="77777777">
        <w:trPr>
          <w:cantSplit/>
        </w:trPr>
        <w:tc>
          <w:tcPr>
            <w:tcW w:w="2249" w:type="dxa"/>
          </w:tcPr>
          <w:p w:rsidRPr="006F34CD" w:rsidR="00515FE0" w:rsidP="006F34CD" w:rsidRDefault="00515FE0" w14:paraId="631F573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Sergey Rudolfovich ZHAROVTSEV</w:t>
            </w:r>
          </w:p>
        </w:tc>
        <w:tc>
          <w:tcPr>
            <w:tcW w:w="836" w:type="dxa"/>
          </w:tcPr>
          <w:p w:rsidRPr="006F34CD" w:rsidR="00515FE0" w:rsidP="006F34CD" w:rsidRDefault="00515FE0" w14:paraId="4460FD45"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1964</w:t>
            </w:r>
          </w:p>
        </w:tc>
        <w:tc>
          <w:tcPr>
            <w:tcW w:w="1305" w:type="dxa"/>
          </w:tcPr>
          <w:p w:rsidRPr="006F34CD" w:rsidR="00515FE0" w:rsidP="006F34CD" w:rsidRDefault="00515FE0" w14:paraId="57E10D5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Kirovo-Chepetsk</w:t>
            </w:r>
          </w:p>
        </w:tc>
        <w:tc>
          <w:tcPr>
            <w:tcW w:w="1134" w:type="dxa"/>
          </w:tcPr>
          <w:p w:rsidRPr="006F34CD" w:rsidR="00515FE0" w:rsidP="006F34CD" w:rsidRDefault="00515FE0" w14:paraId="6FC8C0A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0394AE67"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79F35B23" w14:textId="77777777">
            <w:pPr>
              <w:spacing w:before="120" w:after="120"/>
              <w:jc w:val="center"/>
              <w:rPr>
                <w:rFonts w:ascii="Times New Roman" w:hAnsi="Times New Roman" w:cs="Times New Roman"/>
                <w:sz w:val="18"/>
                <w:szCs w:val="18"/>
              </w:rPr>
            </w:pPr>
          </w:p>
        </w:tc>
      </w:tr>
      <w:tr w:rsidRPr="006F34CD" w:rsidR="00515FE0" w:rsidTr="00EF028C" w14:paraId="7DD8811D" w14:textId="77777777">
        <w:trPr>
          <w:cantSplit/>
        </w:trPr>
        <w:tc>
          <w:tcPr>
            <w:tcW w:w="2249" w:type="dxa"/>
          </w:tcPr>
          <w:p w:rsidRPr="006F34CD" w:rsidR="00515FE0" w:rsidP="006F34CD" w:rsidRDefault="00515FE0" w14:paraId="76A1D264"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Nikolay Pavlovich ZHIRYAKOV</w:t>
            </w:r>
          </w:p>
        </w:tc>
        <w:tc>
          <w:tcPr>
            <w:tcW w:w="836" w:type="dxa"/>
          </w:tcPr>
          <w:p w:rsidRPr="006F34CD" w:rsidR="00515FE0" w:rsidP="006F34CD" w:rsidRDefault="00515FE0" w14:paraId="39114628"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1949</w:t>
            </w:r>
          </w:p>
        </w:tc>
        <w:tc>
          <w:tcPr>
            <w:tcW w:w="1305" w:type="dxa"/>
          </w:tcPr>
          <w:p w:rsidRPr="006F34CD" w:rsidR="00515FE0" w:rsidP="006F34CD" w:rsidRDefault="00515FE0" w14:paraId="66BD41DF"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Prokhladniy</w:t>
            </w:r>
          </w:p>
        </w:tc>
        <w:tc>
          <w:tcPr>
            <w:tcW w:w="1134" w:type="dxa"/>
          </w:tcPr>
          <w:p w:rsidRPr="006F34CD" w:rsidR="00515FE0" w:rsidP="006F34CD" w:rsidRDefault="00515FE0" w14:paraId="059503F2"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0C51F06"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544074A" w14:textId="77777777">
            <w:pPr>
              <w:spacing w:before="120" w:after="120"/>
              <w:jc w:val="center"/>
              <w:rPr>
                <w:rFonts w:ascii="Times New Roman" w:hAnsi="Times New Roman" w:cs="Times New Roman"/>
                <w:sz w:val="18"/>
                <w:szCs w:val="18"/>
              </w:rPr>
            </w:pPr>
          </w:p>
        </w:tc>
      </w:tr>
      <w:tr w:rsidRPr="006F34CD" w:rsidR="00515FE0" w:rsidTr="00EF028C" w14:paraId="08C33E03" w14:textId="77777777">
        <w:trPr>
          <w:cantSplit/>
        </w:trPr>
        <w:tc>
          <w:tcPr>
            <w:tcW w:w="2249" w:type="dxa"/>
          </w:tcPr>
          <w:p w:rsidRPr="006F34CD" w:rsidR="00515FE0" w:rsidP="006F34CD" w:rsidRDefault="00515FE0" w14:paraId="75DE3091"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Mikhail Anatolyevich ZHIVOY</w:t>
            </w:r>
          </w:p>
        </w:tc>
        <w:tc>
          <w:tcPr>
            <w:tcW w:w="836" w:type="dxa"/>
          </w:tcPr>
          <w:p w:rsidRPr="006F34CD" w:rsidR="00515FE0" w:rsidP="006F34CD" w:rsidRDefault="00515FE0" w14:paraId="67FA0E6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1974</w:t>
            </w:r>
          </w:p>
        </w:tc>
        <w:tc>
          <w:tcPr>
            <w:tcW w:w="1305" w:type="dxa"/>
          </w:tcPr>
          <w:p w:rsidRPr="006F34CD" w:rsidR="00515FE0" w:rsidP="006F34CD" w:rsidRDefault="00515FE0" w14:paraId="7F077CA0"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Rostov-on-Don</w:t>
            </w:r>
          </w:p>
        </w:tc>
        <w:tc>
          <w:tcPr>
            <w:tcW w:w="1134" w:type="dxa"/>
          </w:tcPr>
          <w:p w:rsidRPr="006F34CD" w:rsidR="00515FE0" w:rsidP="006F34CD" w:rsidRDefault="00515FE0" w14:paraId="5D4505F4"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0236F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3C04371E" w14:textId="77777777">
            <w:pPr>
              <w:spacing w:before="120" w:after="120"/>
              <w:jc w:val="center"/>
              <w:rPr>
                <w:rFonts w:ascii="Times New Roman" w:hAnsi="Times New Roman" w:cs="Times New Roman"/>
                <w:sz w:val="18"/>
                <w:szCs w:val="18"/>
              </w:rPr>
            </w:pPr>
          </w:p>
        </w:tc>
      </w:tr>
      <w:tr w:rsidRPr="006F34CD" w:rsidR="00515FE0" w:rsidTr="00EF028C" w14:paraId="748B7B35" w14:textId="77777777">
        <w:trPr>
          <w:cantSplit/>
        </w:trPr>
        <w:tc>
          <w:tcPr>
            <w:tcW w:w="2249" w:type="dxa"/>
          </w:tcPr>
          <w:p w:rsidRPr="006F34CD" w:rsidR="00515FE0" w:rsidP="006F34CD" w:rsidRDefault="00515FE0" w14:paraId="452EB0D6"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Andrey Aleksandrovich ZHUKOV</w:t>
            </w:r>
          </w:p>
        </w:tc>
        <w:tc>
          <w:tcPr>
            <w:tcW w:w="836" w:type="dxa"/>
          </w:tcPr>
          <w:p w:rsidRPr="006F34CD" w:rsidR="00515FE0" w:rsidP="006F34CD" w:rsidRDefault="00515FE0" w14:paraId="2B42E0FA"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3FBDAB7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Yugorsk</w:t>
            </w:r>
          </w:p>
        </w:tc>
        <w:tc>
          <w:tcPr>
            <w:tcW w:w="1134" w:type="dxa"/>
          </w:tcPr>
          <w:p w:rsidRPr="006F34CD" w:rsidR="00515FE0" w:rsidP="006F34CD" w:rsidRDefault="00515FE0" w14:paraId="6A68BDFD"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4F4D7C1C" w14:textId="77777777">
            <w:pPr>
              <w:spacing w:before="120" w:after="120"/>
              <w:jc w:val="center"/>
              <w:rPr>
                <w:rFonts w:ascii="Times New Roman" w:hAnsi="Times New Roman" w:cs="Times New Roman"/>
                <w:sz w:val="18"/>
                <w:szCs w:val="18"/>
              </w:rPr>
            </w:pPr>
          </w:p>
        </w:tc>
        <w:tc>
          <w:tcPr>
            <w:tcW w:w="992" w:type="dxa"/>
          </w:tcPr>
          <w:p w:rsidRPr="006F34CD" w:rsidR="00515FE0" w:rsidP="006F34CD" w:rsidRDefault="00515FE0" w14:paraId="6A9F18E8" w14:textId="77777777">
            <w:pPr>
              <w:spacing w:before="120" w:after="120"/>
              <w:jc w:val="center"/>
              <w:rPr>
                <w:rFonts w:ascii="Times New Roman" w:hAnsi="Times New Roman" w:cs="Times New Roman"/>
                <w:sz w:val="18"/>
                <w:szCs w:val="18"/>
              </w:rPr>
            </w:pPr>
          </w:p>
        </w:tc>
      </w:tr>
      <w:tr w:rsidRPr="006F34CD" w:rsidR="00515FE0" w:rsidTr="00EF028C" w14:paraId="4C17CE2B" w14:textId="77777777">
        <w:trPr>
          <w:cantSplit/>
        </w:trPr>
        <w:tc>
          <w:tcPr>
            <w:tcW w:w="7508" w:type="dxa"/>
            <w:gridSpan w:val="6"/>
          </w:tcPr>
          <w:p w:rsidRPr="006F34CD" w:rsidR="00515FE0" w:rsidP="006F34CD" w:rsidRDefault="00515FE0" w14:paraId="260294EB"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 xml:space="preserve">Application no. 44386/19, </w:t>
            </w:r>
            <w:r w:rsidRPr="006F34CD">
              <w:rPr>
                <w:rFonts w:ascii="Times New Roman" w:hAnsi="Times New Roman" w:cs="Times New Roman"/>
                <w:i/>
                <w:sz w:val="18"/>
                <w:szCs w:val="18"/>
              </w:rPr>
              <w:t>Christensen v. Russia</w:t>
            </w:r>
          </w:p>
        </w:tc>
      </w:tr>
      <w:tr w:rsidRPr="006F34CD" w:rsidR="00515FE0" w:rsidTr="00EF028C" w14:paraId="12353FF5" w14:textId="77777777">
        <w:trPr>
          <w:cantSplit/>
        </w:trPr>
        <w:tc>
          <w:tcPr>
            <w:tcW w:w="2249" w:type="dxa"/>
          </w:tcPr>
          <w:p w:rsidRPr="006F34CD" w:rsidR="00515FE0" w:rsidP="006F34CD" w:rsidRDefault="00515FE0" w14:paraId="484D1672"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Dennis Ole CHRISTENSEN</w:t>
            </w:r>
          </w:p>
        </w:tc>
        <w:tc>
          <w:tcPr>
            <w:tcW w:w="836" w:type="dxa"/>
          </w:tcPr>
          <w:p w:rsidRPr="006F34CD" w:rsidR="00515FE0" w:rsidP="006F34CD" w:rsidRDefault="00515FE0" w14:paraId="5062F08D"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1972</w:t>
            </w:r>
          </w:p>
        </w:tc>
        <w:tc>
          <w:tcPr>
            <w:tcW w:w="1305" w:type="dxa"/>
          </w:tcPr>
          <w:p w:rsidRPr="006F34CD" w:rsidR="00515FE0" w:rsidP="006F34CD" w:rsidRDefault="00515FE0" w14:paraId="7EB32297" w14:textId="77777777">
            <w:pPr>
              <w:spacing w:before="120" w:after="120"/>
              <w:rPr>
                <w:rFonts w:ascii="Times New Roman" w:hAnsi="Times New Roman" w:cs="Times New Roman"/>
                <w:sz w:val="18"/>
                <w:szCs w:val="18"/>
              </w:rPr>
            </w:pPr>
            <w:r w:rsidRPr="006F34CD">
              <w:rPr>
                <w:rFonts w:ascii="Times New Roman" w:hAnsi="Times New Roman" w:cs="Times New Roman"/>
                <w:sz w:val="18"/>
                <w:szCs w:val="18"/>
              </w:rPr>
              <w:t>Orel</w:t>
            </w:r>
          </w:p>
        </w:tc>
        <w:tc>
          <w:tcPr>
            <w:tcW w:w="1134" w:type="dxa"/>
          </w:tcPr>
          <w:p w:rsidRPr="006F34CD" w:rsidR="00515FE0" w:rsidP="006F34CD" w:rsidRDefault="00515FE0" w14:paraId="39430519"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14,301</w:t>
            </w:r>
          </w:p>
        </w:tc>
        <w:tc>
          <w:tcPr>
            <w:tcW w:w="992" w:type="dxa"/>
          </w:tcPr>
          <w:p w:rsidRPr="006F34CD" w:rsidR="00515FE0" w:rsidP="006F34CD" w:rsidRDefault="00515FE0" w14:paraId="5B276EDD"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85,000</w:t>
            </w:r>
          </w:p>
        </w:tc>
        <w:tc>
          <w:tcPr>
            <w:tcW w:w="992" w:type="dxa"/>
          </w:tcPr>
          <w:p w:rsidRPr="006F34CD" w:rsidR="00515FE0" w:rsidP="006F34CD" w:rsidRDefault="00515FE0" w14:paraId="12D50BE0" w14:textId="77777777">
            <w:pPr>
              <w:spacing w:before="120" w:after="120"/>
              <w:jc w:val="center"/>
              <w:rPr>
                <w:rFonts w:ascii="Times New Roman" w:hAnsi="Times New Roman" w:cs="Times New Roman"/>
                <w:sz w:val="18"/>
                <w:szCs w:val="18"/>
              </w:rPr>
            </w:pPr>
            <w:r w:rsidRPr="006F34CD">
              <w:rPr>
                <w:rFonts w:ascii="Times New Roman" w:hAnsi="Times New Roman" w:cs="Times New Roman"/>
                <w:sz w:val="18"/>
                <w:szCs w:val="18"/>
              </w:rPr>
              <w:t>See above</w:t>
            </w:r>
          </w:p>
        </w:tc>
      </w:tr>
      <w:bookmarkEnd w:id="251"/>
    </w:tbl>
    <w:p w:rsidRPr="006F34CD" w:rsidR="00515FE0" w:rsidP="006F34CD" w:rsidRDefault="00515FE0" w14:paraId="6B82BCFB" w14:textId="77777777">
      <w:pPr>
        <w:rPr>
          <w:bCs/>
          <w:sz w:val="22"/>
          <w:szCs w:val="22"/>
        </w:rPr>
      </w:pPr>
    </w:p>
    <w:sectPr w:rsidRPr="006F34CD" w:rsidR="00515FE0" w:rsidSect="00A3209A">
      <w:headerReference w:type="even" r:id="rId16"/>
      <w:headerReference w:type="default" r:id="rId17"/>
      <w:footnotePr>
        <w:numRestart w:val="eachSect"/>
      </w:footnotePr>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0EFCA" w14:textId="77777777" w:rsidR="00E35164" w:rsidRPr="00B97F3A" w:rsidRDefault="00E35164">
      <w:r w:rsidRPr="00B97F3A">
        <w:separator/>
      </w:r>
    </w:p>
  </w:endnote>
  <w:endnote w:type="continuationSeparator" w:id="0">
    <w:p w14:paraId="2001BF8B" w14:textId="77777777" w:rsidR="00E35164" w:rsidRPr="00B97F3A" w:rsidRDefault="00E35164">
      <w:r w:rsidRPr="00B97F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894264"/>
      <w:docPartObj>
        <w:docPartGallery w:val="Page Numbers (Bottom of Page)"/>
        <w:docPartUnique/>
      </w:docPartObj>
    </w:sdtPr>
    <w:sdtEndPr>
      <w:rPr>
        <w:noProof/>
        <w:sz w:val="18"/>
        <w:szCs w:val="18"/>
      </w:rPr>
    </w:sdtEndPr>
    <w:sdtContent>
      <w:p w14:paraId="46572E61" w14:textId="6FB61392" w:rsidR="00795050" w:rsidRPr="00A5552E" w:rsidRDefault="00795050">
        <w:pPr>
          <w:pStyle w:val="Footer"/>
          <w:jc w:val="center"/>
          <w:rPr>
            <w:sz w:val="18"/>
            <w:szCs w:val="18"/>
          </w:rPr>
        </w:pPr>
        <w:r w:rsidRPr="00A5552E">
          <w:rPr>
            <w:sz w:val="18"/>
            <w:szCs w:val="18"/>
          </w:rPr>
          <w:fldChar w:fldCharType="begin"/>
        </w:r>
        <w:r w:rsidRPr="00A5552E">
          <w:rPr>
            <w:sz w:val="18"/>
            <w:szCs w:val="18"/>
          </w:rPr>
          <w:instrText xml:space="preserve"> PAGE   \* MERGEFORMAT </w:instrText>
        </w:r>
        <w:r w:rsidRPr="00A5552E">
          <w:rPr>
            <w:sz w:val="18"/>
            <w:szCs w:val="18"/>
          </w:rPr>
          <w:fldChar w:fldCharType="separate"/>
        </w:r>
        <w:r w:rsidRPr="00A5552E">
          <w:rPr>
            <w:noProof/>
            <w:sz w:val="18"/>
            <w:szCs w:val="18"/>
          </w:rPr>
          <w:t>2</w:t>
        </w:r>
        <w:r w:rsidRPr="00A5552E">
          <w:rPr>
            <w:noProof/>
            <w:sz w:val="18"/>
            <w:szCs w:val="18"/>
          </w:rPr>
          <w:fldChar w:fldCharType="end"/>
        </w:r>
      </w:p>
    </w:sdtContent>
  </w:sdt>
  <w:p w14:paraId="4090DBEB" w14:textId="77777777" w:rsidR="00795050" w:rsidRDefault="00795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51295"/>
      <w:docPartObj>
        <w:docPartGallery w:val="Page Numbers (Bottom of Page)"/>
        <w:docPartUnique/>
      </w:docPartObj>
    </w:sdtPr>
    <w:sdtEndPr>
      <w:rPr>
        <w:noProof/>
        <w:sz w:val="22"/>
        <w:szCs w:val="22"/>
      </w:rPr>
    </w:sdtEndPr>
    <w:sdtContent>
      <w:p w14:paraId="41E06557" w14:textId="076B2872" w:rsidR="00795050" w:rsidRPr="00795050" w:rsidRDefault="00795050">
        <w:pPr>
          <w:pStyle w:val="Footer"/>
          <w:jc w:val="center"/>
          <w:rPr>
            <w:sz w:val="22"/>
            <w:szCs w:val="22"/>
          </w:rPr>
        </w:pPr>
        <w:r w:rsidRPr="00A5552E">
          <w:rPr>
            <w:sz w:val="18"/>
            <w:szCs w:val="18"/>
          </w:rPr>
          <w:fldChar w:fldCharType="begin"/>
        </w:r>
        <w:r w:rsidRPr="00A5552E">
          <w:rPr>
            <w:sz w:val="18"/>
            <w:szCs w:val="18"/>
          </w:rPr>
          <w:instrText xml:space="preserve"> PAGE   \* MERGEFORMAT </w:instrText>
        </w:r>
        <w:r w:rsidRPr="00A5552E">
          <w:rPr>
            <w:sz w:val="18"/>
            <w:szCs w:val="18"/>
          </w:rPr>
          <w:fldChar w:fldCharType="separate"/>
        </w:r>
        <w:r w:rsidRPr="00A5552E">
          <w:rPr>
            <w:noProof/>
            <w:sz w:val="18"/>
            <w:szCs w:val="18"/>
          </w:rPr>
          <w:t>2</w:t>
        </w:r>
        <w:r w:rsidRPr="00A5552E">
          <w:rPr>
            <w:noProof/>
            <w:sz w:val="18"/>
            <w:szCs w:val="18"/>
          </w:rPr>
          <w:fldChar w:fldCharType="end"/>
        </w:r>
      </w:p>
    </w:sdtContent>
  </w:sdt>
  <w:p w14:paraId="27BF9065" w14:textId="77777777" w:rsidR="00795050" w:rsidRDefault="00795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32AE6" w14:textId="6EFBE56D" w:rsidR="0052552A" w:rsidRPr="0052552A" w:rsidRDefault="0052552A">
    <w:pPr>
      <w:pStyle w:val="Footer"/>
      <w:jc w:val="center"/>
      <w:rPr>
        <w:sz w:val="18"/>
        <w:szCs w:val="18"/>
      </w:rPr>
    </w:pPr>
  </w:p>
  <w:p w14:paraId="66FFFBD6" w14:textId="77777777" w:rsidR="0052552A" w:rsidRDefault="00525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507555"/>
      <w:docPartObj>
        <w:docPartGallery w:val="Page Numbers (Bottom of Page)"/>
        <w:docPartUnique/>
      </w:docPartObj>
    </w:sdtPr>
    <w:sdtEndPr>
      <w:rPr>
        <w:noProof/>
        <w:sz w:val="18"/>
        <w:szCs w:val="18"/>
      </w:rPr>
    </w:sdtEndPr>
    <w:sdtContent>
      <w:p w14:paraId="114FAE7F" w14:textId="77777777" w:rsidR="0052552A" w:rsidRPr="0052552A" w:rsidRDefault="0052552A">
        <w:pPr>
          <w:pStyle w:val="Footer"/>
          <w:jc w:val="center"/>
          <w:rPr>
            <w:sz w:val="18"/>
            <w:szCs w:val="18"/>
          </w:rPr>
        </w:pPr>
        <w:r w:rsidRPr="0052552A">
          <w:rPr>
            <w:sz w:val="18"/>
            <w:szCs w:val="18"/>
          </w:rPr>
          <w:fldChar w:fldCharType="begin"/>
        </w:r>
        <w:r w:rsidRPr="0052552A">
          <w:rPr>
            <w:sz w:val="18"/>
            <w:szCs w:val="18"/>
          </w:rPr>
          <w:instrText xml:space="preserve"> PAGE   \* MERGEFORMAT </w:instrText>
        </w:r>
        <w:r w:rsidRPr="0052552A">
          <w:rPr>
            <w:sz w:val="18"/>
            <w:szCs w:val="18"/>
          </w:rPr>
          <w:fldChar w:fldCharType="separate"/>
        </w:r>
        <w:r w:rsidRPr="0052552A">
          <w:rPr>
            <w:noProof/>
            <w:sz w:val="18"/>
            <w:szCs w:val="18"/>
          </w:rPr>
          <w:t>2</w:t>
        </w:r>
        <w:r w:rsidRPr="0052552A">
          <w:rPr>
            <w:noProof/>
            <w:sz w:val="18"/>
            <w:szCs w:val="18"/>
          </w:rPr>
          <w:fldChar w:fldCharType="end"/>
        </w:r>
      </w:p>
    </w:sdtContent>
  </w:sdt>
  <w:p w14:paraId="38E5FB47" w14:textId="77777777" w:rsidR="0052552A" w:rsidRDefault="0052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5707C" w14:textId="77777777" w:rsidR="00E35164" w:rsidRPr="00B97F3A" w:rsidRDefault="00E35164" w:rsidP="00504219">
      <w:r w:rsidRPr="00B97F3A">
        <w:separator/>
      </w:r>
    </w:p>
  </w:footnote>
  <w:footnote w:type="continuationSeparator" w:id="0">
    <w:p w14:paraId="035F5397" w14:textId="77777777" w:rsidR="00E35164" w:rsidRPr="00B97F3A" w:rsidRDefault="00E35164" w:rsidP="00504219">
      <w:r w:rsidRPr="00B97F3A">
        <w:continuationSeparator/>
      </w:r>
    </w:p>
  </w:footnote>
  <w:footnote w:id="1">
    <w:p w14:paraId="4D50956B" w14:textId="088C70C7" w:rsidR="00E35164" w:rsidRDefault="00E35164">
      <w:pPr>
        <w:pStyle w:val="FootnoteText"/>
      </w:pPr>
      <w:r w:rsidRPr="005B41A3">
        <w:rPr>
          <w:rStyle w:val="FootnoteReference"/>
        </w:rPr>
        <w:footnoteRef/>
      </w:r>
      <w:r w:rsidRPr="005B41A3">
        <w:rPr>
          <w:rStyle w:val="FootnoteReference"/>
        </w:rPr>
        <w:t xml:space="preserve"> </w:t>
      </w:r>
      <w:hyperlink r:id="rId1" w:history="1">
        <w:r w:rsidRPr="009B1CF4">
          <w:rPr>
            <w:rStyle w:val="Hyperlink"/>
            <w:lang w:val="en-US"/>
          </w:rPr>
          <w:t>https://rm.coe.int/fifth-report-on-the-russian-federation/1680934a91</w:t>
        </w:r>
      </w:hyperlink>
      <w:r w:rsidRPr="009B1CF4">
        <w:rPr>
          <w:lang w:val="en-US"/>
        </w:rPr>
        <w:t xml:space="preserve">. </w:t>
      </w:r>
      <w:r>
        <w:t>Last accessed on the date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5585" w14:textId="250AEED4" w:rsidR="00844790" w:rsidRPr="00B97F3A" w:rsidRDefault="00844790" w:rsidP="00504219">
    <w:pPr>
      <w:pStyle w:val="JuHeader"/>
    </w:pPr>
    <w:r w:rsidRPr="00B97F3A">
      <w:t xml:space="preserve">TAGANROG LRO AND OTHERS v. RUSSIA – </w:t>
    </w:r>
    <w:r w:rsidR="00A3209A">
      <w:t>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2471" w14:textId="5C5CA8C4" w:rsidR="00844790" w:rsidRPr="00A05A52" w:rsidRDefault="00A05A52" w:rsidP="0052552A">
    <w:pPr>
      <w:pStyle w:val="JuHeader"/>
      <w:rPr>
        <w:rStyle w:val="PageNumber"/>
        <w:sz w:val="24"/>
      </w:rPr>
    </w:pPr>
    <w:r w:rsidRPr="00B97F3A">
      <w:t xml:space="preserve">TAGANROG LRO AND OTHERS v. RUSSIA – </w:t>
    </w:r>
    <w:r>
      <w:t>JUDGMENT</w:t>
    </w:r>
    <w:r w:rsidR="0052552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1A99" w14:textId="00E3989D" w:rsidR="00A05A52" w:rsidRDefault="00A05A52" w:rsidP="00A05A52">
    <w:pPr>
      <w:pStyle w:val="Header"/>
      <w:jc w:val="center"/>
    </w:pPr>
    <w:r>
      <w:rPr>
        <w:noProof/>
        <w:lang w:val="en-US" w:eastAsia="ja-JP"/>
      </w:rPr>
      <w:drawing>
        <wp:inline distT="0" distB="0" distL="0" distR="0" wp14:anchorId="36626194" wp14:editId="77463A7D">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83D5" w14:textId="687971B1" w:rsidR="0052552A" w:rsidRDefault="0052552A" w:rsidP="0052552A">
    <w:pPr>
      <w:pStyle w:val="JuHeader"/>
    </w:pPr>
    <w:r w:rsidRPr="00B97F3A">
      <w:t xml:space="preserve">TAGANROG LRO AND OTHERS v. RUSSIA –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7B82" w14:textId="77777777" w:rsidR="0052552A" w:rsidRDefault="0052552A" w:rsidP="00A3209A">
    <w:pPr>
      <w:pStyle w:val="JuHeader"/>
    </w:pPr>
    <w:r w:rsidRPr="00B97F3A">
      <w:t xml:space="preserve">TAGANROG LRO AND OTHERS v. RUSSIA – </w:t>
    </w:r>
    <w:r>
      <w:t>JUDGMENT</w:t>
    </w:r>
  </w:p>
  <w:p w14:paraId="6E372BA0" w14:textId="77777777" w:rsidR="0052552A" w:rsidRPr="00B97F3A" w:rsidRDefault="0052552A" w:rsidP="00A3209A">
    <w:pPr>
      <w:pStyle w:val="JuHeade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7581" w14:textId="53F0CC2C" w:rsidR="00DE22AF" w:rsidRPr="00A05A52" w:rsidRDefault="00DE22AF" w:rsidP="00DE22AF">
    <w:pPr>
      <w:pStyle w:val="JuHeader"/>
      <w:rPr>
        <w:rStyle w:val="PageNumber"/>
        <w:sz w:val="24"/>
      </w:rPr>
    </w:pPr>
    <w:r w:rsidRPr="00B97F3A">
      <w:t xml:space="preserve">TAGANROG LRO AND OTHERS v. RUSSIA – </w:t>
    </w:r>
    <w:r>
      <w:t>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5731082"/>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113A49"/>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6" w15:restartNumberingAfterBreak="0">
    <w:nsid w:val="3A1154FF"/>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87BE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15:restartNumberingAfterBreak="0">
    <w:nsid w:val="4F5A73D0"/>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1"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2"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3" w15:restartNumberingAfterBreak="0">
    <w:nsid w:val="67FD1241"/>
    <w:multiLevelType w:val="hybridMultilevel"/>
    <w:tmpl w:val="F6D86CC2"/>
    <w:lvl w:ilvl="0" w:tplc="75EC6DC8">
      <w:start w:val="1"/>
      <w:numFmt w:val="bullet"/>
      <w:pStyle w:val="ListBullet"/>
      <w:lvlText w:val=""/>
      <w:lvlJc w:val="left"/>
      <w:pPr>
        <w:tabs>
          <w:tab w:val="num" w:pos="851"/>
        </w:tabs>
        <w:ind w:left="568" w:firstLine="0"/>
      </w:pPr>
      <w:rPr>
        <w:rFonts w:ascii="Wingdings" w:hAnsi="Wingdings" w:hint="default"/>
        <w:color w:val="808080"/>
        <w:sz w:val="16"/>
      </w:rPr>
    </w:lvl>
    <w:lvl w:ilvl="1" w:tplc="2DA8EB38" w:tentative="1">
      <w:start w:val="1"/>
      <w:numFmt w:val="bullet"/>
      <w:lvlText w:val="o"/>
      <w:lvlJc w:val="left"/>
      <w:pPr>
        <w:tabs>
          <w:tab w:val="num" w:pos="1724"/>
        </w:tabs>
        <w:ind w:left="1724" w:hanging="360"/>
      </w:pPr>
      <w:rPr>
        <w:rFonts w:ascii="Courier New" w:hAnsi="Courier New" w:cs="Courier New" w:hint="default"/>
      </w:rPr>
    </w:lvl>
    <w:lvl w:ilvl="2" w:tplc="815A0178" w:tentative="1">
      <w:start w:val="1"/>
      <w:numFmt w:val="bullet"/>
      <w:lvlText w:val=""/>
      <w:lvlJc w:val="left"/>
      <w:pPr>
        <w:tabs>
          <w:tab w:val="num" w:pos="2444"/>
        </w:tabs>
        <w:ind w:left="2444" w:hanging="360"/>
      </w:pPr>
      <w:rPr>
        <w:rFonts w:ascii="Wingdings" w:hAnsi="Wingdings" w:hint="default"/>
      </w:rPr>
    </w:lvl>
    <w:lvl w:ilvl="3" w:tplc="C9789B18" w:tentative="1">
      <w:start w:val="1"/>
      <w:numFmt w:val="bullet"/>
      <w:lvlText w:val=""/>
      <w:lvlJc w:val="left"/>
      <w:pPr>
        <w:tabs>
          <w:tab w:val="num" w:pos="3164"/>
        </w:tabs>
        <w:ind w:left="3164" w:hanging="360"/>
      </w:pPr>
      <w:rPr>
        <w:rFonts w:ascii="Symbol" w:hAnsi="Symbol" w:hint="default"/>
      </w:rPr>
    </w:lvl>
    <w:lvl w:ilvl="4" w:tplc="95FEC28C" w:tentative="1">
      <w:start w:val="1"/>
      <w:numFmt w:val="bullet"/>
      <w:lvlText w:val="o"/>
      <w:lvlJc w:val="left"/>
      <w:pPr>
        <w:tabs>
          <w:tab w:val="num" w:pos="3884"/>
        </w:tabs>
        <w:ind w:left="3884" w:hanging="360"/>
      </w:pPr>
      <w:rPr>
        <w:rFonts w:ascii="Courier New" w:hAnsi="Courier New" w:cs="Courier New" w:hint="default"/>
      </w:rPr>
    </w:lvl>
    <w:lvl w:ilvl="5" w:tplc="E87A1244" w:tentative="1">
      <w:start w:val="1"/>
      <w:numFmt w:val="bullet"/>
      <w:lvlText w:val=""/>
      <w:lvlJc w:val="left"/>
      <w:pPr>
        <w:tabs>
          <w:tab w:val="num" w:pos="4604"/>
        </w:tabs>
        <w:ind w:left="4604" w:hanging="360"/>
      </w:pPr>
      <w:rPr>
        <w:rFonts w:ascii="Wingdings" w:hAnsi="Wingdings" w:hint="default"/>
      </w:rPr>
    </w:lvl>
    <w:lvl w:ilvl="6" w:tplc="242CFE72" w:tentative="1">
      <w:start w:val="1"/>
      <w:numFmt w:val="bullet"/>
      <w:lvlText w:val=""/>
      <w:lvlJc w:val="left"/>
      <w:pPr>
        <w:tabs>
          <w:tab w:val="num" w:pos="5324"/>
        </w:tabs>
        <w:ind w:left="5324" w:hanging="360"/>
      </w:pPr>
      <w:rPr>
        <w:rFonts w:ascii="Symbol" w:hAnsi="Symbol" w:hint="default"/>
      </w:rPr>
    </w:lvl>
    <w:lvl w:ilvl="7" w:tplc="08DC249C" w:tentative="1">
      <w:start w:val="1"/>
      <w:numFmt w:val="bullet"/>
      <w:lvlText w:val="o"/>
      <w:lvlJc w:val="left"/>
      <w:pPr>
        <w:tabs>
          <w:tab w:val="num" w:pos="6044"/>
        </w:tabs>
        <w:ind w:left="6044" w:hanging="360"/>
      </w:pPr>
      <w:rPr>
        <w:rFonts w:ascii="Courier New" w:hAnsi="Courier New" w:cs="Courier New" w:hint="default"/>
      </w:rPr>
    </w:lvl>
    <w:lvl w:ilvl="8" w:tplc="E2D0D556" w:tentative="1">
      <w:start w:val="1"/>
      <w:numFmt w:val="bullet"/>
      <w:lvlText w:val=""/>
      <w:lvlJc w:val="left"/>
      <w:pPr>
        <w:tabs>
          <w:tab w:val="num" w:pos="6764"/>
        </w:tabs>
        <w:ind w:left="6764" w:hanging="360"/>
      </w:pPr>
      <w:rPr>
        <w:rFonts w:ascii="Wingdings" w:hAnsi="Wingdings" w:hint="default"/>
      </w:rPr>
    </w:lvl>
  </w:abstractNum>
  <w:num w:numId="1">
    <w:abstractNumId w:val="2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20"/>
  </w:num>
  <w:num w:numId="6">
    <w:abstractNumId w:val="16"/>
  </w:num>
  <w:num w:numId="7">
    <w:abstractNumId w:val="11"/>
  </w:num>
  <w:num w:numId="8">
    <w:abstractNumId w:val="17"/>
  </w:num>
  <w:num w:numId="9">
    <w:abstractNumId w:val="13"/>
  </w:num>
  <w:num w:numId="10">
    <w:abstractNumId w:val="12"/>
  </w:num>
  <w:num w:numId="11">
    <w:abstractNumId w:val="19"/>
  </w:num>
  <w:num w:numId="12">
    <w:abstractNumId w:val="14"/>
  </w:num>
  <w:num w:numId="13">
    <w:abstractNumId w:val="21"/>
  </w:num>
  <w:num w:numId="14">
    <w:abstractNumId w:val="19"/>
  </w:num>
  <w:num w:numId="15">
    <w:abstractNumId w:val="21"/>
  </w:num>
  <w:num w:numId="16">
    <w:abstractNumId w:val="10"/>
  </w:num>
  <w:num w:numId="17">
    <w:abstractNumId w:val="9"/>
  </w:num>
  <w:num w:numId="18">
    <w:abstractNumId w:val="23"/>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19137"/>
  </w:hdrShapeDefaults>
  <w:footnotePr>
    <w:numRestart w:val="eachSect"/>
    <w:footnote w:id="-1"/>
    <w:footnote w:id="0"/>
  </w:footnotePr>
  <w:endnotePr>
    <w:numFmt w:val="decimal"/>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LetCode" w:val="DE2.1 "/>
    <w:docVar w:name="NBApplication" w:val="19"/>
    <w:docVar w:name="NBEMMDOC" w:val="0"/>
    <w:docVar w:name="SignForeName" w:val="0"/>
  </w:docVars>
  <w:rsids>
    <w:rsidRoot w:val="008B54C0"/>
    <w:rsid w:val="000002F7"/>
    <w:rsid w:val="0000176D"/>
    <w:rsid w:val="00003359"/>
    <w:rsid w:val="00004050"/>
    <w:rsid w:val="000059CD"/>
    <w:rsid w:val="00005AAE"/>
    <w:rsid w:val="00005ACA"/>
    <w:rsid w:val="000149C0"/>
    <w:rsid w:val="00014D91"/>
    <w:rsid w:val="00017101"/>
    <w:rsid w:val="00021F26"/>
    <w:rsid w:val="00022CC8"/>
    <w:rsid w:val="00024924"/>
    <w:rsid w:val="00026500"/>
    <w:rsid w:val="000305A3"/>
    <w:rsid w:val="00031171"/>
    <w:rsid w:val="000320CD"/>
    <w:rsid w:val="0003477A"/>
    <w:rsid w:val="0003576F"/>
    <w:rsid w:val="000362DA"/>
    <w:rsid w:val="000368E3"/>
    <w:rsid w:val="00036C11"/>
    <w:rsid w:val="00037256"/>
    <w:rsid w:val="00037B8D"/>
    <w:rsid w:val="00037FCB"/>
    <w:rsid w:val="000420C0"/>
    <w:rsid w:val="00043993"/>
    <w:rsid w:val="000459AB"/>
    <w:rsid w:val="00046F4D"/>
    <w:rsid w:val="00047367"/>
    <w:rsid w:val="000479AA"/>
    <w:rsid w:val="00047C93"/>
    <w:rsid w:val="0005213E"/>
    <w:rsid w:val="00052D1E"/>
    <w:rsid w:val="00053A20"/>
    <w:rsid w:val="00053DDE"/>
    <w:rsid w:val="000542C0"/>
    <w:rsid w:val="0005433E"/>
    <w:rsid w:val="0005475A"/>
    <w:rsid w:val="00055281"/>
    <w:rsid w:val="00055BAD"/>
    <w:rsid w:val="00056BE0"/>
    <w:rsid w:val="00060410"/>
    <w:rsid w:val="000617FF"/>
    <w:rsid w:val="00064B21"/>
    <w:rsid w:val="0006550A"/>
    <w:rsid w:val="00066B4E"/>
    <w:rsid w:val="00070316"/>
    <w:rsid w:val="00071B3A"/>
    <w:rsid w:val="00072A2C"/>
    <w:rsid w:val="00074B7A"/>
    <w:rsid w:val="000757CC"/>
    <w:rsid w:val="00075AC5"/>
    <w:rsid w:val="00075BC9"/>
    <w:rsid w:val="00075CE6"/>
    <w:rsid w:val="00075EDE"/>
    <w:rsid w:val="00075F6A"/>
    <w:rsid w:val="00076284"/>
    <w:rsid w:val="000769BF"/>
    <w:rsid w:val="0007754C"/>
    <w:rsid w:val="0008014F"/>
    <w:rsid w:val="00080233"/>
    <w:rsid w:val="0008058D"/>
    <w:rsid w:val="00080641"/>
    <w:rsid w:val="000824FB"/>
    <w:rsid w:val="000828B5"/>
    <w:rsid w:val="00083D9A"/>
    <w:rsid w:val="00084250"/>
    <w:rsid w:val="00084968"/>
    <w:rsid w:val="00084A80"/>
    <w:rsid w:val="00085332"/>
    <w:rsid w:val="0008590A"/>
    <w:rsid w:val="00087204"/>
    <w:rsid w:val="00087935"/>
    <w:rsid w:val="00092871"/>
    <w:rsid w:val="00094AC2"/>
    <w:rsid w:val="00094EE4"/>
    <w:rsid w:val="00096253"/>
    <w:rsid w:val="00096B4B"/>
    <w:rsid w:val="0009755D"/>
    <w:rsid w:val="00097A27"/>
    <w:rsid w:val="000A06C4"/>
    <w:rsid w:val="000A0747"/>
    <w:rsid w:val="000A7365"/>
    <w:rsid w:val="000A78BF"/>
    <w:rsid w:val="000B11F5"/>
    <w:rsid w:val="000B1426"/>
    <w:rsid w:val="000B27E2"/>
    <w:rsid w:val="000B2C8D"/>
    <w:rsid w:val="000B3EDE"/>
    <w:rsid w:val="000B4BEB"/>
    <w:rsid w:val="000B4F20"/>
    <w:rsid w:val="000B5235"/>
    <w:rsid w:val="000B6D76"/>
    <w:rsid w:val="000C1695"/>
    <w:rsid w:val="000C175F"/>
    <w:rsid w:val="000C27D7"/>
    <w:rsid w:val="000C44A7"/>
    <w:rsid w:val="000C53A1"/>
    <w:rsid w:val="000C5AA2"/>
    <w:rsid w:val="000C5E0E"/>
    <w:rsid w:val="000C5E9E"/>
    <w:rsid w:val="000C7D20"/>
    <w:rsid w:val="000C7D8B"/>
    <w:rsid w:val="000C7EEA"/>
    <w:rsid w:val="000D0242"/>
    <w:rsid w:val="000D049D"/>
    <w:rsid w:val="000D12FF"/>
    <w:rsid w:val="000D27F4"/>
    <w:rsid w:val="000D44EF"/>
    <w:rsid w:val="000D62CC"/>
    <w:rsid w:val="000D64DD"/>
    <w:rsid w:val="000D6A73"/>
    <w:rsid w:val="000D765C"/>
    <w:rsid w:val="000E1E22"/>
    <w:rsid w:val="000E35E4"/>
    <w:rsid w:val="000E60CB"/>
    <w:rsid w:val="000E70E5"/>
    <w:rsid w:val="000F09F1"/>
    <w:rsid w:val="000F3E30"/>
    <w:rsid w:val="000F5C28"/>
    <w:rsid w:val="000F615A"/>
    <w:rsid w:val="000F74D0"/>
    <w:rsid w:val="000F7A5E"/>
    <w:rsid w:val="00101649"/>
    <w:rsid w:val="00101DE4"/>
    <w:rsid w:val="00101F9A"/>
    <w:rsid w:val="00104818"/>
    <w:rsid w:val="00105B08"/>
    <w:rsid w:val="00107698"/>
    <w:rsid w:val="00110420"/>
    <w:rsid w:val="001108B2"/>
    <w:rsid w:val="00110D29"/>
    <w:rsid w:val="00112115"/>
    <w:rsid w:val="0011451F"/>
    <w:rsid w:val="00114C80"/>
    <w:rsid w:val="00115F05"/>
    <w:rsid w:val="00116750"/>
    <w:rsid w:val="0012048E"/>
    <w:rsid w:val="00122DE8"/>
    <w:rsid w:val="00123F21"/>
    <w:rsid w:val="00125512"/>
    <w:rsid w:val="00126B9C"/>
    <w:rsid w:val="00134516"/>
    <w:rsid w:val="00134939"/>
    <w:rsid w:val="00136226"/>
    <w:rsid w:val="001370AA"/>
    <w:rsid w:val="001401EF"/>
    <w:rsid w:val="00145C9D"/>
    <w:rsid w:val="001506E8"/>
    <w:rsid w:val="00150A1E"/>
    <w:rsid w:val="00150AFC"/>
    <w:rsid w:val="00151684"/>
    <w:rsid w:val="00151C30"/>
    <w:rsid w:val="00152339"/>
    <w:rsid w:val="00152A31"/>
    <w:rsid w:val="001532D0"/>
    <w:rsid w:val="001535E0"/>
    <w:rsid w:val="00154DFB"/>
    <w:rsid w:val="001567ED"/>
    <w:rsid w:val="00156ACF"/>
    <w:rsid w:val="00160CEC"/>
    <w:rsid w:val="001621EE"/>
    <w:rsid w:val="0016524D"/>
    <w:rsid w:val="001656C8"/>
    <w:rsid w:val="001674F3"/>
    <w:rsid w:val="0017138D"/>
    <w:rsid w:val="00175E5B"/>
    <w:rsid w:val="00176BE0"/>
    <w:rsid w:val="00176EA1"/>
    <w:rsid w:val="001771C9"/>
    <w:rsid w:val="00180FBF"/>
    <w:rsid w:val="0018104A"/>
    <w:rsid w:val="00182517"/>
    <w:rsid w:val="00182B77"/>
    <w:rsid w:val="001830A3"/>
    <w:rsid w:val="001834AD"/>
    <w:rsid w:val="001844DC"/>
    <w:rsid w:val="001858EE"/>
    <w:rsid w:val="00186706"/>
    <w:rsid w:val="00187095"/>
    <w:rsid w:val="001910E3"/>
    <w:rsid w:val="001918E9"/>
    <w:rsid w:val="00191CC4"/>
    <w:rsid w:val="00191F27"/>
    <w:rsid w:val="0019263D"/>
    <w:rsid w:val="00192AFD"/>
    <w:rsid w:val="00194C02"/>
    <w:rsid w:val="0019733A"/>
    <w:rsid w:val="00197952"/>
    <w:rsid w:val="001A20BD"/>
    <w:rsid w:val="001A3337"/>
    <w:rsid w:val="001A3585"/>
    <w:rsid w:val="001A3A24"/>
    <w:rsid w:val="001A3CAC"/>
    <w:rsid w:val="001A64AD"/>
    <w:rsid w:val="001A7E16"/>
    <w:rsid w:val="001B0257"/>
    <w:rsid w:val="001B1DA6"/>
    <w:rsid w:val="001B2114"/>
    <w:rsid w:val="001B2372"/>
    <w:rsid w:val="001B32E3"/>
    <w:rsid w:val="001B35C5"/>
    <w:rsid w:val="001B4581"/>
    <w:rsid w:val="001B46E5"/>
    <w:rsid w:val="001B6345"/>
    <w:rsid w:val="001C07C2"/>
    <w:rsid w:val="001C11BD"/>
    <w:rsid w:val="001C45D3"/>
    <w:rsid w:val="001C4C55"/>
    <w:rsid w:val="001C4D33"/>
    <w:rsid w:val="001C61F3"/>
    <w:rsid w:val="001C659E"/>
    <w:rsid w:val="001C6D83"/>
    <w:rsid w:val="001C7418"/>
    <w:rsid w:val="001D0683"/>
    <w:rsid w:val="001D0A66"/>
    <w:rsid w:val="001D0FA1"/>
    <w:rsid w:val="001D11F6"/>
    <w:rsid w:val="001D1C22"/>
    <w:rsid w:val="001D328E"/>
    <w:rsid w:val="001D4A34"/>
    <w:rsid w:val="001D6F48"/>
    <w:rsid w:val="001D774B"/>
    <w:rsid w:val="001E026E"/>
    <w:rsid w:val="001E0E28"/>
    <w:rsid w:val="001E36B6"/>
    <w:rsid w:val="001E3741"/>
    <w:rsid w:val="001E40FD"/>
    <w:rsid w:val="001E63FF"/>
    <w:rsid w:val="001E6843"/>
    <w:rsid w:val="001E6BC3"/>
    <w:rsid w:val="001E754B"/>
    <w:rsid w:val="001E7BCD"/>
    <w:rsid w:val="001F031A"/>
    <w:rsid w:val="001F063D"/>
    <w:rsid w:val="001F20AC"/>
    <w:rsid w:val="001F2254"/>
    <w:rsid w:val="001F619B"/>
    <w:rsid w:val="001F7303"/>
    <w:rsid w:val="001F771D"/>
    <w:rsid w:val="001F7808"/>
    <w:rsid w:val="00200644"/>
    <w:rsid w:val="00200852"/>
    <w:rsid w:val="002016E2"/>
    <w:rsid w:val="002048E4"/>
    <w:rsid w:val="00204F1D"/>
    <w:rsid w:val="002064B8"/>
    <w:rsid w:val="00207A10"/>
    <w:rsid w:val="002105AC"/>
    <w:rsid w:val="00210D1C"/>
    <w:rsid w:val="00212660"/>
    <w:rsid w:val="00212785"/>
    <w:rsid w:val="00213AA2"/>
    <w:rsid w:val="00214051"/>
    <w:rsid w:val="00214758"/>
    <w:rsid w:val="0021509F"/>
    <w:rsid w:val="00215AA2"/>
    <w:rsid w:val="00217B1C"/>
    <w:rsid w:val="00217F5B"/>
    <w:rsid w:val="002216AE"/>
    <w:rsid w:val="0022337E"/>
    <w:rsid w:val="002255C5"/>
    <w:rsid w:val="002260F0"/>
    <w:rsid w:val="0022768B"/>
    <w:rsid w:val="00227999"/>
    <w:rsid w:val="0023124F"/>
    <w:rsid w:val="002330B6"/>
    <w:rsid w:val="002335F6"/>
    <w:rsid w:val="0024211D"/>
    <w:rsid w:val="002421A0"/>
    <w:rsid w:val="00245079"/>
    <w:rsid w:val="00246600"/>
    <w:rsid w:val="00251C78"/>
    <w:rsid w:val="00252110"/>
    <w:rsid w:val="002529BF"/>
    <w:rsid w:val="00252C47"/>
    <w:rsid w:val="0025358C"/>
    <w:rsid w:val="0025367E"/>
    <w:rsid w:val="00255614"/>
    <w:rsid w:val="002573D4"/>
    <w:rsid w:val="00257A57"/>
    <w:rsid w:val="00257C44"/>
    <w:rsid w:val="002606BF"/>
    <w:rsid w:val="00261FB4"/>
    <w:rsid w:val="00262CB2"/>
    <w:rsid w:val="002638B2"/>
    <w:rsid w:val="0026427C"/>
    <w:rsid w:val="0026548A"/>
    <w:rsid w:val="00265C13"/>
    <w:rsid w:val="00266308"/>
    <w:rsid w:val="002703D5"/>
    <w:rsid w:val="002715A3"/>
    <w:rsid w:val="00271AE8"/>
    <w:rsid w:val="0027308B"/>
    <w:rsid w:val="00273E0F"/>
    <w:rsid w:val="00274A2C"/>
    <w:rsid w:val="00274B2B"/>
    <w:rsid w:val="00275A77"/>
    <w:rsid w:val="0027717E"/>
    <w:rsid w:val="00281841"/>
    <w:rsid w:val="00281C86"/>
    <w:rsid w:val="002828DD"/>
    <w:rsid w:val="00283E7D"/>
    <w:rsid w:val="00284194"/>
    <w:rsid w:val="00284AC3"/>
    <w:rsid w:val="00286436"/>
    <w:rsid w:val="002900A4"/>
    <w:rsid w:val="0029094D"/>
    <w:rsid w:val="002925A8"/>
    <w:rsid w:val="00294067"/>
    <w:rsid w:val="002963B5"/>
    <w:rsid w:val="00296CBF"/>
    <w:rsid w:val="0029757A"/>
    <w:rsid w:val="00297672"/>
    <w:rsid w:val="002A0CBE"/>
    <w:rsid w:val="002A1632"/>
    <w:rsid w:val="002A2787"/>
    <w:rsid w:val="002A38DC"/>
    <w:rsid w:val="002A4653"/>
    <w:rsid w:val="002A4819"/>
    <w:rsid w:val="002A4D4D"/>
    <w:rsid w:val="002A53D8"/>
    <w:rsid w:val="002A76DC"/>
    <w:rsid w:val="002B247E"/>
    <w:rsid w:val="002B248D"/>
    <w:rsid w:val="002B2493"/>
    <w:rsid w:val="002B2EE4"/>
    <w:rsid w:val="002B3558"/>
    <w:rsid w:val="002B3686"/>
    <w:rsid w:val="002B3B7A"/>
    <w:rsid w:val="002B4822"/>
    <w:rsid w:val="002B4882"/>
    <w:rsid w:val="002B4A08"/>
    <w:rsid w:val="002C2400"/>
    <w:rsid w:val="002C24CA"/>
    <w:rsid w:val="002C2B5E"/>
    <w:rsid w:val="002C406B"/>
    <w:rsid w:val="002C5EAE"/>
    <w:rsid w:val="002C68BC"/>
    <w:rsid w:val="002C7489"/>
    <w:rsid w:val="002C74E0"/>
    <w:rsid w:val="002C7C58"/>
    <w:rsid w:val="002D039E"/>
    <w:rsid w:val="002D29E1"/>
    <w:rsid w:val="002D335A"/>
    <w:rsid w:val="002D548E"/>
    <w:rsid w:val="002D5622"/>
    <w:rsid w:val="002D5C8D"/>
    <w:rsid w:val="002E09D6"/>
    <w:rsid w:val="002E153D"/>
    <w:rsid w:val="002E2BF2"/>
    <w:rsid w:val="002E3078"/>
    <w:rsid w:val="002E432A"/>
    <w:rsid w:val="002E4492"/>
    <w:rsid w:val="002E7A02"/>
    <w:rsid w:val="002E7C60"/>
    <w:rsid w:val="002E7E8B"/>
    <w:rsid w:val="002F0576"/>
    <w:rsid w:val="002F0A52"/>
    <w:rsid w:val="002F1AA2"/>
    <w:rsid w:val="002F213B"/>
    <w:rsid w:val="002F309B"/>
    <w:rsid w:val="002F3DDF"/>
    <w:rsid w:val="002F5E1D"/>
    <w:rsid w:val="003012B1"/>
    <w:rsid w:val="00301620"/>
    <w:rsid w:val="003032C5"/>
    <w:rsid w:val="0030416D"/>
    <w:rsid w:val="00305DEA"/>
    <w:rsid w:val="00310591"/>
    <w:rsid w:val="00310858"/>
    <w:rsid w:val="003110C3"/>
    <w:rsid w:val="00311503"/>
    <w:rsid w:val="00312958"/>
    <w:rsid w:val="00312986"/>
    <w:rsid w:val="0031377D"/>
    <w:rsid w:val="00313B69"/>
    <w:rsid w:val="003179D7"/>
    <w:rsid w:val="00320BC2"/>
    <w:rsid w:val="00320F95"/>
    <w:rsid w:val="003224C0"/>
    <w:rsid w:val="00322D2D"/>
    <w:rsid w:val="00323BD7"/>
    <w:rsid w:val="003242AE"/>
    <w:rsid w:val="00325412"/>
    <w:rsid w:val="00325FFE"/>
    <w:rsid w:val="003264FD"/>
    <w:rsid w:val="003274B1"/>
    <w:rsid w:val="00327FD5"/>
    <w:rsid w:val="00330043"/>
    <w:rsid w:val="003304C2"/>
    <w:rsid w:val="00330BB7"/>
    <w:rsid w:val="00331102"/>
    <w:rsid w:val="00331247"/>
    <w:rsid w:val="00332AD2"/>
    <w:rsid w:val="00332EF4"/>
    <w:rsid w:val="003363AD"/>
    <w:rsid w:val="00337016"/>
    <w:rsid w:val="00337860"/>
    <w:rsid w:val="00337A60"/>
    <w:rsid w:val="00340062"/>
    <w:rsid w:val="00341B70"/>
    <w:rsid w:val="0034351A"/>
    <w:rsid w:val="00344A22"/>
    <w:rsid w:val="003451FC"/>
    <w:rsid w:val="00345E40"/>
    <w:rsid w:val="00346005"/>
    <w:rsid w:val="003464C5"/>
    <w:rsid w:val="00347485"/>
    <w:rsid w:val="00351105"/>
    <w:rsid w:val="003519D2"/>
    <w:rsid w:val="003526F7"/>
    <w:rsid w:val="00352B99"/>
    <w:rsid w:val="00353A12"/>
    <w:rsid w:val="003541C6"/>
    <w:rsid w:val="00357F40"/>
    <w:rsid w:val="003619AA"/>
    <w:rsid w:val="003627D8"/>
    <w:rsid w:val="00362BA5"/>
    <w:rsid w:val="00363B75"/>
    <w:rsid w:val="00363E7A"/>
    <w:rsid w:val="00363FEF"/>
    <w:rsid w:val="00365447"/>
    <w:rsid w:val="00365DB3"/>
    <w:rsid w:val="00366336"/>
    <w:rsid w:val="00366AD9"/>
    <w:rsid w:val="00366F5E"/>
    <w:rsid w:val="00367968"/>
    <w:rsid w:val="00367E77"/>
    <w:rsid w:val="0037052D"/>
    <w:rsid w:val="0037106F"/>
    <w:rsid w:val="00371E76"/>
    <w:rsid w:val="00372111"/>
    <w:rsid w:val="00372307"/>
    <w:rsid w:val="00372D03"/>
    <w:rsid w:val="003732B8"/>
    <w:rsid w:val="00374963"/>
    <w:rsid w:val="00374E4F"/>
    <w:rsid w:val="00380EF6"/>
    <w:rsid w:val="00381E1E"/>
    <w:rsid w:val="00383412"/>
    <w:rsid w:val="003848B2"/>
    <w:rsid w:val="00384B46"/>
    <w:rsid w:val="00387B76"/>
    <w:rsid w:val="00387D50"/>
    <w:rsid w:val="00390F79"/>
    <w:rsid w:val="00391D3A"/>
    <w:rsid w:val="00396F9A"/>
    <w:rsid w:val="00397A43"/>
    <w:rsid w:val="00397CF4"/>
    <w:rsid w:val="003A0E12"/>
    <w:rsid w:val="003A33F3"/>
    <w:rsid w:val="003A46CC"/>
    <w:rsid w:val="003A4752"/>
    <w:rsid w:val="003A4AF5"/>
    <w:rsid w:val="003A567A"/>
    <w:rsid w:val="003A5E5F"/>
    <w:rsid w:val="003A6076"/>
    <w:rsid w:val="003A64B7"/>
    <w:rsid w:val="003A6F48"/>
    <w:rsid w:val="003A7142"/>
    <w:rsid w:val="003B12C3"/>
    <w:rsid w:val="003B1979"/>
    <w:rsid w:val="003B2B21"/>
    <w:rsid w:val="003B3038"/>
    <w:rsid w:val="003B4557"/>
    <w:rsid w:val="003C0B0E"/>
    <w:rsid w:val="003C1667"/>
    <w:rsid w:val="003C1BA1"/>
    <w:rsid w:val="003C5E21"/>
    <w:rsid w:val="003D07E2"/>
    <w:rsid w:val="003D4BB0"/>
    <w:rsid w:val="003D5948"/>
    <w:rsid w:val="003D5D81"/>
    <w:rsid w:val="003E13D6"/>
    <w:rsid w:val="003E22CF"/>
    <w:rsid w:val="003E2707"/>
    <w:rsid w:val="003E2D08"/>
    <w:rsid w:val="003E3860"/>
    <w:rsid w:val="003E4685"/>
    <w:rsid w:val="003E71ED"/>
    <w:rsid w:val="003E775A"/>
    <w:rsid w:val="003F4439"/>
    <w:rsid w:val="003F46AA"/>
    <w:rsid w:val="003F53C5"/>
    <w:rsid w:val="00401053"/>
    <w:rsid w:val="00401FBD"/>
    <w:rsid w:val="004021E0"/>
    <w:rsid w:val="0040393C"/>
    <w:rsid w:val="00403E40"/>
    <w:rsid w:val="00405F70"/>
    <w:rsid w:val="00406885"/>
    <w:rsid w:val="00406F2F"/>
    <w:rsid w:val="00407B02"/>
    <w:rsid w:val="00407DB9"/>
    <w:rsid w:val="00407FB7"/>
    <w:rsid w:val="00407FF3"/>
    <w:rsid w:val="004111B7"/>
    <w:rsid w:val="00411DBF"/>
    <w:rsid w:val="00412987"/>
    <w:rsid w:val="00412DCF"/>
    <w:rsid w:val="004136AF"/>
    <w:rsid w:val="00414C1C"/>
    <w:rsid w:val="00415134"/>
    <w:rsid w:val="0042048D"/>
    <w:rsid w:val="004223AB"/>
    <w:rsid w:val="00423476"/>
    <w:rsid w:val="00423A57"/>
    <w:rsid w:val="00424374"/>
    <w:rsid w:val="00425173"/>
    <w:rsid w:val="00426B87"/>
    <w:rsid w:val="00427F01"/>
    <w:rsid w:val="004305BC"/>
    <w:rsid w:val="004311A8"/>
    <w:rsid w:val="004312B8"/>
    <w:rsid w:val="004327BD"/>
    <w:rsid w:val="00434BF9"/>
    <w:rsid w:val="004350A8"/>
    <w:rsid w:val="00436201"/>
    <w:rsid w:val="00436780"/>
    <w:rsid w:val="00436EC3"/>
    <w:rsid w:val="0044043D"/>
    <w:rsid w:val="00442981"/>
    <w:rsid w:val="00442E97"/>
    <w:rsid w:val="00444568"/>
    <w:rsid w:val="0044457D"/>
    <w:rsid w:val="00446191"/>
    <w:rsid w:val="004471F9"/>
    <w:rsid w:val="00447581"/>
    <w:rsid w:val="004475D6"/>
    <w:rsid w:val="00451216"/>
    <w:rsid w:val="00452080"/>
    <w:rsid w:val="0045359B"/>
    <w:rsid w:val="004556A6"/>
    <w:rsid w:val="0045589F"/>
    <w:rsid w:val="00457543"/>
    <w:rsid w:val="00460298"/>
    <w:rsid w:val="004603A3"/>
    <w:rsid w:val="00460413"/>
    <w:rsid w:val="00462FE8"/>
    <w:rsid w:val="0046437A"/>
    <w:rsid w:val="004643B5"/>
    <w:rsid w:val="00465BFD"/>
    <w:rsid w:val="00465EB5"/>
    <w:rsid w:val="00466E17"/>
    <w:rsid w:val="004671F5"/>
    <w:rsid w:val="004716C7"/>
    <w:rsid w:val="00471944"/>
    <w:rsid w:val="0047281A"/>
    <w:rsid w:val="00473170"/>
    <w:rsid w:val="004738F3"/>
    <w:rsid w:val="00473A8C"/>
    <w:rsid w:val="004749EE"/>
    <w:rsid w:val="00475149"/>
    <w:rsid w:val="00475204"/>
    <w:rsid w:val="00476A2F"/>
    <w:rsid w:val="00476D62"/>
    <w:rsid w:val="0048170C"/>
    <w:rsid w:val="00481D27"/>
    <w:rsid w:val="00481EA1"/>
    <w:rsid w:val="00482046"/>
    <w:rsid w:val="00482B13"/>
    <w:rsid w:val="004844E1"/>
    <w:rsid w:val="0048546F"/>
    <w:rsid w:val="0048688D"/>
    <w:rsid w:val="00486D7E"/>
    <w:rsid w:val="00486F2C"/>
    <w:rsid w:val="00486FCE"/>
    <w:rsid w:val="00487806"/>
    <w:rsid w:val="0049110E"/>
    <w:rsid w:val="004914B7"/>
    <w:rsid w:val="004919BA"/>
    <w:rsid w:val="004925BB"/>
    <w:rsid w:val="00493211"/>
    <w:rsid w:val="004945B3"/>
    <w:rsid w:val="00495096"/>
    <w:rsid w:val="00496ADD"/>
    <w:rsid w:val="004A1749"/>
    <w:rsid w:val="004A2829"/>
    <w:rsid w:val="004A5F83"/>
    <w:rsid w:val="004A6F76"/>
    <w:rsid w:val="004B0251"/>
    <w:rsid w:val="004B064D"/>
    <w:rsid w:val="004B1044"/>
    <w:rsid w:val="004B2FD3"/>
    <w:rsid w:val="004B39C5"/>
    <w:rsid w:val="004B4CD0"/>
    <w:rsid w:val="004B5542"/>
    <w:rsid w:val="004B6579"/>
    <w:rsid w:val="004B7141"/>
    <w:rsid w:val="004B7EE8"/>
    <w:rsid w:val="004C071B"/>
    <w:rsid w:val="004C240E"/>
    <w:rsid w:val="004C24FD"/>
    <w:rsid w:val="004C4829"/>
    <w:rsid w:val="004C4D6F"/>
    <w:rsid w:val="004C5189"/>
    <w:rsid w:val="004C5696"/>
    <w:rsid w:val="004C5751"/>
    <w:rsid w:val="004C701D"/>
    <w:rsid w:val="004D0C3B"/>
    <w:rsid w:val="004D2785"/>
    <w:rsid w:val="004D2F61"/>
    <w:rsid w:val="004D3B09"/>
    <w:rsid w:val="004D3F90"/>
    <w:rsid w:val="004D446F"/>
    <w:rsid w:val="004D5D62"/>
    <w:rsid w:val="004D6B98"/>
    <w:rsid w:val="004E0DDC"/>
    <w:rsid w:val="004E1E1F"/>
    <w:rsid w:val="004E2599"/>
    <w:rsid w:val="004E25A8"/>
    <w:rsid w:val="004E2675"/>
    <w:rsid w:val="004E3F10"/>
    <w:rsid w:val="004E4A87"/>
    <w:rsid w:val="004E4B68"/>
    <w:rsid w:val="004E519D"/>
    <w:rsid w:val="004E5433"/>
    <w:rsid w:val="004E61E8"/>
    <w:rsid w:val="004E61FB"/>
    <w:rsid w:val="004E6993"/>
    <w:rsid w:val="004E7DAB"/>
    <w:rsid w:val="004F2E52"/>
    <w:rsid w:val="004F322A"/>
    <w:rsid w:val="004F4803"/>
    <w:rsid w:val="005022F9"/>
    <w:rsid w:val="00503097"/>
    <w:rsid w:val="00503E22"/>
    <w:rsid w:val="00503F9E"/>
    <w:rsid w:val="00504219"/>
    <w:rsid w:val="005050F3"/>
    <w:rsid w:val="00512A0A"/>
    <w:rsid w:val="00514DC6"/>
    <w:rsid w:val="00515F39"/>
    <w:rsid w:val="00515FE0"/>
    <w:rsid w:val="005161B8"/>
    <w:rsid w:val="00516492"/>
    <w:rsid w:val="00516E6C"/>
    <w:rsid w:val="00517072"/>
    <w:rsid w:val="0051737C"/>
    <w:rsid w:val="00517BFE"/>
    <w:rsid w:val="005208D3"/>
    <w:rsid w:val="00521B3E"/>
    <w:rsid w:val="00523A5F"/>
    <w:rsid w:val="00523DC0"/>
    <w:rsid w:val="005245B2"/>
    <w:rsid w:val="0052552A"/>
    <w:rsid w:val="005257E1"/>
    <w:rsid w:val="00525BCE"/>
    <w:rsid w:val="00526F84"/>
    <w:rsid w:val="005279C8"/>
    <w:rsid w:val="00530CDE"/>
    <w:rsid w:val="00535F99"/>
    <w:rsid w:val="00537BC1"/>
    <w:rsid w:val="00540291"/>
    <w:rsid w:val="005415A6"/>
    <w:rsid w:val="005416CC"/>
    <w:rsid w:val="005433EE"/>
    <w:rsid w:val="00544F3E"/>
    <w:rsid w:val="00546D2B"/>
    <w:rsid w:val="00547502"/>
    <w:rsid w:val="00547C4C"/>
    <w:rsid w:val="005507B9"/>
    <w:rsid w:val="00554811"/>
    <w:rsid w:val="005557CB"/>
    <w:rsid w:val="00556379"/>
    <w:rsid w:val="00561F47"/>
    <w:rsid w:val="00563163"/>
    <w:rsid w:val="005639FA"/>
    <w:rsid w:val="00563DE6"/>
    <w:rsid w:val="00564055"/>
    <w:rsid w:val="005678CB"/>
    <w:rsid w:val="005714D0"/>
    <w:rsid w:val="00571A27"/>
    <w:rsid w:val="00571B80"/>
    <w:rsid w:val="0057231B"/>
    <w:rsid w:val="00574F25"/>
    <w:rsid w:val="005752B8"/>
    <w:rsid w:val="00575726"/>
    <w:rsid w:val="00576EAC"/>
    <w:rsid w:val="00580F4B"/>
    <w:rsid w:val="00581886"/>
    <w:rsid w:val="0058191D"/>
    <w:rsid w:val="00583866"/>
    <w:rsid w:val="0058765B"/>
    <w:rsid w:val="00587DCF"/>
    <w:rsid w:val="005921BA"/>
    <w:rsid w:val="00592370"/>
    <w:rsid w:val="00592D7E"/>
    <w:rsid w:val="00595031"/>
    <w:rsid w:val="0059510D"/>
    <w:rsid w:val="005971C0"/>
    <w:rsid w:val="00597A0D"/>
    <w:rsid w:val="00597D02"/>
    <w:rsid w:val="005A3A2F"/>
    <w:rsid w:val="005A49FA"/>
    <w:rsid w:val="005A5F1F"/>
    <w:rsid w:val="005A6F0C"/>
    <w:rsid w:val="005A77C7"/>
    <w:rsid w:val="005A7E09"/>
    <w:rsid w:val="005B00A5"/>
    <w:rsid w:val="005B0A75"/>
    <w:rsid w:val="005B1B2F"/>
    <w:rsid w:val="005B2819"/>
    <w:rsid w:val="005B2E9F"/>
    <w:rsid w:val="005B3F4B"/>
    <w:rsid w:val="005B40EB"/>
    <w:rsid w:val="005B41A3"/>
    <w:rsid w:val="005B6EF6"/>
    <w:rsid w:val="005C07EF"/>
    <w:rsid w:val="005C0A2C"/>
    <w:rsid w:val="005C1779"/>
    <w:rsid w:val="005C3354"/>
    <w:rsid w:val="005C4487"/>
    <w:rsid w:val="005C4E43"/>
    <w:rsid w:val="005C4EF3"/>
    <w:rsid w:val="005C6A0C"/>
    <w:rsid w:val="005C7668"/>
    <w:rsid w:val="005C7C28"/>
    <w:rsid w:val="005C7EDC"/>
    <w:rsid w:val="005D082E"/>
    <w:rsid w:val="005D09E8"/>
    <w:rsid w:val="005D1292"/>
    <w:rsid w:val="005D2746"/>
    <w:rsid w:val="005D376F"/>
    <w:rsid w:val="005D3A48"/>
    <w:rsid w:val="005D6640"/>
    <w:rsid w:val="005E044A"/>
    <w:rsid w:val="005E0774"/>
    <w:rsid w:val="005E22B3"/>
    <w:rsid w:val="005E274E"/>
    <w:rsid w:val="005E33F7"/>
    <w:rsid w:val="005E6066"/>
    <w:rsid w:val="005E63C2"/>
    <w:rsid w:val="005F1F3E"/>
    <w:rsid w:val="005F232D"/>
    <w:rsid w:val="005F2924"/>
    <w:rsid w:val="005F2A19"/>
    <w:rsid w:val="005F380A"/>
    <w:rsid w:val="005F629D"/>
    <w:rsid w:val="005F65B6"/>
    <w:rsid w:val="005F730A"/>
    <w:rsid w:val="005F751A"/>
    <w:rsid w:val="00601815"/>
    <w:rsid w:val="006021E1"/>
    <w:rsid w:val="006036CF"/>
    <w:rsid w:val="0060532D"/>
    <w:rsid w:val="00606DCB"/>
    <w:rsid w:val="00610E39"/>
    <w:rsid w:val="006112AE"/>
    <w:rsid w:val="00612EDC"/>
    <w:rsid w:val="00612FC8"/>
    <w:rsid w:val="00613090"/>
    <w:rsid w:val="0061593A"/>
    <w:rsid w:val="00616919"/>
    <w:rsid w:val="00617304"/>
    <w:rsid w:val="00617638"/>
    <w:rsid w:val="00621B38"/>
    <w:rsid w:val="0062360B"/>
    <w:rsid w:val="006254AC"/>
    <w:rsid w:val="00625835"/>
    <w:rsid w:val="00625AEE"/>
    <w:rsid w:val="00631047"/>
    <w:rsid w:val="0063135F"/>
    <w:rsid w:val="006318BF"/>
    <w:rsid w:val="00634602"/>
    <w:rsid w:val="006347AD"/>
    <w:rsid w:val="006366C9"/>
    <w:rsid w:val="006373EF"/>
    <w:rsid w:val="00640C3F"/>
    <w:rsid w:val="00641F02"/>
    <w:rsid w:val="00645487"/>
    <w:rsid w:val="00650184"/>
    <w:rsid w:val="006510F1"/>
    <w:rsid w:val="00651121"/>
    <w:rsid w:val="00652890"/>
    <w:rsid w:val="006538D4"/>
    <w:rsid w:val="006541A0"/>
    <w:rsid w:val="0065571A"/>
    <w:rsid w:val="00655B84"/>
    <w:rsid w:val="006561A7"/>
    <w:rsid w:val="006570BA"/>
    <w:rsid w:val="00657FAB"/>
    <w:rsid w:val="006617C6"/>
    <w:rsid w:val="00661F58"/>
    <w:rsid w:val="00662AE5"/>
    <w:rsid w:val="00663D4C"/>
    <w:rsid w:val="00666313"/>
    <w:rsid w:val="00670E5B"/>
    <w:rsid w:val="00670EAC"/>
    <w:rsid w:val="00670EBF"/>
    <w:rsid w:val="00670F17"/>
    <w:rsid w:val="00671239"/>
    <w:rsid w:val="00672D15"/>
    <w:rsid w:val="00673990"/>
    <w:rsid w:val="00673F16"/>
    <w:rsid w:val="00675315"/>
    <w:rsid w:val="00675E03"/>
    <w:rsid w:val="00681B31"/>
    <w:rsid w:val="00682833"/>
    <w:rsid w:val="006829E8"/>
    <w:rsid w:val="006838B5"/>
    <w:rsid w:val="006847B1"/>
    <w:rsid w:val="00687B85"/>
    <w:rsid w:val="006923AD"/>
    <w:rsid w:val="0069276D"/>
    <w:rsid w:val="0069391B"/>
    <w:rsid w:val="00694AE1"/>
    <w:rsid w:val="006967E3"/>
    <w:rsid w:val="00697140"/>
    <w:rsid w:val="00697461"/>
    <w:rsid w:val="006A0B18"/>
    <w:rsid w:val="006A1E2B"/>
    <w:rsid w:val="006A2702"/>
    <w:rsid w:val="006A4402"/>
    <w:rsid w:val="006A483A"/>
    <w:rsid w:val="006A5E15"/>
    <w:rsid w:val="006A63F1"/>
    <w:rsid w:val="006A6B92"/>
    <w:rsid w:val="006A6FB0"/>
    <w:rsid w:val="006A7E14"/>
    <w:rsid w:val="006B14F9"/>
    <w:rsid w:val="006B2E78"/>
    <w:rsid w:val="006B2F58"/>
    <w:rsid w:val="006B3978"/>
    <w:rsid w:val="006B5BE2"/>
    <w:rsid w:val="006B5BEF"/>
    <w:rsid w:val="006B5C2F"/>
    <w:rsid w:val="006C01C5"/>
    <w:rsid w:val="006C0230"/>
    <w:rsid w:val="006C5A86"/>
    <w:rsid w:val="006C69A2"/>
    <w:rsid w:val="006C787D"/>
    <w:rsid w:val="006C7F9F"/>
    <w:rsid w:val="006D07DA"/>
    <w:rsid w:val="006D2710"/>
    <w:rsid w:val="006D36CF"/>
    <w:rsid w:val="006D4F33"/>
    <w:rsid w:val="006D611F"/>
    <w:rsid w:val="006D62F9"/>
    <w:rsid w:val="006D7689"/>
    <w:rsid w:val="006D7818"/>
    <w:rsid w:val="006E08DB"/>
    <w:rsid w:val="006E1C38"/>
    <w:rsid w:val="006E2342"/>
    <w:rsid w:val="006E2CB0"/>
    <w:rsid w:val="006E3361"/>
    <w:rsid w:val="006E3447"/>
    <w:rsid w:val="006E3C61"/>
    <w:rsid w:val="006E3E8C"/>
    <w:rsid w:val="006E5193"/>
    <w:rsid w:val="006E680D"/>
    <w:rsid w:val="006F175D"/>
    <w:rsid w:val="006F2B30"/>
    <w:rsid w:val="006F30BB"/>
    <w:rsid w:val="006F34CD"/>
    <w:rsid w:val="006F66DC"/>
    <w:rsid w:val="00700907"/>
    <w:rsid w:val="007019B7"/>
    <w:rsid w:val="007038E0"/>
    <w:rsid w:val="00704ECD"/>
    <w:rsid w:val="00706C28"/>
    <w:rsid w:val="00712509"/>
    <w:rsid w:val="007132EA"/>
    <w:rsid w:val="007134E7"/>
    <w:rsid w:val="007146F9"/>
    <w:rsid w:val="00717BD7"/>
    <w:rsid w:val="007200F9"/>
    <w:rsid w:val="0072018A"/>
    <w:rsid w:val="00720CD7"/>
    <w:rsid w:val="007216EB"/>
    <w:rsid w:val="00725587"/>
    <w:rsid w:val="007257AB"/>
    <w:rsid w:val="00726653"/>
    <w:rsid w:val="007268BA"/>
    <w:rsid w:val="00727408"/>
    <w:rsid w:val="007321C9"/>
    <w:rsid w:val="007346BD"/>
    <w:rsid w:val="00735EF4"/>
    <w:rsid w:val="007361C5"/>
    <w:rsid w:val="007415A2"/>
    <w:rsid w:val="00744862"/>
    <w:rsid w:val="0074561C"/>
    <w:rsid w:val="007459AC"/>
    <w:rsid w:val="00746698"/>
    <w:rsid w:val="00746F2A"/>
    <w:rsid w:val="007477B4"/>
    <w:rsid w:val="00751B28"/>
    <w:rsid w:val="007542CE"/>
    <w:rsid w:val="007543E0"/>
    <w:rsid w:val="00755235"/>
    <w:rsid w:val="00755E2B"/>
    <w:rsid w:val="007603C1"/>
    <w:rsid w:val="007617E1"/>
    <w:rsid w:val="007626C3"/>
    <w:rsid w:val="00762C2D"/>
    <w:rsid w:val="007647D7"/>
    <w:rsid w:val="007657DA"/>
    <w:rsid w:val="00765D87"/>
    <w:rsid w:val="00766E4A"/>
    <w:rsid w:val="00767495"/>
    <w:rsid w:val="00770176"/>
    <w:rsid w:val="007704AB"/>
    <w:rsid w:val="00772B1D"/>
    <w:rsid w:val="00773F09"/>
    <w:rsid w:val="00774FFC"/>
    <w:rsid w:val="00775098"/>
    <w:rsid w:val="007754D0"/>
    <w:rsid w:val="00776714"/>
    <w:rsid w:val="0077712F"/>
    <w:rsid w:val="0078273C"/>
    <w:rsid w:val="00782AEB"/>
    <w:rsid w:val="007844AB"/>
    <w:rsid w:val="007849FF"/>
    <w:rsid w:val="00785F7C"/>
    <w:rsid w:val="007869CD"/>
    <w:rsid w:val="00790678"/>
    <w:rsid w:val="00791DC6"/>
    <w:rsid w:val="00791EA2"/>
    <w:rsid w:val="007946E2"/>
    <w:rsid w:val="00794D8B"/>
    <w:rsid w:val="00795050"/>
    <w:rsid w:val="00795343"/>
    <w:rsid w:val="007A08F8"/>
    <w:rsid w:val="007A0E11"/>
    <w:rsid w:val="007A1553"/>
    <w:rsid w:val="007A2B06"/>
    <w:rsid w:val="007B23F4"/>
    <w:rsid w:val="007B2549"/>
    <w:rsid w:val="007B5568"/>
    <w:rsid w:val="007B692C"/>
    <w:rsid w:val="007B6A20"/>
    <w:rsid w:val="007B6B34"/>
    <w:rsid w:val="007B75CF"/>
    <w:rsid w:val="007B7769"/>
    <w:rsid w:val="007B7E4B"/>
    <w:rsid w:val="007C158F"/>
    <w:rsid w:val="007C324E"/>
    <w:rsid w:val="007C6969"/>
    <w:rsid w:val="007C7AE2"/>
    <w:rsid w:val="007D0911"/>
    <w:rsid w:val="007D2745"/>
    <w:rsid w:val="007D27F1"/>
    <w:rsid w:val="007D2CA5"/>
    <w:rsid w:val="007D32EF"/>
    <w:rsid w:val="007D3D9C"/>
    <w:rsid w:val="007D4A69"/>
    <w:rsid w:val="007D4F42"/>
    <w:rsid w:val="007D584B"/>
    <w:rsid w:val="007D5B32"/>
    <w:rsid w:val="007D66FC"/>
    <w:rsid w:val="007D6AAE"/>
    <w:rsid w:val="007D7B4A"/>
    <w:rsid w:val="007E1D58"/>
    <w:rsid w:val="007E26EA"/>
    <w:rsid w:val="007E35E7"/>
    <w:rsid w:val="007E369D"/>
    <w:rsid w:val="007E3B37"/>
    <w:rsid w:val="007E5080"/>
    <w:rsid w:val="007E57CE"/>
    <w:rsid w:val="007E66DC"/>
    <w:rsid w:val="007F13FF"/>
    <w:rsid w:val="007F1B78"/>
    <w:rsid w:val="007F1C8E"/>
    <w:rsid w:val="007F2058"/>
    <w:rsid w:val="007F6CE5"/>
    <w:rsid w:val="0080053B"/>
    <w:rsid w:val="00801827"/>
    <w:rsid w:val="00801846"/>
    <w:rsid w:val="008032DF"/>
    <w:rsid w:val="00804B1B"/>
    <w:rsid w:val="00804C9A"/>
    <w:rsid w:val="00805B3C"/>
    <w:rsid w:val="00806C65"/>
    <w:rsid w:val="00806D25"/>
    <w:rsid w:val="00807C92"/>
    <w:rsid w:val="00810DD1"/>
    <w:rsid w:val="00811F9F"/>
    <w:rsid w:val="008125D3"/>
    <w:rsid w:val="008133CF"/>
    <w:rsid w:val="00816351"/>
    <w:rsid w:val="00816DC0"/>
    <w:rsid w:val="00820C9A"/>
    <w:rsid w:val="00822017"/>
    <w:rsid w:val="00822604"/>
    <w:rsid w:val="00823410"/>
    <w:rsid w:val="0082343D"/>
    <w:rsid w:val="00823AE3"/>
    <w:rsid w:val="00824058"/>
    <w:rsid w:val="008264A3"/>
    <w:rsid w:val="00830046"/>
    <w:rsid w:val="008320C7"/>
    <w:rsid w:val="00832F82"/>
    <w:rsid w:val="00834480"/>
    <w:rsid w:val="00836F75"/>
    <w:rsid w:val="0083777D"/>
    <w:rsid w:val="00837788"/>
    <w:rsid w:val="00840071"/>
    <w:rsid w:val="00840854"/>
    <w:rsid w:val="008436BF"/>
    <w:rsid w:val="00843A38"/>
    <w:rsid w:val="00844790"/>
    <w:rsid w:val="00844D8A"/>
    <w:rsid w:val="0084672D"/>
    <w:rsid w:val="00846FC4"/>
    <w:rsid w:val="0085326A"/>
    <w:rsid w:val="00855302"/>
    <w:rsid w:val="00855463"/>
    <w:rsid w:val="00855EAC"/>
    <w:rsid w:val="00857A58"/>
    <w:rsid w:val="00860184"/>
    <w:rsid w:val="00860480"/>
    <w:rsid w:val="008615D6"/>
    <w:rsid w:val="008635A6"/>
    <w:rsid w:val="00863E2F"/>
    <w:rsid w:val="008646EF"/>
    <w:rsid w:val="00865348"/>
    <w:rsid w:val="008655D1"/>
    <w:rsid w:val="00865A19"/>
    <w:rsid w:val="00866395"/>
    <w:rsid w:val="008664BF"/>
    <w:rsid w:val="00866E15"/>
    <w:rsid w:val="008674BA"/>
    <w:rsid w:val="008707D7"/>
    <w:rsid w:val="0087186A"/>
    <w:rsid w:val="00871DA1"/>
    <w:rsid w:val="00873633"/>
    <w:rsid w:val="00875E79"/>
    <w:rsid w:val="008766D5"/>
    <w:rsid w:val="00877208"/>
    <w:rsid w:val="0087746B"/>
    <w:rsid w:val="00877708"/>
    <w:rsid w:val="0087774E"/>
    <w:rsid w:val="00877A72"/>
    <w:rsid w:val="00881905"/>
    <w:rsid w:val="00882524"/>
    <w:rsid w:val="00887482"/>
    <w:rsid w:val="008879EE"/>
    <w:rsid w:val="0089019D"/>
    <w:rsid w:val="00892ABB"/>
    <w:rsid w:val="0089411F"/>
    <w:rsid w:val="00894AFE"/>
    <w:rsid w:val="00894C4A"/>
    <w:rsid w:val="00896DD7"/>
    <w:rsid w:val="00897940"/>
    <w:rsid w:val="00897F5D"/>
    <w:rsid w:val="008A0EB4"/>
    <w:rsid w:val="008A148B"/>
    <w:rsid w:val="008A21BF"/>
    <w:rsid w:val="008A2214"/>
    <w:rsid w:val="008A26D5"/>
    <w:rsid w:val="008A27AB"/>
    <w:rsid w:val="008A4DA5"/>
    <w:rsid w:val="008B0039"/>
    <w:rsid w:val="008B08F2"/>
    <w:rsid w:val="008B0A28"/>
    <w:rsid w:val="008B2491"/>
    <w:rsid w:val="008B4544"/>
    <w:rsid w:val="008B54C0"/>
    <w:rsid w:val="008B5CDC"/>
    <w:rsid w:val="008C01EB"/>
    <w:rsid w:val="008C0C29"/>
    <w:rsid w:val="008C2239"/>
    <w:rsid w:val="008C3ABB"/>
    <w:rsid w:val="008C3EC6"/>
    <w:rsid w:val="008C40B9"/>
    <w:rsid w:val="008C4E11"/>
    <w:rsid w:val="008C5164"/>
    <w:rsid w:val="008C594D"/>
    <w:rsid w:val="008C5D13"/>
    <w:rsid w:val="008C694C"/>
    <w:rsid w:val="008D15CF"/>
    <w:rsid w:val="008D3205"/>
    <w:rsid w:val="008D382D"/>
    <w:rsid w:val="008D409F"/>
    <w:rsid w:val="008D6DF7"/>
    <w:rsid w:val="008D707E"/>
    <w:rsid w:val="008D7B00"/>
    <w:rsid w:val="008E2738"/>
    <w:rsid w:val="008E47AC"/>
    <w:rsid w:val="008E5516"/>
    <w:rsid w:val="008E5957"/>
    <w:rsid w:val="008E5B54"/>
    <w:rsid w:val="008E7644"/>
    <w:rsid w:val="008F2972"/>
    <w:rsid w:val="008F3314"/>
    <w:rsid w:val="008F50FF"/>
    <w:rsid w:val="008F545D"/>
    <w:rsid w:val="008F5C19"/>
    <w:rsid w:val="008F5ED0"/>
    <w:rsid w:val="008F66C8"/>
    <w:rsid w:val="00900692"/>
    <w:rsid w:val="009007C2"/>
    <w:rsid w:val="00900A60"/>
    <w:rsid w:val="00902971"/>
    <w:rsid w:val="00903A10"/>
    <w:rsid w:val="00907833"/>
    <w:rsid w:val="009150EF"/>
    <w:rsid w:val="0091618A"/>
    <w:rsid w:val="00917198"/>
    <w:rsid w:val="009173B3"/>
    <w:rsid w:val="00917FC5"/>
    <w:rsid w:val="009202C1"/>
    <w:rsid w:val="0092116A"/>
    <w:rsid w:val="00921DE7"/>
    <w:rsid w:val="00922D08"/>
    <w:rsid w:val="00923EAC"/>
    <w:rsid w:val="00925F22"/>
    <w:rsid w:val="0092629E"/>
    <w:rsid w:val="00926763"/>
    <w:rsid w:val="00927E59"/>
    <w:rsid w:val="00927F47"/>
    <w:rsid w:val="009313EC"/>
    <w:rsid w:val="00932C90"/>
    <w:rsid w:val="009335D9"/>
    <w:rsid w:val="00934CE0"/>
    <w:rsid w:val="00935D9E"/>
    <w:rsid w:val="009364A0"/>
    <w:rsid w:val="009404C5"/>
    <w:rsid w:val="00941E34"/>
    <w:rsid w:val="009445C8"/>
    <w:rsid w:val="00945F93"/>
    <w:rsid w:val="00946C93"/>
    <w:rsid w:val="00946D78"/>
    <w:rsid w:val="00950795"/>
    <w:rsid w:val="00950DE7"/>
    <w:rsid w:val="00951812"/>
    <w:rsid w:val="00951FFA"/>
    <w:rsid w:val="00952FE7"/>
    <w:rsid w:val="00954109"/>
    <w:rsid w:val="009541B5"/>
    <w:rsid w:val="00954A84"/>
    <w:rsid w:val="00954DB9"/>
    <w:rsid w:val="009554F8"/>
    <w:rsid w:val="009556C5"/>
    <w:rsid w:val="00955B4F"/>
    <w:rsid w:val="00956136"/>
    <w:rsid w:val="00956504"/>
    <w:rsid w:val="0095693D"/>
    <w:rsid w:val="00956B7A"/>
    <w:rsid w:val="00956E98"/>
    <w:rsid w:val="009602DD"/>
    <w:rsid w:val="0096204D"/>
    <w:rsid w:val="009624F9"/>
    <w:rsid w:val="00962C7F"/>
    <w:rsid w:val="00963F98"/>
    <w:rsid w:val="0096646D"/>
    <w:rsid w:val="00966A7B"/>
    <w:rsid w:val="00966CE3"/>
    <w:rsid w:val="00967670"/>
    <w:rsid w:val="00967CB0"/>
    <w:rsid w:val="00971CDE"/>
    <w:rsid w:val="00972258"/>
    <w:rsid w:val="009740CD"/>
    <w:rsid w:val="0097486D"/>
    <w:rsid w:val="00975E96"/>
    <w:rsid w:val="009761E8"/>
    <w:rsid w:val="00976C0D"/>
    <w:rsid w:val="009770B2"/>
    <w:rsid w:val="00980CA5"/>
    <w:rsid w:val="009820ED"/>
    <w:rsid w:val="00982B7F"/>
    <w:rsid w:val="0098303E"/>
    <w:rsid w:val="0098329D"/>
    <w:rsid w:val="00983461"/>
    <w:rsid w:val="00984A28"/>
    <w:rsid w:val="00984C2D"/>
    <w:rsid w:val="009850A9"/>
    <w:rsid w:val="009852A8"/>
    <w:rsid w:val="00985B67"/>
    <w:rsid w:val="00986303"/>
    <w:rsid w:val="00987360"/>
    <w:rsid w:val="00987BFA"/>
    <w:rsid w:val="00991382"/>
    <w:rsid w:val="00994016"/>
    <w:rsid w:val="009942D3"/>
    <w:rsid w:val="00994C69"/>
    <w:rsid w:val="00995650"/>
    <w:rsid w:val="00996A65"/>
    <w:rsid w:val="009976A3"/>
    <w:rsid w:val="009A07A3"/>
    <w:rsid w:val="009A11EB"/>
    <w:rsid w:val="009A1DDC"/>
    <w:rsid w:val="009A1FD8"/>
    <w:rsid w:val="009A2FFD"/>
    <w:rsid w:val="009A362D"/>
    <w:rsid w:val="009A3F3B"/>
    <w:rsid w:val="009A4082"/>
    <w:rsid w:val="009A468E"/>
    <w:rsid w:val="009A54C2"/>
    <w:rsid w:val="009A597D"/>
    <w:rsid w:val="009A5D78"/>
    <w:rsid w:val="009A6E89"/>
    <w:rsid w:val="009B03BB"/>
    <w:rsid w:val="009B0F5E"/>
    <w:rsid w:val="009B1CF4"/>
    <w:rsid w:val="009B20FD"/>
    <w:rsid w:val="009B2DB0"/>
    <w:rsid w:val="009B585D"/>
    <w:rsid w:val="009B6F43"/>
    <w:rsid w:val="009B7AE8"/>
    <w:rsid w:val="009B7F95"/>
    <w:rsid w:val="009C0A18"/>
    <w:rsid w:val="009C2349"/>
    <w:rsid w:val="009C64F8"/>
    <w:rsid w:val="009C7ED9"/>
    <w:rsid w:val="009D175E"/>
    <w:rsid w:val="009D21C4"/>
    <w:rsid w:val="009D23E2"/>
    <w:rsid w:val="009D2E97"/>
    <w:rsid w:val="009D5BF3"/>
    <w:rsid w:val="009D6E7F"/>
    <w:rsid w:val="009D7D32"/>
    <w:rsid w:val="009E0354"/>
    <w:rsid w:val="009E087A"/>
    <w:rsid w:val="009E28BD"/>
    <w:rsid w:val="009E493D"/>
    <w:rsid w:val="009E6850"/>
    <w:rsid w:val="009E75D9"/>
    <w:rsid w:val="009E7CEE"/>
    <w:rsid w:val="009F14F5"/>
    <w:rsid w:val="009F1755"/>
    <w:rsid w:val="009F17AD"/>
    <w:rsid w:val="009F1DF7"/>
    <w:rsid w:val="009F4CB9"/>
    <w:rsid w:val="009F7B3B"/>
    <w:rsid w:val="00A007BE"/>
    <w:rsid w:val="00A04415"/>
    <w:rsid w:val="00A053F4"/>
    <w:rsid w:val="00A054C6"/>
    <w:rsid w:val="00A05A52"/>
    <w:rsid w:val="00A05D5F"/>
    <w:rsid w:val="00A06377"/>
    <w:rsid w:val="00A06CED"/>
    <w:rsid w:val="00A076A6"/>
    <w:rsid w:val="00A1191B"/>
    <w:rsid w:val="00A14026"/>
    <w:rsid w:val="00A16EE1"/>
    <w:rsid w:val="00A2164D"/>
    <w:rsid w:val="00A24E54"/>
    <w:rsid w:val="00A30A9F"/>
    <w:rsid w:val="00A3209A"/>
    <w:rsid w:val="00A32177"/>
    <w:rsid w:val="00A32486"/>
    <w:rsid w:val="00A33081"/>
    <w:rsid w:val="00A33B45"/>
    <w:rsid w:val="00A373DE"/>
    <w:rsid w:val="00A43582"/>
    <w:rsid w:val="00A46273"/>
    <w:rsid w:val="00A46BAE"/>
    <w:rsid w:val="00A509A8"/>
    <w:rsid w:val="00A519CE"/>
    <w:rsid w:val="00A531B2"/>
    <w:rsid w:val="00A53367"/>
    <w:rsid w:val="00A5552E"/>
    <w:rsid w:val="00A558CB"/>
    <w:rsid w:val="00A56A63"/>
    <w:rsid w:val="00A56E7D"/>
    <w:rsid w:val="00A5732A"/>
    <w:rsid w:val="00A57583"/>
    <w:rsid w:val="00A60B45"/>
    <w:rsid w:val="00A60C3B"/>
    <w:rsid w:val="00A625C1"/>
    <w:rsid w:val="00A6528F"/>
    <w:rsid w:val="00A65904"/>
    <w:rsid w:val="00A65BDD"/>
    <w:rsid w:val="00A6651C"/>
    <w:rsid w:val="00A70896"/>
    <w:rsid w:val="00A70E64"/>
    <w:rsid w:val="00A712FF"/>
    <w:rsid w:val="00A735B6"/>
    <w:rsid w:val="00A81250"/>
    <w:rsid w:val="00A816C4"/>
    <w:rsid w:val="00A81E51"/>
    <w:rsid w:val="00A82135"/>
    <w:rsid w:val="00A82668"/>
    <w:rsid w:val="00A82C18"/>
    <w:rsid w:val="00A82C97"/>
    <w:rsid w:val="00A8308A"/>
    <w:rsid w:val="00A837FB"/>
    <w:rsid w:val="00A855D3"/>
    <w:rsid w:val="00A85FBA"/>
    <w:rsid w:val="00A861BB"/>
    <w:rsid w:val="00A86A9D"/>
    <w:rsid w:val="00A90584"/>
    <w:rsid w:val="00A90B43"/>
    <w:rsid w:val="00A93298"/>
    <w:rsid w:val="00A93723"/>
    <w:rsid w:val="00A94B8F"/>
    <w:rsid w:val="00A95943"/>
    <w:rsid w:val="00AA1643"/>
    <w:rsid w:val="00AA2B92"/>
    <w:rsid w:val="00AA3BAE"/>
    <w:rsid w:val="00AA5D37"/>
    <w:rsid w:val="00AA610F"/>
    <w:rsid w:val="00AA7714"/>
    <w:rsid w:val="00AB2C1C"/>
    <w:rsid w:val="00AB4885"/>
    <w:rsid w:val="00AB4BC1"/>
    <w:rsid w:val="00AB502E"/>
    <w:rsid w:val="00AB50FA"/>
    <w:rsid w:val="00AC102A"/>
    <w:rsid w:val="00AC129C"/>
    <w:rsid w:val="00AC156D"/>
    <w:rsid w:val="00AC1B15"/>
    <w:rsid w:val="00AC2F9E"/>
    <w:rsid w:val="00AC37C6"/>
    <w:rsid w:val="00AC4C1D"/>
    <w:rsid w:val="00AC5AC5"/>
    <w:rsid w:val="00AC63F5"/>
    <w:rsid w:val="00AD00B4"/>
    <w:rsid w:val="00AD08CD"/>
    <w:rsid w:val="00AD0A4A"/>
    <w:rsid w:val="00AD0F9A"/>
    <w:rsid w:val="00AD1CDB"/>
    <w:rsid w:val="00AD1FE0"/>
    <w:rsid w:val="00AD545F"/>
    <w:rsid w:val="00AD6456"/>
    <w:rsid w:val="00AD7AE9"/>
    <w:rsid w:val="00AE1F34"/>
    <w:rsid w:val="00AE252A"/>
    <w:rsid w:val="00AE2D9A"/>
    <w:rsid w:val="00AE2DBB"/>
    <w:rsid w:val="00AE357B"/>
    <w:rsid w:val="00AE4BCA"/>
    <w:rsid w:val="00AE50B2"/>
    <w:rsid w:val="00AE58B5"/>
    <w:rsid w:val="00AE5D78"/>
    <w:rsid w:val="00AE603B"/>
    <w:rsid w:val="00AE7009"/>
    <w:rsid w:val="00AE7DDE"/>
    <w:rsid w:val="00AF020A"/>
    <w:rsid w:val="00AF0687"/>
    <w:rsid w:val="00AF36BC"/>
    <w:rsid w:val="00AF5F20"/>
    <w:rsid w:val="00B00FAB"/>
    <w:rsid w:val="00B01019"/>
    <w:rsid w:val="00B01C39"/>
    <w:rsid w:val="00B0231C"/>
    <w:rsid w:val="00B03106"/>
    <w:rsid w:val="00B04121"/>
    <w:rsid w:val="00B04173"/>
    <w:rsid w:val="00B05289"/>
    <w:rsid w:val="00B061FA"/>
    <w:rsid w:val="00B07927"/>
    <w:rsid w:val="00B07CCF"/>
    <w:rsid w:val="00B106E4"/>
    <w:rsid w:val="00B10B0D"/>
    <w:rsid w:val="00B11364"/>
    <w:rsid w:val="00B114F8"/>
    <w:rsid w:val="00B1168E"/>
    <w:rsid w:val="00B11D6A"/>
    <w:rsid w:val="00B12071"/>
    <w:rsid w:val="00B1227A"/>
    <w:rsid w:val="00B12597"/>
    <w:rsid w:val="00B126CB"/>
    <w:rsid w:val="00B146D6"/>
    <w:rsid w:val="00B1485B"/>
    <w:rsid w:val="00B16414"/>
    <w:rsid w:val="00B1641A"/>
    <w:rsid w:val="00B16865"/>
    <w:rsid w:val="00B21F0D"/>
    <w:rsid w:val="00B23361"/>
    <w:rsid w:val="00B236F4"/>
    <w:rsid w:val="00B244D4"/>
    <w:rsid w:val="00B2458E"/>
    <w:rsid w:val="00B247A6"/>
    <w:rsid w:val="00B24CEC"/>
    <w:rsid w:val="00B2564A"/>
    <w:rsid w:val="00B26C16"/>
    <w:rsid w:val="00B276B0"/>
    <w:rsid w:val="00B27A74"/>
    <w:rsid w:val="00B27DCE"/>
    <w:rsid w:val="00B27E23"/>
    <w:rsid w:val="00B3019C"/>
    <w:rsid w:val="00B315A4"/>
    <w:rsid w:val="00B321FD"/>
    <w:rsid w:val="00B322B1"/>
    <w:rsid w:val="00B32B57"/>
    <w:rsid w:val="00B33E66"/>
    <w:rsid w:val="00B34586"/>
    <w:rsid w:val="00B34A51"/>
    <w:rsid w:val="00B35E10"/>
    <w:rsid w:val="00B37854"/>
    <w:rsid w:val="00B37FAF"/>
    <w:rsid w:val="00B407AB"/>
    <w:rsid w:val="00B417FD"/>
    <w:rsid w:val="00B42A54"/>
    <w:rsid w:val="00B43208"/>
    <w:rsid w:val="00B43776"/>
    <w:rsid w:val="00B45B39"/>
    <w:rsid w:val="00B46164"/>
    <w:rsid w:val="00B46C97"/>
    <w:rsid w:val="00B46FAF"/>
    <w:rsid w:val="00B470E8"/>
    <w:rsid w:val="00B4715C"/>
    <w:rsid w:val="00B5065A"/>
    <w:rsid w:val="00B5082B"/>
    <w:rsid w:val="00B508B0"/>
    <w:rsid w:val="00B5259B"/>
    <w:rsid w:val="00B5292D"/>
    <w:rsid w:val="00B54196"/>
    <w:rsid w:val="00B55051"/>
    <w:rsid w:val="00B55DA3"/>
    <w:rsid w:val="00B57BF4"/>
    <w:rsid w:val="00B618C2"/>
    <w:rsid w:val="00B6198E"/>
    <w:rsid w:val="00B6298D"/>
    <w:rsid w:val="00B62AB1"/>
    <w:rsid w:val="00B62FF0"/>
    <w:rsid w:val="00B63DEB"/>
    <w:rsid w:val="00B640C7"/>
    <w:rsid w:val="00B640EB"/>
    <w:rsid w:val="00B6459B"/>
    <w:rsid w:val="00B6546D"/>
    <w:rsid w:val="00B65945"/>
    <w:rsid w:val="00B67666"/>
    <w:rsid w:val="00B70191"/>
    <w:rsid w:val="00B70940"/>
    <w:rsid w:val="00B70DCC"/>
    <w:rsid w:val="00B730A4"/>
    <w:rsid w:val="00B75600"/>
    <w:rsid w:val="00B7609C"/>
    <w:rsid w:val="00B76C89"/>
    <w:rsid w:val="00B803F8"/>
    <w:rsid w:val="00B8177F"/>
    <w:rsid w:val="00B85A24"/>
    <w:rsid w:val="00B9030F"/>
    <w:rsid w:val="00B90AAB"/>
    <w:rsid w:val="00B91444"/>
    <w:rsid w:val="00B91B9F"/>
    <w:rsid w:val="00B940BF"/>
    <w:rsid w:val="00B95514"/>
    <w:rsid w:val="00B97923"/>
    <w:rsid w:val="00B97F3A"/>
    <w:rsid w:val="00BA01B3"/>
    <w:rsid w:val="00BA49FC"/>
    <w:rsid w:val="00BA5750"/>
    <w:rsid w:val="00BA5B25"/>
    <w:rsid w:val="00BA69B5"/>
    <w:rsid w:val="00BA7734"/>
    <w:rsid w:val="00BB0464"/>
    <w:rsid w:val="00BB1903"/>
    <w:rsid w:val="00BB284C"/>
    <w:rsid w:val="00BB2DF8"/>
    <w:rsid w:val="00BB54B2"/>
    <w:rsid w:val="00BB561D"/>
    <w:rsid w:val="00BB6FAB"/>
    <w:rsid w:val="00BC01F9"/>
    <w:rsid w:val="00BC0864"/>
    <w:rsid w:val="00BC391D"/>
    <w:rsid w:val="00BC5C07"/>
    <w:rsid w:val="00BC6EBF"/>
    <w:rsid w:val="00BC70D3"/>
    <w:rsid w:val="00BC7CA7"/>
    <w:rsid w:val="00BC7DEB"/>
    <w:rsid w:val="00BD1015"/>
    <w:rsid w:val="00BD2F25"/>
    <w:rsid w:val="00BD3AC2"/>
    <w:rsid w:val="00BD4AE0"/>
    <w:rsid w:val="00BD5883"/>
    <w:rsid w:val="00BD6486"/>
    <w:rsid w:val="00BD69ED"/>
    <w:rsid w:val="00BD6B4C"/>
    <w:rsid w:val="00BD75F1"/>
    <w:rsid w:val="00BE1E62"/>
    <w:rsid w:val="00BF02C1"/>
    <w:rsid w:val="00BF0502"/>
    <w:rsid w:val="00BF1CF4"/>
    <w:rsid w:val="00BF2118"/>
    <w:rsid w:val="00BF27F2"/>
    <w:rsid w:val="00BF30F2"/>
    <w:rsid w:val="00BF4B9B"/>
    <w:rsid w:val="00BF637C"/>
    <w:rsid w:val="00BF7FEA"/>
    <w:rsid w:val="00C000EF"/>
    <w:rsid w:val="00C0301A"/>
    <w:rsid w:val="00C0319C"/>
    <w:rsid w:val="00C03AB0"/>
    <w:rsid w:val="00C05235"/>
    <w:rsid w:val="00C057E0"/>
    <w:rsid w:val="00C075F2"/>
    <w:rsid w:val="00C10742"/>
    <w:rsid w:val="00C10F47"/>
    <w:rsid w:val="00C1274F"/>
    <w:rsid w:val="00C15E75"/>
    <w:rsid w:val="00C2071E"/>
    <w:rsid w:val="00C238F8"/>
    <w:rsid w:val="00C23C2D"/>
    <w:rsid w:val="00C24B6D"/>
    <w:rsid w:val="00C250E6"/>
    <w:rsid w:val="00C265EA"/>
    <w:rsid w:val="00C268D4"/>
    <w:rsid w:val="00C31FA5"/>
    <w:rsid w:val="00C33199"/>
    <w:rsid w:val="00C33799"/>
    <w:rsid w:val="00C3405A"/>
    <w:rsid w:val="00C3486E"/>
    <w:rsid w:val="00C34CF5"/>
    <w:rsid w:val="00C366D4"/>
    <w:rsid w:val="00C41AA1"/>
    <w:rsid w:val="00C4213B"/>
    <w:rsid w:val="00C4226A"/>
    <w:rsid w:val="00C44EBD"/>
    <w:rsid w:val="00C507F8"/>
    <w:rsid w:val="00C50821"/>
    <w:rsid w:val="00C50B5B"/>
    <w:rsid w:val="00C5105C"/>
    <w:rsid w:val="00C52875"/>
    <w:rsid w:val="00C52B9F"/>
    <w:rsid w:val="00C53F84"/>
    <w:rsid w:val="00C564BC"/>
    <w:rsid w:val="00C60557"/>
    <w:rsid w:val="00C606E6"/>
    <w:rsid w:val="00C62B74"/>
    <w:rsid w:val="00C64FBF"/>
    <w:rsid w:val="00C65FAA"/>
    <w:rsid w:val="00C66752"/>
    <w:rsid w:val="00C67222"/>
    <w:rsid w:val="00C70F7C"/>
    <w:rsid w:val="00C71094"/>
    <w:rsid w:val="00C737D1"/>
    <w:rsid w:val="00C73ABC"/>
    <w:rsid w:val="00C75B26"/>
    <w:rsid w:val="00C76A1F"/>
    <w:rsid w:val="00C77CA9"/>
    <w:rsid w:val="00C81627"/>
    <w:rsid w:val="00C820D7"/>
    <w:rsid w:val="00C8339E"/>
    <w:rsid w:val="00C847EF"/>
    <w:rsid w:val="00C85670"/>
    <w:rsid w:val="00C8711B"/>
    <w:rsid w:val="00C875BD"/>
    <w:rsid w:val="00C9020D"/>
    <w:rsid w:val="00C90612"/>
    <w:rsid w:val="00C91FC7"/>
    <w:rsid w:val="00C921C1"/>
    <w:rsid w:val="00C93FCF"/>
    <w:rsid w:val="00C940DF"/>
    <w:rsid w:val="00C960A8"/>
    <w:rsid w:val="00C971F2"/>
    <w:rsid w:val="00C977C8"/>
    <w:rsid w:val="00C97FB5"/>
    <w:rsid w:val="00CA063D"/>
    <w:rsid w:val="00CA0953"/>
    <w:rsid w:val="00CA0B8A"/>
    <w:rsid w:val="00CA24F9"/>
    <w:rsid w:val="00CA258B"/>
    <w:rsid w:val="00CA3648"/>
    <w:rsid w:val="00CA3BFD"/>
    <w:rsid w:val="00CA3E3A"/>
    <w:rsid w:val="00CA47D4"/>
    <w:rsid w:val="00CA5358"/>
    <w:rsid w:val="00CA6EE3"/>
    <w:rsid w:val="00CA71F9"/>
    <w:rsid w:val="00CA77AF"/>
    <w:rsid w:val="00CB03BF"/>
    <w:rsid w:val="00CB179C"/>
    <w:rsid w:val="00CB1C80"/>
    <w:rsid w:val="00CB2630"/>
    <w:rsid w:val="00CB2751"/>
    <w:rsid w:val="00CB464E"/>
    <w:rsid w:val="00CB6006"/>
    <w:rsid w:val="00CB6850"/>
    <w:rsid w:val="00CC1420"/>
    <w:rsid w:val="00CC2511"/>
    <w:rsid w:val="00CC29CB"/>
    <w:rsid w:val="00CC2A9F"/>
    <w:rsid w:val="00CC2E89"/>
    <w:rsid w:val="00CC3178"/>
    <w:rsid w:val="00CC3E4D"/>
    <w:rsid w:val="00CC4044"/>
    <w:rsid w:val="00CC7F00"/>
    <w:rsid w:val="00CD0AE9"/>
    <w:rsid w:val="00CD27C7"/>
    <w:rsid w:val="00CD467B"/>
    <w:rsid w:val="00CD6B52"/>
    <w:rsid w:val="00CD7FA0"/>
    <w:rsid w:val="00CE51DD"/>
    <w:rsid w:val="00CE5973"/>
    <w:rsid w:val="00CE6CD9"/>
    <w:rsid w:val="00CE77A1"/>
    <w:rsid w:val="00CE7FB5"/>
    <w:rsid w:val="00CF0074"/>
    <w:rsid w:val="00CF01A1"/>
    <w:rsid w:val="00CF05B3"/>
    <w:rsid w:val="00CF19DF"/>
    <w:rsid w:val="00CF20B5"/>
    <w:rsid w:val="00CF323A"/>
    <w:rsid w:val="00CF3C2E"/>
    <w:rsid w:val="00CF3EA1"/>
    <w:rsid w:val="00CF51E2"/>
    <w:rsid w:val="00CF5A4B"/>
    <w:rsid w:val="00CF68DB"/>
    <w:rsid w:val="00CF7D5B"/>
    <w:rsid w:val="00D00A23"/>
    <w:rsid w:val="00D015DF"/>
    <w:rsid w:val="00D01788"/>
    <w:rsid w:val="00D01CF5"/>
    <w:rsid w:val="00D02BEB"/>
    <w:rsid w:val="00D0307A"/>
    <w:rsid w:val="00D05446"/>
    <w:rsid w:val="00D06A93"/>
    <w:rsid w:val="00D076A1"/>
    <w:rsid w:val="00D10D6A"/>
    <w:rsid w:val="00D12343"/>
    <w:rsid w:val="00D135D2"/>
    <w:rsid w:val="00D15348"/>
    <w:rsid w:val="00D20717"/>
    <w:rsid w:val="00D22CD7"/>
    <w:rsid w:val="00D24F19"/>
    <w:rsid w:val="00D26D53"/>
    <w:rsid w:val="00D31349"/>
    <w:rsid w:val="00D31F93"/>
    <w:rsid w:val="00D325C2"/>
    <w:rsid w:val="00D34365"/>
    <w:rsid w:val="00D36195"/>
    <w:rsid w:val="00D36339"/>
    <w:rsid w:val="00D366B3"/>
    <w:rsid w:val="00D36C8B"/>
    <w:rsid w:val="00D3754A"/>
    <w:rsid w:val="00D37B5F"/>
    <w:rsid w:val="00D406FC"/>
    <w:rsid w:val="00D40ABA"/>
    <w:rsid w:val="00D4187F"/>
    <w:rsid w:val="00D46791"/>
    <w:rsid w:val="00D46F70"/>
    <w:rsid w:val="00D4733B"/>
    <w:rsid w:val="00D4790D"/>
    <w:rsid w:val="00D5227A"/>
    <w:rsid w:val="00D52F47"/>
    <w:rsid w:val="00D530BA"/>
    <w:rsid w:val="00D53CBA"/>
    <w:rsid w:val="00D55F69"/>
    <w:rsid w:val="00D575A1"/>
    <w:rsid w:val="00D60B3E"/>
    <w:rsid w:val="00D619E8"/>
    <w:rsid w:val="00D62F3D"/>
    <w:rsid w:val="00D630B7"/>
    <w:rsid w:val="00D63EA2"/>
    <w:rsid w:val="00D649A3"/>
    <w:rsid w:val="00D6512C"/>
    <w:rsid w:val="00D6567D"/>
    <w:rsid w:val="00D65F3E"/>
    <w:rsid w:val="00D67D02"/>
    <w:rsid w:val="00D73CB5"/>
    <w:rsid w:val="00D74FDC"/>
    <w:rsid w:val="00D76DD3"/>
    <w:rsid w:val="00D77013"/>
    <w:rsid w:val="00D80748"/>
    <w:rsid w:val="00D809BE"/>
    <w:rsid w:val="00D8111B"/>
    <w:rsid w:val="00D814F8"/>
    <w:rsid w:val="00D81A27"/>
    <w:rsid w:val="00D8262A"/>
    <w:rsid w:val="00D830ED"/>
    <w:rsid w:val="00D8361E"/>
    <w:rsid w:val="00D846FF"/>
    <w:rsid w:val="00D87983"/>
    <w:rsid w:val="00D91C54"/>
    <w:rsid w:val="00D92A0D"/>
    <w:rsid w:val="00D9394B"/>
    <w:rsid w:val="00D94646"/>
    <w:rsid w:val="00D96601"/>
    <w:rsid w:val="00D96B59"/>
    <w:rsid w:val="00D97A6A"/>
    <w:rsid w:val="00D97A89"/>
    <w:rsid w:val="00DA1A2E"/>
    <w:rsid w:val="00DA4C61"/>
    <w:rsid w:val="00DB0236"/>
    <w:rsid w:val="00DB1217"/>
    <w:rsid w:val="00DB1FCE"/>
    <w:rsid w:val="00DB2609"/>
    <w:rsid w:val="00DB2C45"/>
    <w:rsid w:val="00DB5FF6"/>
    <w:rsid w:val="00DB67AF"/>
    <w:rsid w:val="00DB6B8F"/>
    <w:rsid w:val="00DB75AC"/>
    <w:rsid w:val="00DC00BF"/>
    <w:rsid w:val="00DC1E03"/>
    <w:rsid w:val="00DC2C9A"/>
    <w:rsid w:val="00DC3DCF"/>
    <w:rsid w:val="00DC555E"/>
    <w:rsid w:val="00DC7FF3"/>
    <w:rsid w:val="00DD1B00"/>
    <w:rsid w:val="00DD29B3"/>
    <w:rsid w:val="00DD32EB"/>
    <w:rsid w:val="00DD3CF5"/>
    <w:rsid w:val="00DD62F3"/>
    <w:rsid w:val="00DE22AF"/>
    <w:rsid w:val="00DE2FD7"/>
    <w:rsid w:val="00DE37A0"/>
    <w:rsid w:val="00DE3F51"/>
    <w:rsid w:val="00DE59AA"/>
    <w:rsid w:val="00DE7894"/>
    <w:rsid w:val="00DF025B"/>
    <w:rsid w:val="00DF1CED"/>
    <w:rsid w:val="00DF251B"/>
    <w:rsid w:val="00DF2CBD"/>
    <w:rsid w:val="00DF2CBE"/>
    <w:rsid w:val="00DF4D0A"/>
    <w:rsid w:val="00DF4DCA"/>
    <w:rsid w:val="00DF50A6"/>
    <w:rsid w:val="00DF56D9"/>
    <w:rsid w:val="00E006F7"/>
    <w:rsid w:val="00E0123B"/>
    <w:rsid w:val="00E0172C"/>
    <w:rsid w:val="00E020B8"/>
    <w:rsid w:val="00E04B3A"/>
    <w:rsid w:val="00E071CB"/>
    <w:rsid w:val="00E07726"/>
    <w:rsid w:val="00E07B04"/>
    <w:rsid w:val="00E07C17"/>
    <w:rsid w:val="00E12156"/>
    <w:rsid w:val="00E123F3"/>
    <w:rsid w:val="00E1501F"/>
    <w:rsid w:val="00E16DB2"/>
    <w:rsid w:val="00E17F88"/>
    <w:rsid w:val="00E206CB"/>
    <w:rsid w:val="00E20B0E"/>
    <w:rsid w:val="00E20B4B"/>
    <w:rsid w:val="00E221CB"/>
    <w:rsid w:val="00E22D57"/>
    <w:rsid w:val="00E2389F"/>
    <w:rsid w:val="00E23DD0"/>
    <w:rsid w:val="00E25EAC"/>
    <w:rsid w:val="00E26051"/>
    <w:rsid w:val="00E300ED"/>
    <w:rsid w:val="00E316A3"/>
    <w:rsid w:val="00E31AF5"/>
    <w:rsid w:val="00E31FB4"/>
    <w:rsid w:val="00E32B0F"/>
    <w:rsid w:val="00E346D4"/>
    <w:rsid w:val="00E34DA7"/>
    <w:rsid w:val="00E35164"/>
    <w:rsid w:val="00E351AA"/>
    <w:rsid w:val="00E36E3F"/>
    <w:rsid w:val="00E3786E"/>
    <w:rsid w:val="00E37AE4"/>
    <w:rsid w:val="00E4064E"/>
    <w:rsid w:val="00E4408B"/>
    <w:rsid w:val="00E44365"/>
    <w:rsid w:val="00E447C5"/>
    <w:rsid w:val="00E44BEA"/>
    <w:rsid w:val="00E45EEE"/>
    <w:rsid w:val="00E46607"/>
    <w:rsid w:val="00E468F3"/>
    <w:rsid w:val="00E46D41"/>
    <w:rsid w:val="00E51807"/>
    <w:rsid w:val="00E52A14"/>
    <w:rsid w:val="00E54B8A"/>
    <w:rsid w:val="00E553BD"/>
    <w:rsid w:val="00E55911"/>
    <w:rsid w:val="00E560E0"/>
    <w:rsid w:val="00E573DF"/>
    <w:rsid w:val="00E61631"/>
    <w:rsid w:val="00E61666"/>
    <w:rsid w:val="00E61EAA"/>
    <w:rsid w:val="00E62DD4"/>
    <w:rsid w:val="00E63D09"/>
    <w:rsid w:val="00E640FA"/>
    <w:rsid w:val="00E6434E"/>
    <w:rsid w:val="00E64564"/>
    <w:rsid w:val="00E652D1"/>
    <w:rsid w:val="00E6604F"/>
    <w:rsid w:val="00E70E38"/>
    <w:rsid w:val="00E72E2D"/>
    <w:rsid w:val="00E73668"/>
    <w:rsid w:val="00E75E64"/>
    <w:rsid w:val="00E7712E"/>
    <w:rsid w:val="00E77164"/>
    <w:rsid w:val="00E776DF"/>
    <w:rsid w:val="00E819B8"/>
    <w:rsid w:val="00E82A41"/>
    <w:rsid w:val="00E82FE0"/>
    <w:rsid w:val="00E83958"/>
    <w:rsid w:val="00E844A9"/>
    <w:rsid w:val="00E85678"/>
    <w:rsid w:val="00E857C2"/>
    <w:rsid w:val="00E907E3"/>
    <w:rsid w:val="00E90A52"/>
    <w:rsid w:val="00E92A9E"/>
    <w:rsid w:val="00E95610"/>
    <w:rsid w:val="00E96CB8"/>
    <w:rsid w:val="00E9762E"/>
    <w:rsid w:val="00EA05AE"/>
    <w:rsid w:val="00EA0C0F"/>
    <w:rsid w:val="00EA1663"/>
    <w:rsid w:val="00EA4FB0"/>
    <w:rsid w:val="00EA5E5F"/>
    <w:rsid w:val="00EA717C"/>
    <w:rsid w:val="00EB338D"/>
    <w:rsid w:val="00EB4136"/>
    <w:rsid w:val="00EB7BF0"/>
    <w:rsid w:val="00EC02E0"/>
    <w:rsid w:val="00EC0517"/>
    <w:rsid w:val="00EC082A"/>
    <w:rsid w:val="00EC0B8F"/>
    <w:rsid w:val="00EC1536"/>
    <w:rsid w:val="00EC1D77"/>
    <w:rsid w:val="00EC2ED8"/>
    <w:rsid w:val="00EC6771"/>
    <w:rsid w:val="00EC7B74"/>
    <w:rsid w:val="00ED2ED8"/>
    <w:rsid w:val="00ED30D5"/>
    <w:rsid w:val="00ED32B8"/>
    <w:rsid w:val="00ED3387"/>
    <w:rsid w:val="00ED4900"/>
    <w:rsid w:val="00ED5167"/>
    <w:rsid w:val="00ED580E"/>
    <w:rsid w:val="00ED726A"/>
    <w:rsid w:val="00ED7AF6"/>
    <w:rsid w:val="00EE1EBA"/>
    <w:rsid w:val="00EE3310"/>
    <w:rsid w:val="00EE36A2"/>
    <w:rsid w:val="00EE3807"/>
    <w:rsid w:val="00EE3E1E"/>
    <w:rsid w:val="00EE46C4"/>
    <w:rsid w:val="00EE573B"/>
    <w:rsid w:val="00EE5F9D"/>
    <w:rsid w:val="00EE6A1D"/>
    <w:rsid w:val="00EF028C"/>
    <w:rsid w:val="00EF130B"/>
    <w:rsid w:val="00EF1CA5"/>
    <w:rsid w:val="00EF3340"/>
    <w:rsid w:val="00EF4352"/>
    <w:rsid w:val="00EF4603"/>
    <w:rsid w:val="00EF5256"/>
    <w:rsid w:val="00EF5D18"/>
    <w:rsid w:val="00EF610E"/>
    <w:rsid w:val="00EF6674"/>
    <w:rsid w:val="00EF74FA"/>
    <w:rsid w:val="00F00433"/>
    <w:rsid w:val="00F0098C"/>
    <w:rsid w:val="00F0450B"/>
    <w:rsid w:val="00F06265"/>
    <w:rsid w:val="00F06BFF"/>
    <w:rsid w:val="00F06D92"/>
    <w:rsid w:val="00F10107"/>
    <w:rsid w:val="00F10A73"/>
    <w:rsid w:val="00F10EE9"/>
    <w:rsid w:val="00F11E8A"/>
    <w:rsid w:val="00F128D1"/>
    <w:rsid w:val="00F12B95"/>
    <w:rsid w:val="00F12C21"/>
    <w:rsid w:val="00F12D06"/>
    <w:rsid w:val="00F1479A"/>
    <w:rsid w:val="00F1494C"/>
    <w:rsid w:val="00F1551E"/>
    <w:rsid w:val="00F17A5C"/>
    <w:rsid w:val="00F212C6"/>
    <w:rsid w:val="00F21CE3"/>
    <w:rsid w:val="00F21DB4"/>
    <w:rsid w:val="00F220E8"/>
    <w:rsid w:val="00F23A3B"/>
    <w:rsid w:val="00F244DC"/>
    <w:rsid w:val="00F24504"/>
    <w:rsid w:val="00F253C9"/>
    <w:rsid w:val="00F2544E"/>
    <w:rsid w:val="00F2683A"/>
    <w:rsid w:val="00F27108"/>
    <w:rsid w:val="00F27848"/>
    <w:rsid w:val="00F27C28"/>
    <w:rsid w:val="00F30430"/>
    <w:rsid w:val="00F30BEF"/>
    <w:rsid w:val="00F31C32"/>
    <w:rsid w:val="00F32593"/>
    <w:rsid w:val="00F33421"/>
    <w:rsid w:val="00F33AFE"/>
    <w:rsid w:val="00F3453E"/>
    <w:rsid w:val="00F34814"/>
    <w:rsid w:val="00F35AB3"/>
    <w:rsid w:val="00F36833"/>
    <w:rsid w:val="00F426A2"/>
    <w:rsid w:val="00F44CA4"/>
    <w:rsid w:val="00F454A6"/>
    <w:rsid w:val="00F47AC3"/>
    <w:rsid w:val="00F50F6F"/>
    <w:rsid w:val="00F5235B"/>
    <w:rsid w:val="00F526AD"/>
    <w:rsid w:val="00F52716"/>
    <w:rsid w:val="00F53B1A"/>
    <w:rsid w:val="00F5615B"/>
    <w:rsid w:val="00F627CB"/>
    <w:rsid w:val="00F62F3F"/>
    <w:rsid w:val="00F63487"/>
    <w:rsid w:val="00F637AD"/>
    <w:rsid w:val="00F66138"/>
    <w:rsid w:val="00F665BB"/>
    <w:rsid w:val="00F67006"/>
    <w:rsid w:val="00F67129"/>
    <w:rsid w:val="00F70019"/>
    <w:rsid w:val="00F70951"/>
    <w:rsid w:val="00F719C8"/>
    <w:rsid w:val="00F72379"/>
    <w:rsid w:val="00F731DC"/>
    <w:rsid w:val="00F73C92"/>
    <w:rsid w:val="00F74CFA"/>
    <w:rsid w:val="00F75484"/>
    <w:rsid w:val="00F75C43"/>
    <w:rsid w:val="00F76A5B"/>
    <w:rsid w:val="00F76CCD"/>
    <w:rsid w:val="00F76F9A"/>
    <w:rsid w:val="00F77282"/>
    <w:rsid w:val="00F800FF"/>
    <w:rsid w:val="00F80101"/>
    <w:rsid w:val="00F80446"/>
    <w:rsid w:val="00F81B67"/>
    <w:rsid w:val="00F84FA3"/>
    <w:rsid w:val="00F85C1F"/>
    <w:rsid w:val="00F8784D"/>
    <w:rsid w:val="00F913A4"/>
    <w:rsid w:val="00F914F8"/>
    <w:rsid w:val="00F93DF1"/>
    <w:rsid w:val="00F959BB"/>
    <w:rsid w:val="00FA04D0"/>
    <w:rsid w:val="00FA1E79"/>
    <w:rsid w:val="00FA2E8F"/>
    <w:rsid w:val="00FA3DE1"/>
    <w:rsid w:val="00FA4804"/>
    <w:rsid w:val="00FA69DE"/>
    <w:rsid w:val="00FA7416"/>
    <w:rsid w:val="00FB05C3"/>
    <w:rsid w:val="00FB150D"/>
    <w:rsid w:val="00FB36F4"/>
    <w:rsid w:val="00FB53B5"/>
    <w:rsid w:val="00FB5D63"/>
    <w:rsid w:val="00FB63EB"/>
    <w:rsid w:val="00FB6508"/>
    <w:rsid w:val="00FC0D18"/>
    <w:rsid w:val="00FC164F"/>
    <w:rsid w:val="00FC29DD"/>
    <w:rsid w:val="00FC3671"/>
    <w:rsid w:val="00FC4912"/>
    <w:rsid w:val="00FC5AF5"/>
    <w:rsid w:val="00FC6017"/>
    <w:rsid w:val="00FC645F"/>
    <w:rsid w:val="00FD0484"/>
    <w:rsid w:val="00FD0C3C"/>
    <w:rsid w:val="00FD21C5"/>
    <w:rsid w:val="00FD3169"/>
    <w:rsid w:val="00FD3A95"/>
    <w:rsid w:val="00FD3B06"/>
    <w:rsid w:val="00FD516B"/>
    <w:rsid w:val="00FD5CC3"/>
    <w:rsid w:val="00FD6284"/>
    <w:rsid w:val="00FD7967"/>
    <w:rsid w:val="00FD7E17"/>
    <w:rsid w:val="00FE470F"/>
    <w:rsid w:val="00FE4F65"/>
    <w:rsid w:val="00FE6C85"/>
    <w:rsid w:val="00FE72DB"/>
    <w:rsid w:val="00FF027E"/>
    <w:rsid w:val="00FF15F2"/>
    <w:rsid w:val="00FF164B"/>
    <w:rsid w:val="00FF1C49"/>
    <w:rsid w:val="00FF2FD9"/>
    <w:rsid w:val="00FF304C"/>
    <w:rsid w:val="00FF3C78"/>
    <w:rsid w:val="00FF44D5"/>
    <w:rsid w:val="00FF46E7"/>
    <w:rsid w:val="00FF6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137"/>
    <o:shapelayout v:ext="edit">
      <o:idmap v:ext="edit" data="1"/>
    </o:shapelayout>
  </w:shapeDefaults>
  <w:decimalSymbol w:val=","/>
  <w:listSeparator w:val=";"/>
  <w14:docId w14:val="6CE6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21EE"/>
    <w:rPr>
      <w:sz w:val="24"/>
      <w:szCs w:val="24"/>
      <w:lang w:val="en-GB"/>
    </w:rPr>
  </w:style>
  <w:style w:type="paragraph" w:styleId="Heading1">
    <w:name w:val="heading 1"/>
    <w:basedOn w:val="Normal"/>
    <w:next w:val="Normal"/>
    <w:link w:val="Heading1Char"/>
    <w:uiPriority w:val="98"/>
    <w:semiHidden/>
    <w:rsid w:val="001621E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621E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621E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621E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621E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621E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621E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621E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621E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621EE"/>
    <w:rPr>
      <w:rFonts w:ascii="Tahoma" w:hAnsi="Tahoma" w:cs="Tahoma"/>
      <w:sz w:val="16"/>
      <w:szCs w:val="16"/>
    </w:rPr>
  </w:style>
  <w:style w:type="character" w:customStyle="1" w:styleId="BalloonTextChar">
    <w:name w:val="Balloon Text Char"/>
    <w:basedOn w:val="DefaultParagraphFont"/>
    <w:link w:val="BalloonText"/>
    <w:uiPriority w:val="98"/>
    <w:semiHidden/>
    <w:rsid w:val="001621EE"/>
    <w:rPr>
      <w:rFonts w:ascii="Tahoma" w:hAnsi="Tahoma" w:cs="Tahoma"/>
      <w:sz w:val="16"/>
      <w:szCs w:val="16"/>
      <w:lang w:val="en-GB"/>
    </w:rPr>
  </w:style>
  <w:style w:type="character" w:styleId="BookTitle">
    <w:name w:val="Book Title"/>
    <w:uiPriority w:val="98"/>
    <w:semiHidden/>
    <w:qFormat/>
    <w:rsid w:val="001621EE"/>
    <w:rPr>
      <w:i/>
      <w:iCs/>
      <w:smallCaps/>
      <w:spacing w:val="5"/>
    </w:rPr>
  </w:style>
  <w:style w:type="paragraph" w:customStyle="1" w:styleId="JuHeader">
    <w:name w:val="Ju_Header"/>
    <w:aliases w:val="_Header"/>
    <w:basedOn w:val="Header"/>
    <w:uiPriority w:val="29"/>
    <w:qFormat/>
    <w:rsid w:val="001621EE"/>
    <w:pPr>
      <w:tabs>
        <w:tab w:val="clear" w:pos="4536"/>
        <w:tab w:val="clear" w:pos="9072"/>
      </w:tabs>
      <w:jc w:val="center"/>
    </w:pPr>
    <w:rPr>
      <w:sz w:val="18"/>
    </w:rPr>
  </w:style>
  <w:style w:type="paragraph" w:customStyle="1" w:styleId="ECHRFooter">
    <w:name w:val="ECHR_Footer"/>
    <w:aliases w:val="Footer_ECHR"/>
    <w:basedOn w:val="Footer"/>
    <w:uiPriority w:val="30"/>
    <w:rsid w:val="00000067"/>
    <w:rPr>
      <w:sz w:val="8"/>
    </w:rPr>
  </w:style>
  <w:style w:type="character" w:styleId="Strong">
    <w:name w:val="Strong"/>
    <w:uiPriority w:val="98"/>
    <w:semiHidden/>
    <w:qFormat/>
    <w:rsid w:val="001621EE"/>
    <w:rPr>
      <w:b/>
      <w:bCs/>
    </w:rPr>
  </w:style>
  <w:style w:type="paragraph" w:styleId="NoSpacing">
    <w:name w:val="No Spacing"/>
    <w:basedOn w:val="Normal"/>
    <w:link w:val="NoSpacingChar"/>
    <w:uiPriority w:val="98"/>
    <w:semiHidden/>
    <w:qFormat/>
    <w:rsid w:val="001621EE"/>
  </w:style>
  <w:style w:type="character" w:customStyle="1" w:styleId="NoSpacingChar">
    <w:name w:val="No Spacing Char"/>
    <w:basedOn w:val="DefaultParagraphFont"/>
    <w:link w:val="NoSpacing"/>
    <w:uiPriority w:val="98"/>
    <w:rsid w:val="001621EE"/>
    <w:rPr>
      <w:sz w:val="24"/>
      <w:szCs w:val="24"/>
      <w:lang w:val="en-GB"/>
    </w:rPr>
  </w:style>
  <w:style w:type="paragraph" w:customStyle="1" w:styleId="ECHRFooterLine">
    <w:name w:val="ECHR_Footer_Line"/>
    <w:aliases w:val="_Footer_Line"/>
    <w:basedOn w:val="Normal"/>
    <w:next w:val="Normal"/>
    <w:uiPriority w:val="30"/>
    <w:rsid w:val="001621EE"/>
    <w:pPr>
      <w:pBdr>
        <w:top w:val="single" w:sz="6" w:space="1" w:color="5F5F5F"/>
      </w:pBdr>
      <w:tabs>
        <w:tab w:val="center" w:pos="3686"/>
        <w:tab w:val="right" w:pos="7371"/>
      </w:tabs>
      <w:ind w:left="-1474" w:right="-1474"/>
    </w:pPr>
    <w:rPr>
      <w:color w:val="5F5F5F"/>
    </w:rPr>
  </w:style>
  <w:style w:type="paragraph" w:customStyle="1" w:styleId="NormalJustified">
    <w:name w:val="Normal_Justified"/>
    <w:basedOn w:val="Normal"/>
    <w:semiHidden/>
    <w:rsid w:val="001621EE"/>
    <w:pPr>
      <w:jc w:val="both"/>
    </w:pPr>
  </w:style>
  <w:style w:type="paragraph" w:customStyle="1" w:styleId="JuList">
    <w:name w:val="Ju_List"/>
    <w:aliases w:val="_List_1"/>
    <w:basedOn w:val="NormalJustified"/>
    <w:link w:val="JuListChar"/>
    <w:uiPriority w:val="23"/>
    <w:qFormat/>
    <w:rsid w:val="001621EE"/>
    <w:pPr>
      <w:numPr>
        <w:numId w:val="17"/>
      </w:numPr>
      <w:spacing w:before="280" w:after="60"/>
    </w:pPr>
  </w:style>
  <w:style w:type="paragraph" w:customStyle="1" w:styleId="JuHArticle">
    <w:name w:val="Ju_H_Article"/>
    <w:aliases w:val="_Title_Quote"/>
    <w:basedOn w:val="Normal"/>
    <w:next w:val="JuQuot"/>
    <w:uiPriority w:val="19"/>
    <w:qFormat/>
    <w:rsid w:val="001621EE"/>
    <w:pPr>
      <w:keepNext/>
      <w:spacing w:before="100" w:beforeAutospacing="1" w:after="120"/>
      <w:contextualSpacing/>
      <w:jc w:val="center"/>
    </w:pPr>
    <w:rPr>
      <w:b/>
      <w:sz w:val="20"/>
    </w:rPr>
  </w:style>
  <w:style w:type="paragraph" w:customStyle="1" w:styleId="JuLista">
    <w:name w:val="Ju_List_a"/>
    <w:aliases w:val="_List_2"/>
    <w:basedOn w:val="NormalJustified"/>
    <w:uiPriority w:val="23"/>
    <w:rsid w:val="001621EE"/>
    <w:pPr>
      <w:numPr>
        <w:ilvl w:val="1"/>
        <w:numId w:val="17"/>
      </w:numPr>
    </w:pPr>
  </w:style>
  <w:style w:type="paragraph" w:customStyle="1" w:styleId="JuListi">
    <w:name w:val="Ju_List_i"/>
    <w:aliases w:val="_List_3"/>
    <w:basedOn w:val="NormalJustified"/>
    <w:uiPriority w:val="23"/>
    <w:rsid w:val="001621EE"/>
    <w:pPr>
      <w:numPr>
        <w:ilvl w:val="2"/>
        <w:numId w:val="17"/>
      </w:numPr>
    </w:pPr>
  </w:style>
  <w:style w:type="paragraph" w:customStyle="1" w:styleId="JuParaLast">
    <w:name w:val="Ju_Para_Last"/>
    <w:aliases w:val="_Para_Spaced"/>
    <w:basedOn w:val="NormalJustified"/>
    <w:uiPriority w:val="5"/>
    <w:qFormat/>
    <w:rsid w:val="001621EE"/>
    <w:pPr>
      <w:keepNext/>
      <w:keepLines/>
      <w:spacing w:before="240" w:after="240"/>
      <w:ind w:firstLine="284"/>
    </w:pPr>
  </w:style>
  <w:style w:type="paragraph" w:customStyle="1" w:styleId="DecHTitle">
    <w:name w:val="Dec_H_Title"/>
    <w:aliases w:val="_Title_1"/>
    <w:basedOn w:val="JuPara"/>
    <w:next w:val="JuPara"/>
    <w:uiPriority w:val="38"/>
    <w:qFormat/>
    <w:rsid w:val="001621EE"/>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1621E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621EE"/>
    <w:pPr>
      <w:keepNext/>
      <w:keepLines/>
      <w:spacing w:before="1320" w:after="280"/>
      <w:contextualSpacing/>
      <w:jc w:val="center"/>
    </w:pPr>
    <w:rPr>
      <w:b/>
    </w:rPr>
  </w:style>
  <w:style w:type="paragraph" w:styleId="Title">
    <w:name w:val="Title"/>
    <w:basedOn w:val="Normal"/>
    <w:next w:val="Normal"/>
    <w:link w:val="TitleChar"/>
    <w:uiPriority w:val="98"/>
    <w:semiHidden/>
    <w:qFormat/>
    <w:rsid w:val="001621E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1621EE"/>
    <w:rPr>
      <w:rFonts w:asciiTheme="majorHAnsi" w:eastAsiaTheme="majorEastAsia" w:hAnsiTheme="majorHAnsi" w:cstheme="majorBidi"/>
      <w:spacing w:val="5"/>
      <w:sz w:val="52"/>
      <w:szCs w:val="52"/>
      <w:lang w:val="en-GB" w:bidi="en-US"/>
    </w:rPr>
  </w:style>
  <w:style w:type="paragraph" w:customStyle="1" w:styleId="JuH1">
    <w:name w:val="Ju_H_1."/>
    <w:aliases w:val="_Head_4"/>
    <w:basedOn w:val="Heading4"/>
    <w:next w:val="JuPara"/>
    <w:uiPriority w:val="17"/>
    <w:rsid w:val="001621EE"/>
    <w:pPr>
      <w:keepNext/>
      <w:keepLines/>
      <w:numPr>
        <w:ilvl w:val="3"/>
        <w:numId w:val="16"/>
      </w:numPr>
      <w:spacing w:before="100" w:beforeAutospacing="1" w:after="120"/>
      <w:jc w:val="both"/>
    </w:pPr>
    <w:rPr>
      <w:b w:val="0"/>
      <w:color w:val="auto"/>
      <w:sz w:val="24"/>
    </w:rPr>
  </w:style>
  <w:style w:type="paragraph" w:customStyle="1" w:styleId="JuHa0">
    <w:name w:val="Ju_H_a"/>
    <w:aliases w:val="_Head_5"/>
    <w:basedOn w:val="Heading5"/>
    <w:next w:val="JuPara"/>
    <w:uiPriority w:val="17"/>
    <w:rsid w:val="001621EE"/>
    <w:pPr>
      <w:keepNext/>
      <w:keepLines/>
      <w:numPr>
        <w:ilvl w:val="4"/>
        <w:numId w:val="16"/>
      </w:numPr>
      <w:spacing w:before="100" w:beforeAutospacing="1" w:after="120"/>
      <w:jc w:val="both"/>
    </w:pPr>
    <w:rPr>
      <w:color w:val="auto"/>
      <w:sz w:val="20"/>
    </w:rPr>
  </w:style>
  <w:style w:type="paragraph" w:customStyle="1" w:styleId="JuHi">
    <w:name w:val="Ju_H_i"/>
    <w:aliases w:val="_Head_6"/>
    <w:basedOn w:val="Heading6"/>
    <w:next w:val="JuPara"/>
    <w:uiPriority w:val="17"/>
    <w:rsid w:val="001621EE"/>
    <w:pPr>
      <w:keepNext/>
      <w:keepLines/>
      <w:numPr>
        <w:ilvl w:val="5"/>
        <w:numId w:val="16"/>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Heading7"/>
    <w:next w:val="JuPara"/>
    <w:uiPriority w:val="17"/>
    <w:rsid w:val="001621EE"/>
    <w:pPr>
      <w:keepNext/>
      <w:keepLines/>
      <w:numPr>
        <w:ilvl w:val="6"/>
        <w:numId w:val="16"/>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621EE"/>
    <w:pPr>
      <w:keepNext/>
      <w:keepLines/>
      <w:numPr>
        <w:ilvl w:val="7"/>
        <w:numId w:val="16"/>
      </w:numPr>
      <w:spacing w:before="100" w:beforeAutospacing="1" w:after="120"/>
      <w:jc w:val="both"/>
    </w:pPr>
    <w:rPr>
      <w:i/>
    </w:rPr>
  </w:style>
  <w:style w:type="paragraph" w:customStyle="1" w:styleId="ECHRCoverTitle4">
    <w:name w:val="ECHR_Cover_Title_4"/>
    <w:aliases w:val="_Title_4"/>
    <w:basedOn w:val="JuPara"/>
    <w:next w:val="JuPara"/>
    <w:uiPriority w:val="38"/>
    <w:qFormat/>
    <w:rsid w:val="001621EE"/>
    <w:pPr>
      <w:keepNext/>
      <w:keepLines/>
      <w:tabs>
        <w:tab w:val="right" w:pos="7938"/>
      </w:tabs>
      <w:ind w:firstLine="0"/>
      <w:jc w:val="center"/>
    </w:pPr>
    <w:rPr>
      <w:i/>
    </w:rPr>
  </w:style>
  <w:style w:type="numbering" w:customStyle="1" w:styleId="ECHRA1StyleBulletedSquare">
    <w:name w:val="ECHR_A1_Style_Bulleted_Square"/>
    <w:basedOn w:val="NoList"/>
    <w:rsid w:val="001621EE"/>
    <w:pPr>
      <w:numPr>
        <w:numId w:val="11"/>
      </w:numPr>
    </w:pPr>
  </w:style>
  <w:style w:type="numbering" w:customStyle="1" w:styleId="ECHRA1StyleList">
    <w:name w:val="ECHR_A1_Style_List"/>
    <w:basedOn w:val="NoList"/>
    <w:uiPriority w:val="99"/>
    <w:rsid w:val="001621EE"/>
    <w:pPr>
      <w:numPr>
        <w:numId w:val="12"/>
      </w:numPr>
    </w:pPr>
  </w:style>
  <w:style w:type="paragraph" w:styleId="Header">
    <w:name w:val="header"/>
    <w:basedOn w:val="Normal"/>
    <w:link w:val="HeaderChar"/>
    <w:uiPriority w:val="98"/>
    <w:semiHidden/>
    <w:rsid w:val="001621EE"/>
    <w:pPr>
      <w:tabs>
        <w:tab w:val="center" w:pos="4536"/>
        <w:tab w:val="right" w:pos="9072"/>
      </w:tabs>
    </w:pPr>
  </w:style>
  <w:style w:type="character" w:customStyle="1" w:styleId="HeaderChar">
    <w:name w:val="Header Char"/>
    <w:basedOn w:val="DefaultParagraphFont"/>
    <w:link w:val="Header"/>
    <w:uiPriority w:val="98"/>
    <w:semiHidden/>
    <w:rsid w:val="001621EE"/>
    <w:rPr>
      <w:sz w:val="24"/>
      <w:szCs w:val="24"/>
      <w:lang w:val="en-GB"/>
    </w:rPr>
  </w:style>
  <w:style w:type="character" w:customStyle="1" w:styleId="Heading1Char">
    <w:name w:val="Heading 1 Char"/>
    <w:basedOn w:val="DefaultParagraphFont"/>
    <w:link w:val="Heading1"/>
    <w:uiPriority w:val="98"/>
    <w:rsid w:val="001621EE"/>
    <w:rPr>
      <w:rFonts w:asciiTheme="majorHAnsi" w:eastAsiaTheme="majorEastAsia" w:hAnsiTheme="majorHAnsi" w:cstheme="majorBidi"/>
      <w:b/>
      <w:bCs/>
      <w:color w:val="333333"/>
      <w:sz w:val="28"/>
      <w:szCs w:val="28"/>
      <w:lang w:val="en-GB"/>
    </w:rPr>
  </w:style>
  <w:style w:type="paragraph" w:customStyle="1" w:styleId="JuHIRoman">
    <w:name w:val="Ju_H_I_Roman"/>
    <w:aliases w:val="_Head_2"/>
    <w:basedOn w:val="Heading2"/>
    <w:next w:val="JuPara"/>
    <w:uiPriority w:val="17"/>
    <w:qFormat/>
    <w:rsid w:val="001621EE"/>
    <w:pPr>
      <w:keepNext/>
      <w:keepLines/>
      <w:numPr>
        <w:ilvl w:val="1"/>
        <w:numId w:val="16"/>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link w:val="JuHAChar"/>
    <w:uiPriority w:val="17"/>
    <w:qFormat/>
    <w:rsid w:val="001621EE"/>
    <w:pPr>
      <w:keepNext/>
      <w:keepLines/>
      <w:numPr>
        <w:ilvl w:val="2"/>
        <w:numId w:val="16"/>
      </w:numPr>
      <w:spacing w:before="100" w:beforeAutospacing="1" w:after="240" w:line="240" w:lineRule="auto"/>
      <w:jc w:val="both"/>
    </w:pPr>
    <w:rPr>
      <w:color w:val="auto"/>
      <w:sz w:val="24"/>
    </w:rPr>
  </w:style>
  <w:style w:type="character" w:customStyle="1" w:styleId="Heading2Char">
    <w:name w:val="Heading 2 Char"/>
    <w:basedOn w:val="DefaultParagraphFont"/>
    <w:link w:val="Heading2"/>
    <w:uiPriority w:val="98"/>
    <w:semiHidden/>
    <w:rsid w:val="001621EE"/>
    <w:rPr>
      <w:rFonts w:asciiTheme="majorHAnsi" w:eastAsiaTheme="majorEastAsia" w:hAnsiTheme="majorHAnsi" w:cstheme="majorBidi"/>
      <w:b/>
      <w:bCs/>
      <w:color w:val="4D4D4D"/>
      <w:sz w:val="26"/>
      <w:szCs w:val="26"/>
      <w:lang w:val="en-GB"/>
    </w:rPr>
  </w:style>
  <w:style w:type="numbering" w:customStyle="1" w:styleId="ECHRA1StyleNumberedList">
    <w:name w:val="ECHR_A1_Style_Numbered_List"/>
    <w:basedOn w:val="NoList"/>
    <w:rsid w:val="001621EE"/>
    <w:pPr>
      <w:numPr>
        <w:numId w:val="13"/>
      </w:numPr>
    </w:pPr>
  </w:style>
  <w:style w:type="table" w:customStyle="1" w:styleId="ECHRTable2019">
    <w:name w:val="ECHR_Table_2019"/>
    <w:basedOn w:val="TableNormal"/>
    <w:uiPriority w:val="99"/>
    <w:rsid w:val="001621E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character" w:customStyle="1" w:styleId="Heading3Char">
    <w:name w:val="Heading 3 Char"/>
    <w:basedOn w:val="DefaultParagraphFont"/>
    <w:link w:val="Heading3"/>
    <w:uiPriority w:val="98"/>
    <w:semiHidden/>
    <w:rsid w:val="001621EE"/>
    <w:rPr>
      <w:rFonts w:asciiTheme="majorHAnsi" w:eastAsiaTheme="majorEastAsia" w:hAnsiTheme="majorHAnsi" w:cstheme="majorBidi"/>
      <w:b/>
      <w:bCs/>
      <w:color w:val="5F5F5F"/>
      <w:lang w:val="en-GB"/>
    </w:rPr>
  </w:style>
  <w:style w:type="character" w:customStyle="1" w:styleId="Heading4Char">
    <w:name w:val="Heading 4 Char"/>
    <w:basedOn w:val="DefaultParagraphFont"/>
    <w:link w:val="Heading4"/>
    <w:uiPriority w:val="98"/>
    <w:semiHidden/>
    <w:rsid w:val="001621EE"/>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1621EE"/>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1621EE"/>
    <w:rPr>
      <w:i/>
      <w:iCs/>
    </w:rPr>
  </w:style>
  <w:style w:type="table" w:customStyle="1" w:styleId="ECHRTable">
    <w:name w:val="ECHR_Table"/>
    <w:basedOn w:val="TableNormal"/>
    <w:rsid w:val="001621E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621E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HHead">
    <w:name w:val="Ju_H_Head"/>
    <w:aliases w:val="_Head_1"/>
    <w:basedOn w:val="Heading1"/>
    <w:next w:val="JuPara"/>
    <w:uiPriority w:val="17"/>
    <w:qFormat/>
    <w:rsid w:val="001621EE"/>
    <w:pPr>
      <w:keepNext/>
      <w:keepLines/>
      <w:numPr>
        <w:numId w:val="16"/>
      </w:numPr>
      <w:spacing w:before="100" w:beforeAutospacing="1" w:after="240"/>
      <w:contextualSpacing w:val="0"/>
      <w:jc w:val="both"/>
    </w:pPr>
    <w:rPr>
      <w:b w:val="0"/>
      <w:caps/>
      <w:color w:val="auto"/>
    </w:rPr>
  </w:style>
  <w:style w:type="character" w:styleId="Emphasis">
    <w:name w:val="Emphasis"/>
    <w:uiPriority w:val="98"/>
    <w:semiHidden/>
    <w:qFormat/>
    <w:rsid w:val="001621EE"/>
    <w:rPr>
      <w:b/>
      <w:bCs/>
      <w:i/>
      <w:iCs/>
      <w:spacing w:val="10"/>
      <w:bdr w:val="none" w:sz="0" w:space="0" w:color="auto"/>
      <w:shd w:val="clear" w:color="auto" w:fill="auto"/>
    </w:rPr>
  </w:style>
  <w:style w:type="paragraph" w:styleId="Footer">
    <w:name w:val="footer"/>
    <w:basedOn w:val="Normal"/>
    <w:link w:val="FooterChar"/>
    <w:uiPriority w:val="98"/>
    <w:semiHidden/>
    <w:rsid w:val="001621EE"/>
    <w:pPr>
      <w:tabs>
        <w:tab w:val="center" w:pos="3686"/>
        <w:tab w:val="right" w:pos="7371"/>
      </w:tabs>
    </w:pPr>
  </w:style>
  <w:style w:type="character" w:customStyle="1" w:styleId="FooterChar">
    <w:name w:val="Footer Char"/>
    <w:basedOn w:val="DefaultParagraphFont"/>
    <w:link w:val="Footer"/>
    <w:uiPriority w:val="98"/>
    <w:rsid w:val="001621EE"/>
    <w:rPr>
      <w:sz w:val="24"/>
      <w:szCs w:val="24"/>
      <w:lang w:val="en-GB"/>
    </w:rPr>
  </w:style>
  <w:style w:type="character" w:styleId="FootnoteReference">
    <w:name w:val="footnote reference"/>
    <w:basedOn w:val="DefaultParagraphFont"/>
    <w:uiPriority w:val="98"/>
    <w:semiHidden/>
    <w:rsid w:val="001621EE"/>
    <w:rPr>
      <w:vertAlign w:val="superscript"/>
    </w:rPr>
  </w:style>
  <w:style w:type="paragraph" w:styleId="FootnoteText">
    <w:name w:val="footnote text"/>
    <w:basedOn w:val="NormalJustified"/>
    <w:link w:val="FootnoteTextChar"/>
    <w:uiPriority w:val="98"/>
    <w:semiHidden/>
    <w:rsid w:val="001621EE"/>
    <w:rPr>
      <w:sz w:val="20"/>
      <w:szCs w:val="20"/>
    </w:rPr>
  </w:style>
  <w:style w:type="character" w:customStyle="1" w:styleId="FootnoteTextChar">
    <w:name w:val="Footnote Text Char"/>
    <w:basedOn w:val="DefaultParagraphFont"/>
    <w:link w:val="FootnoteText"/>
    <w:uiPriority w:val="98"/>
    <w:semiHidden/>
    <w:rsid w:val="001621EE"/>
    <w:rPr>
      <w:sz w:val="20"/>
      <w:szCs w:val="20"/>
      <w:lang w:val="en-GB"/>
    </w:rPr>
  </w:style>
  <w:style w:type="character" w:customStyle="1" w:styleId="Heading6Char">
    <w:name w:val="Heading 6 Char"/>
    <w:basedOn w:val="DefaultParagraphFont"/>
    <w:link w:val="Heading6"/>
    <w:uiPriority w:val="98"/>
    <w:semiHidden/>
    <w:rsid w:val="001621E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621E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621E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621E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1621EE"/>
    <w:rPr>
      <w:color w:val="0072BC" w:themeColor="hyperlink"/>
      <w:u w:val="single"/>
    </w:rPr>
  </w:style>
  <w:style w:type="character" w:styleId="IntenseEmphasis">
    <w:name w:val="Intense Emphasis"/>
    <w:uiPriority w:val="98"/>
    <w:semiHidden/>
    <w:qFormat/>
    <w:rsid w:val="001621EE"/>
    <w:rPr>
      <w:b/>
      <w:bCs/>
    </w:rPr>
  </w:style>
  <w:style w:type="paragraph" w:styleId="IntenseQuote">
    <w:name w:val="Intense Quote"/>
    <w:basedOn w:val="Normal"/>
    <w:next w:val="Normal"/>
    <w:link w:val="IntenseQuoteChar"/>
    <w:uiPriority w:val="98"/>
    <w:semiHidden/>
    <w:qFormat/>
    <w:rsid w:val="001621E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1621EE"/>
    <w:rPr>
      <w:b/>
      <w:bCs/>
      <w:i/>
      <w:iCs/>
      <w:sz w:val="24"/>
      <w:szCs w:val="24"/>
      <w:lang w:val="en-GB" w:bidi="en-US"/>
    </w:rPr>
  </w:style>
  <w:style w:type="character" w:styleId="IntenseReference">
    <w:name w:val="Intense Reference"/>
    <w:uiPriority w:val="98"/>
    <w:semiHidden/>
    <w:qFormat/>
    <w:rsid w:val="001621EE"/>
    <w:rPr>
      <w:smallCaps/>
      <w:spacing w:val="5"/>
      <w:u w:val="single"/>
    </w:rPr>
  </w:style>
  <w:style w:type="paragraph" w:styleId="ListParagraph">
    <w:name w:val="List Paragraph"/>
    <w:basedOn w:val="Normal"/>
    <w:uiPriority w:val="98"/>
    <w:semiHidden/>
    <w:qFormat/>
    <w:rsid w:val="001621EE"/>
    <w:pPr>
      <w:ind w:left="720"/>
      <w:contextualSpacing/>
    </w:pPr>
  </w:style>
  <w:style w:type="table" w:customStyle="1" w:styleId="LtrTableAddress">
    <w:name w:val="Ltr_Table_Address"/>
    <w:aliases w:val="ECHR_Ltr_Table_Address"/>
    <w:basedOn w:val="TableNormal"/>
    <w:uiPriority w:val="99"/>
    <w:rsid w:val="001621EE"/>
    <w:rPr>
      <w:sz w:val="24"/>
      <w:szCs w:val="24"/>
    </w:rPr>
    <w:tblPr>
      <w:tblInd w:w="5103" w:type="dxa"/>
    </w:tblPr>
  </w:style>
  <w:style w:type="paragraph" w:styleId="Quote">
    <w:name w:val="Quote"/>
    <w:basedOn w:val="Normal"/>
    <w:next w:val="Normal"/>
    <w:link w:val="QuoteChar"/>
    <w:uiPriority w:val="98"/>
    <w:semiHidden/>
    <w:qFormat/>
    <w:rsid w:val="001621EE"/>
    <w:pPr>
      <w:spacing w:before="200"/>
      <w:ind w:left="360" w:right="360"/>
    </w:pPr>
    <w:rPr>
      <w:i/>
      <w:iCs/>
      <w:lang w:bidi="en-US"/>
    </w:rPr>
  </w:style>
  <w:style w:type="character" w:customStyle="1" w:styleId="QuoteChar">
    <w:name w:val="Quote Char"/>
    <w:basedOn w:val="DefaultParagraphFont"/>
    <w:link w:val="Quote"/>
    <w:uiPriority w:val="98"/>
    <w:rsid w:val="001621EE"/>
    <w:rPr>
      <w:i/>
      <w:iCs/>
      <w:sz w:val="24"/>
      <w:szCs w:val="24"/>
      <w:lang w:val="en-GB" w:bidi="en-US"/>
    </w:rPr>
  </w:style>
  <w:style w:type="character" w:styleId="SubtleReference">
    <w:name w:val="Subtle Reference"/>
    <w:uiPriority w:val="98"/>
    <w:semiHidden/>
    <w:qFormat/>
    <w:rsid w:val="001621EE"/>
    <w:rPr>
      <w:smallCaps/>
    </w:rPr>
  </w:style>
  <w:style w:type="table" w:styleId="TableGrid">
    <w:name w:val="Table Grid"/>
    <w:basedOn w:val="TableNormal"/>
    <w:uiPriority w:val="59"/>
    <w:semiHidden/>
    <w:rsid w:val="001621E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621E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621E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621E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621E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621E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621E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621E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621E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621E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621E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621E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621E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621E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Quot">
    <w:name w:val="Ju_Quot"/>
    <w:aliases w:val="_Quote"/>
    <w:basedOn w:val="NormalJustified"/>
    <w:link w:val="JuQuotChar"/>
    <w:uiPriority w:val="20"/>
    <w:qFormat/>
    <w:rsid w:val="001621EE"/>
    <w:pPr>
      <w:spacing w:before="120" w:after="120"/>
      <w:ind w:left="425" w:firstLine="142"/>
    </w:pPr>
    <w:rPr>
      <w:sz w:val="20"/>
    </w:rPr>
  </w:style>
  <w:style w:type="paragraph" w:customStyle="1" w:styleId="JuPara">
    <w:name w:val="Ju_Para"/>
    <w:aliases w:val="_Para"/>
    <w:basedOn w:val="NormalJustified"/>
    <w:link w:val="JuParaChar"/>
    <w:uiPriority w:val="4"/>
    <w:qFormat/>
    <w:rsid w:val="001621EE"/>
    <w:pPr>
      <w:ind w:firstLine="284"/>
    </w:pPr>
  </w:style>
  <w:style w:type="table" w:customStyle="1" w:styleId="ECHRTableSimpleBox">
    <w:name w:val="ECHR_Table_Simple_Box"/>
    <w:basedOn w:val="TableNormal"/>
    <w:uiPriority w:val="99"/>
    <w:rsid w:val="001621E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621E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1621E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621E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1621E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1621E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1621EE"/>
    <w:pPr>
      <w:tabs>
        <w:tab w:val="left" w:pos="567"/>
        <w:tab w:val="left" w:pos="1134"/>
      </w:tabs>
    </w:pPr>
  </w:style>
  <w:style w:type="table" w:customStyle="1" w:styleId="ECHRHeaderTableReduced">
    <w:name w:val="ECHR_Header_Table_Reduced"/>
    <w:basedOn w:val="TableNormal"/>
    <w:uiPriority w:val="99"/>
    <w:rsid w:val="001621E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Footer0">
    <w:name w:val="_Footer"/>
    <w:aliases w:val="Footer_"/>
    <w:basedOn w:val="Footer"/>
    <w:uiPriority w:val="57"/>
    <w:semiHidden/>
    <w:rsid w:val="00FC29DD"/>
    <w:rPr>
      <w:sz w:val="8"/>
    </w:rPr>
  </w:style>
  <w:style w:type="paragraph" w:customStyle="1" w:styleId="JuCase">
    <w:name w:val="Ju_Case"/>
    <w:aliases w:val="_Case_Name"/>
    <w:basedOn w:val="NormalJustified"/>
    <w:next w:val="JuPara"/>
    <w:uiPriority w:val="32"/>
    <w:rsid w:val="001621EE"/>
    <w:pPr>
      <w:ind w:firstLine="284"/>
    </w:pPr>
    <w:rPr>
      <w:b/>
    </w:rPr>
  </w:style>
  <w:style w:type="paragraph" w:customStyle="1" w:styleId="JuCourt">
    <w:name w:val="Ju_Court"/>
    <w:aliases w:val="_Court_Names"/>
    <w:basedOn w:val="Normal"/>
    <w:next w:val="Normal"/>
    <w:uiPriority w:val="32"/>
    <w:qFormat/>
    <w:rsid w:val="001621EE"/>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1621EE"/>
    <w:pPr>
      <w:tabs>
        <w:tab w:val="center" w:pos="6407"/>
      </w:tabs>
      <w:spacing w:before="720"/>
      <w:jc w:val="right"/>
    </w:pPr>
  </w:style>
  <w:style w:type="character" w:styleId="PageNumber">
    <w:name w:val="page number"/>
    <w:uiPriority w:val="98"/>
    <w:semiHidden/>
    <w:rsid w:val="001621EE"/>
    <w:rPr>
      <w:sz w:val="18"/>
    </w:rPr>
  </w:style>
  <w:style w:type="character" w:customStyle="1" w:styleId="JuITMark">
    <w:name w:val="Ju_ITMark"/>
    <w:aliases w:val="_ITMark"/>
    <w:basedOn w:val="DefaultParagraphFont"/>
    <w:uiPriority w:val="54"/>
    <w:qFormat/>
    <w:rsid w:val="001621E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621EE"/>
    <w:rPr>
      <w:caps w:val="0"/>
      <w:smallCaps/>
    </w:rPr>
  </w:style>
  <w:style w:type="character" w:styleId="CommentReference">
    <w:name w:val="annotation reference"/>
    <w:basedOn w:val="DefaultParagraphFont"/>
    <w:uiPriority w:val="98"/>
    <w:semiHidden/>
    <w:rsid w:val="001621EE"/>
    <w:rPr>
      <w:sz w:val="16"/>
      <w:szCs w:val="16"/>
    </w:rPr>
  </w:style>
  <w:style w:type="paragraph" w:styleId="CommentText">
    <w:name w:val="annotation text"/>
    <w:basedOn w:val="Normal"/>
    <w:link w:val="CommentTextChar"/>
    <w:uiPriority w:val="98"/>
    <w:semiHidden/>
    <w:rsid w:val="001621EE"/>
    <w:rPr>
      <w:sz w:val="20"/>
      <w:szCs w:val="20"/>
    </w:rPr>
  </w:style>
  <w:style w:type="character" w:customStyle="1" w:styleId="CommentTextChar">
    <w:name w:val="Comment Text Char"/>
    <w:basedOn w:val="DefaultParagraphFont"/>
    <w:link w:val="CommentText"/>
    <w:uiPriority w:val="98"/>
    <w:semiHidden/>
    <w:rsid w:val="001621EE"/>
    <w:rPr>
      <w:sz w:val="20"/>
      <w:szCs w:val="20"/>
      <w:lang w:val="en-GB"/>
    </w:rPr>
  </w:style>
  <w:style w:type="paragraph" w:styleId="CommentSubject">
    <w:name w:val="annotation subject"/>
    <w:basedOn w:val="CommentText"/>
    <w:next w:val="CommentText"/>
    <w:link w:val="CommentSubjectChar"/>
    <w:uiPriority w:val="98"/>
    <w:semiHidden/>
    <w:rsid w:val="001621EE"/>
    <w:rPr>
      <w:b/>
      <w:bCs/>
    </w:rPr>
  </w:style>
  <w:style w:type="character" w:customStyle="1" w:styleId="CommentSubjectChar">
    <w:name w:val="Comment Subject Char"/>
    <w:basedOn w:val="CommentTextChar"/>
    <w:link w:val="CommentSubject"/>
    <w:uiPriority w:val="98"/>
    <w:semiHidden/>
    <w:rsid w:val="001621EE"/>
    <w:rPr>
      <w:b/>
      <w:bCs/>
      <w:sz w:val="20"/>
      <w:szCs w:val="20"/>
      <w:lang w:val="en-GB"/>
    </w:rPr>
  </w:style>
  <w:style w:type="character" w:styleId="EndnoteReference">
    <w:name w:val="endnote reference"/>
    <w:basedOn w:val="DefaultParagraphFont"/>
    <w:uiPriority w:val="98"/>
    <w:semiHidden/>
    <w:rsid w:val="001621EE"/>
    <w:rPr>
      <w:vertAlign w:val="superscript"/>
    </w:rPr>
  </w:style>
  <w:style w:type="paragraph" w:styleId="EndnoteText">
    <w:name w:val="endnote text"/>
    <w:basedOn w:val="Normal"/>
    <w:link w:val="EndnoteTextChar"/>
    <w:uiPriority w:val="98"/>
    <w:semiHidden/>
    <w:rsid w:val="001621EE"/>
    <w:rPr>
      <w:sz w:val="20"/>
      <w:szCs w:val="20"/>
    </w:rPr>
  </w:style>
  <w:style w:type="character" w:customStyle="1" w:styleId="EndnoteTextChar">
    <w:name w:val="Endnote Text Char"/>
    <w:basedOn w:val="DefaultParagraphFont"/>
    <w:link w:val="EndnoteText"/>
    <w:uiPriority w:val="98"/>
    <w:semiHidden/>
    <w:rsid w:val="001621EE"/>
    <w:rPr>
      <w:sz w:val="20"/>
      <w:szCs w:val="20"/>
      <w:lang w:val="en-GB"/>
    </w:rPr>
  </w:style>
  <w:style w:type="character" w:styleId="FollowedHyperlink">
    <w:name w:val="FollowedHyperlink"/>
    <w:basedOn w:val="DefaultParagraphFont"/>
    <w:uiPriority w:val="98"/>
    <w:semiHidden/>
    <w:rsid w:val="001621EE"/>
    <w:rPr>
      <w:color w:val="7030A0" w:themeColor="followedHyperlink"/>
      <w:u w:val="single"/>
    </w:rPr>
  </w:style>
  <w:style w:type="paragraph" w:styleId="DocumentMap">
    <w:name w:val="Document Map"/>
    <w:basedOn w:val="Normal"/>
    <w:link w:val="DocumentMapChar"/>
    <w:uiPriority w:val="98"/>
    <w:semiHidden/>
    <w:rsid w:val="001621EE"/>
    <w:rPr>
      <w:rFonts w:ascii="Tahoma" w:hAnsi="Tahoma" w:cs="Tahoma"/>
      <w:sz w:val="16"/>
      <w:szCs w:val="16"/>
    </w:rPr>
  </w:style>
  <w:style w:type="character" w:customStyle="1" w:styleId="DocumentMapChar">
    <w:name w:val="Document Map Char"/>
    <w:basedOn w:val="DefaultParagraphFont"/>
    <w:link w:val="DocumentMap"/>
    <w:uiPriority w:val="98"/>
    <w:semiHidden/>
    <w:rsid w:val="001621EE"/>
    <w:rPr>
      <w:rFonts w:ascii="Tahoma" w:hAnsi="Tahoma" w:cs="Tahoma"/>
      <w:sz w:val="16"/>
      <w:szCs w:val="16"/>
      <w:lang w:val="en-GB"/>
    </w:rPr>
  </w:style>
  <w:style w:type="paragraph" w:customStyle="1" w:styleId="JuSigned">
    <w:name w:val="Ju_Signed"/>
    <w:aliases w:val="_Signature"/>
    <w:basedOn w:val="Normal"/>
    <w:next w:val="JuPara"/>
    <w:uiPriority w:val="31"/>
    <w:qFormat/>
    <w:rsid w:val="001621EE"/>
    <w:pPr>
      <w:tabs>
        <w:tab w:val="center" w:pos="1418"/>
        <w:tab w:val="center" w:pos="5954"/>
      </w:tabs>
      <w:spacing w:before="720"/>
    </w:pPr>
  </w:style>
  <w:style w:type="paragraph" w:styleId="ListBullet">
    <w:name w:val="List Bullet"/>
    <w:basedOn w:val="Normal"/>
    <w:uiPriority w:val="98"/>
    <w:semiHidden/>
    <w:rsid w:val="001621EE"/>
    <w:pPr>
      <w:numPr>
        <w:numId w:val="18"/>
      </w:numPr>
    </w:pPr>
  </w:style>
  <w:style w:type="paragraph" w:styleId="NoteHeading">
    <w:name w:val="Note Heading"/>
    <w:basedOn w:val="Normal"/>
    <w:next w:val="Normal"/>
    <w:link w:val="NoteHeadingChar"/>
    <w:uiPriority w:val="98"/>
    <w:semiHidden/>
    <w:rsid w:val="001621EE"/>
  </w:style>
  <w:style w:type="paragraph" w:styleId="Subtitle">
    <w:name w:val="Subtitle"/>
    <w:basedOn w:val="Normal"/>
    <w:next w:val="Normal"/>
    <w:link w:val="SubtitleChar"/>
    <w:uiPriority w:val="98"/>
    <w:semiHidden/>
    <w:qFormat/>
    <w:rsid w:val="001621E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621E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1621EE"/>
    <w:pPr>
      <w:numPr>
        <w:numId w:val="8"/>
      </w:numPr>
    </w:pPr>
  </w:style>
  <w:style w:type="numbering" w:styleId="1ai">
    <w:name w:val="Outline List 1"/>
    <w:basedOn w:val="NoList"/>
    <w:uiPriority w:val="99"/>
    <w:semiHidden/>
    <w:unhideWhenUsed/>
    <w:rsid w:val="001621EE"/>
    <w:pPr>
      <w:numPr>
        <w:numId w:val="9"/>
      </w:numPr>
    </w:pPr>
  </w:style>
  <w:style w:type="numbering" w:styleId="ArticleSection">
    <w:name w:val="Outline List 3"/>
    <w:basedOn w:val="NoList"/>
    <w:uiPriority w:val="99"/>
    <w:semiHidden/>
    <w:unhideWhenUsed/>
    <w:rsid w:val="001621EE"/>
    <w:pPr>
      <w:numPr>
        <w:numId w:val="10"/>
      </w:numPr>
    </w:pPr>
  </w:style>
  <w:style w:type="paragraph" w:styleId="Bibliography">
    <w:name w:val="Bibliography"/>
    <w:basedOn w:val="Normal"/>
    <w:next w:val="Normal"/>
    <w:uiPriority w:val="98"/>
    <w:semiHidden/>
    <w:rsid w:val="001621EE"/>
  </w:style>
  <w:style w:type="paragraph" w:styleId="BlockText">
    <w:name w:val="Block Text"/>
    <w:basedOn w:val="Normal"/>
    <w:uiPriority w:val="98"/>
    <w:semiHidden/>
    <w:rsid w:val="001621E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1621EE"/>
    <w:pPr>
      <w:spacing w:after="120"/>
    </w:pPr>
  </w:style>
  <w:style w:type="character" w:customStyle="1" w:styleId="BodyTextChar">
    <w:name w:val="Body Text Char"/>
    <w:basedOn w:val="DefaultParagraphFont"/>
    <w:link w:val="BodyText"/>
    <w:uiPriority w:val="98"/>
    <w:semiHidden/>
    <w:rsid w:val="001621EE"/>
    <w:rPr>
      <w:sz w:val="24"/>
      <w:szCs w:val="24"/>
      <w:lang w:val="en-GB"/>
    </w:rPr>
  </w:style>
  <w:style w:type="paragraph" w:styleId="BodyText2">
    <w:name w:val="Body Text 2"/>
    <w:basedOn w:val="Normal"/>
    <w:link w:val="BodyText2Char"/>
    <w:uiPriority w:val="98"/>
    <w:semiHidden/>
    <w:rsid w:val="001621EE"/>
    <w:pPr>
      <w:spacing w:after="120" w:line="480" w:lineRule="auto"/>
    </w:pPr>
  </w:style>
  <w:style w:type="character" w:customStyle="1" w:styleId="BodyText2Char">
    <w:name w:val="Body Text 2 Char"/>
    <w:basedOn w:val="DefaultParagraphFont"/>
    <w:link w:val="BodyText2"/>
    <w:uiPriority w:val="98"/>
    <w:semiHidden/>
    <w:rsid w:val="001621EE"/>
    <w:rPr>
      <w:sz w:val="24"/>
      <w:szCs w:val="24"/>
      <w:lang w:val="en-GB"/>
    </w:rPr>
  </w:style>
  <w:style w:type="paragraph" w:styleId="BodyText3">
    <w:name w:val="Body Text 3"/>
    <w:basedOn w:val="Normal"/>
    <w:link w:val="BodyText3Char"/>
    <w:uiPriority w:val="98"/>
    <w:semiHidden/>
    <w:rsid w:val="001621EE"/>
    <w:pPr>
      <w:spacing w:after="120"/>
    </w:pPr>
    <w:rPr>
      <w:sz w:val="16"/>
      <w:szCs w:val="16"/>
    </w:rPr>
  </w:style>
  <w:style w:type="character" w:customStyle="1" w:styleId="BodyText3Char">
    <w:name w:val="Body Text 3 Char"/>
    <w:basedOn w:val="DefaultParagraphFont"/>
    <w:link w:val="BodyText3"/>
    <w:uiPriority w:val="98"/>
    <w:semiHidden/>
    <w:rsid w:val="001621EE"/>
    <w:rPr>
      <w:sz w:val="16"/>
      <w:szCs w:val="16"/>
      <w:lang w:val="en-GB"/>
    </w:rPr>
  </w:style>
  <w:style w:type="paragraph" w:styleId="BodyTextFirstIndent">
    <w:name w:val="Body Text First Indent"/>
    <w:basedOn w:val="BodyText"/>
    <w:link w:val="BodyTextFirstIndentChar"/>
    <w:uiPriority w:val="98"/>
    <w:semiHidden/>
    <w:rsid w:val="001621EE"/>
    <w:pPr>
      <w:spacing w:after="0"/>
      <w:ind w:firstLine="360"/>
    </w:pPr>
  </w:style>
  <w:style w:type="character" w:customStyle="1" w:styleId="BodyTextFirstIndentChar">
    <w:name w:val="Body Text First Indent Char"/>
    <w:basedOn w:val="BodyTextChar"/>
    <w:link w:val="BodyTextFirstIndent"/>
    <w:uiPriority w:val="98"/>
    <w:semiHidden/>
    <w:rsid w:val="001621EE"/>
    <w:rPr>
      <w:sz w:val="24"/>
      <w:szCs w:val="24"/>
      <w:lang w:val="en-GB"/>
    </w:rPr>
  </w:style>
  <w:style w:type="paragraph" w:styleId="BodyTextIndent">
    <w:name w:val="Body Text Indent"/>
    <w:basedOn w:val="Normal"/>
    <w:link w:val="BodyTextIndentChar"/>
    <w:uiPriority w:val="98"/>
    <w:semiHidden/>
    <w:rsid w:val="001621EE"/>
    <w:pPr>
      <w:spacing w:after="120"/>
      <w:ind w:left="283"/>
    </w:pPr>
  </w:style>
  <w:style w:type="character" w:customStyle="1" w:styleId="BodyTextIndentChar">
    <w:name w:val="Body Text Indent Char"/>
    <w:basedOn w:val="DefaultParagraphFont"/>
    <w:link w:val="BodyTextIndent"/>
    <w:uiPriority w:val="98"/>
    <w:semiHidden/>
    <w:rsid w:val="001621EE"/>
    <w:rPr>
      <w:sz w:val="24"/>
      <w:szCs w:val="24"/>
      <w:lang w:val="en-GB"/>
    </w:rPr>
  </w:style>
  <w:style w:type="paragraph" w:styleId="BodyTextFirstIndent2">
    <w:name w:val="Body Text First Indent 2"/>
    <w:basedOn w:val="BodyTextIndent"/>
    <w:link w:val="BodyTextFirstIndent2Char"/>
    <w:uiPriority w:val="98"/>
    <w:semiHidden/>
    <w:rsid w:val="001621EE"/>
    <w:pPr>
      <w:spacing w:after="0"/>
      <w:ind w:left="360" w:firstLine="360"/>
    </w:pPr>
  </w:style>
  <w:style w:type="character" w:customStyle="1" w:styleId="BodyTextFirstIndent2Char">
    <w:name w:val="Body Text First Indent 2 Char"/>
    <w:basedOn w:val="BodyTextIndentChar"/>
    <w:link w:val="BodyTextFirstIndent2"/>
    <w:uiPriority w:val="98"/>
    <w:semiHidden/>
    <w:rsid w:val="001621EE"/>
    <w:rPr>
      <w:sz w:val="24"/>
      <w:szCs w:val="24"/>
      <w:lang w:val="en-GB"/>
    </w:rPr>
  </w:style>
  <w:style w:type="paragraph" w:styleId="BodyTextIndent2">
    <w:name w:val="Body Text Indent 2"/>
    <w:basedOn w:val="Normal"/>
    <w:link w:val="BodyTextIndent2Char"/>
    <w:uiPriority w:val="98"/>
    <w:semiHidden/>
    <w:rsid w:val="001621EE"/>
    <w:pPr>
      <w:spacing w:after="120" w:line="480" w:lineRule="auto"/>
      <w:ind w:left="283"/>
    </w:pPr>
  </w:style>
  <w:style w:type="character" w:customStyle="1" w:styleId="BodyTextIndent2Char">
    <w:name w:val="Body Text Indent 2 Char"/>
    <w:basedOn w:val="DefaultParagraphFont"/>
    <w:link w:val="BodyTextIndent2"/>
    <w:uiPriority w:val="98"/>
    <w:semiHidden/>
    <w:rsid w:val="001621EE"/>
    <w:rPr>
      <w:sz w:val="24"/>
      <w:szCs w:val="24"/>
      <w:lang w:val="en-GB"/>
    </w:rPr>
  </w:style>
  <w:style w:type="paragraph" w:styleId="BodyTextIndent3">
    <w:name w:val="Body Text Indent 3"/>
    <w:basedOn w:val="Normal"/>
    <w:link w:val="BodyTextIndent3Char"/>
    <w:uiPriority w:val="98"/>
    <w:semiHidden/>
    <w:rsid w:val="001621E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621EE"/>
    <w:rPr>
      <w:sz w:val="16"/>
      <w:szCs w:val="16"/>
      <w:lang w:val="en-GB"/>
    </w:rPr>
  </w:style>
  <w:style w:type="paragraph" w:styleId="Caption">
    <w:name w:val="caption"/>
    <w:basedOn w:val="Normal"/>
    <w:next w:val="Normal"/>
    <w:uiPriority w:val="98"/>
    <w:semiHidden/>
    <w:qFormat/>
    <w:rsid w:val="001621EE"/>
    <w:pPr>
      <w:spacing w:after="200"/>
    </w:pPr>
    <w:rPr>
      <w:b/>
      <w:bCs/>
      <w:color w:val="0072BC" w:themeColor="accent1"/>
      <w:sz w:val="18"/>
      <w:szCs w:val="18"/>
    </w:rPr>
  </w:style>
  <w:style w:type="paragraph" w:styleId="Closing">
    <w:name w:val="Closing"/>
    <w:basedOn w:val="Normal"/>
    <w:link w:val="ClosingChar"/>
    <w:uiPriority w:val="98"/>
    <w:semiHidden/>
    <w:rsid w:val="001621EE"/>
    <w:pPr>
      <w:ind w:left="4252"/>
    </w:pPr>
  </w:style>
  <w:style w:type="character" w:customStyle="1" w:styleId="ClosingChar">
    <w:name w:val="Closing Char"/>
    <w:basedOn w:val="DefaultParagraphFont"/>
    <w:link w:val="Closing"/>
    <w:uiPriority w:val="98"/>
    <w:semiHidden/>
    <w:rsid w:val="001621EE"/>
    <w:rPr>
      <w:sz w:val="24"/>
      <w:szCs w:val="24"/>
      <w:lang w:val="en-GB"/>
    </w:rPr>
  </w:style>
  <w:style w:type="table" w:styleId="ColorfulGrid">
    <w:name w:val="Colorful Grid"/>
    <w:basedOn w:val="TableNormal"/>
    <w:uiPriority w:val="73"/>
    <w:semiHidden/>
    <w:rsid w:val="001621E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621E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621E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621E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621E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621E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621E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621E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621E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621E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621E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621E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621E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621E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621E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621E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621E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621E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621E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621E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621E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621E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621E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621E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621E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621E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621E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621E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621EE"/>
  </w:style>
  <w:style w:type="character" w:customStyle="1" w:styleId="DateChar">
    <w:name w:val="Date Char"/>
    <w:basedOn w:val="DefaultParagraphFont"/>
    <w:link w:val="Date"/>
    <w:uiPriority w:val="98"/>
    <w:semiHidden/>
    <w:rsid w:val="001621EE"/>
    <w:rPr>
      <w:sz w:val="24"/>
      <w:szCs w:val="24"/>
      <w:lang w:val="en-GB"/>
    </w:rPr>
  </w:style>
  <w:style w:type="paragraph" w:styleId="E-mailSignature">
    <w:name w:val="E-mail Signature"/>
    <w:basedOn w:val="Normal"/>
    <w:link w:val="E-mailSignatureChar"/>
    <w:uiPriority w:val="98"/>
    <w:semiHidden/>
    <w:rsid w:val="001621EE"/>
  </w:style>
  <w:style w:type="character" w:customStyle="1" w:styleId="E-mailSignatureChar">
    <w:name w:val="E-mail Signature Char"/>
    <w:basedOn w:val="DefaultParagraphFont"/>
    <w:link w:val="E-mailSignature"/>
    <w:uiPriority w:val="98"/>
    <w:semiHidden/>
    <w:rsid w:val="001621EE"/>
    <w:rPr>
      <w:sz w:val="24"/>
      <w:szCs w:val="24"/>
      <w:lang w:val="en-GB"/>
    </w:rPr>
  </w:style>
  <w:style w:type="paragraph" w:styleId="EnvelopeAddress">
    <w:name w:val="envelope address"/>
    <w:basedOn w:val="Normal"/>
    <w:uiPriority w:val="98"/>
    <w:semiHidden/>
    <w:rsid w:val="001621E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621EE"/>
    <w:rPr>
      <w:rFonts w:asciiTheme="majorHAnsi" w:eastAsiaTheme="majorEastAsia" w:hAnsiTheme="majorHAnsi" w:cstheme="majorBidi"/>
      <w:sz w:val="20"/>
      <w:szCs w:val="20"/>
    </w:rPr>
  </w:style>
  <w:style w:type="character" w:styleId="HTMLAcronym">
    <w:name w:val="HTML Acronym"/>
    <w:basedOn w:val="DefaultParagraphFont"/>
    <w:uiPriority w:val="98"/>
    <w:semiHidden/>
    <w:rsid w:val="001621EE"/>
  </w:style>
  <w:style w:type="paragraph" w:styleId="HTMLAddress">
    <w:name w:val="HTML Address"/>
    <w:basedOn w:val="Normal"/>
    <w:link w:val="HTMLAddressChar"/>
    <w:uiPriority w:val="98"/>
    <w:semiHidden/>
    <w:rsid w:val="001621EE"/>
    <w:rPr>
      <w:i/>
      <w:iCs/>
    </w:rPr>
  </w:style>
  <w:style w:type="character" w:customStyle="1" w:styleId="HTMLAddressChar">
    <w:name w:val="HTML Address Char"/>
    <w:basedOn w:val="DefaultParagraphFont"/>
    <w:link w:val="HTMLAddress"/>
    <w:uiPriority w:val="98"/>
    <w:semiHidden/>
    <w:rsid w:val="001621EE"/>
    <w:rPr>
      <w:i/>
      <w:iCs/>
      <w:sz w:val="24"/>
      <w:szCs w:val="24"/>
      <w:lang w:val="en-GB"/>
    </w:rPr>
  </w:style>
  <w:style w:type="character" w:styleId="HTMLCite">
    <w:name w:val="HTML Cite"/>
    <w:basedOn w:val="DefaultParagraphFont"/>
    <w:uiPriority w:val="98"/>
    <w:semiHidden/>
    <w:rsid w:val="001621EE"/>
    <w:rPr>
      <w:i/>
      <w:iCs/>
    </w:rPr>
  </w:style>
  <w:style w:type="character" w:styleId="HTMLCode">
    <w:name w:val="HTML Code"/>
    <w:basedOn w:val="DefaultParagraphFont"/>
    <w:uiPriority w:val="98"/>
    <w:semiHidden/>
    <w:rsid w:val="001621EE"/>
    <w:rPr>
      <w:rFonts w:ascii="Consolas" w:hAnsi="Consolas" w:cs="Consolas"/>
      <w:sz w:val="20"/>
      <w:szCs w:val="20"/>
    </w:rPr>
  </w:style>
  <w:style w:type="character" w:styleId="HTMLDefinition">
    <w:name w:val="HTML Definition"/>
    <w:basedOn w:val="DefaultParagraphFont"/>
    <w:uiPriority w:val="98"/>
    <w:semiHidden/>
    <w:rsid w:val="001621EE"/>
    <w:rPr>
      <w:i/>
      <w:iCs/>
    </w:rPr>
  </w:style>
  <w:style w:type="character" w:styleId="HTMLKeyboard">
    <w:name w:val="HTML Keyboard"/>
    <w:basedOn w:val="DefaultParagraphFont"/>
    <w:uiPriority w:val="98"/>
    <w:semiHidden/>
    <w:rsid w:val="001621EE"/>
    <w:rPr>
      <w:rFonts w:ascii="Consolas" w:hAnsi="Consolas" w:cs="Consolas"/>
      <w:sz w:val="20"/>
      <w:szCs w:val="20"/>
    </w:rPr>
  </w:style>
  <w:style w:type="paragraph" w:styleId="HTMLPreformatted">
    <w:name w:val="HTML Preformatted"/>
    <w:basedOn w:val="Normal"/>
    <w:link w:val="HTMLPreformattedChar"/>
    <w:uiPriority w:val="98"/>
    <w:semiHidden/>
    <w:rsid w:val="001621E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621EE"/>
    <w:rPr>
      <w:rFonts w:ascii="Consolas" w:hAnsi="Consolas" w:cs="Consolas"/>
      <w:sz w:val="20"/>
      <w:szCs w:val="20"/>
      <w:lang w:val="en-GB"/>
    </w:rPr>
  </w:style>
  <w:style w:type="character" w:styleId="HTMLSample">
    <w:name w:val="HTML Sample"/>
    <w:basedOn w:val="DefaultParagraphFont"/>
    <w:uiPriority w:val="98"/>
    <w:semiHidden/>
    <w:rsid w:val="001621EE"/>
    <w:rPr>
      <w:rFonts w:ascii="Consolas" w:hAnsi="Consolas" w:cs="Consolas"/>
      <w:sz w:val="24"/>
      <w:szCs w:val="24"/>
    </w:rPr>
  </w:style>
  <w:style w:type="character" w:styleId="HTMLTypewriter">
    <w:name w:val="HTML Typewriter"/>
    <w:basedOn w:val="DefaultParagraphFont"/>
    <w:uiPriority w:val="98"/>
    <w:semiHidden/>
    <w:rsid w:val="001621EE"/>
    <w:rPr>
      <w:rFonts w:ascii="Consolas" w:hAnsi="Consolas" w:cs="Consolas"/>
      <w:sz w:val="20"/>
      <w:szCs w:val="20"/>
    </w:rPr>
  </w:style>
  <w:style w:type="character" w:styleId="HTMLVariable">
    <w:name w:val="HTML Variable"/>
    <w:basedOn w:val="DefaultParagraphFont"/>
    <w:uiPriority w:val="98"/>
    <w:semiHidden/>
    <w:rsid w:val="001621EE"/>
    <w:rPr>
      <w:i/>
      <w:iCs/>
    </w:rPr>
  </w:style>
  <w:style w:type="paragraph" w:styleId="Index1">
    <w:name w:val="index 1"/>
    <w:basedOn w:val="Normal"/>
    <w:next w:val="Normal"/>
    <w:autoRedefine/>
    <w:uiPriority w:val="98"/>
    <w:semiHidden/>
    <w:rsid w:val="001621EE"/>
    <w:pPr>
      <w:ind w:left="240" w:hanging="240"/>
    </w:pPr>
  </w:style>
  <w:style w:type="paragraph" w:styleId="Index2">
    <w:name w:val="index 2"/>
    <w:basedOn w:val="Normal"/>
    <w:next w:val="Normal"/>
    <w:autoRedefine/>
    <w:uiPriority w:val="98"/>
    <w:semiHidden/>
    <w:rsid w:val="001621EE"/>
    <w:pPr>
      <w:ind w:left="480" w:hanging="240"/>
    </w:pPr>
  </w:style>
  <w:style w:type="paragraph" w:styleId="Index3">
    <w:name w:val="index 3"/>
    <w:basedOn w:val="Normal"/>
    <w:next w:val="Normal"/>
    <w:autoRedefine/>
    <w:uiPriority w:val="98"/>
    <w:semiHidden/>
    <w:rsid w:val="001621EE"/>
    <w:pPr>
      <w:ind w:left="720" w:hanging="240"/>
    </w:pPr>
  </w:style>
  <w:style w:type="paragraph" w:styleId="Index4">
    <w:name w:val="index 4"/>
    <w:basedOn w:val="Normal"/>
    <w:next w:val="Normal"/>
    <w:autoRedefine/>
    <w:uiPriority w:val="98"/>
    <w:semiHidden/>
    <w:rsid w:val="001621EE"/>
    <w:pPr>
      <w:ind w:left="960" w:hanging="240"/>
    </w:pPr>
  </w:style>
  <w:style w:type="paragraph" w:styleId="Index5">
    <w:name w:val="index 5"/>
    <w:basedOn w:val="Normal"/>
    <w:next w:val="Normal"/>
    <w:autoRedefine/>
    <w:uiPriority w:val="98"/>
    <w:semiHidden/>
    <w:rsid w:val="001621EE"/>
    <w:pPr>
      <w:ind w:left="1200" w:hanging="240"/>
    </w:pPr>
  </w:style>
  <w:style w:type="paragraph" w:styleId="Index6">
    <w:name w:val="index 6"/>
    <w:basedOn w:val="Normal"/>
    <w:next w:val="Normal"/>
    <w:autoRedefine/>
    <w:uiPriority w:val="98"/>
    <w:semiHidden/>
    <w:rsid w:val="001621EE"/>
    <w:pPr>
      <w:ind w:left="1440" w:hanging="240"/>
    </w:pPr>
  </w:style>
  <w:style w:type="paragraph" w:styleId="Index7">
    <w:name w:val="index 7"/>
    <w:basedOn w:val="Normal"/>
    <w:next w:val="Normal"/>
    <w:autoRedefine/>
    <w:uiPriority w:val="98"/>
    <w:semiHidden/>
    <w:rsid w:val="001621EE"/>
    <w:pPr>
      <w:ind w:left="1680" w:hanging="240"/>
    </w:pPr>
  </w:style>
  <w:style w:type="paragraph" w:styleId="Index8">
    <w:name w:val="index 8"/>
    <w:basedOn w:val="Normal"/>
    <w:next w:val="Normal"/>
    <w:autoRedefine/>
    <w:uiPriority w:val="98"/>
    <w:semiHidden/>
    <w:rsid w:val="001621EE"/>
    <w:pPr>
      <w:ind w:left="1920" w:hanging="240"/>
    </w:pPr>
  </w:style>
  <w:style w:type="paragraph" w:styleId="Index9">
    <w:name w:val="index 9"/>
    <w:basedOn w:val="Normal"/>
    <w:next w:val="Normal"/>
    <w:autoRedefine/>
    <w:uiPriority w:val="98"/>
    <w:semiHidden/>
    <w:rsid w:val="001621EE"/>
    <w:pPr>
      <w:ind w:left="2160" w:hanging="240"/>
    </w:pPr>
  </w:style>
  <w:style w:type="paragraph" w:styleId="IndexHeading">
    <w:name w:val="index heading"/>
    <w:basedOn w:val="Normal"/>
    <w:next w:val="Index1"/>
    <w:uiPriority w:val="98"/>
    <w:semiHidden/>
    <w:rsid w:val="001621EE"/>
    <w:rPr>
      <w:rFonts w:asciiTheme="majorHAnsi" w:eastAsiaTheme="majorEastAsia" w:hAnsiTheme="majorHAnsi" w:cstheme="majorBidi"/>
      <w:b/>
      <w:bCs/>
    </w:rPr>
  </w:style>
  <w:style w:type="table" w:styleId="LightGrid">
    <w:name w:val="Light Grid"/>
    <w:basedOn w:val="TableNormal"/>
    <w:uiPriority w:val="62"/>
    <w:semiHidden/>
    <w:rsid w:val="001621E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621E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621E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621E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621E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621E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621E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621E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621E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621E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621E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621E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621E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621E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621E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621E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621E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621E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621E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621E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621E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621EE"/>
  </w:style>
  <w:style w:type="paragraph" w:styleId="List">
    <w:name w:val="List"/>
    <w:basedOn w:val="Normal"/>
    <w:uiPriority w:val="98"/>
    <w:semiHidden/>
    <w:rsid w:val="001621EE"/>
    <w:pPr>
      <w:ind w:left="283" w:hanging="283"/>
      <w:contextualSpacing/>
    </w:pPr>
  </w:style>
  <w:style w:type="paragraph" w:styleId="List2">
    <w:name w:val="List 2"/>
    <w:basedOn w:val="Normal"/>
    <w:uiPriority w:val="98"/>
    <w:semiHidden/>
    <w:rsid w:val="001621EE"/>
    <w:pPr>
      <w:ind w:left="566" w:hanging="283"/>
      <w:contextualSpacing/>
    </w:pPr>
  </w:style>
  <w:style w:type="paragraph" w:styleId="List3">
    <w:name w:val="List 3"/>
    <w:basedOn w:val="Normal"/>
    <w:uiPriority w:val="98"/>
    <w:semiHidden/>
    <w:rsid w:val="001621EE"/>
    <w:pPr>
      <w:ind w:left="849" w:hanging="283"/>
      <w:contextualSpacing/>
    </w:pPr>
  </w:style>
  <w:style w:type="paragraph" w:styleId="List4">
    <w:name w:val="List 4"/>
    <w:basedOn w:val="Normal"/>
    <w:uiPriority w:val="98"/>
    <w:semiHidden/>
    <w:rsid w:val="001621EE"/>
    <w:pPr>
      <w:ind w:left="1132" w:hanging="283"/>
      <w:contextualSpacing/>
    </w:pPr>
  </w:style>
  <w:style w:type="paragraph" w:styleId="List5">
    <w:name w:val="List 5"/>
    <w:basedOn w:val="Normal"/>
    <w:uiPriority w:val="98"/>
    <w:semiHidden/>
    <w:rsid w:val="001621EE"/>
    <w:pPr>
      <w:ind w:left="1415" w:hanging="283"/>
      <w:contextualSpacing/>
    </w:pPr>
  </w:style>
  <w:style w:type="paragraph" w:styleId="ListBullet2">
    <w:name w:val="List Bullet 2"/>
    <w:basedOn w:val="Normal"/>
    <w:uiPriority w:val="98"/>
    <w:semiHidden/>
    <w:rsid w:val="001621EE"/>
    <w:pPr>
      <w:numPr>
        <w:numId w:val="19"/>
      </w:numPr>
      <w:contextualSpacing/>
    </w:pPr>
  </w:style>
  <w:style w:type="paragraph" w:styleId="ListBullet3">
    <w:name w:val="List Bullet 3"/>
    <w:basedOn w:val="Normal"/>
    <w:uiPriority w:val="98"/>
    <w:semiHidden/>
    <w:rsid w:val="001621EE"/>
    <w:pPr>
      <w:numPr>
        <w:numId w:val="20"/>
      </w:numPr>
      <w:contextualSpacing/>
    </w:pPr>
  </w:style>
  <w:style w:type="paragraph" w:styleId="ListBullet4">
    <w:name w:val="List Bullet 4"/>
    <w:basedOn w:val="Normal"/>
    <w:uiPriority w:val="98"/>
    <w:semiHidden/>
    <w:rsid w:val="001621EE"/>
    <w:pPr>
      <w:numPr>
        <w:numId w:val="21"/>
      </w:numPr>
      <w:contextualSpacing/>
    </w:pPr>
  </w:style>
  <w:style w:type="paragraph" w:styleId="ListBullet5">
    <w:name w:val="List Bullet 5"/>
    <w:basedOn w:val="Normal"/>
    <w:uiPriority w:val="98"/>
    <w:semiHidden/>
    <w:rsid w:val="001621EE"/>
    <w:pPr>
      <w:numPr>
        <w:numId w:val="22"/>
      </w:numPr>
      <w:contextualSpacing/>
    </w:pPr>
  </w:style>
  <w:style w:type="paragraph" w:styleId="ListContinue">
    <w:name w:val="List Continue"/>
    <w:basedOn w:val="Normal"/>
    <w:uiPriority w:val="98"/>
    <w:semiHidden/>
    <w:rsid w:val="001621EE"/>
    <w:pPr>
      <w:spacing w:after="120"/>
      <w:ind w:left="283"/>
      <w:contextualSpacing/>
    </w:pPr>
  </w:style>
  <w:style w:type="paragraph" w:styleId="ListContinue2">
    <w:name w:val="List Continue 2"/>
    <w:basedOn w:val="Normal"/>
    <w:uiPriority w:val="98"/>
    <w:semiHidden/>
    <w:rsid w:val="001621EE"/>
    <w:pPr>
      <w:spacing w:after="120"/>
      <w:ind w:left="566"/>
      <w:contextualSpacing/>
    </w:pPr>
  </w:style>
  <w:style w:type="paragraph" w:styleId="ListContinue3">
    <w:name w:val="List Continue 3"/>
    <w:basedOn w:val="Normal"/>
    <w:uiPriority w:val="98"/>
    <w:semiHidden/>
    <w:rsid w:val="001621EE"/>
    <w:pPr>
      <w:spacing w:after="120"/>
      <w:ind w:left="849"/>
      <w:contextualSpacing/>
    </w:pPr>
  </w:style>
  <w:style w:type="paragraph" w:styleId="ListContinue4">
    <w:name w:val="List Continue 4"/>
    <w:basedOn w:val="Normal"/>
    <w:uiPriority w:val="98"/>
    <w:semiHidden/>
    <w:rsid w:val="001621EE"/>
    <w:pPr>
      <w:spacing w:after="120"/>
      <w:ind w:left="1132"/>
      <w:contextualSpacing/>
    </w:pPr>
  </w:style>
  <w:style w:type="paragraph" w:styleId="ListContinue5">
    <w:name w:val="List Continue 5"/>
    <w:basedOn w:val="Normal"/>
    <w:uiPriority w:val="98"/>
    <w:semiHidden/>
    <w:rsid w:val="001621EE"/>
    <w:pPr>
      <w:spacing w:after="120"/>
      <w:ind w:left="1415"/>
      <w:contextualSpacing/>
    </w:pPr>
  </w:style>
  <w:style w:type="paragraph" w:styleId="ListNumber">
    <w:name w:val="List Number"/>
    <w:basedOn w:val="Normal"/>
    <w:uiPriority w:val="98"/>
    <w:semiHidden/>
    <w:rsid w:val="001621EE"/>
    <w:pPr>
      <w:numPr>
        <w:numId w:val="23"/>
      </w:numPr>
      <w:contextualSpacing/>
    </w:pPr>
  </w:style>
  <w:style w:type="paragraph" w:styleId="ListNumber2">
    <w:name w:val="List Number 2"/>
    <w:basedOn w:val="Normal"/>
    <w:uiPriority w:val="98"/>
    <w:semiHidden/>
    <w:rsid w:val="001621EE"/>
    <w:pPr>
      <w:numPr>
        <w:numId w:val="24"/>
      </w:numPr>
      <w:contextualSpacing/>
    </w:pPr>
  </w:style>
  <w:style w:type="paragraph" w:styleId="ListNumber3">
    <w:name w:val="List Number 3"/>
    <w:basedOn w:val="Normal"/>
    <w:uiPriority w:val="98"/>
    <w:semiHidden/>
    <w:rsid w:val="001621EE"/>
    <w:pPr>
      <w:numPr>
        <w:numId w:val="25"/>
      </w:numPr>
      <w:contextualSpacing/>
    </w:pPr>
  </w:style>
  <w:style w:type="paragraph" w:styleId="ListNumber4">
    <w:name w:val="List Number 4"/>
    <w:basedOn w:val="Normal"/>
    <w:uiPriority w:val="98"/>
    <w:semiHidden/>
    <w:rsid w:val="001621EE"/>
    <w:pPr>
      <w:numPr>
        <w:numId w:val="26"/>
      </w:numPr>
      <w:contextualSpacing/>
    </w:pPr>
  </w:style>
  <w:style w:type="paragraph" w:styleId="ListNumber5">
    <w:name w:val="List Number 5"/>
    <w:basedOn w:val="Normal"/>
    <w:uiPriority w:val="98"/>
    <w:semiHidden/>
    <w:rsid w:val="001621EE"/>
    <w:pPr>
      <w:numPr>
        <w:numId w:val="27"/>
      </w:numPr>
      <w:contextualSpacing/>
    </w:pPr>
  </w:style>
  <w:style w:type="paragraph" w:styleId="MacroText">
    <w:name w:val="macro"/>
    <w:link w:val="MacroTextChar"/>
    <w:uiPriority w:val="98"/>
    <w:semiHidden/>
    <w:rsid w:val="001621E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621EE"/>
    <w:rPr>
      <w:rFonts w:ascii="Consolas" w:eastAsiaTheme="minorEastAsia" w:hAnsi="Consolas" w:cs="Consolas"/>
      <w:sz w:val="20"/>
      <w:szCs w:val="20"/>
    </w:rPr>
  </w:style>
  <w:style w:type="table" w:styleId="MediumGrid1">
    <w:name w:val="Medium Grid 1"/>
    <w:basedOn w:val="TableNormal"/>
    <w:uiPriority w:val="67"/>
    <w:semiHidden/>
    <w:rsid w:val="001621E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621E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621E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621E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621E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621E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621E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621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621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621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621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621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621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621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621E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621E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621E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621E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621E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621E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621E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621E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621E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621E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621E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621E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621E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621E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621E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621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621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621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621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621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621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621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621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621E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621EE"/>
    <w:rPr>
      <w:rFonts w:ascii="Times New Roman" w:hAnsi="Times New Roman" w:cs="Times New Roman"/>
    </w:rPr>
  </w:style>
  <w:style w:type="paragraph" w:styleId="NormalIndent">
    <w:name w:val="Normal Indent"/>
    <w:basedOn w:val="Normal"/>
    <w:uiPriority w:val="98"/>
    <w:semiHidden/>
    <w:rsid w:val="001621EE"/>
    <w:pPr>
      <w:ind w:left="720"/>
    </w:pPr>
  </w:style>
  <w:style w:type="character" w:customStyle="1" w:styleId="NoteHeadingChar">
    <w:name w:val="Note Heading Char"/>
    <w:basedOn w:val="DefaultParagraphFont"/>
    <w:link w:val="NoteHeading"/>
    <w:uiPriority w:val="98"/>
    <w:semiHidden/>
    <w:rsid w:val="001621EE"/>
    <w:rPr>
      <w:sz w:val="24"/>
      <w:szCs w:val="24"/>
      <w:lang w:val="en-GB"/>
    </w:rPr>
  </w:style>
  <w:style w:type="character" w:styleId="PlaceholderText">
    <w:name w:val="Placeholder Text"/>
    <w:basedOn w:val="DefaultParagraphFont"/>
    <w:uiPriority w:val="98"/>
    <w:semiHidden/>
    <w:rsid w:val="001621E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621EE"/>
    <w:rPr>
      <w:rFonts w:ascii="Consolas" w:hAnsi="Consolas" w:cs="Consolas"/>
      <w:sz w:val="21"/>
      <w:szCs w:val="21"/>
    </w:rPr>
  </w:style>
  <w:style w:type="character" w:customStyle="1" w:styleId="PlainTextChar">
    <w:name w:val="Plain Text Char"/>
    <w:basedOn w:val="DefaultParagraphFont"/>
    <w:link w:val="PlainText"/>
    <w:uiPriority w:val="98"/>
    <w:semiHidden/>
    <w:rsid w:val="001621EE"/>
    <w:rPr>
      <w:rFonts w:ascii="Consolas" w:hAnsi="Consolas" w:cs="Consolas"/>
      <w:sz w:val="21"/>
      <w:szCs w:val="21"/>
      <w:lang w:val="en-GB"/>
    </w:rPr>
  </w:style>
  <w:style w:type="paragraph" w:styleId="Salutation">
    <w:name w:val="Salutation"/>
    <w:basedOn w:val="Normal"/>
    <w:next w:val="Normal"/>
    <w:link w:val="SalutationChar"/>
    <w:uiPriority w:val="98"/>
    <w:semiHidden/>
    <w:rsid w:val="001621EE"/>
  </w:style>
  <w:style w:type="character" w:customStyle="1" w:styleId="SalutationChar">
    <w:name w:val="Salutation Char"/>
    <w:basedOn w:val="DefaultParagraphFont"/>
    <w:link w:val="Salutation"/>
    <w:uiPriority w:val="98"/>
    <w:semiHidden/>
    <w:rsid w:val="001621EE"/>
    <w:rPr>
      <w:sz w:val="24"/>
      <w:szCs w:val="24"/>
      <w:lang w:val="en-GB"/>
    </w:rPr>
  </w:style>
  <w:style w:type="paragraph" w:styleId="Signature">
    <w:name w:val="Signature"/>
    <w:basedOn w:val="Normal"/>
    <w:link w:val="SignatureChar"/>
    <w:uiPriority w:val="98"/>
    <w:semiHidden/>
    <w:rsid w:val="001621EE"/>
    <w:pPr>
      <w:ind w:left="4252"/>
    </w:pPr>
  </w:style>
  <w:style w:type="character" w:customStyle="1" w:styleId="SignatureChar">
    <w:name w:val="Signature Char"/>
    <w:basedOn w:val="DefaultParagraphFont"/>
    <w:link w:val="Signature"/>
    <w:uiPriority w:val="98"/>
    <w:semiHidden/>
    <w:rsid w:val="001621EE"/>
    <w:rPr>
      <w:sz w:val="24"/>
      <w:szCs w:val="24"/>
      <w:lang w:val="en-GB"/>
    </w:rPr>
  </w:style>
  <w:style w:type="table" w:styleId="Table3Deffects1">
    <w:name w:val="Table 3D effects 1"/>
    <w:basedOn w:val="TableNormal"/>
    <w:uiPriority w:val="99"/>
    <w:semiHidden/>
    <w:unhideWhenUsed/>
    <w:rsid w:val="001621E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1E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1E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1E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1E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1E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1E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1E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1E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1E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1E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1E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1E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1E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1E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1E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1E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1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1E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1E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1E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1E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1E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1E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1E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1E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1E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1E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1E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1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1E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1E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1E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621EE"/>
    <w:pPr>
      <w:ind w:left="240" w:hanging="240"/>
    </w:pPr>
  </w:style>
  <w:style w:type="paragraph" w:styleId="TableofFigures">
    <w:name w:val="table of figures"/>
    <w:basedOn w:val="Normal"/>
    <w:next w:val="Normal"/>
    <w:uiPriority w:val="98"/>
    <w:semiHidden/>
    <w:rsid w:val="001621EE"/>
  </w:style>
  <w:style w:type="table" w:styleId="TableProfessional">
    <w:name w:val="Table Professional"/>
    <w:basedOn w:val="TableNormal"/>
    <w:uiPriority w:val="99"/>
    <w:semiHidden/>
    <w:unhideWhenUsed/>
    <w:rsid w:val="001621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1E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1E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1E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1E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1E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1E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21E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1E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1E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621E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621E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621EE"/>
    <w:pPr>
      <w:spacing w:after="100"/>
      <w:ind w:left="1680"/>
    </w:pPr>
  </w:style>
  <w:style w:type="paragraph" w:styleId="TOC9">
    <w:name w:val="toc 9"/>
    <w:basedOn w:val="Normal"/>
    <w:next w:val="Normal"/>
    <w:autoRedefine/>
    <w:uiPriority w:val="98"/>
    <w:semiHidden/>
    <w:rsid w:val="001621EE"/>
    <w:pPr>
      <w:spacing w:after="100"/>
      <w:ind w:left="1920"/>
    </w:pPr>
  </w:style>
  <w:style w:type="character" w:customStyle="1" w:styleId="JuParaChar">
    <w:name w:val="Ju_Para Char"/>
    <w:aliases w:val="_Para Char"/>
    <w:link w:val="JuPara"/>
    <w:uiPriority w:val="4"/>
    <w:rsid w:val="001656C8"/>
    <w:rPr>
      <w:sz w:val="24"/>
      <w:szCs w:val="24"/>
      <w:lang w:val="en-GB"/>
    </w:rPr>
  </w:style>
  <w:style w:type="paragraph" w:customStyle="1" w:styleId="ECHRHeaderRefIt">
    <w:name w:val="ECHR_Header_Ref_It"/>
    <w:aliases w:val="_Ref_Ital"/>
    <w:basedOn w:val="Normal"/>
    <w:next w:val="ECHRHeaderDate"/>
    <w:uiPriority w:val="43"/>
    <w:qFormat/>
    <w:rsid w:val="001621EE"/>
    <w:pPr>
      <w:jc w:val="right"/>
    </w:pPr>
    <w:rPr>
      <w:i/>
      <w:sz w:val="20"/>
    </w:rPr>
  </w:style>
  <w:style w:type="paragraph" w:customStyle="1" w:styleId="DecList">
    <w:name w:val="Dec_List"/>
    <w:aliases w:val="_List"/>
    <w:basedOn w:val="JuList"/>
    <w:uiPriority w:val="22"/>
    <w:rsid w:val="001621EE"/>
    <w:pPr>
      <w:numPr>
        <w:numId w:val="0"/>
      </w:numPr>
      <w:ind w:left="284"/>
    </w:pPr>
  </w:style>
  <w:style w:type="character" w:customStyle="1" w:styleId="JuNames0">
    <w:name w:val="Ju_Names"/>
    <w:uiPriority w:val="33"/>
    <w:rsid w:val="00816DC0"/>
    <w:rPr>
      <w:smallCaps/>
    </w:rPr>
  </w:style>
  <w:style w:type="paragraph" w:customStyle="1" w:styleId="JuList4">
    <w:name w:val="Ju_List_4"/>
    <w:aliases w:val="N_Bul_4"/>
    <w:basedOn w:val="JuListi"/>
    <w:uiPriority w:val="19"/>
    <w:rsid w:val="00816DC0"/>
    <w:pPr>
      <w:numPr>
        <w:ilvl w:val="0"/>
        <w:numId w:val="0"/>
      </w:numPr>
      <w:tabs>
        <w:tab w:val="num" w:pos="1701"/>
      </w:tabs>
      <w:spacing w:before="60" w:after="60" w:line="240" w:lineRule="exact"/>
      <w:ind w:left="1703" w:hanging="284"/>
      <w:contextualSpacing/>
    </w:pPr>
    <w:rPr>
      <w:sz w:val="22"/>
      <w:lang w:val="fr-FR" w:eastAsia="fr-FR"/>
    </w:rPr>
  </w:style>
  <w:style w:type="paragraph" w:customStyle="1" w:styleId="ECHRPlaceholder">
    <w:name w:val="ECHR_Placeholder"/>
    <w:aliases w:val="_Placeholder"/>
    <w:basedOn w:val="JuSigned"/>
    <w:uiPriority w:val="31"/>
    <w:rsid w:val="001621EE"/>
    <w:rPr>
      <w:color w:val="FFFFFF"/>
    </w:rPr>
  </w:style>
  <w:style w:type="paragraph" w:customStyle="1" w:styleId="ECHRBullet1">
    <w:name w:val="ECHR_Bullet_1"/>
    <w:aliases w:val="_Bul_1"/>
    <w:basedOn w:val="NormalJustified"/>
    <w:uiPriority w:val="23"/>
    <w:qFormat/>
    <w:rsid w:val="001621EE"/>
    <w:pPr>
      <w:numPr>
        <w:numId w:val="14"/>
      </w:numPr>
      <w:spacing w:before="60" w:after="60"/>
    </w:pPr>
  </w:style>
  <w:style w:type="paragraph" w:customStyle="1" w:styleId="ECHRBullet2">
    <w:name w:val="ECHR_Bullet_2"/>
    <w:aliases w:val="_Bul_2"/>
    <w:basedOn w:val="ECHRBullet1"/>
    <w:uiPriority w:val="23"/>
    <w:rsid w:val="001621EE"/>
    <w:pPr>
      <w:numPr>
        <w:ilvl w:val="1"/>
      </w:numPr>
    </w:pPr>
  </w:style>
  <w:style w:type="paragraph" w:customStyle="1" w:styleId="ECHRBullet3">
    <w:name w:val="ECHR_Bullet_3"/>
    <w:aliases w:val="_Bul_3"/>
    <w:basedOn w:val="ECHRBullet2"/>
    <w:uiPriority w:val="23"/>
    <w:rsid w:val="001621EE"/>
    <w:pPr>
      <w:numPr>
        <w:ilvl w:val="2"/>
      </w:numPr>
    </w:pPr>
  </w:style>
  <w:style w:type="paragraph" w:customStyle="1" w:styleId="ECHRBullet4">
    <w:name w:val="ECHR_Bullet_4"/>
    <w:aliases w:val="_Bul_4"/>
    <w:basedOn w:val="ECHRBullet3"/>
    <w:uiPriority w:val="23"/>
    <w:rsid w:val="001621EE"/>
    <w:pPr>
      <w:numPr>
        <w:ilvl w:val="3"/>
      </w:numPr>
    </w:pPr>
  </w:style>
  <w:style w:type="paragraph" w:customStyle="1" w:styleId="ECHRConfidential">
    <w:name w:val="ECHR_Confidential"/>
    <w:aliases w:val="_Confidential"/>
    <w:basedOn w:val="Normal"/>
    <w:next w:val="Normal"/>
    <w:uiPriority w:val="42"/>
    <w:qFormat/>
    <w:rsid w:val="001621EE"/>
    <w:pPr>
      <w:jc w:val="right"/>
    </w:pPr>
    <w:rPr>
      <w:color w:val="C00000"/>
      <w:sz w:val="20"/>
    </w:rPr>
  </w:style>
  <w:style w:type="paragraph" w:customStyle="1" w:styleId="ECHRDecisionBody">
    <w:name w:val="ECHR_Decision_Body"/>
    <w:aliases w:val="_Decision_Body"/>
    <w:basedOn w:val="NormalJustified"/>
    <w:uiPriority w:val="54"/>
    <w:semiHidden/>
    <w:rsid w:val="001621E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qFormat/>
    <w:rsid w:val="001621E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1621E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rsid w:val="001621E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qFormat/>
    <w:rsid w:val="001621EE"/>
    <w:pPr>
      <w:jc w:val="right"/>
    </w:pPr>
    <w:rPr>
      <w:sz w:val="20"/>
    </w:rPr>
  </w:style>
  <w:style w:type="paragraph" w:customStyle="1" w:styleId="ECHRHeading9">
    <w:name w:val="ECHR_Heading_9"/>
    <w:aliases w:val="_Head_9"/>
    <w:basedOn w:val="Heading9"/>
    <w:uiPriority w:val="17"/>
    <w:rsid w:val="001621EE"/>
    <w:pPr>
      <w:keepNext/>
      <w:keepLines/>
      <w:numPr>
        <w:ilvl w:val="8"/>
        <w:numId w:val="16"/>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rsid w:val="001621E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qFormat/>
    <w:rsid w:val="001621EE"/>
    <w:pPr>
      <w:numPr>
        <w:numId w:val="15"/>
      </w:numPr>
      <w:spacing w:before="60" w:after="60"/>
    </w:pPr>
  </w:style>
  <w:style w:type="paragraph" w:customStyle="1" w:styleId="ECHRNumberedList2">
    <w:name w:val="ECHR_Numbered_List_2"/>
    <w:aliases w:val="_Num_2"/>
    <w:basedOn w:val="ECHRNumberedList1"/>
    <w:uiPriority w:val="23"/>
    <w:rsid w:val="001621EE"/>
    <w:pPr>
      <w:numPr>
        <w:ilvl w:val="1"/>
      </w:numPr>
    </w:pPr>
  </w:style>
  <w:style w:type="paragraph" w:customStyle="1" w:styleId="ECHRNumberedList3">
    <w:name w:val="ECHR_Numbered_List_3"/>
    <w:aliases w:val="_Num_3"/>
    <w:basedOn w:val="ECHRNumberedList2"/>
    <w:uiPriority w:val="23"/>
    <w:rsid w:val="001621EE"/>
    <w:pPr>
      <w:numPr>
        <w:ilvl w:val="2"/>
      </w:numPr>
    </w:pPr>
  </w:style>
  <w:style w:type="paragraph" w:customStyle="1" w:styleId="ECHRParaHanging">
    <w:name w:val="ECHR_Para_Hanging"/>
    <w:aliases w:val="_Hanging"/>
    <w:basedOn w:val="NormalJustified"/>
    <w:uiPriority w:val="8"/>
    <w:qFormat/>
    <w:rsid w:val="001621EE"/>
    <w:pPr>
      <w:ind w:left="567" w:hanging="567"/>
    </w:pPr>
  </w:style>
  <w:style w:type="paragraph" w:customStyle="1" w:styleId="ECHRParaIndent">
    <w:name w:val="ECHR_Para_Indent"/>
    <w:aliases w:val="_Indent"/>
    <w:basedOn w:val="NormalJustified"/>
    <w:uiPriority w:val="7"/>
    <w:qFormat/>
    <w:rsid w:val="001621EE"/>
    <w:pPr>
      <w:spacing w:before="120" w:after="120"/>
      <w:ind w:left="284"/>
    </w:pPr>
  </w:style>
  <w:style w:type="character" w:customStyle="1" w:styleId="ECHRRed">
    <w:name w:val="ECHR_Red"/>
    <w:aliases w:val="_Red"/>
    <w:basedOn w:val="DefaultParagraphFont"/>
    <w:uiPriority w:val="15"/>
    <w:qFormat/>
    <w:rsid w:val="001621EE"/>
    <w:rPr>
      <w:color w:val="C00000" w:themeColor="accent2"/>
    </w:rPr>
  </w:style>
  <w:style w:type="paragraph" w:customStyle="1" w:styleId="ECHRSpacer">
    <w:name w:val="ECHR_Spacer"/>
    <w:aliases w:val="_Spacer"/>
    <w:basedOn w:val="Normal"/>
    <w:uiPriority w:val="45"/>
    <w:rsid w:val="001621EE"/>
    <w:rPr>
      <w:sz w:val="4"/>
    </w:rPr>
  </w:style>
  <w:style w:type="table" w:customStyle="1" w:styleId="ECHRTable2">
    <w:name w:val="ECHR_Table_2"/>
    <w:basedOn w:val="TableNormal"/>
    <w:uiPriority w:val="99"/>
    <w:rsid w:val="001621E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621E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1621E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qFormat/>
    <w:rsid w:val="001621E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qFormat/>
    <w:rsid w:val="001621E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1621E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1621E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1621E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qFormat/>
    <w:rsid w:val="001621EE"/>
    <w:pPr>
      <w:outlineLvl w:val="0"/>
    </w:pPr>
  </w:style>
  <w:style w:type="paragraph" w:customStyle="1" w:styleId="ECHRTitleTOC1">
    <w:name w:val="ECHR_Title_TOC_1"/>
    <w:aliases w:val="_Title_L_TOC"/>
    <w:basedOn w:val="ECHRTitle1"/>
    <w:next w:val="Normal"/>
    <w:uiPriority w:val="27"/>
    <w:qFormat/>
    <w:rsid w:val="001621EE"/>
    <w:pPr>
      <w:outlineLvl w:val="0"/>
    </w:pPr>
  </w:style>
  <w:style w:type="paragraph" w:customStyle="1" w:styleId="ECHRHeaderLandscape">
    <w:name w:val="ECHR_Header_Landscape"/>
    <w:aliases w:val="_Header_Landscape"/>
    <w:basedOn w:val="JuHeader"/>
    <w:uiPriority w:val="29"/>
    <w:rsid w:val="001621EE"/>
    <w:pPr>
      <w:tabs>
        <w:tab w:val="center" w:pos="6146"/>
        <w:tab w:val="right" w:pos="13778"/>
      </w:tabs>
      <w:ind w:left="-1474" w:right="-1474"/>
    </w:pPr>
  </w:style>
  <w:style w:type="character" w:customStyle="1" w:styleId="JuQuotChar">
    <w:name w:val="Ju_Quot Char"/>
    <w:basedOn w:val="JuParaChar"/>
    <w:link w:val="JuQuot"/>
    <w:uiPriority w:val="20"/>
    <w:rsid w:val="00B97F3A"/>
    <w:rPr>
      <w:sz w:val="20"/>
      <w:szCs w:val="24"/>
      <w:lang w:val="en-GB"/>
    </w:rPr>
  </w:style>
  <w:style w:type="character" w:customStyle="1" w:styleId="JuHAChar">
    <w:name w:val="Ju_H_A Char"/>
    <w:link w:val="JuHA"/>
    <w:uiPriority w:val="17"/>
    <w:rsid w:val="00B97F3A"/>
    <w:rPr>
      <w:rFonts w:asciiTheme="majorHAnsi" w:eastAsiaTheme="majorEastAsia" w:hAnsiTheme="majorHAnsi" w:cstheme="majorBidi"/>
      <w:b/>
      <w:bCs/>
      <w:sz w:val="24"/>
      <w:lang w:val="en-GB"/>
    </w:rPr>
  </w:style>
  <w:style w:type="table" w:customStyle="1" w:styleId="ECHRTableGrey">
    <w:name w:val="ECHR_Table_Grey"/>
    <w:basedOn w:val="TableNormal"/>
    <w:uiPriority w:val="99"/>
    <w:rsid w:val="001621E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9D17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D175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D175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D175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D175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D175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D175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D175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D175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D175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D175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D175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D175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D175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D17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D175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D175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D175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D175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D175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D175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D17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D175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D175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D175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D175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D175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D175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D1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D1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D1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D1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D1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D1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D175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D17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D175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D175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D175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D175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D175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D175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D17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D175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D175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D175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D175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D175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D175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D175E"/>
    <w:rPr>
      <w:color w:val="2B579A"/>
      <w:shd w:val="clear" w:color="auto" w:fill="E1DFDD"/>
    </w:rPr>
  </w:style>
  <w:style w:type="table" w:styleId="ListTable1Light">
    <w:name w:val="List Table 1 Light"/>
    <w:basedOn w:val="TableNormal"/>
    <w:uiPriority w:val="46"/>
    <w:semiHidden/>
    <w:rsid w:val="009D175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D175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D175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D175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D175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D175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D175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D175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D175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D175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D175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D175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D175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D175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D175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D175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D175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D175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D175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D175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D175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D17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D175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D175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D175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D175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D175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D175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D175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D175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D175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D175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D175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D175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D175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D175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D175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D175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D175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D175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D175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D175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D175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D175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D175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D175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D175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D175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D175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D175E"/>
    <w:rPr>
      <w:color w:val="2B579A"/>
      <w:shd w:val="clear" w:color="auto" w:fill="E1DFDD"/>
    </w:rPr>
  </w:style>
  <w:style w:type="table" w:styleId="PlainTable1">
    <w:name w:val="Plain Table 1"/>
    <w:basedOn w:val="TableNormal"/>
    <w:uiPriority w:val="41"/>
    <w:semiHidden/>
    <w:rsid w:val="009D175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D17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D17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D17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D17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D175E"/>
    <w:rPr>
      <w:u w:val="dotted"/>
    </w:rPr>
  </w:style>
  <w:style w:type="character" w:customStyle="1" w:styleId="SmartLink">
    <w:name w:val="Smart Link"/>
    <w:basedOn w:val="DefaultParagraphFont"/>
    <w:uiPriority w:val="99"/>
    <w:semiHidden/>
    <w:unhideWhenUsed/>
    <w:rsid w:val="009D175E"/>
    <w:rPr>
      <w:color w:val="0000FF"/>
      <w:u w:val="single"/>
      <w:shd w:val="clear" w:color="auto" w:fill="F3F2F1"/>
    </w:rPr>
  </w:style>
  <w:style w:type="table" w:styleId="TableGridLight">
    <w:name w:val="Grid Table Light"/>
    <w:basedOn w:val="TableNormal"/>
    <w:uiPriority w:val="40"/>
    <w:semiHidden/>
    <w:rsid w:val="009D175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1621EE"/>
    <w:rPr>
      <w:color w:val="605E5C"/>
      <w:shd w:val="clear" w:color="auto" w:fill="E1DFDD"/>
    </w:rPr>
  </w:style>
  <w:style w:type="character" w:customStyle="1" w:styleId="JuListChar">
    <w:name w:val="Ju_List Char"/>
    <w:basedOn w:val="DefaultParagraphFont"/>
    <w:link w:val="JuList"/>
    <w:uiPriority w:val="23"/>
    <w:rsid w:val="009D6E7F"/>
    <w:rPr>
      <w:sz w:val="24"/>
      <w:szCs w:val="24"/>
      <w:lang w:val="en-GB"/>
    </w:rPr>
  </w:style>
  <w:style w:type="numbering" w:customStyle="1" w:styleId="ECHRA1StyleBulletedSquare1">
    <w:name w:val="ECHR_A1_Style_Bulleted_Square1"/>
    <w:basedOn w:val="NoList"/>
    <w:rsid w:val="00F32593"/>
  </w:style>
  <w:style w:type="numbering" w:customStyle="1" w:styleId="ECHRA1StyleNumberedList1">
    <w:name w:val="ECHR_A1_Style_Numbered_List1"/>
    <w:basedOn w:val="NoList"/>
    <w:rsid w:val="00F32593"/>
  </w:style>
  <w:style w:type="table" w:customStyle="1" w:styleId="ECHRDNTable1">
    <w:name w:val="ECHR_DN_Table1"/>
    <w:basedOn w:val="TableNormal"/>
    <w:uiPriority w:val="99"/>
    <w:rsid w:val="00F32593"/>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
    <w:name w:val="ECHR_Header_Table1"/>
    <w:basedOn w:val="TableNormal"/>
    <w:uiPriority w:val="99"/>
    <w:rsid w:val="00F32593"/>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
    <w:name w:val="ECHR_Header_Table_Reduced1"/>
    <w:basedOn w:val="TableNormal"/>
    <w:uiPriority w:val="99"/>
    <w:rsid w:val="00F32593"/>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
    <w:name w:val="ECHR_List_Table1"/>
    <w:basedOn w:val="TableNormal"/>
    <w:uiPriority w:val="99"/>
    <w:rsid w:val="00F32593"/>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
    <w:name w:val="ECHR_Table1"/>
    <w:basedOn w:val="TableNormal"/>
    <w:rsid w:val="00F32593"/>
    <w:rPr>
      <w:rFonts w:eastAsia="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
    <w:name w:val="ECHR_Table_Box_Header1"/>
    <w:basedOn w:val="TableNormal"/>
    <w:rsid w:val="00F3259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1">
    <w:name w:val="ECHR_Table_Fax1"/>
    <w:basedOn w:val="TableNormal"/>
    <w:uiPriority w:val="99"/>
    <w:rsid w:val="00F32593"/>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
    <w:name w:val="ECHR_Table_For_Internal_Use1"/>
    <w:basedOn w:val="TableNormal"/>
    <w:uiPriority w:val="99"/>
    <w:rsid w:val="00F32593"/>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
    <w:name w:val="ECHR_Table_Memo1"/>
    <w:basedOn w:val="TableNormal"/>
    <w:uiPriority w:val="99"/>
    <w:rsid w:val="00F32593"/>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
    <w:name w:val="ECHR_Table_No_Lines1"/>
    <w:basedOn w:val="TableNormal"/>
    <w:uiPriority w:val="99"/>
    <w:rsid w:val="00F32593"/>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
    <w:name w:val="ECHR_Table_Odd_Banded1"/>
    <w:basedOn w:val="TableNormal"/>
    <w:uiPriority w:val="99"/>
    <w:rsid w:val="00F3259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
    <w:name w:val="ECHR_Table_Simple_Box1"/>
    <w:basedOn w:val="TableNormal"/>
    <w:uiPriority w:val="99"/>
    <w:rsid w:val="00F32593"/>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
    <w:name w:val="ECHR_Ltr_Table_Address1"/>
    <w:basedOn w:val="TableNormal"/>
    <w:uiPriority w:val="99"/>
    <w:rsid w:val="00F32593"/>
    <w:tblPr>
      <w:tblInd w:w="5103" w:type="dxa"/>
    </w:tblPr>
  </w:style>
  <w:style w:type="table" w:customStyle="1" w:styleId="ECHRPCFTableStyle1">
    <w:name w:val="ECHR_PCF_Table_Style1"/>
    <w:basedOn w:val="TableNormal"/>
    <w:uiPriority w:val="99"/>
    <w:rsid w:val="00F32593"/>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0">
    <w:name w:val="Table Grid1"/>
    <w:basedOn w:val="TableNormal"/>
    <w:next w:val="TableGrid"/>
    <w:uiPriority w:val="59"/>
    <w:rsid w:val="00F32593"/>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
    <w:name w:val="ECHR_UG_Table1"/>
    <w:basedOn w:val="TableNormal"/>
    <w:uiPriority w:val="99"/>
    <w:rsid w:val="00F32593"/>
    <w:rPr>
      <w:rFonts w:eastAsia="Times New Roman"/>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
    <w:name w:val="ECHR_UG_Table_White_Box1"/>
    <w:basedOn w:val="TableNormal"/>
    <w:uiPriority w:val="99"/>
    <w:rsid w:val="00F32593"/>
    <w:rPr>
      <w:rFonts w:eastAsia="Times New Roman"/>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
    <w:name w:val="ECHR_Table_Grey1"/>
    <w:basedOn w:val="TableNormal"/>
    <w:uiPriority w:val="99"/>
    <w:rsid w:val="00F32593"/>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1">
    <w:name w:val="ECHR_A1_Style_List1"/>
    <w:basedOn w:val="NoList"/>
    <w:rsid w:val="00F32593"/>
  </w:style>
  <w:style w:type="table" w:customStyle="1" w:styleId="ECHRTable20161">
    <w:name w:val="ECHR_Table_20161"/>
    <w:basedOn w:val="TableNormal"/>
    <w:uiPriority w:val="99"/>
    <w:rsid w:val="00F32593"/>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
    <w:name w:val="ECHR_Table_21"/>
    <w:basedOn w:val="TableNormal"/>
    <w:uiPriority w:val="99"/>
    <w:rsid w:val="00F32593"/>
    <w:pPr>
      <w:tabs>
        <w:tab w:val="left" w:pos="567"/>
        <w:tab w:val="left" w:pos="851"/>
        <w:tab w:val="right" w:pos="5273"/>
      </w:tabs>
    </w:pPr>
    <w:rPr>
      <w:color w:val="262626"/>
    </w:rPr>
    <w:tblPr>
      <w:tblStyleRowBandSize w:val="1"/>
      <w:tblStyleColBandSize w:val="1"/>
      <w:jc w:val="center"/>
      <w:tblCellSpacing w:w="28" w:type="dxa"/>
      <w:tblCellMar>
        <w:top w:w="85" w:type="dxa"/>
        <w:left w:w="113" w:type="dxa"/>
        <w:bottom w:w="85" w:type="dxa"/>
        <w:right w:w="113" w:type="dxa"/>
      </w:tblCellMar>
    </w:tblPr>
    <w:trPr>
      <w:tblCellSpacing w:w="28" w:type="dxa"/>
      <w:jc w:val="center"/>
    </w:trPr>
    <w:tblStylePr w:type="firstRow">
      <w:pPr>
        <w:jc w:val="center"/>
      </w:pPr>
      <w:rPr>
        <w:b/>
        <w:sz w:val="24"/>
      </w:rPr>
      <w:tblPr/>
      <w:tcPr>
        <w:shd w:val="clear" w:color="auto" w:fill="F0F0F0"/>
      </w:tcPr>
    </w:tblStylePr>
    <w:tblStylePr w:type="lastRow">
      <w:rPr>
        <w:b/>
      </w:rPr>
      <w:tblPr/>
      <w:tcPr>
        <w:shd w:val="clear" w:color="auto" w:fill="F8F8F8"/>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val="0"/>
        <w:sz w:val="22"/>
      </w:rPr>
      <w:tblPr/>
      <w:tcPr>
        <w:shd w:val="clear" w:color="auto" w:fill="CDEBFF"/>
      </w:tcPr>
    </w:tblStylePr>
    <w:tblStylePr w:type="band2Vert">
      <w:pPr>
        <w:jc w:val="center"/>
      </w:pPr>
      <w:rPr>
        <w:b w:val="0"/>
        <w:sz w:val="22"/>
      </w:rPr>
      <w:tblPr/>
      <w:tcPr>
        <w:shd w:val="clear" w:color="auto" w:fill="DCF6B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
    <w:name w:val="ECHR_Table_20191"/>
    <w:basedOn w:val="TableNormal"/>
    <w:uiPriority w:val="99"/>
    <w:rsid w:val="00F32593"/>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
    <w:name w:val="Medium Shading 21"/>
    <w:basedOn w:val="TableNormal"/>
    <w:next w:val="MediumShading2"/>
    <w:uiPriority w:val="99"/>
    <w:rsid w:val="00F325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2">
    <w:name w:val="ECHR_A1_Style_Bulleted_Square2"/>
    <w:basedOn w:val="NoList"/>
    <w:rsid w:val="00515FE0"/>
  </w:style>
  <w:style w:type="numbering" w:customStyle="1" w:styleId="ECHRA1StyleNumberedList2">
    <w:name w:val="ECHR_A1_Style_Numbered_List2"/>
    <w:basedOn w:val="NoList"/>
    <w:rsid w:val="00515FE0"/>
  </w:style>
  <w:style w:type="table" w:customStyle="1" w:styleId="ECHRDNTable2">
    <w:name w:val="ECHR_DN_Table2"/>
    <w:basedOn w:val="TableNormal"/>
    <w:uiPriority w:val="99"/>
    <w:rsid w:val="00515FE0"/>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2">
    <w:name w:val="ECHR_Header_Table2"/>
    <w:basedOn w:val="TableNormal"/>
    <w:uiPriority w:val="99"/>
    <w:rsid w:val="00515FE0"/>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2">
    <w:name w:val="ECHR_Header_Table_Reduced2"/>
    <w:basedOn w:val="TableNormal"/>
    <w:uiPriority w:val="99"/>
    <w:rsid w:val="00515FE0"/>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2">
    <w:name w:val="ECHR_List_Table2"/>
    <w:basedOn w:val="TableNormal"/>
    <w:uiPriority w:val="99"/>
    <w:rsid w:val="00515FE0"/>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20">
    <w:name w:val="ECHR_Table2"/>
    <w:basedOn w:val="TableNormal"/>
    <w:rsid w:val="00515FE0"/>
    <w:rPr>
      <w:rFonts w:eastAsia="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2">
    <w:name w:val="ECHR_Table_Box_Header2"/>
    <w:basedOn w:val="TableNormal"/>
    <w:rsid w:val="00515FE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2">
    <w:name w:val="ECHR_Table_Fax2"/>
    <w:basedOn w:val="TableNormal"/>
    <w:uiPriority w:val="99"/>
    <w:rsid w:val="00515FE0"/>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2">
    <w:name w:val="ECHR_Table_For_Internal_Use2"/>
    <w:basedOn w:val="TableNormal"/>
    <w:uiPriority w:val="99"/>
    <w:rsid w:val="00515FE0"/>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2">
    <w:name w:val="ECHR_Table_Memo2"/>
    <w:basedOn w:val="TableNormal"/>
    <w:uiPriority w:val="99"/>
    <w:rsid w:val="00515FE0"/>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2">
    <w:name w:val="ECHR_Table_No_Lines2"/>
    <w:basedOn w:val="TableNormal"/>
    <w:uiPriority w:val="99"/>
    <w:rsid w:val="00515FE0"/>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2">
    <w:name w:val="ECHR_Table_Odd_Banded2"/>
    <w:basedOn w:val="TableNormal"/>
    <w:uiPriority w:val="99"/>
    <w:rsid w:val="00515FE0"/>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2">
    <w:name w:val="ECHR_Table_Simple_Box2"/>
    <w:basedOn w:val="TableNormal"/>
    <w:uiPriority w:val="99"/>
    <w:rsid w:val="00515FE0"/>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2">
    <w:name w:val="ECHR_Ltr_Table_Address2"/>
    <w:basedOn w:val="TableNormal"/>
    <w:uiPriority w:val="99"/>
    <w:rsid w:val="00515FE0"/>
    <w:tblPr>
      <w:tblInd w:w="5103" w:type="dxa"/>
    </w:tblPr>
  </w:style>
  <w:style w:type="table" w:customStyle="1" w:styleId="ECHRPCFTableStyle2">
    <w:name w:val="ECHR_PCF_Table_Style2"/>
    <w:basedOn w:val="TableNormal"/>
    <w:uiPriority w:val="99"/>
    <w:rsid w:val="00515FE0"/>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20">
    <w:name w:val="Table Grid2"/>
    <w:basedOn w:val="TableNormal"/>
    <w:next w:val="TableGrid"/>
    <w:uiPriority w:val="59"/>
    <w:rsid w:val="00515FE0"/>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2">
    <w:name w:val="ECHR_UG_Table2"/>
    <w:basedOn w:val="TableNormal"/>
    <w:uiPriority w:val="99"/>
    <w:rsid w:val="00515FE0"/>
    <w:rPr>
      <w:rFonts w:eastAsia="Times New Roman"/>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2">
    <w:name w:val="ECHR_UG_Table_White_Box2"/>
    <w:basedOn w:val="TableNormal"/>
    <w:uiPriority w:val="99"/>
    <w:rsid w:val="00515FE0"/>
    <w:rPr>
      <w:rFonts w:eastAsia="Times New Roman"/>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2">
    <w:name w:val="ECHR_Table_Grey2"/>
    <w:basedOn w:val="TableNormal"/>
    <w:uiPriority w:val="99"/>
    <w:rsid w:val="00515FE0"/>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2">
    <w:name w:val="ECHR_A1_Style_List2"/>
    <w:basedOn w:val="NoList"/>
    <w:rsid w:val="00515FE0"/>
  </w:style>
  <w:style w:type="table" w:customStyle="1" w:styleId="ECHRTable20162">
    <w:name w:val="ECHR_Table_20162"/>
    <w:basedOn w:val="TableNormal"/>
    <w:uiPriority w:val="99"/>
    <w:rsid w:val="00515FE0"/>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2">
    <w:name w:val="ECHR_Table_22"/>
    <w:basedOn w:val="TableNormal"/>
    <w:uiPriority w:val="99"/>
    <w:rsid w:val="00515FE0"/>
    <w:pPr>
      <w:tabs>
        <w:tab w:val="left" w:pos="567"/>
        <w:tab w:val="left" w:pos="851"/>
        <w:tab w:val="right" w:pos="5273"/>
      </w:tabs>
    </w:pPr>
    <w:rPr>
      <w:color w:val="262626"/>
    </w:rPr>
    <w:tblPr>
      <w:tblStyleRowBandSize w:val="1"/>
      <w:tblStyleColBandSize w:val="1"/>
      <w:jc w:val="center"/>
      <w:tblCellSpacing w:w="28" w:type="dxa"/>
      <w:tblCellMar>
        <w:top w:w="85" w:type="dxa"/>
        <w:left w:w="113" w:type="dxa"/>
        <w:bottom w:w="85" w:type="dxa"/>
        <w:right w:w="113" w:type="dxa"/>
      </w:tblCellMar>
    </w:tblPr>
    <w:trPr>
      <w:tblCellSpacing w:w="28" w:type="dxa"/>
      <w:jc w:val="center"/>
    </w:trPr>
    <w:tblStylePr w:type="firstRow">
      <w:pPr>
        <w:jc w:val="center"/>
      </w:pPr>
      <w:rPr>
        <w:b/>
        <w:sz w:val="24"/>
      </w:rPr>
      <w:tblPr/>
      <w:tcPr>
        <w:shd w:val="clear" w:color="auto" w:fill="F0F0F0"/>
      </w:tcPr>
    </w:tblStylePr>
    <w:tblStylePr w:type="lastRow">
      <w:rPr>
        <w:b/>
      </w:rPr>
      <w:tblPr/>
      <w:tcPr>
        <w:shd w:val="clear" w:color="auto" w:fill="F8F8F8"/>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val="0"/>
        <w:sz w:val="22"/>
      </w:rPr>
      <w:tblPr/>
      <w:tcPr>
        <w:shd w:val="clear" w:color="auto" w:fill="CDEBFF"/>
      </w:tcPr>
    </w:tblStylePr>
    <w:tblStylePr w:type="band2Vert">
      <w:pPr>
        <w:jc w:val="center"/>
      </w:pPr>
      <w:rPr>
        <w:b w:val="0"/>
        <w:sz w:val="22"/>
      </w:rPr>
      <w:tblPr/>
      <w:tcPr>
        <w:shd w:val="clear" w:color="auto" w:fill="DCF6B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2">
    <w:name w:val="ECHR_Table_20192"/>
    <w:basedOn w:val="TableNormal"/>
    <w:uiPriority w:val="99"/>
    <w:rsid w:val="00515FE0"/>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2">
    <w:name w:val="Medium Shading 22"/>
    <w:basedOn w:val="TableNormal"/>
    <w:next w:val="MediumShading2"/>
    <w:uiPriority w:val="99"/>
    <w:rsid w:val="00515F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2485">
      <w:bodyDiv w:val="1"/>
      <w:marLeft w:val="0"/>
      <w:marRight w:val="0"/>
      <w:marTop w:val="0"/>
      <w:marBottom w:val="0"/>
      <w:divBdr>
        <w:top w:val="none" w:sz="0" w:space="0" w:color="auto"/>
        <w:left w:val="none" w:sz="0" w:space="0" w:color="auto"/>
        <w:bottom w:val="none" w:sz="0" w:space="0" w:color="auto"/>
        <w:right w:val="none" w:sz="0" w:space="0" w:color="auto"/>
      </w:divBdr>
    </w:div>
    <w:div w:id="159465153">
      <w:bodyDiv w:val="1"/>
      <w:marLeft w:val="0"/>
      <w:marRight w:val="0"/>
      <w:marTop w:val="0"/>
      <w:marBottom w:val="0"/>
      <w:divBdr>
        <w:top w:val="none" w:sz="0" w:space="0" w:color="auto"/>
        <w:left w:val="none" w:sz="0" w:space="0" w:color="auto"/>
        <w:bottom w:val="none" w:sz="0" w:space="0" w:color="auto"/>
        <w:right w:val="none" w:sz="0" w:space="0" w:color="auto"/>
      </w:divBdr>
    </w:div>
    <w:div w:id="205945450">
      <w:bodyDiv w:val="1"/>
      <w:marLeft w:val="0"/>
      <w:marRight w:val="0"/>
      <w:marTop w:val="0"/>
      <w:marBottom w:val="0"/>
      <w:divBdr>
        <w:top w:val="none" w:sz="0" w:space="0" w:color="auto"/>
        <w:left w:val="none" w:sz="0" w:space="0" w:color="auto"/>
        <w:bottom w:val="none" w:sz="0" w:space="0" w:color="auto"/>
        <w:right w:val="none" w:sz="0" w:space="0" w:color="auto"/>
      </w:divBdr>
    </w:div>
    <w:div w:id="369112968">
      <w:bodyDiv w:val="1"/>
      <w:marLeft w:val="0"/>
      <w:marRight w:val="0"/>
      <w:marTop w:val="0"/>
      <w:marBottom w:val="0"/>
      <w:divBdr>
        <w:top w:val="none" w:sz="0" w:space="0" w:color="auto"/>
        <w:left w:val="none" w:sz="0" w:space="0" w:color="auto"/>
        <w:bottom w:val="none" w:sz="0" w:space="0" w:color="auto"/>
        <w:right w:val="none" w:sz="0" w:space="0" w:color="auto"/>
      </w:divBdr>
    </w:div>
    <w:div w:id="627398209">
      <w:bodyDiv w:val="1"/>
      <w:marLeft w:val="0"/>
      <w:marRight w:val="0"/>
      <w:marTop w:val="0"/>
      <w:marBottom w:val="0"/>
      <w:divBdr>
        <w:top w:val="none" w:sz="0" w:space="0" w:color="auto"/>
        <w:left w:val="none" w:sz="0" w:space="0" w:color="auto"/>
        <w:bottom w:val="none" w:sz="0" w:space="0" w:color="auto"/>
        <w:right w:val="none" w:sz="0" w:space="0" w:color="auto"/>
      </w:divBdr>
    </w:div>
    <w:div w:id="928806805">
      <w:bodyDiv w:val="1"/>
      <w:marLeft w:val="0"/>
      <w:marRight w:val="0"/>
      <w:marTop w:val="0"/>
      <w:marBottom w:val="0"/>
      <w:divBdr>
        <w:top w:val="none" w:sz="0" w:space="0" w:color="auto"/>
        <w:left w:val="none" w:sz="0" w:space="0" w:color="auto"/>
        <w:bottom w:val="none" w:sz="0" w:space="0" w:color="auto"/>
        <w:right w:val="none" w:sz="0" w:space="0" w:color="auto"/>
      </w:divBdr>
    </w:div>
    <w:div w:id="1144661192">
      <w:bodyDiv w:val="1"/>
      <w:marLeft w:val="0"/>
      <w:marRight w:val="0"/>
      <w:marTop w:val="0"/>
      <w:marBottom w:val="0"/>
      <w:divBdr>
        <w:top w:val="none" w:sz="0" w:space="0" w:color="auto"/>
        <w:left w:val="none" w:sz="0" w:space="0" w:color="auto"/>
        <w:bottom w:val="none" w:sz="0" w:space="0" w:color="auto"/>
        <w:right w:val="none" w:sz="0" w:space="0" w:color="auto"/>
      </w:divBdr>
      <w:divsChild>
        <w:div w:id="1081829225">
          <w:marLeft w:val="0"/>
          <w:marRight w:val="0"/>
          <w:marTop w:val="0"/>
          <w:marBottom w:val="360"/>
          <w:divBdr>
            <w:top w:val="none" w:sz="0" w:space="0" w:color="auto"/>
            <w:left w:val="none" w:sz="0" w:space="0" w:color="auto"/>
            <w:bottom w:val="none" w:sz="0" w:space="0" w:color="auto"/>
            <w:right w:val="none" w:sz="0" w:space="0" w:color="auto"/>
          </w:divBdr>
        </w:div>
        <w:div w:id="1194340233">
          <w:marLeft w:val="0"/>
          <w:marRight w:val="0"/>
          <w:marTop w:val="0"/>
          <w:marBottom w:val="360"/>
          <w:divBdr>
            <w:top w:val="none" w:sz="0" w:space="0" w:color="auto"/>
            <w:left w:val="none" w:sz="0" w:space="0" w:color="auto"/>
            <w:bottom w:val="none" w:sz="0" w:space="0" w:color="auto"/>
            <w:right w:val="none" w:sz="0" w:space="0" w:color="auto"/>
          </w:divBdr>
        </w:div>
        <w:div w:id="554778333">
          <w:marLeft w:val="0"/>
          <w:marRight w:val="0"/>
          <w:marTop w:val="0"/>
          <w:marBottom w:val="360"/>
          <w:divBdr>
            <w:top w:val="none" w:sz="0" w:space="0" w:color="auto"/>
            <w:left w:val="none" w:sz="0" w:space="0" w:color="auto"/>
            <w:bottom w:val="none" w:sz="0" w:space="0" w:color="auto"/>
            <w:right w:val="none" w:sz="0" w:space="0" w:color="auto"/>
          </w:divBdr>
        </w:div>
      </w:divsChild>
    </w:div>
    <w:div w:id="1177959298">
      <w:bodyDiv w:val="1"/>
      <w:marLeft w:val="0"/>
      <w:marRight w:val="0"/>
      <w:marTop w:val="0"/>
      <w:marBottom w:val="0"/>
      <w:divBdr>
        <w:top w:val="none" w:sz="0" w:space="0" w:color="auto"/>
        <w:left w:val="none" w:sz="0" w:space="0" w:color="auto"/>
        <w:bottom w:val="none" w:sz="0" w:space="0" w:color="auto"/>
        <w:right w:val="none" w:sz="0" w:space="0" w:color="auto"/>
      </w:divBdr>
    </w:div>
    <w:div w:id="1293290902">
      <w:bodyDiv w:val="1"/>
      <w:marLeft w:val="0"/>
      <w:marRight w:val="0"/>
      <w:marTop w:val="0"/>
      <w:marBottom w:val="0"/>
      <w:divBdr>
        <w:top w:val="none" w:sz="0" w:space="0" w:color="auto"/>
        <w:left w:val="none" w:sz="0" w:space="0" w:color="auto"/>
        <w:bottom w:val="none" w:sz="0" w:space="0" w:color="auto"/>
        <w:right w:val="none" w:sz="0" w:space="0" w:color="auto"/>
      </w:divBdr>
    </w:div>
    <w:div w:id="1901018706">
      <w:bodyDiv w:val="1"/>
      <w:marLeft w:val="0"/>
      <w:marRight w:val="0"/>
      <w:marTop w:val="0"/>
      <w:marBottom w:val="0"/>
      <w:divBdr>
        <w:top w:val="none" w:sz="0" w:space="0" w:color="auto"/>
        <w:left w:val="none" w:sz="0" w:space="0" w:color="auto"/>
        <w:bottom w:val="none" w:sz="0" w:space="0" w:color="auto"/>
        <w:right w:val="none" w:sz="0" w:space="0" w:color="auto"/>
      </w:divBdr>
    </w:div>
    <w:div w:id="1989745390">
      <w:bodyDiv w:val="1"/>
      <w:marLeft w:val="0"/>
      <w:marRight w:val="0"/>
      <w:marTop w:val="0"/>
      <w:marBottom w:val="0"/>
      <w:divBdr>
        <w:top w:val="none" w:sz="0" w:space="0" w:color="auto"/>
        <w:left w:val="none" w:sz="0" w:space="0" w:color="auto"/>
        <w:bottom w:val="none" w:sz="0" w:space="0" w:color="auto"/>
        <w:right w:val="none" w:sz="0" w:space="0" w:color="auto"/>
      </w:divBdr>
    </w:div>
    <w:div w:id="2001426581">
      <w:bodyDiv w:val="1"/>
      <w:marLeft w:val="0"/>
      <w:marRight w:val="0"/>
      <w:marTop w:val="0"/>
      <w:marBottom w:val="0"/>
      <w:divBdr>
        <w:top w:val="none" w:sz="0" w:space="0" w:color="auto"/>
        <w:left w:val="none" w:sz="0" w:space="0" w:color="auto"/>
        <w:bottom w:val="none" w:sz="0" w:space="0" w:color="auto"/>
        <w:right w:val="none" w:sz="0" w:space="0" w:color="auto"/>
      </w:divBdr>
      <w:divsChild>
        <w:div w:id="380783774">
          <w:marLeft w:val="0"/>
          <w:marRight w:val="0"/>
          <w:marTop w:val="0"/>
          <w:marBottom w:val="0"/>
          <w:divBdr>
            <w:top w:val="none" w:sz="0" w:space="0" w:color="auto"/>
            <w:left w:val="none" w:sz="0" w:space="0" w:color="auto"/>
            <w:bottom w:val="none" w:sz="0" w:space="0" w:color="auto"/>
            <w:right w:val="none" w:sz="0" w:space="0" w:color="auto"/>
          </w:divBdr>
        </w:div>
      </w:divsChild>
    </w:div>
    <w:div w:id="2045444391">
      <w:bodyDiv w:val="1"/>
      <w:marLeft w:val="0"/>
      <w:marRight w:val="0"/>
      <w:marTop w:val="0"/>
      <w:marBottom w:val="0"/>
      <w:divBdr>
        <w:top w:val="none" w:sz="0" w:space="0" w:color="auto"/>
        <w:left w:val="none" w:sz="0" w:space="0" w:color="auto"/>
        <w:bottom w:val="none" w:sz="0" w:space="0" w:color="auto"/>
        <w:right w:val="none" w:sz="0" w:space="0" w:color="auto"/>
      </w:divBdr>
    </w:div>
    <w:div w:id="21189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fifth-report-on-the-russian-federation/1680934a9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E8588-0EB3-4C06-B0C2-6BBA3C5754DE}">
  <ds:schemaRefs>
    <ds:schemaRef ds:uri="http://schemas.openxmlformats.org/officeDocument/2006/bibliography"/>
  </ds:schemaRefs>
</ds:datastoreItem>
</file>

<file path=customXml/itemProps2.xml><?xml version="1.0" encoding="utf-8"?>
<ds:datastoreItem xmlns:ds="http://schemas.openxmlformats.org/officeDocument/2006/customXml" ds:itemID="{0811BD16-4A62-4BD0-9E16-570785A26C40}"/>
</file>

<file path=customXml/itemProps3.xml><?xml version="1.0" encoding="utf-8"?>
<ds:datastoreItem xmlns:ds="http://schemas.openxmlformats.org/officeDocument/2006/customXml" ds:itemID="{B7721562-65B7-4F16-9398-C1E4077BBD76}"/>
</file>

<file path=customXml/itemProps4.xml><?xml version="1.0" encoding="utf-8"?>
<ds:datastoreItem xmlns:ds="http://schemas.openxmlformats.org/officeDocument/2006/customXml" ds:itemID="{42540FD3-9766-446A-9231-41B647AF90B7}"/>
</file>

<file path=docProps/app.xml><?xml version="1.0" encoding="utf-8"?>
<Properties xmlns="http://schemas.openxmlformats.org/officeDocument/2006/extended-properties" xmlns:vt="http://schemas.openxmlformats.org/officeDocument/2006/docPropsVTypes">
  <Template>Normal.dotm</Template>
  <TotalTime>0</TotalTime>
  <Pages>1</Pages>
  <Words>54224</Words>
  <Characters>309081</Characters>
  <Application>Microsoft Office Word</Application>
  <DocSecurity>0</DocSecurity>
  <Lines>2575</Lines>
  <Paragraphs>725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362580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2019-08-30T11:53:00Z</cp:lastPrinted>
  <dcterms:created xsi:type="dcterms:W3CDTF">2022-06-07T07:50:00Z</dcterms:created>
  <dcterms:modified xsi:type="dcterms:W3CDTF">2022-06-07T07:50:00Z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32401/10</vt:lpwstr>
  </property>
  <property fmtid="{D5CDD505-2E9C-101B-9397-08002B2CF9AE}" pid="4" name="CASEID">
    <vt:lpwstr>646452</vt:lpwstr>
  </property>
  <property fmtid="{D5CDD505-2E9C-101B-9397-08002B2CF9AE}" pid="5" name="ContentTypeId">
    <vt:lpwstr>0x010100558EB02BDB9E204AB350EDD385B68E10</vt:lpwstr>
  </property>
</Properties>
</file>