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358A2" w:rsidR="0098410D" w:rsidP="002358A2" w:rsidRDefault="00BF0CAC" w14:paraId="56BFB583" w14:textId="38D53989">
      <w:pPr>
        <w:pStyle w:val="DecHTitle"/>
        <w:outlineLvl w:val="9"/>
      </w:pPr>
      <w:r w:rsidRPr="002358A2">
        <w:t>FOURTH SECTION</w:t>
      </w:r>
    </w:p>
    <w:p w:rsidRPr="002358A2" w:rsidR="0098410D" w:rsidP="002358A2" w:rsidRDefault="00245537" w14:paraId="13A33B29" w14:textId="44155B16">
      <w:pPr>
        <w:pStyle w:val="JuTitle"/>
      </w:pPr>
      <w:r w:rsidRPr="002358A2">
        <w:t xml:space="preserve">CASE OF </w:t>
      </w:r>
      <w:r w:rsidRPr="002358A2" w:rsidR="00BF0CAC">
        <w:t>KORPORATIVNA TARGOVSKA BANKA AD v. BULGARIA</w:t>
      </w:r>
    </w:p>
    <w:p w:rsidRPr="002358A2" w:rsidR="0035114C" w:rsidP="002358A2" w:rsidRDefault="0035114C" w14:paraId="3173A566" w14:textId="6FA9CDCF">
      <w:pPr>
        <w:pStyle w:val="ECHRCoverTitle4"/>
        <w:rPr>
          <w:i w:val="0"/>
        </w:rPr>
      </w:pPr>
      <w:r w:rsidRPr="002358A2">
        <w:t>(</w:t>
      </w:r>
      <w:r w:rsidRPr="002358A2" w:rsidR="00BF0CAC">
        <w:t>Applications nos.</w:t>
      </w:r>
      <w:r w:rsidRPr="002358A2">
        <w:t xml:space="preserve"> </w:t>
      </w:r>
      <w:r w:rsidRPr="002358A2" w:rsidR="00BF0CAC">
        <w:t>46564/15 and 68140/16</w:t>
      </w:r>
      <w:r w:rsidRPr="002358A2">
        <w:t>)</w:t>
      </w:r>
    </w:p>
    <w:p w:rsidRPr="002358A2" w:rsidR="0035114C" w:rsidP="002358A2" w:rsidRDefault="0035114C" w14:paraId="3C9D02D0" w14:textId="77777777">
      <w:pPr>
        <w:pStyle w:val="DecHCase"/>
      </w:pPr>
    </w:p>
    <w:p w:rsidRPr="002358A2" w:rsidR="0098410D" w:rsidP="002358A2" w:rsidRDefault="0048368E" w14:paraId="733F3F2C" w14:textId="77777777">
      <w:pPr>
        <w:pStyle w:val="DecHCase"/>
      </w:pPr>
    </w:p>
    <w:p w:rsidRPr="002358A2" w:rsidR="0098410D" w:rsidP="002358A2" w:rsidRDefault="00245537" w14:paraId="5C67805B" w14:textId="7B136EBC">
      <w:pPr>
        <w:pStyle w:val="DecHCase"/>
      </w:pPr>
      <w:r w:rsidRPr="002358A2">
        <w:t>JUDGMENT</w:t>
      </w:r>
    </w:p>
    <w:p w:rsidRPr="002358A2" w:rsidR="00E91771" w:rsidP="002358A2" w:rsidRDefault="00E91771" w14:paraId="7F79E688" w14:textId="77777777">
      <w:pPr>
        <w:pBdr>
          <w:top w:val="single" w:color="auto" w:sz="4" w:space="1"/>
          <w:left w:val="single" w:color="auto" w:sz="4" w:space="4"/>
          <w:bottom w:val="single" w:color="auto" w:sz="4" w:space="1"/>
          <w:right w:val="single" w:color="auto" w:sz="4" w:space="4"/>
        </w:pBdr>
        <w:jc w:val="both"/>
        <w:rPr>
          <w:rFonts w:eastAsiaTheme="minorEastAsia"/>
          <w:sz w:val="20"/>
          <w:szCs w:val="20"/>
        </w:rPr>
      </w:pPr>
      <w:r w:rsidRPr="002358A2">
        <w:rPr>
          <w:rFonts w:eastAsiaTheme="minorEastAsia"/>
          <w:sz w:val="20"/>
          <w:szCs w:val="20"/>
        </w:rPr>
        <w:t xml:space="preserve">Art 6 § 1 (civil) </w:t>
      </w:r>
      <w:r w:rsidRPr="002358A2">
        <w:rPr>
          <w:sz w:val="20"/>
          <w:szCs w:val="20"/>
        </w:rPr>
        <w:t>•</w:t>
      </w:r>
      <w:r w:rsidRPr="002358A2">
        <w:rPr>
          <w:rFonts w:eastAsiaTheme="minorEastAsia"/>
          <w:sz w:val="20"/>
          <w:szCs w:val="20"/>
        </w:rPr>
        <w:t xml:space="preserve"> Access to court </w:t>
      </w:r>
      <w:r w:rsidRPr="002358A2">
        <w:rPr>
          <w:sz w:val="20"/>
          <w:szCs w:val="20"/>
        </w:rPr>
        <w:t>•</w:t>
      </w:r>
      <w:r w:rsidRPr="002358A2">
        <w:rPr>
          <w:rFonts w:eastAsiaTheme="minorEastAsia"/>
          <w:sz w:val="20"/>
          <w:szCs w:val="20"/>
        </w:rPr>
        <w:t xml:space="preserve"> Adversarial trial </w:t>
      </w:r>
      <w:r w:rsidRPr="002358A2">
        <w:rPr>
          <w:sz w:val="20"/>
          <w:szCs w:val="20"/>
        </w:rPr>
        <w:t>•</w:t>
      </w:r>
      <w:r w:rsidRPr="002358A2">
        <w:rPr>
          <w:rFonts w:eastAsiaTheme="minorEastAsia"/>
          <w:sz w:val="20"/>
          <w:szCs w:val="20"/>
        </w:rPr>
        <w:t xml:space="preserve"> No clear and practical possibility for bank, by proper representation, to seek and obtain proper judicial review of its banking licence withdrawal </w:t>
      </w:r>
      <w:r w:rsidRPr="002358A2">
        <w:rPr>
          <w:sz w:val="20"/>
          <w:szCs w:val="20"/>
        </w:rPr>
        <w:t>•</w:t>
      </w:r>
      <w:r w:rsidRPr="002358A2">
        <w:rPr>
          <w:rFonts w:eastAsiaTheme="minorEastAsia"/>
          <w:sz w:val="20"/>
          <w:szCs w:val="20"/>
        </w:rPr>
        <w:t xml:space="preserve"> Bank unable to properly state its case and protect its interests in insolvency and winding-up proceedings, given its representation by special administrators and liquidators dependent on the opposing party</w:t>
      </w:r>
    </w:p>
    <w:p w:rsidRPr="002358A2" w:rsidR="002358A2" w:rsidP="002358A2" w:rsidRDefault="00E91771" w14:paraId="6D489DCF" w14:textId="77777777">
      <w:pPr>
        <w:pBdr>
          <w:top w:val="single" w:color="auto" w:sz="4" w:space="1"/>
          <w:left w:val="single" w:color="auto" w:sz="4" w:space="4"/>
          <w:bottom w:val="single" w:color="auto" w:sz="4" w:space="1"/>
          <w:right w:val="single" w:color="auto" w:sz="4" w:space="4"/>
        </w:pBdr>
        <w:jc w:val="both"/>
        <w:rPr>
          <w:rFonts w:eastAsiaTheme="minorEastAsia"/>
          <w:sz w:val="20"/>
          <w:szCs w:val="20"/>
        </w:rPr>
      </w:pPr>
      <w:r w:rsidRPr="002358A2">
        <w:rPr>
          <w:rFonts w:eastAsiaTheme="minorEastAsia"/>
          <w:sz w:val="20"/>
          <w:szCs w:val="20"/>
        </w:rPr>
        <w:t xml:space="preserve">Art 1 P1 </w:t>
      </w:r>
      <w:r w:rsidRPr="002358A2">
        <w:rPr>
          <w:sz w:val="20"/>
          <w:szCs w:val="20"/>
        </w:rPr>
        <w:t>•</w:t>
      </w:r>
      <w:r w:rsidRPr="002358A2">
        <w:rPr>
          <w:rFonts w:eastAsiaTheme="minorEastAsia"/>
          <w:sz w:val="20"/>
          <w:szCs w:val="20"/>
        </w:rPr>
        <w:t xml:space="preserve"> Peaceful enjoyment of possessions </w:t>
      </w:r>
      <w:r w:rsidRPr="002358A2">
        <w:rPr>
          <w:sz w:val="20"/>
          <w:szCs w:val="20"/>
        </w:rPr>
        <w:t>•</w:t>
      </w:r>
      <w:r w:rsidRPr="002358A2">
        <w:rPr>
          <w:rFonts w:eastAsiaTheme="minorEastAsia"/>
          <w:sz w:val="20"/>
          <w:szCs w:val="20"/>
        </w:rPr>
        <w:t xml:space="preserve"> No safeguards against arbitrariness surrounding decision to withdraw a bank</w:t>
      </w:r>
      <w:r w:rsidRPr="002358A2" w:rsidR="002358A2">
        <w:rPr>
          <w:rFonts w:eastAsiaTheme="minorEastAsia"/>
          <w:sz w:val="20"/>
          <w:szCs w:val="20"/>
        </w:rPr>
        <w:t>’</w:t>
      </w:r>
      <w:r w:rsidRPr="002358A2">
        <w:rPr>
          <w:rFonts w:eastAsiaTheme="minorEastAsia"/>
          <w:sz w:val="20"/>
          <w:szCs w:val="20"/>
        </w:rPr>
        <w:t>s licence</w:t>
      </w:r>
    </w:p>
    <w:p w:rsidRPr="002358A2" w:rsidR="00E91771" w:rsidP="002358A2" w:rsidRDefault="00E91771" w14:paraId="318BDF49" w14:textId="4B2F3672">
      <w:pPr>
        <w:pBdr>
          <w:top w:val="single" w:color="auto" w:sz="4" w:space="1"/>
          <w:left w:val="single" w:color="auto" w:sz="4" w:space="4"/>
          <w:bottom w:val="single" w:color="auto" w:sz="4" w:space="1"/>
          <w:right w:val="single" w:color="auto" w:sz="4" w:space="4"/>
        </w:pBdr>
        <w:jc w:val="both"/>
        <w:rPr>
          <w:sz w:val="20"/>
          <w:szCs w:val="20"/>
        </w:rPr>
      </w:pPr>
      <w:r w:rsidRPr="002358A2">
        <w:rPr>
          <w:rFonts w:eastAsiaTheme="minorEastAsia"/>
          <w:sz w:val="20"/>
          <w:szCs w:val="20"/>
        </w:rPr>
        <w:t xml:space="preserve">Art 46 </w:t>
      </w:r>
      <w:r w:rsidRPr="002358A2">
        <w:rPr>
          <w:sz w:val="20"/>
          <w:szCs w:val="20"/>
        </w:rPr>
        <w:t>•</w:t>
      </w:r>
      <w:r w:rsidRPr="002358A2">
        <w:rPr>
          <w:rFonts w:eastAsiaTheme="minorEastAsia"/>
          <w:sz w:val="20"/>
          <w:szCs w:val="20"/>
        </w:rPr>
        <w:t xml:space="preserve"> Execution of judgment </w:t>
      </w:r>
      <w:r w:rsidRPr="002358A2">
        <w:rPr>
          <w:sz w:val="20"/>
          <w:szCs w:val="20"/>
        </w:rPr>
        <w:t>•</w:t>
      </w:r>
      <w:r w:rsidRPr="002358A2">
        <w:rPr>
          <w:rFonts w:eastAsiaTheme="minorEastAsia"/>
          <w:sz w:val="20"/>
          <w:szCs w:val="20"/>
        </w:rPr>
        <w:t xml:space="preserve"> Indication of individual and general measures </w:t>
      </w:r>
      <w:r w:rsidRPr="002358A2">
        <w:rPr>
          <w:sz w:val="20"/>
          <w:szCs w:val="20"/>
        </w:rPr>
        <w:t>•</w:t>
      </w:r>
      <w:r w:rsidRPr="002358A2">
        <w:rPr>
          <w:rFonts w:eastAsiaTheme="minorEastAsia"/>
          <w:sz w:val="20"/>
          <w:szCs w:val="20"/>
        </w:rPr>
        <w:t xml:space="preserve"> Reopening of judicial review proceedings required, but not necessarily leading to reversal of reviewed decision</w:t>
      </w:r>
      <w:r w:rsidRPr="002358A2" w:rsidR="002358A2">
        <w:rPr>
          <w:rFonts w:eastAsiaTheme="minorEastAsia"/>
          <w:sz w:val="20"/>
          <w:szCs w:val="20"/>
        </w:rPr>
        <w:t>’</w:t>
      </w:r>
      <w:r w:rsidRPr="002358A2">
        <w:rPr>
          <w:rFonts w:eastAsiaTheme="minorEastAsia"/>
          <w:sz w:val="20"/>
          <w:szCs w:val="20"/>
        </w:rPr>
        <w:t xml:space="preserve">s effects, rather than award of damages </w:t>
      </w:r>
      <w:r w:rsidRPr="002358A2">
        <w:rPr>
          <w:sz w:val="20"/>
          <w:szCs w:val="20"/>
        </w:rPr>
        <w:t>•</w:t>
      </w:r>
      <w:r w:rsidRPr="002358A2">
        <w:rPr>
          <w:rFonts w:eastAsiaTheme="minorEastAsia"/>
          <w:sz w:val="20"/>
          <w:szCs w:val="20"/>
        </w:rPr>
        <w:t xml:space="preserve"> Need for general legislative and/or jurisprudential measures</w:t>
      </w:r>
    </w:p>
    <w:p w:rsidRPr="002358A2" w:rsidR="00E91771" w:rsidP="002358A2" w:rsidRDefault="00E91771" w14:paraId="01E325A1" w14:textId="77777777">
      <w:pPr>
        <w:pStyle w:val="DecHCase"/>
      </w:pPr>
    </w:p>
    <w:p w:rsidRPr="002358A2" w:rsidR="0098410D" w:rsidP="002358A2" w:rsidRDefault="00245537" w14:paraId="09B40931" w14:textId="5E01B0A9">
      <w:pPr>
        <w:pStyle w:val="DecHCase"/>
      </w:pPr>
      <w:r w:rsidRPr="002358A2">
        <w:t>STRASBOURG</w:t>
      </w:r>
    </w:p>
    <w:p w:rsidRPr="002358A2" w:rsidR="0098410D" w:rsidP="002358A2" w:rsidRDefault="00655FE1" w14:paraId="5AD14004" w14:textId="5B2585E2">
      <w:pPr>
        <w:pStyle w:val="DecHCase"/>
      </w:pPr>
      <w:r w:rsidRPr="002358A2">
        <w:t>30</w:t>
      </w:r>
      <w:r w:rsidRPr="002358A2" w:rsidR="00BF0CAC">
        <w:t xml:space="preserve"> </w:t>
      </w:r>
      <w:r w:rsidRPr="002358A2">
        <w:t>August</w:t>
      </w:r>
      <w:r w:rsidRPr="002358A2" w:rsidR="00BF0CAC">
        <w:t xml:space="preserve"> 2022</w:t>
      </w:r>
    </w:p>
    <w:p w:rsidRPr="002358A2" w:rsidR="0098410D" w:rsidP="002358A2" w:rsidRDefault="0048368E" w14:paraId="2891C188" w14:textId="77777777">
      <w:pPr>
        <w:pStyle w:val="DecHCase"/>
      </w:pPr>
    </w:p>
    <w:p w:rsidRPr="002358A2" w:rsidR="002422B6" w:rsidP="002358A2" w:rsidRDefault="00A73E28" w14:paraId="7ABA3D58" w14:textId="5DE5BE29">
      <w:pPr>
        <w:rPr>
          <w:i/>
          <w:sz w:val="22"/>
        </w:rPr>
      </w:pPr>
      <w:r w:rsidRPr="002358A2">
        <w:rPr>
          <w:i/>
          <w:sz w:val="22"/>
        </w:rPr>
        <w:t>This judgment will become final in the circumstances set out in Article 44 § 2 of</w:t>
      </w:r>
      <w:r w:rsidRPr="002358A2" w:rsidR="00E91771">
        <w:rPr>
          <w:i/>
          <w:sz w:val="22"/>
        </w:rPr>
        <w:t xml:space="preserve"> </w:t>
      </w:r>
      <w:r w:rsidRPr="002358A2">
        <w:rPr>
          <w:i/>
          <w:sz w:val="22"/>
        </w:rPr>
        <w:t>the</w:t>
      </w:r>
      <w:r w:rsidRPr="002358A2" w:rsidR="00E91771">
        <w:rPr>
          <w:i/>
          <w:sz w:val="22"/>
        </w:rPr>
        <w:t xml:space="preserve"> </w:t>
      </w:r>
      <w:r w:rsidRPr="002358A2">
        <w:rPr>
          <w:i/>
          <w:sz w:val="22"/>
        </w:rPr>
        <w:t>Convention. It may be subject to editorial revision.</w:t>
      </w:r>
    </w:p>
    <w:p w:rsidRPr="002358A2" w:rsidR="0098410D" w:rsidP="002358A2" w:rsidRDefault="0048368E" w14:paraId="55D048FC" w14:textId="77777777">
      <w:pPr>
        <w:sectPr w:rsidRPr="002358A2" w:rsidR="0098410D" w:rsidSect="009746AB">
          <w:headerReference w:type="default" r:id="rId9"/>
          <w:footerReference w:type="default" r:id="rId10"/>
          <w:headerReference w:type="first" r:id="rId11"/>
          <w:footerReference w:type="first" r:id="rId12"/>
          <w:footnotePr>
            <w:numRestart w:val="eachSect"/>
          </w:footnotePr>
          <w:endnotePr>
            <w:numFmt w:val="decimal"/>
            <w:numRestart w:val="eachSect"/>
          </w:endnotePr>
          <w:pgSz w:w="11906" w:h="16838" w:code="9"/>
          <w:pgMar w:top="2274" w:right="2274" w:bottom="2274" w:left="2274" w:header="1701" w:footer="720" w:gutter="0"/>
          <w:pgNumType w:start="1"/>
          <w:cols w:space="720"/>
          <w:noEndnote/>
          <w:titlePg/>
        </w:sectPr>
      </w:pPr>
    </w:p>
    <w:p w:rsidRPr="002358A2" w:rsidR="00BF0CAC" w:rsidP="002358A2" w:rsidRDefault="00BF0CAC" w14:paraId="170B6316" w14:textId="77777777">
      <w:pPr>
        <w:jc w:val="center"/>
        <w:rPr>
          <w:b/>
          <w:bCs/>
        </w:rPr>
      </w:pPr>
      <w:r w:rsidRPr="002358A2">
        <w:rPr>
          <w:b/>
          <w:bCs/>
        </w:rPr>
        <w:t>TABLE OF CONTENTS</w:t>
      </w:r>
    </w:p>
    <w:p w:rsidRPr="002358A2" w:rsidR="007B776F" w:rsidP="002358A2" w:rsidRDefault="00BF0CAC" w14:paraId="0FF43F24" w14:textId="18E49607">
      <w:pPr>
        <w:pStyle w:val="TOC1"/>
        <w:rPr>
          <w:rFonts w:eastAsiaTheme="minorEastAsia"/>
          <w:b w:val="0"/>
          <w:noProof/>
          <w:szCs w:val="22"/>
          <w:lang w:val="fr-FR" w:eastAsia="fr-FR"/>
        </w:rPr>
      </w:pPr>
      <w:r w:rsidRPr="002358A2">
        <w:rPr>
          <w:noProof/>
          <w:sz w:val="20"/>
          <w:szCs w:val="22"/>
        </w:rPr>
        <w:fldChar w:fldCharType="begin"/>
      </w:r>
      <w:r w:rsidRPr="002358A2">
        <w:rPr>
          <w:szCs w:val="22"/>
        </w:rPr>
        <w:instrText xml:space="preserve"> TOC \o "1-7" \h \z \u </w:instrText>
      </w:r>
      <w:r w:rsidRPr="002358A2">
        <w:rPr>
          <w:noProof/>
          <w:sz w:val="20"/>
          <w:szCs w:val="22"/>
        </w:rPr>
        <w:fldChar w:fldCharType="separate"/>
      </w:r>
      <w:hyperlink w:history="1" w:anchor="_Toc107950826">
        <w:r w:rsidRPr="002358A2" w:rsidR="007B776F">
          <w:rPr>
            <w:rStyle w:val="Hyperlink"/>
            <w:noProof/>
          </w:rPr>
          <w:t>INTRODUCTION</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_Toc107950826 \h </w:instrText>
        </w:r>
        <w:r w:rsidRPr="002358A2" w:rsidR="007B776F">
          <w:rPr>
            <w:noProof/>
            <w:webHidden/>
          </w:rPr>
        </w:r>
        <w:r w:rsidRPr="002358A2" w:rsidR="007B776F">
          <w:rPr>
            <w:noProof/>
            <w:webHidden/>
          </w:rPr>
          <w:fldChar w:fldCharType="separate"/>
        </w:r>
        <w:r w:rsidRPr="002358A2" w:rsidR="002358A2">
          <w:rPr>
            <w:noProof/>
            <w:webHidden/>
          </w:rPr>
          <w:t>1</w:t>
        </w:r>
        <w:r w:rsidRPr="002358A2" w:rsidR="007B776F">
          <w:rPr>
            <w:noProof/>
            <w:webHidden/>
          </w:rPr>
          <w:fldChar w:fldCharType="end"/>
        </w:r>
      </w:hyperlink>
    </w:p>
    <w:p w:rsidRPr="002358A2" w:rsidR="007B776F" w:rsidP="002358A2" w:rsidRDefault="0048368E" w14:paraId="2826FFD4" w14:textId="4DF82664">
      <w:pPr>
        <w:pStyle w:val="TOC1"/>
        <w:rPr>
          <w:rFonts w:eastAsiaTheme="minorEastAsia"/>
          <w:b w:val="0"/>
          <w:noProof/>
          <w:szCs w:val="22"/>
          <w:lang w:val="fr-FR" w:eastAsia="fr-FR"/>
        </w:rPr>
      </w:pPr>
      <w:hyperlink w:history="1" w:anchor="_Toc107950827">
        <w:r w:rsidRPr="002358A2" w:rsidR="007B776F">
          <w:rPr>
            <w:rStyle w:val="Hyperlink"/>
            <w:noProof/>
          </w:rPr>
          <w:t>THE FACTS</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_Toc107950827 \h </w:instrText>
        </w:r>
        <w:r w:rsidRPr="002358A2" w:rsidR="007B776F">
          <w:rPr>
            <w:noProof/>
            <w:webHidden/>
          </w:rPr>
        </w:r>
        <w:r w:rsidRPr="002358A2" w:rsidR="007B776F">
          <w:rPr>
            <w:noProof/>
            <w:webHidden/>
          </w:rPr>
          <w:fldChar w:fldCharType="separate"/>
        </w:r>
        <w:r w:rsidRPr="002358A2" w:rsidR="002358A2">
          <w:rPr>
            <w:noProof/>
            <w:webHidden/>
          </w:rPr>
          <w:t>2</w:t>
        </w:r>
        <w:r w:rsidRPr="002358A2" w:rsidR="007B776F">
          <w:rPr>
            <w:noProof/>
            <w:webHidden/>
          </w:rPr>
          <w:fldChar w:fldCharType="end"/>
        </w:r>
      </w:hyperlink>
    </w:p>
    <w:p w:rsidRPr="002358A2" w:rsidR="007B776F" w:rsidP="002358A2" w:rsidRDefault="0048368E" w14:paraId="7B3120E2" w14:textId="30575F7C">
      <w:pPr>
        <w:pStyle w:val="TOC2"/>
        <w:tabs>
          <w:tab w:val="left" w:pos="680"/>
        </w:tabs>
        <w:rPr>
          <w:rFonts w:eastAsiaTheme="minorEastAsia"/>
          <w:noProof/>
          <w:szCs w:val="22"/>
          <w:lang w:val="fr-FR" w:eastAsia="fr-FR"/>
        </w:rPr>
      </w:pPr>
      <w:hyperlink w:history="1" w:anchor="_Toc107950828">
        <w:r w:rsidRPr="002358A2" w:rsidR="007B776F">
          <w:rPr>
            <w:rStyle w:val="Hyperlink"/>
            <w:noProof/>
          </w:rPr>
          <w:t>I.</w:t>
        </w:r>
        <w:r w:rsidRPr="002358A2" w:rsidR="007B776F">
          <w:rPr>
            <w:rFonts w:eastAsiaTheme="minorEastAsia"/>
            <w:noProof/>
            <w:szCs w:val="22"/>
            <w:lang w:val="fr-FR" w:eastAsia="fr-FR"/>
          </w:rPr>
          <w:tab/>
        </w:r>
        <w:r w:rsidRPr="002358A2" w:rsidR="007B776F">
          <w:rPr>
            <w:rStyle w:val="Hyperlink"/>
            <w:noProof/>
          </w:rPr>
          <w:t>KTB</w:t>
        </w:r>
        <w:r w:rsidRPr="002358A2" w:rsidR="002358A2">
          <w:rPr>
            <w:rStyle w:val="Hyperlink"/>
            <w:noProof/>
          </w:rPr>
          <w:t>’</w:t>
        </w:r>
        <w:r w:rsidRPr="002358A2" w:rsidR="007B776F">
          <w:rPr>
            <w:rStyle w:val="Hyperlink"/>
            <w:noProof/>
          </w:rPr>
          <w:t>S MAJOR SHAREHOLDERS AND MANAGEMENT</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_Toc107950828 \h </w:instrText>
        </w:r>
        <w:r w:rsidRPr="002358A2" w:rsidR="007B776F">
          <w:rPr>
            <w:noProof/>
            <w:webHidden/>
          </w:rPr>
        </w:r>
        <w:r w:rsidRPr="002358A2" w:rsidR="007B776F">
          <w:rPr>
            <w:noProof/>
            <w:webHidden/>
          </w:rPr>
          <w:fldChar w:fldCharType="separate"/>
        </w:r>
        <w:r w:rsidRPr="002358A2" w:rsidR="002358A2">
          <w:rPr>
            <w:noProof/>
            <w:webHidden/>
          </w:rPr>
          <w:t>2</w:t>
        </w:r>
        <w:r w:rsidRPr="002358A2" w:rsidR="007B776F">
          <w:rPr>
            <w:noProof/>
            <w:webHidden/>
          </w:rPr>
          <w:fldChar w:fldCharType="end"/>
        </w:r>
      </w:hyperlink>
    </w:p>
    <w:p w:rsidRPr="002358A2" w:rsidR="007B776F" w:rsidP="002358A2" w:rsidRDefault="0048368E" w14:paraId="26C77923" w14:textId="760F2A1E">
      <w:pPr>
        <w:pStyle w:val="TOC2"/>
        <w:tabs>
          <w:tab w:val="left" w:pos="1020"/>
        </w:tabs>
        <w:rPr>
          <w:rFonts w:eastAsiaTheme="minorEastAsia"/>
          <w:noProof/>
          <w:szCs w:val="22"/>
          <w:lang w:val="fr-FR" w:eastAsia="fr-FR"/>
        </w:rPr>
      </w:pPr>
      <w:hyperlink w:history="1" w:anchor="_Toc107950829">
        <w:r w:rsidRPr="002358A2" w:rsidR="007B776F">
          <w:rPr>
            <w:rStyle w:val="Hyperlink"/>
            <w:noProof/>
          </w:rPr>
          <w:t>II.</w:t>
        </w:r>
        <w:r w:rsidRPr="002358A2" w:rsidR="007B776F">
          <w:rPr>
            <w:rFonts w:eastAsiaTheme="minorEastAsia"/>
            <w:noProof/>
            <w:szCs w:val="22"/>
            <w:lang w:val="fr-FR" w:eastAsia="fr-FR"/>
          </w:rPr>
          <w:tab/>
        </w:r>
        <w:r w:rsidRPr="002358A2" w:rsidR="007B776F">
          <w:rPr>
            <w:rStyle w:val="Hyperlink"/>
            <w:noProof/>
          </w:rPr>
          <w:t>KTB</w:t>
        </w:r>
        <w:r w:rsidRPr="002358A2" w:rsidR="002358A2">
          <w:rPr>
            <w:rStyle w:val="Hyperlink"/>
            <w:noProof/>
          </w:rPr>
          <w:t>’</w:t>
        </w:r>
        <w:r w:rsidRPr="002358A2" w:rsidR="007B776F">
          <w:rPr>
            <w:rStyle w:val="Hyperlink"/>
            <w:noProof/>
          </w:rPr>
          <w:t>S PLACEMENT UNDER SPECIAL ADMINISTRATION</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_Toc107950829 \h </w:instrText>
        </w:r>
        <w:r w:rsidRPr="002358A2" w:rsidR="007B776F">
          <w:rPr>
            <w:noProof/>
            <w:webHidden/>
          </w:rPr>
        </w:r>
        <w:r w:rsidRPr="002358A2" w:rsidR="007B776F">
          <w:rPr>
            <w:noProof/>
            <w:webHidden/>
          </w:rPr>
          <w:fldChar w:fldCharType="separate"/>
        </w:r>
        <w:r w:rsidRPr="002358A2" w:rsidR="002358A2">
          <w:rPr>
            <w:noProof/>
            <w:webHidden/>
          </w:rPr>
          <w:t>3</w:t>
        </w:r>
        <w:r w:rsidRPr="002358A2" w:rsidR="007B776F">
          <w:rPr>
            <w:noProof/>
            <w:webHidden/>
          </w:rPr>
          <w:fldChar w:fldCharType="end"/>
        </w:r>
      </w:hyperlink>
    </w:p>
    <w:p w:rsidRPr="002358A2" w:rsidR="007B776F" w:rsidP="002358A2" w:rsidRDefault="0048368E" w14:paraId="4D7EF115" w14:textId="499AE519">
      <w:pPr>
        <w:pStyle w:val="TOC2"/>
        <w:tabs>
          <w:tab w:val="left" w:pos="1020"/>
        </w:tabs>
        <w:rPr>
          <w:rFonts w:eastAsiaTheme="minorEastAsia"/>
          <w:noProof/>
          <w:szCs w:val="22"/>
          <w:lang w:val="fr-FR" w:eastAsia="fr-FR"/>
        </w:rPr>
      </w:pPr>
      <w:hyperlink w:history="1" w:anchor="_Toc107950830">
        <w:r w:rsidRPr="002358A2" w:rsidR="007B776F">
          <w:rPr>
            <w:rStyle w:val="Hyperlink"/>
            <w:noProof/>
          </w:rPr>
          <w:t>III.</w:t>
        </w:r>
        <w:r w:rsidRPr="002358A2" w:rsidR="007B776F">
          <w:rPr>
            <w:rFonts w:eastAsiaTheme="minorEastAsia"/>
            <w:noProof/>
            <w:szCs w:val="22"/>
            <w:lang w:val="fr-FR" w:eastAsia="fr-FR"/>
          </w:rPr>
          <w:tab/>
        </w:r>
        <w:r w:rsidRPr="002358A2" w:rsidR="007B776F">
          <w:rPr>
            <w:rStyle w:val="Hyperlink"/>
            <w:noProof/>
          </w:rPr>
          <w:t>THE BNB</w:t>
        </w:r>
        <w:r w:rsidRPr="002358A2" w:rsidR="002358A2">
          <w:rPr>
            <w:rStyle w:val="Hyperlink"/>
            <w:noProof/>
          </w:rPr>
          <w:t>’</w:t>
        </w:r>
        <w:r w:rsidRPr="002358A2" w:rsidR="007B776F">
          <w:rPr>
            <w:rStyle w:val="Hyperlink"/>
            <w:noProof/>
          </w:rPr>
          <w:t>S DECISION TO WITHDRAW KTB</w:t>
        </w:r>
        <w:r w:rsidRPr="002358A2" w:rsidR="002358A2">
          <w:rPr>
            <w:rStyle w:val="Hyperlink"/>
            <w:noProof/>
          </w:rPr>
          <w:t>’</w:t>
        </w:r>
        <w:r w:rsidRPr="002358A2" w:rsidR="007B776F">
          <w:rPr>
            <w:rStyle w:val="Hyperlink"/>
            <w:noProof/>
          </w:rPr>
          <w:t>S LICENCE</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_Toc107950830 \h </w:instrText>
        </w:r>
        <w:r w:rsidRPr="002358A2" w:rsidR="007B776F">
          <w:rPr>
            <w:noProof/>
            <w:webHidden/>
          </w:rPr>
        </w:r>
        <w:r w:rsidRPr="002358A2" w:rsidR="007B776F">
          <w:rPr>
            <w:noProof/>
            <w:webHidden/>
          </w:rPr>
          <w:fldChar w:fldCharType="separate"/>
        </w:r>
        <w:r w:rsidRPr="002358A2" w:rsidR="002358A2">
          <w:rPr>
            <w:noProof/>
            <w:webHidden/>
          </w:rPr>
          <w:t>4</w:t>
        </w:r>
        <w:r w:rsidRPr="002358A2" w:rsidR="007B776F">
          <w:rPr>
            <w:noProof/>
            <w:webHidden/>
          </w:rPr>
          <w:fldChar w:fldCharType="end"/>
        </w:r>
      </w:hyperlink>
    </w:p>
    <w:p w:rsidRPr="002358A2" w:rsidR="007B776F" w:rsidP="002358A2" w:rsidRDefault="0048368E" w14:paraId="19F38367" w14:textId="6AA96F8C">
      <w:pPr>
        <w:pStyle w:val="TOC2"/>
        <w:tabs>
          <w:tab w:val="left" w:pos="1020"/>
        </w:tabs>
        <w:rPr>
          <w:rFonts w:eastAsiaTheme="minorEastAsia"/>
          <w:noProof/>
          <w:szCs w:val="22"/>
          <w:lang w:val="fr-FR" w:eastAsia="fr-FR"/>
        </w:rPr>
      </w:pPr>
      <w:hyperlink w:history="1" w:anchor="_Toc107950831">
        <w:r w:rsidRPr="002358A2" w:rsidR="007B776F">
          <w:rPr>
            <w:rStyle w:val="Hyperlink"/>
            <w:noProof/>
          </w:rPr>
          <w:t>IV.</w:t>
        </w:r>
        <w:r w:rsidRPr="002358A2" w:rsidR="007B776F">
          <w:rPr>
            <w:rFonts w:eastAsiaTheme="minorEastAsia"/>
            <w:noProof/>
            <w:szCs w:val="22"/>
            <w:lang w:val="fr-FR" w:eastAsia="fr-FR"/>
          </w:rPr>
          <w:tab/>
        </w:r>
        <w:r w:rsidRPr="002358A2" w:rsidR="007B776F">
          <w:rPr>
            <w:rStyle w:val="Hyperlink"/>
            <w:noProof/>
          </w:rPr>
          <w:t>ATTEMPT BY KTB</w:t>
        </w:r>
        <w:r w:rsidRPr="002358A2" w:rsidR="002358A2">
          <w:rPr>
            <w:rStyle w:val="Hyperlink"/>
            <w:noProof/>
          </w:rPr>
          <w:t>’</w:t>
        </w:r>
        <w:r w:rsidRPr="002358A2" w:rsidR="007B776F">
          <w:rPr>
            <w:rStyle w:val="Hyperlink"/>
            <w:noProof/>
          </w:rPr>
          <w:t>S SHAREHOLDERS TO SEEK JUDICIAL REVIEW OF THE WITHDRAWAL OF ITS LICENCE</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_Toc107950831 \h </w:instrText>
        </w:r>
        <w:r w:rsidRPr="002358A2" w:rsidR="007B776F">
          <w:rPr>
            <w:noProof/>
            <w:webHidden/>
          </w:rPr>
        </w:r>
        <w:r w:rsidRPr="002358A2" w:rsidR="007B776F">
          <w:rPr>
            <w:noProof/>
            <w:webHidden/>
          </w:rPr>
          <w:fldChar w:fldCharType="separate"/>
        </w:r>
        <w:r w:rsidRPr="002358A2" w:rsidR="002358A2">
          <w:rPr>
            <w:noProof/>
            <w:webHidden/>
          </w:rPr>
          <w:t>4</w:t>
        </w:r>
        <w:r w:rsidRPr="002358A2" w:rsidR="007B776F">
          <w:rPr>
            <w:noProof/>
            <w:webHidden/>
          </w:rPr>
          <w:fldChar w:fldCharType="end"/>
        </w:r>
      </w:hyperlink>
    </w:p>
    <w:p w:rsidRPr="002358A2" w:rsidR="007B776F" w:rsidP="002358A2" w:rsidRDefault="0048368E" w14:paraId="2E04D8EA" w14:textId="5CE6416B">
      <w:pPr>
        <w:pStyle w:val="TOC3"/>
        <w:tabs>
          <w:tab w:val="left" w:pos="1361"/>
        </w:tabs>
        <w:rPr>
          <w:rFonts w:eastAsiaTheme="minorEastAsia"/>
          <w:noProof/>
          <w:sz w:val="22"/>
          <w:szCs w:val="22"/>
          <w:lang w:val="fr-FR" w:eastAsia="fr-FR"/>
        </w:rPr>
      </w:pPr>
      <w:hyperlink w:history="1" w:anchor="_Toc107950832">
        <w:r w:rsidRPr="002358A2" w:rsidR="007B776F">
          <w:rPr>
            <w:rStyle w:val="Hyperlink"/>
            <w:noProof/>
          </w:rPr>
          <w:t>A.</w:t>
        </w:r>
        <w:r w:rsidRPr="002358A2" w:rsidR="007B776F">
          <w:rPr>
            <w:rFonts w:eastAsiaTheme="minorEastAsia"/>
            <w:noProof/>
            <w:sz w:val="22"/>
            <w:szCs w:val="22"/>
            <w:lang w:val="fr-FR" w:eastAsia="fr-FR"/>
          </w:rPr>
          <w:tab/>
        </w:r>
        <w:r w:rsidRPr="002358A2" w:rsidR="007B776F">
          <w:rPr>
            <w:rStyle w:val="Hyperlink"/>
            <w:noProof/>
          </w:rPr>
          <w:t>Proceedings at first instance</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_Toc107950832 \h </w:instrText>
        </w:r>
        <w:r w:rsidRPr="002358A2" w:rsidR="007B776F">
          <w:rPr>
            <w:noProof/>
            <w:webHidden/>
          </w:rPr>
        </w:r>
        <w:r w:rsidRPr="002358A2" w:rsidR="007B776F">
          <w:rPr>
            <w:noProof/>
            <w:webHidden/>
          </w:rPr>
          <w:fldChar w:fldCharType="separate"/>
        </w:r>
        <w:r w:rsidRPr="002358A2" w:rsidR="002358A2">
          <w:rPr>
            <w:noProof/>
            <w:webHidden/>
          </w:rPr>
          <w:t>4</w:t>
        </w:r>
        <w:r w:rsidRPr="002358A2" w:rsidR="007B776F">
          <w:rPr>
            <w:noProof/>
            <w:webHidden/>
          </w:rPr>
          <w:fldChar w:fldCharType="end"/>
        </w:r>
      </w:hyperlink>
    </w:p>
    <w:p w:rsidRPr="002358A2" w:rsidR="007B776F" w:rsidP="002358A2" w:rsidRDefault="0048368E" w14:paraId="0B026253" w14:textId="4D2FAF93">
      <w:pPr>
        <w:pStyle w:val="TOC3"/>
        <w:tabs>
          <w:tab w:val="left" w:pos="1361"/>
        </w:tabs>
        <w:rPr>
          <w:rFonts w:eastAsiaTheme="minorEastAsia"/>
          <w:noProof/>
          <w:sz w:val="22"/>
          <w:szCs w:val="22"/>
          <w:lang w:val="fr-FR" w:eastAsia="fr-FR"/>
        </w:rPr>
      </w:pPr>
      <w:hyperlink w:history="1" w:anchor="_Toc107950833">
        <w:r w:rsidRPr="002358A2" w:rsidR="007B776F">
          <w:rPr>
            <w:rStyle w:val="Hyperlink"/>
            <w:noProof/>
          </w:rPr>
          <w:t>B.</w:t>
        </w:r>
        <w:r w:rsidRPr="002358A2" w:rsidR="007B776F">
          <w:rPr>
            <w:rFonts w:eastAsiaTheme="minorEastAsia"/>
            <w:noProof/>
            <w:sz w:val="22"/>
            <w:szCs w:val="22"/>
            <w:lang w:val="fr-FR" w:eastAsia="fr-FR"/>
          </w:rPr>
          <w:tab/>
        </w:r>
        <w:r w:rsidRPr="002358A2" w:rsidR="007B776F">
          <w:rPr>
            <w:rStyle w:val="Hyperlink"/>
            <w:noProof/>
          </w:rPr>
          <w:t>Proceedings on appeal</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_Toc107950833 \h </w:instrText>
        </w:r>
        <w:r w:rsidRPr="002358A2" w:rsidR="007B776F">
          <w:rPr>
            <w:noProof/>
            <w:webHidden/>
          </w:rPr>
        </w:r>
        <w:r w:rsidRPr="002358A2" w:rsidR="007B776F">
          <w:rPr>
            <w:noProof/>
            <w:webHidden/>
          </w:rPr>
          <w:fldChar w:fldCharType="separate"/>
        </w:r>
        <w:r w:rsidRPr="002358A2" w:rsidR="002358A2">
          <w:rPr>
            <w:noProof/>
            <w:webHidden/>
          </w:rPr>
          <w:t>6</w:t>
        </w:r>
        <w:r w:rsidRPr="002358A2" w:rsidR="007B776F">
          <w:rPr>
            <w:noProof/>
            <w:webHidden/>
          </w:rPr>
          <w:fldChar w:fldCharType="end"/>
        </w:r>
      </w:hyperlink>
    </w:p>
    <w:p w:rsidRPr="002358A2" w:rsidR="007B776F" w:rsidP="002358A2" w:rsidRDefault="0048368E" w14:paraId="7582D168" w14:textId="2509D700">
      <w:pPr>
        <w:pStyle w:val="TOC2"/>
        <w:tabs>
          <w:tab w:val="left" w:pos="1020"/>
        </w:tabs>
        <w:rPr>
          <w:rFonts w:eastAsiaTheme="minorEastAsia"/>
          <w:noProof/>
          <w:szCs w:val="22"/>
          <w:lang w:val="fr-FR" w:eastAsia="fr-FR"/>
        </w:rPr>
      </w:pPr>
      <w:hyperlink w:history="1" w:anchor="_Toc107950834">
        <w:r w:rsidRPr="002358A2" w:rsidR="007B776F">
          <w:rPr>
            <w:rStyle w:val="Hyperlink"/>
            <w:noProof/>
          </w:rPr>
          <w:t>V.</w:t>
        </w:r>
        <w:r w:rsidRPr="002358A2" w:rsidR="007B776F">
          <w:rPr>
            <w:rFonts w:eastAsiaTheme="minorEastAsia"/>
            <w:noProof/>
            <w:szCs w:val="22"/>
            <w:lang w:val="fr-FR" w:eastAsia="fr-FR"/>
          </w:rPr>
          <w:tab/>
        </w:r>
        <w:r w:rsidRPr="002358A2" w:rsidR="007B776F">
          <w:rPr>
            <w:rStyle w:val="Hyperlink"/>
            <w:noProof/>
          </w:rPr>
          <w:t>PROCEEDINGS RELATING TO THE SUPREME BAR COUNCIL</w:t>
        </w:r>
        <w:r w:rsidRPr="002358A2" w:rsidR="002358A2">
          <w:rPr>
            <w:rStyle w:val="Hyperlink"/>
            <w:noProof/>
          </w:rPr>
          <w:t>’</w:t>
        </w:r>
        <w:r w:rsidRPr="002358A2" w:rsidR="007B776F">
          <w:rPr>
            <w:rStyle w:val="Hyperlink"/>
            <w:noProof/>
          </w:rPr>
          <w:t>S REQUEST FOR AN INTERPRETATIVE DECISION</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_Toc107950834 \h </w:instrText>
        </w:r>
        <w:r w:rsidRPr="002358A2" w:rsidR="007B776F">
          <w:rPr>
            <w:noProof/>
            <w:webHidden/>
          </w:rPr>
        </w:r>
        <w:r w:rsidRPr="002358A2" w:rsidR="007B776F">
          <w:rPr>
            <w:noProof/>
            <w:webHidden/>
          </w:rPr>
          <w:fldChar w:fldCharType="separate"/>
        </w:r>
        <w:r w:rsidRPr="002358A2" w:rsidR="002358A2">
          <w:rPr>
            <w:noProof/>
            <w:webHidden/>
          </w:rPr>
          <w:t>8</w:t>
        </w:r>
        <w:r w:rsidRPr="002358A2" w:rsidR="007B776F">
          <w:rPr>
            <w:noProof/>
            <w:webHidden/>
          </w:rPr>
          <w:fldChar w:fldCharType="end"/>
        </w:r>
      </w:hyperlink>
    </w:p>
    <w:p w:rsidRPr="002358A2" w:rsidR="007B776F" w:rsidP="002358A2" w:rsidRDefault="0048368E" w14:paraId="36A87905" w14:textId="1577BC54">
      <w:pPr>
        <w:pStyle w:val="TOC2"/>
        <w:tabs>
          <w:tab w:val="left" w:pos="1020"/>
        </w:tabs>
        <w:rPr>
          <w:rFonts w:eastAsiaTheme="minorEastAsia"/>
          <w:noProof/>
          <w:szCs w:val="22"/>
          <w:lang w:val="fr-FR" w:eastAsia="fr-FR"/>
        </w:rPr>
      </w:pPr>
      <w:hyperlink w:history="1" w:anchor="_Toc107950835">
        <w:r w:rsidRPr="002358A2" w:rsidR="007B776F">
          <w:rPr>
            <w:rStyle w:val="Hyperlink"/>
            <w:noProof/>
          </w:rPr>
          <w:t>VI.</w:t>
        </w:r>
        <w:r w:rsidRPr="002358A2" w:rsidR="007B776F">
          <w:rPr>
            <w:rFonts w:eastAsiaTheme="minorEastAsia"/>
            <w:noProof/>
            <w:szCs w:val="22"/>
            <w:lang w:val="fr-FR" w:eastAsia="fr-FR"/>
          </w:rPr>
          <w:tab/>
        </w:r>
        <w:r w:rsidRPr="002358A2" w:rsidR="007B776F">
          <w:rPr>
            <w:rStyle w:val="Hyperlink"/>
            <w:noProof/>
          </w:rPr>
          <w:t>ATTEMPT BY KTB</w:t>
        </w:r>
        <w:r w:rsidRPr="002358A2" w:rsidR="002358A2">
          <w:rPr>
            <w:rStyle w:val="Hyperlink"/>
            <w:noProof/>
          </w:rPr>
          <w:t>’</w:t>
        </w:r>
        <w:r w:rsidRPr="002358A2" w:rsidR="007B776F">
          <w:rPr>
            <w:rStyle w:val="Hyperlink"/>
            <w:noProof/>
          </w:rPr>
          <w:t>S DIRECTORS TO SEEK JUDICIAL REVIEW OF THE WITHDRAWAL OF ITS LICENCE</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_Toc107950835 \h </w:instrText>
        </w:r>
        <w:r w:rsidRPr="002358A2" w:rsidR="007B776F">
          <w:rPr>
            <w:noProof/>
            <w:webHidden/>
          </w:rPr>
        </w:r>
        <w:r w:rsidRPr="002358A2" w:rsidR="007B776F">
          <w:rPr>
            <w:noProof/>
            <w:webHidden/>
          </w:rPr>
          <w:fldChar w:fldCharType="separate"/>
        </w:r>
        <w:r w:rsidRPr="002358A2" w:rsidR="002358A2">
          <w:rPr>
            <w:noProof/>
            <w:webHidden/>
          </w:rPr>
          <w:t>8</w:t>
        </w:r>
        <w:r w:rsidRPr="002358A2" w:rsidR="007B776F">
          <w:rPr>
            <w:noProof/>
            <w:webHidden/>
          </w:rPr>
          <w:fldChar w:fldCharType="end"/>
        </w:r>
      </w:hyperlink>
    </w:p>
    <w:p w:rsidRPr="002358A2" w:rsidR="007B776F" w:rsidP="002358A2" w:rsidRDefault="0048368E" w14:paraId="78378091" w14:textId="2CEE51C2">
      <w:pPr>
        <w:pStyle w:val="TOC3"/>
        <w:tabs>
          <w:tab w:val="left" w:pos="1361"/>
        </w:tabs>
        <w:rPr>
          <w:rFonts w:eastAsiaTheme="minorEastAsia"/>
          <w:noProof/>
          <w:sz w:val="22"/>
          <w:szCs w:val="22"/>
          <w:lang w:val="fr-FR" w:eastAsia="fr-FR"/>
        </w:rPr>
      </w:pPr>
      <w:hyperlink w:history="1" w:anchor="_Toc107950836">
        <w:r w:rsidRPr="002358A2" w:rsidR="007B776F">
          <w:rPr>
            <w:rStyle w:val="Hyperlink"/>
            <w:noProof/>
          </w:rPr>
          <w:t>A.</w:t>
        </w:r>
        <w:r w:rsidRPr="002358A2" w:rsidR="007B776F">
          <w:rPr>
            <w:rFonts w:eastAsiaTheme="minorEastAsia"/>
            <w:noProof/>
            <w:sz w:val="22"/>
            <w:szCs w:val="22"/>
            <w:lang w:val="fr-FR" w:eastAsia="fr-FR"/>
          </w:rPr>
          <w:tab/>
        </w:r>
        <w:r w:rsidRPr="002358A2" w:rsidR="007B776F">
          <w:rPr>
            <w:rStyle w:val="Hyperlink"/>
            <w:noProof/>
          </w:rPr>
          <w:t>Proceedings at first instance</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_Toc107950836 \h </w:instrText>
        </w:r>
        <w:r w:rsidRPr="002358A2" w:rsidR="007B776F">
          <w:rPr>
            <w:noProof/>
            <w:webHidden/>
          </w:rPr>
        </w:r>
        <w:r w:rsidRPr="002358A2" w:rsidR="007B776F">
          <w:rPr>
            <w:noProof/>
            <w:webHidden/>
          </w:rPr>
          <w:fldChar w:fldCharType="separate"/>
        </w:r>
        <w:r w:rsidRPr="002358A2" w:rsidR="002358A2">
          <w:rPr>
            <w:noProof/>
            <w:webHidden/>
          </w:rPr>
          <w:t>8</w:t>
        </w:r>
        <w:r w:rsidRPr="002358A2" w:rsidR="007B776F">
          <w:rPr>
            <w:noProof/>
            <w:webHidden/>
          </w:rPr>
          <w:fldChar w:fldCharType="end"/>
        </w:r>
      </w:hyperlink>
    </w:p>
    <w:p w:rsidRPr="002358A2" w:rsidR="007B776F" w:rsidP="002358A2" w:rsidRDefault="0048368E" w14:paraId="044C2D05" w14:textId="4A4B3F32">
      <w:pPr>
        <w:pStyle w:val="TOC3"/>
        <w:tabs>
          <w:tab w:val="left" w:pos="1361"/>
        </w:tabs>
        <w:rPr>
          <w:rFonts w:eastAsiaTheme="minorEastAsia"/>
          <w:noProof/>
          <w:sz w:val="22"/>
          <w:szCs w:val="22"/>
          <w:lang w:val="fr-FR" w:eastAsia="fr-FR"/>
        </w:rPr>
      </w:pPr>
      <w:hyperlink w:history="1" w:anchor="_Toc107950837">
        <w:r w:rsidRPr="002358A2" w:rsidR="007B776F">
          <w:rPr>
            <w:rStyle w:val="Hyperlink"/>
            <w:noProof/>
          </w:rPr>
          <w:t>B.</w:t>
        </w:r>
        <w:r w:rsidRPr="002358A2" w:rsidR="007B776F">
          <w:rPr>
            <w:rFonts w:eastAsiaTheme="minorEastAsia"/>
            <w:noProof/>
            <w:sz w:val="22"/>
            <w:szCs w:val="22"/>
            <w:lang w:val="fr-FR" w:eastAsia="fr-FR"/>
          </w:rPr>
          <w:tab/>
        </w:r>
        <w:r w:rsidRPr="002358A2" w:rsidR="007B776F">
          <w:rPr>
            <w:rStyle w:val="Hyperlink"/>
            <w:noProof/>
          </w:rPr>
          <w:t>Proceedings on appeal</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_Toc107950837 \h </w:instrText>
        </w:r>
        <w:r w:rsidRPr="002358A2" w:rsidR="007B776F">
          <w:rPr>
            <w:noProof/>
            <w:webHidden/>
          </w:rPr>
        </w:r>
        <w:r w:rsidRPr="002358A2" w:rsidR="007B776F">
          <w:rPr>
            <w:noProof/>
            <w:webHidden/>
          </w:rPr>
          <w:fldChar w:fldCharType="separate"/>
        </w:r>
        <w:r w:rsidRPr="002358A2" w:rsidR="002358A2">
          <w:rPr>
            <w:noProof/>
            <w:webHidden/>
          </w:rPr>
          <w:t>9</w:t>
        </w:r>
        <w:r w:rsidRPr="002358A2" w:rsidR="007B776F">
          <w:rPr>
            <w:noProof/>
            <w:webHidden/>
          </w:rPr>
          <w:fldChar w:fldCharType="end"/>
        </w:r>
      </w:hyperlink>
    </w:p>
    <w:p w:rsidRPr="002358A2" w:rsidR="007B776F" w:rsidP="002358A2" w:rsidRDefault="0048368E" w14:paraId="7967D37B" w14:textId="3BCB9311">
      <w:pPr>
        <w:pStyle w:val="TOC2"/>
        <w:tabs>
          <w:tab w:val="left" w:pos="1020"/>
        </w:tabs>
        <w:rPr>
          <w:rFonts w:eastAsiaTheme="minorEastAsia"/>
          <w:noProof/>
          <w:szCs w:val="22"/>
          <w:lang w:val="fr-FR" w:eastAsia="fr-FR"/>
        </w:rPr>
      </w:pPr>
      <w:hyperlink w:history="1" w:anchor="_Toc107950838">
        <w:r w:rsidRPr="002358A2" w:rsidR="007B776F">
          <w:rPr>
            <w:rStyle w:val="Hyperlink"/>
            <w:noProof/>
          </w:rPr>
          <w:t>VII.</w:t>
        </w:r>
        <w:r w:rsidRPr="002358A2" w:rsidR="007B776F">
          <w:rPr>
            <w:rFonts w:eastAsiaTheme="minorEastAsia"/>
            <w:noProof/>
            <w:szCs w:val="22"/>
            <w:lang w:val="fr-FR" w:eastAsia="fr-FR"/>
          </w:rPr>
          <w:tab/>
        </w:r>
        <w:r w:rsidRPr="002358A2" w:rsidR="007B776F">
          <w:rPr>
            <w:rStyle w:val="Hyperlink"/>
            <w:noProof/>
          </w:rPr>
          <w:t>ATTEMPT BY MR VASILEV TO SEEK JUDICIAL REVIEW OF THE WITHDRAWAL OF KTB</w:t>
        </w:r>
        <w:r w:rsidRPr="002358A2" w:rsidR="002358A2">
          <w:rPr>
            <w:rStyle w:val="Hyperlink"/>
            <w:noProof/>
          </w:rPr>
          <w:t>’</w:t>
        </w:r>
        <w:r w:rsidRPr="002358A2" w:rsidR="007B776F">
          <w:rPr>
            <w:rStyle w:val="Hyperlink"/>
            <w:noProof/>
          </w:rPr>
          <w:t>S LICENCE</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_Toc107950838 \h </w:instrText>
        </w:r>
        <w:r w:rsidRPr="002358A2" w:rsidR="007B776F">
          <w:rPr>
            <w:noProof/>
            <w:webHidden/>
          </w:rPr>
        </w:r>
        <w:r w:rsidRPr="002358A2" w:rsidR="007B776F">
          <w:rPr>
            <w:noProof/>
            <w:webHidden/>
          </w:rPr>
          <w:fldChar w:fldCharType="separate"/>
        </w:r>
        <w:r w:rsidRPr="002358A2" w:rsidR="002358A2">
          <w:rPr>
            <w:noProof/>
            <w:webHidden/>
          </w:rPr>
          <w:t>10</w:t>
        </w:r>
        <w:r w:rsidRPr="002358A2" w:rsidR="007B776F">
          <w:rPr>
            <w:noProof/>
            <w:webHidden/>
          </w:rPr>
          <w:fldChar w:fldCharType="end"/>
        </w:r>
      </w:hyperlink>
    </w:p>
    <w:p w:rsidRPr="002358A2" w:rsidR="007B776F" w:rsidP="002358A2" w:rsidRDefault="0048368E" w14:paraId="1F291E81" w14:textId="47730B2D">
      <w:pPr>
        <w:pStyle w:val="TOC2"/>
        <w:tabs>
          <w:tab w:val="left" w:pos="1020"/>
        </w:tabs>
        <w:rPr>
          <w:rFonts w:eastAsiaTheme="minorEastAsia"/>
          <w:noProof/>
          <w:szCs w:val="22"/>
          <w:lang w:val="fr-FR" w:eastAsia="fr-FR"/>
        </w:rPr>
      </w:pPr>
      <w:hyperlink w:history="1" w:anchor="_Toc107950839">
        <w:r w:rsidRPr="002358A2" w:rsidR="007B776F">
          <w:rPr>
            <w:rStyle w:val="Hyperlink"/>
            <w:noProof/>
          </w:rPr>
          <w:t>VIII.</w:t>
        </w:r>
        <w:r w:rsidRPr="002358A2" w:rsidR="007B776F">
          <w:rPr>
            <w:rFonts w:eastAsiaTheme="minorEastAsia"/>
            <w:noProof/>
            <w:szCs w:val="22"/>
            <w:lang w:val="fr-FR" w:eastAsia="fr-FR"/>
          </w:rPr>
          <w:tab/>
        </w:r>
        <w:r w:rsidRPr="002358A2" w:rsidR="007B776F">
          <w:rPr>
            <w:rStyle w:val="Hyperlink"/>
            <w:noProof/>
          </w:rPr>
          <w:t>ATTEMPTS BY DEPOSITORS, CLIENTS AND BONDHOLDERS OF KTB TO SEEK JUDICIAL REVIEW OF THE WITHDRAWAL OF ITS LICENCE</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_Toc107950839 \h </w:instrText>
        </w:r>
        <w:r w:rsidRPr="002358A2" w:rsidR="007B776F">
          <w:rPr>
            <w:noProof/>
            <w:webHidden/>
          </w:rPr>
        </w:r>
        <w:r w:rsidRPr="002358A2" w:rsidR="007B776F">
          <w:rPr>
            <w:noProof/>
            <w:webHidden/>
          </w:rPr>
          <w:fldChar w:fldCharType="separate"/>
        </w:r>
        <w:r w:rsidRPr="002358A2" w:rsidR="002358A2">
          <w:rPr>
            <w:noProof/>
            <w:webHidden/>
          </w:rPr>
          <w:t>11</w:t>
        </w:r>
        <w:r w:rsidRPr="002358A2" w:rsidR="007B776F">
          <w:rPr>
            <w:noProof/>
            <w:webHidden/>
          </w:rPr>
          <w:fldChar w:fldCharType="end"/>
        </w:r>
      </w:hyperlink>
    </w:p>
    <w:p w:rsidRPr="002358A2" w:rsidR="007B776F" w:rsidP="002358A2" w:rsidRDefault="0048368E" w14:paraId="0784086B" w14:textId="2433D382">
      <w:pPr>
        <w:pStyle w:val="TOC2"/>
        <w:tabs>
          <w:tab w:val="left" w:pos="1020"/>
        </w:tabs>
        <w:rPr>
          <w:rFonts w:eastAsiaTheme="minorEastAsia"/>
          <w:noProof/>
          <w:szCs w:val="22"/>
          <w:lang w:val="fr-FR" w:eastAsia="fr-FR"/>
        </w:rPr>
      </w:pPr>
      <w:hyperlink w:history="1" w:anchor="_Toc107950840">
        <w:r w:rsidRPr="002358A2" w:rsidR="007B776F">
          <w:rPr>
            <w:rStyle w:val="Hyperlink"/>
            <w:noProof/>
          </w:rPr>
          <w:t>IX.</w:t>
        </w:r>
        <w:r w:rsidRPr="002358A2" w:rsidR="007B776F">
          <w:rPr>
            <w:rFonts w:eastAsiaTheme="minorEastAsia"/>
            <w:noProof/>
            <w:szCs w:val="22"/>
            <w:lang w:val="fr-FR" w:eastAsia="fr-FR"/>
          </w:rPr>
          <w:tab/>
        </w:r>
        <w:r w:rsidRPr="002358A2" w:rsidR="007B776F">
          <w:rPr>
            <w:rStyle w:val="Hyperlink"/>
            <w:noProof/>
          </w:rPr>
          <w:t>THE BNB</w:t>
        </w:r>
        <w:r w:rsidRPr="002358A2" w:rsidR="002358A2">
          <w:rPr>
            <w:rStyle w:val="Hyperlink"/>
            <w:noProof/>
          </w:rPr>
          <w:t>’</w:t>
        </w:r>
        <w:r w:rsidRPr="002358A2" w:rsidR="007B776F">
          <w:rPr>
            <w:rStyle w:val="Hyperlink"/>
            <w:noProof/>
          </w:rPr>
          <w:t>S APPLICATION FOR KTB TO BE WOUND UP</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_Toc107950840 \h </w:instrText>
        </w:r>
        <w:r w:rsidRPr="002358A2" w:rsidR="007B776F">
          <w:rPr>
            <w:noProof/>
            <w:webHidden/>
          </w:rPr>
        </w:r>
        <w:r w:rsidRPr="002358A2" w:rsidR="007B776F">
          <w:rPr>
            <w:noProof/>
            <w:webHidden/>
          </w:rPr>
          <w:fldChar w:fldCharType="separate"/>
        </w:r>
        <w:r w:rsidRPr="002358A2" w:rsidR="002358A2">
          <w:rPr>
            <w:noProof/>
            <w:webHidden/>
          </w:rPr>
          <w:t>12</w:t>
        </w:r>
        <w:r w:rsidRPr="002358A2" w:rsidR="007B776F">
          <w:rPr>
            <w:noProof/>
            <w:webHidden/>
          </w:rPr>
          <w:fldChar w:fldCharType="end"/>
        </w:r>
      </w:hyperlink>
    </w:p>
    <w:p w:rsidRPr="002358A2" w:rsidR="007B776F" w:rsidP="002358A2" w:rsidRDefault="0048368E" w14:paraId="6F43A445" w14:textId="4F7A7DB2">
      <w:pPr>
        <w:pStyle w:val="TOC3"/>
        <w:tabs>
          <w:tab w:val="left" w:pos="1361"/>
        </w:tabs>
        <w:rPr>
          <w:rFonts w:eastAsiaTheme="minorEastAsia"/>
          <w:noProof/>
          <w:sz w:val="22"/>
          <w:szCs w:val="22"/>
          <w:lang w:val="fr-FR" w:eastAsia="fr-FR"/>
        </w:rPr>
      </w:pPr>
      <w:hyperlink w:history="1" w:anchor="_Toc107950841">
        <w:r w:rsidRPr="002358A2" w:rsidR="007B776F">
          <w:rPr>
            <w:rStyle w:val="Hyperlink"/>
            <w:noProof/>
          </w:rPr>
          <w:t>A.</w:t>
        </w:r>
        <w:r w:rsidRPr="002358A2" w:rsidR="007B776F">
          <w:rPr>
            <w:rFonts w:eastAsiaTheme="minorEastAsia"/>
            <w:noProof/>
            <w:sz w:val="22"/>
            <w:szCs w:val="22"/>
            <w:lang w:val="fr-FR" w:eastAsia="fr-FR"/>
          </w:rPr>
          <w:tab/>
        </w:r>
        <w:r w:rsidRPr="002358A2" w:rsidR="007B776F">
          <w:rPr>
            <w:rStyle w:val="Hyperlink"/>
            <w:noProof/>
          </w:rPr>
          <w:t>Proceedings before the Sofia City Court</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_Toc107950841 \h </w:instrText>
        </w:r>
        <w:r w:rsidRPr="002358A2" w:rsidR="007B776F">
          <w:rPr>
            <w:noProof/>
            <w:webHidden/>
          </w:rPr>
        </w:r>
        <w:r w:rsidRPr="002358A2" w:rsidR="007B776F">
          <w:rPr>
            <w:noProof/>
            <w:webHidden/>
          </w:rPr>
          <w:fldChar w:fldCharType="separate"/>
        </w:r>
        <w:r w:rsidRPr="002358A2" w:rsidR="002358A2">
          <w:rPr>
            <w:noProof/>
            <w:webHidden/>
          </w:rPr>
          <w:t>12</w:t>
        </w:r>
        <w:r w:rsidRPr="002358A2" w:rsidR="007B776F">
          <w:rPr>
            <w:noProof/>
            <w:webHidden/>
          </w:rPr>
          <w:fldChar w:fldCharType="end"/>
        </w:r>
      </w:hyperlink>
    </w:p>
    <w:p w:rsidRPr="002358A2" w:rsidR="007B776F" w:rsidP="002358A2" w:rsidRDefault="0048368E" w14:paraId="1101DC23" w14:textId="322C253B">
      <w:pPr>
        <w:pStyle w:val="TOC3"/>
        <w:tabs>
          <w:tab w:val="left" w:pos="1361"/>
        </w:tabs>
        <w:rPr>
          <w:rFonts w:eastAsiaTheme="minorEastAsia"/>
          <w:noProof/>
          <w:sz w:val="22"/>
          <w:szCs w:val="22"/>
          <w:lang w:val="fr-FR" w:eastAsia="fr-FR"/>
        </w:rPr>
      </w:pPr>
      <w:hyperlink w:history="1" w:anchor="_Toc107950842">
        <w:r w:rsidRPr="002358A2" w:rsidR="007B776F">
          <w:rPr>
            <w:rStyle w:val="Hyperlink"/>
            <w:noProof/>
          </w:rPr>
          <w:t>B.</w:t>
        </w:r>
        <w:r w:rsidRPr="002358A2" w:rsidR="007B776F">
          <w:rPr>
            <w:rFonts w:eastAsiaTheme="minorEastAsia"/>
            <w:noProof/>
            <w:sz w:val="22"/>
            <w:szCs w:val="22"/>
            <w:lang w:val="fr-FR" w:eastAsia="fr-FR"/>
          </w:rPr>
          <w:tab/>
        </w:r>
        <w:r w:rsidRPr="002358A2" w:rsidR="007B776F">
          <w:rPr>
            <w:rStyle w:val="Hyperlink"/>
            <w:noProof/>
          </w:rPr>
          <w:t>Proceedings before the Sofia Court of Appeal</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_Toc107950842 \h </w:instrText>
        </w:r>
        <w:r w:rsidRPr="002358A2" w:rsidR="007B776F">
          <w:rPr>
            <w:noProof/>
            <w:webHidden/>
          </w:rPr>
        </w:r>
        <w:r w:rsidRPr="002358A2" w:rsidR="007B776F">
          <w:rPr>
            <w:noProof/>
            <w:webHidden/>
          </w:rPr>
          <w:fldChar w:fldCharType="separate"/>
        </w:r>
        <w:r w:rsidRPr="002358A2" w:rsidR="002358A2">
          <w:rPr>
            <w:noProof/>
            <w:webHidden/>
          </w:rPr>
          <w:t>13</w:t>
        </w:r>
        <w:r w:rsidRPr="002358A2" w:rsidR="007B776F">
          <w:rPr>
            <w:noProof/>
            <w:webHidden/>
          </w:rPr>
          <w:fldChar w:fldCharType="end"/>
        </w:r>
      </w:hyperlink>
    </w:p>
    <w:p w:rsidRPr="002358A2" w:rsidR="007B776F" w:rsidP="002358A2" w:rsidRDefault="0048368E" w14:paraId="0F66E1F1" w14:textId="57486BFD">
      <w:pPr>
        <w:pStyle w:val="TOC3"/>
        <w:tabs>
          <w:tab w:val="left" w:pos="1361"/>
        </w:tabs>
        <w:rPr>
          <w:rFonts w:eastAsiaTheme="minorEastAsia"/>
          <w:noProof/>
          <w:sz w:val="22"/>
          <w:szCs w:val="22"/>
          <w:lang w:val="fr-FR" w:eastAsia="fr-FR"/>
        </w:rPr>
      </w:pPr>
      <w:hyperlink w:history="1" w:anchor="_Toc107950843">
        <w:r w:rsidRPr="002358A2" w:rsidR="007B776F">
          <w:rPr>
            <w:rStyle w:val="Hyperlink"/>
            <w:noProof/>
          </w:rPr>
          <w:t>C.</w:t>
        </w:r>
        <w:r w:rsidRPr="002358A2" w:rsidR="007B776F">
          <w:rPr>
            <w:rFonts w:eastAsiaTheme="minorEastAsia"/>
            <w:noProof/>
            <w:sz w:val="22"/>
            <w:szCs w:val="22"/>
            <w:lang w:val="fr-FR" w:eastAsia="fr-FR"/>
          </w:rPr>
          <w:tab/>
        </w:r>
        <w:r w:rsidRPr="002358A2" w:rsidR="007B776F">
          <w:rPr>
            <w:rStyle w:val="Hyperlink"/>
            <w:noProof/>
          </w:rPr>
          <w:t>Proceedings before the Supreme Court of Cassation</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_Toc107950843 \h </w:instrText>
        </w:r>
        <w:r w:rsidRPr="002358A2" w:rsidR="007B776F">
          <w:rPr>
            <w:noProof/>
            <w:webHidden/>
          </w:rPr>
        </w:r>
        <w:r w:rsidRPr="002358A2" w:rsidR="007B776F">
          <w:rPr>
            <w:noProof/>
            <w:webHidden/>
          </w:rPr>
          <w:fldChar w:fldCharType="separate"/>
        </w:r>
        <w:r w:rsidRPr="002358A2" w:rsidR="002358A2">
          <w:rPr>
            <w:noProof/>
            <w:webHidden/>
          </w:rPr>
          <w:t>15</w:t>
        </w:r>
        <w:r w:rsidRPr="002358A2" w:rsidR="007B776F">
          <w:rPr>
            <w:noProof/>
            <w:webHidden/>
          </w:rPr>
          <w:fldChar w:fldCharType="end"/>
        </w:r>
      </w:hyperlink>
    </w:p>
    <w:p w:rsidRPr="002358A2" w:rsidR="007B776F" w:rsidP="002358A2" w:rsidRDefault="0048368E" w14:paraId="78F68901" w14:textId="6066295D">
      <w:pPr>
        <w:pStyle w:val="TOC4"/>
        <w:tabs>
          <w:tab w:val="left" w:pos="1701"/>
        </w:tabs>
        <w:rPr>
          <w:rFonts w:eastAsiaTheme="minorEastAsia"/>
          <w:noProof/>
          <w:sz w:val="22"/>
          <w:szCs w:val="22"/>
          <w:lang w:val="fr-FR" w:eastAsia="fr-FR"/>
        </w:rPr>
      </w:pPr>
      <w:hyperlink w:history="1" w:anchor="_Toc107950844">
        <w:r w:rsidRPr="002358A2" w:rsidR="007B776F">
          <w:rPr>
            <w:rStyle w:val="Hyperlink"/>
            <w:noProof/>
          </w:rPr>
          <w:t>1.</w:t>
        </w:r>
        <w:r w:rsidRPr="002358A2" w:rsidR="007B776F">
          <w:rPr>
            <w:rFonts w:eastAsiaTheme="minorEastAsia"/>
            <w:noProof/>
            <w:sz w:val="22"/>
            <w:szCs w:val="22"/>
            <w:lang w:val="fr-FR" w:eastAsia="fr-FR"/>
          </w:rPr>
          <w:tab/>
        </w:r>
        <w:r w:rsidRPr="002358A2" w:rsidR="007B776F">
          <w:rPr>
            <w:rStyle w:val="Hyperlink"/>
            <w:noProof/>
          </w:rPr>
          <w:t>First phase of the proceedings before the Supreme Court of Cassation</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_Toc107950844 \h </w:instrText>
        </w:r>
        <w:r w:rsidRPr="002358A2" w:rsidR="007B776F">
          <w:rPr>
            <w:noProof/>
            <w:webHidden/>
          </w:rPr>
        </w:r>
        <w:r w:rsidRPr="002358A2" w:rsidR="007B776F">
          <w:rPr>
            <w:noProof/>
            <w:webHidden/>
          </w:rPr>
          <w:fldChar w:fldCharType="separate"/>
        </w:r>
        <w:r w:rsidRPr="002358A2" w:rsidR="002358A2">
          <w:rPr>
            <w:noProof/>
            <w:webHidden/>
          </w:rPr>
          <w:t>15</w:t>
        </w:r>
        <w:r w:rsidRPr="002358A2" w:rsidR="007B776F">
          <w:rPr>
            <w:noProof/>
            <w:webHidden/>
          </w:rPr>
          <w:fldChar w:fldCharType="end"/>
        </w:r>
      </w:hyperlink>
    </w:p>
    <w:p w:rsidRPr="002358A2" w:rsidR="007B776F" w:rsidP="002358A2" w:rsidRDefault="0048368E" w14:paraId="24F2DCE2" w14:textId="4E544621">
      <w:pPr>
        <w:pStyle w:val="TOC4"/>
        <w:tabs>
          <w:tab w:val="left" w:pos="1701"/>
        </w:tabs>
        <w:rPr>
          <w:rFonts w:eastAsiaTheme="minorEastAsia"/>
          <w:noProof/>
          <w:sz w:val="22"/>
          <w:szCs w:val="22"/>
          <w:lang w:val="fr-FR" w:eastAsia="fr-FR"/>
        </w:rPr>
      </w:pPr>
      <w:hyperlink w:history="1" w:anchor="_Toc107950845">
        <w:r w:rsidRPr="002358A2" w:rsidR="007B776F">
          <w:rPr>
            <w:rStyle w:val="Hyperlink"/>
            <w:noProof/>
          </w:rPr>
          <w:t>2.</w:t>
        </w:r>
        <w:r w:rsidRPr="002358A2" w:rsidR="007B776F">
          <w:rPr>
            <w:rFonts w:eastAsiaTheme="minorEastAsia"/>
            <w:noProof/>
            <w:sz w:val="22"/>
            <w:szCs w:val="22"/>
            <w:lang w:val="fr-FR" w:eastAsia="fr-FR"/>
          </w:rPr>
          <w:tab/>
        </w:r>
        <w:r w:rsidRPr="002358A2" w:rsidR="007B776F">
          <w:rPr>
            <w:rStyle w:val="Hyperlink"/>
            <w:noProof/>
          </w:rPr>
          <w:t>Proceedings before the Constitutional Court</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_Toc107950845 \h </w:instrText>
        </w:r>
        <w:r w:rsidRPr="002358A2" w:rsidR="007B776F">
          <w:rPr>
            <w:noProof/>
            <w:webHidden/>
          </w:rPr>
        </w:r>
        <w:r w:rsidRPr="002358A2" w:rsidR="007B776F">
          <w:rPr>
            <w:noProof/>
            <w:webHidden/>
          </w:rPr>
          <w:fldChar w:fldCharType="separate"/>
        </w:r>
        <w:r w:rsidRPr="002358A2" w:rsidR="002358A2">
          <w:rPr>
            <w:noProof/>
            <w:webHidden/>
          </w:rPr>
          <w:t>15</w:t>
        </w:r>
        <w:r w:rsidRPr="002358A2" w:rsidR="007B776F">
          <w:rPr>
            <w:noProof/>
            <w:webHidden/>
          </w:rPr>
          <w:fldChar w:fldCharType="end"/>
        </w:r>
      </w:hyperlink>
    </w:p>
    <w:p w:rsidRPr="002358A2" w:rsidR="007B776F" w:rsidP="002358A2" w:rsidRDefault="0048368E" w14:paraId="141084C6" w14:textId="0760076A">
      <w:pPr>
        <w:pStyle w:val="TOC4"/>
        <w:tabs>
          <w:tab w:val="left" w:pos="1701"/>
        </w:tabs>
        <w:rPr>
          <w:rFonts w:eastAsiaTheme="minorEastAsia"/>
          <w:noProof/>
          <w:sz w:val="22"/>
          <w:szCs w:val="22"/>
          <w:lang w:val="fr-FR" w:eastAsia="fr-FR"/>
        </w:rPr>
      </w:pPr>
      <w:hyperlink w:history="1" w:anchor="_Toc107950846">
        <w:r w:rsidRPr="002358A2" w:rsidR="007B776F">
          <w:rPr>
            <w:rStyle w:val="Hyperlink"/>
            <w:noProof/>
          </w:rPr>
          <w:t>3.</w:t>
        </w:r>
        <w:r w:rsidRPr="002358A2" w:rsidR="007B776F">
          <w:rPr>
            <w:rFonts w:eastAsiaTheme="minorEastAsia"/>
            <w:noProof/>
            <w:sz w:val="22"/>
            <w:szCs w:val="22"/>
            <w:lang w:val="fr-FR" w:eastAsia="fr-FR"/>
          </w:rPr>
          <w:tab/>
        </w:r>
        <w:r w:rsidRPr="002358A2" w:rsidR="007B776F">
          <w:rPr>
            <w:rStyle w:val="Hyperlink"/>
            <w:noProof/>
          </w:rPr>
          <w:t>Second phase of the proceedings before the Supreme Court of Cassation</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_Toc107950846 \h </w:instrText>
        </w:r>
        <w:r w:rsidRPr="002358A2" w:rsidR="007B776F">
          <w:rPr>
            <w:noProof/>
            <w:webHidden/>
          </w:rPr>
        </w:r>
        <w:r w:rsidRPr="002358A2" w:rsidR="007B776F">
          <w:rPr>
            <w:noProof/>
            <w:webHidden/>
          </w:rPr>
          <w:fldChar w:fldCharType="separate"/>
        </w:r>
        <w:r w:rsidRPr="002358A2" w:rsidR="002358A2">
          <w:rPr>
            <w:noProof/>
            <w:webHidden/>
          </w:rPr>
          <w:t>16</w:t>
        </w:r>
        <w:r w:rsidRPr="002358A2" w:rsidR="007B776F">
          <w:rPr>
            <w:noProof/>
            <w:webHidden/>
          </w:rPr>
          <w:fldChar w:fldCharType="end"/>
        </w:r>
      </w:hyperlink>
    </w:p>
    <w:p w:rsidRPr="002358A2" w:rsidR="007B776F" w:rsidP="002358A2" w:rsidRDefault="0048368E" w14:paraId="58C25C05" w14:textId="46D36516">
      <w:pPr>
        <w:pStyle w:val="TOC5"/>
        <w:tabs>
          <w:tab w:val="left" w:pos="2041"/>
        </w:tabs>
        <w:rPr>
          <w:rFonts w:eastAsiaTheme="minorEastAsia"/>
          <w:noProof/>
          <w:sz w:val="22"/>
          <w:szCs w:val="22"/>
          <w:lang w:val="fr-FR" w:eastAsia="fr-FR"/>
        </w:rPr>
      </w:pPr>
      <w:hyperlink w:history="1" w:anchor="_Toc107950847">
        <w:r w:rsidRPr="002358A2" w:rsidR="007B776F">
          <w:rPr>
            <w:rStyle w:val="Hyperlink"/>
            <w:noProof/>
          </w:rPr>
          <w:t>(a)</w:t>
        </w:r>
        <w:r w:rsidRPr="002358A2" w:rsidR="007B776F">
          <w:rPr>
            <w:rFonts w:eastAsiaTheme="minorEastAsia"/>
            <w:noProof/>
            <w:sz w:val="22"/>
            <w:szCs w:val="22"/>
            <w:lang w:val="fr-FR" w:eastAsia="fr-FR"/>
          </w:rPr>
          <w:tab/>
        </w:r>
        <w:r w:rsidRPr="002358A2" w:rsidR="007B776F">
          <w:rPr>
            <w:rStyle w:val="Hyperlink"/>
            <w:noProof/>
          </w:rPr>
          <w:t>Decision of the three-member panel</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_Toc107950847 \h </w:instrText>
        </w:r>
        <w:r w:rsidRPr="002358A2" w:rsidR="007B776F">
          <w:rPr>
            <w:noProof/>
            <w:webHidden/>
          </w:rPr>
        </w:r>
        <w:r w:rsidRPr="002358A2" w:rsidR="007B776F">
          <w:rPr>
            <w:noProof/>
            <w:webHidden/>
          </w:rPr>
          <w:fldChar w:fldCharType="separate"/>
        </w:r>
        <w:r w:rsidRPr="002358A2" w:rsidR="002358A2">
          <w:rPr>
            <w:noProof/>
            <w:webHidden/>
          </w:rPr>
          <w:t>16</w:t>
        </w:r>
        <w:r w:rsidRPr="002358A2" w:rsidR="007B776F">
          <w:rPr>
            <w:noProof/>
            <w:webHidden/>
          </w:rPr>
          <w:fldChar w:fldCharType="end"/>
        </w:r>
      </w:hyperlink>
    </w:p>
    <w:p w:rsidRPr="002358A2" w:rsidR="007B776F" w:rsidP="002358A2" w:rsidRDefault="0048368E" w14:paraId="33511F95" w14:textId="42684DC7">
      <w:pPr>
        <w:pStyle w:val="TOC5"/>
        <w:tabs>
          <w:tab w:val="left" w:pos="2041"/>
        </w:tabs>
        <w:rPr>
          <w:rFonts w:eastAsiaTheme="minorEastAsia"/>
          <w:noProof/>
          <w:sz w:val="22"/>
          <w:szCs w:val="22"/>
          <w:lang w:val="fr-FR" w:eastAsia="fr-FR"/>
        </w:rPr>
      </w:pPr>
      <w:hyperlink w:history="1" w:anchor="_Toc107950848">
        <w:r w:rsidRPr="002358A2" w:rsidR="007B776F">
          <w:rPr>
            <w:rStyle w:val="Hyperlink"/>
            <w:noProof/>
          </w:rPr>
          <w:t>(b)</w:t>
        </w:r>
        <w:r w:rsidRPr="002358A2" w:rsidR="007B776F">
          <w:rPr>
            <w:rFonts w:eastAsiaTheme="minorEastAsia"/>
            <w:noProof/>
            <w:sz w:val="22"/>
            <w:szCs w:val="22"/>
            <w:lang w:val="fr-FR" w:eastAsia="fr-FR"/>
          </w:rPr>
          <w:tab/>
        </w:r>
        <w:r w:rsidRPr="002358A2" w:rsidR="007B776F">
          <w:rPr>
            <w:rStyle w:val="Hyperlink"/>
            <w:noProof/>
          </w:rPr>
          <w:t>Appeals against part of that decision</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_Toc107950848 \h </w:instrText>
        </w:r>
        <w:r w:rsidRPr="002358A2" w:rsidR="007B776F">
          <w:rPr>
            <w:noProof/>
            <w:webHidden/>
          </w:rPr>
        </w:r>
        <w:r w:rsidRPr="002358A2" w:rsidR="007B776F">
          <w:rPr>
            <w:noProof/>
            <w:webHidden/>
          </w:rPr>
          <w:fldChar w:fldCharType="separate"/>
        </w:r>
        <w:r w:rsidRPr="002358A2" w:rsidR="002358A2">
          <w:rPr>
            <w:noProof/>
            <w:webHidden/>
          </w:rPr>
          <w:t>17</w:t>
        </w:r>
        <w:r w:rsidRPr="002358A2" w:rsidR="007B776F">
          <w:rPr>
            <w:noProof/>
            <w:webHidden/>
          </w:rPr>
          <w:fldChar w:fldCharType="end"/>
        </w:r>
      </w:hyperlink>
    </w:p>
    <w:p w:rsidRPr="002358A2" w:rsidR="007B776F" w:rsidP="002358A2" w:rsidRDefault="0048368E" w14:paraId="4A3562F5" w14:textId="741332D7">
      <w:pPr>
        <w:pStyle w:val="TOC2"/>
        <w:tabs>
          <w:tab w:val="left" w:pos="1020"/>
        </w:tabs>
        <w:rPr>
          <w:rFonts w:eastAsiaTheme="minorEastAsia"/>
          <w:noProof/>
          <w:szCs w:val="22"/>
          <w:lang w:val="fr-FR" w:eastAsia="fr-FR"/>
        </w:rPr>
      </w:pPr>
      <w:hyperlink w:history="1" w:anchor="_Toc107950849">
        <w:r w:rsidRPr="002358A2" w:rsidR="007B776F">
          <w:rPr>
            <w:rStyle w:val="Hyperlink"/>
            <w:noProof/>
          </w:rPr>
          <w:t>X.</w:t>
        </w:r>
        <w:r w:rsidRPr="002358A2" w:rsidR="007B776F">
          <w:rPr>
            <w:rFonts w:eastAsiaTheme="minorEastAsia"/>
            <w:noProof/>
            <w:szCs w:val="22"/>
            <w:lang w:val="fr-FR" w:eastAsia="fr-FR"/>
          </w:rPr>
          <w:tab/>
        </w:r>
        <w:r w:rsidRPr="002358A2" w:rsidR="007B776F">
          <w:rPr>
            <w:rStyle w:val="Hyperlink"/>
            <w:noProof/>
          </w:rPr>
          <w:t>ATTEMPT BY KTB</w:t>
        </w:r>
        <w:r w:rsidRPr="002358A2" w:rsidR="002358A2">
          <w:rPr>
            <w:rStyle w:val="Hyperlink"/>
            <w:noProof/>
          </w:rPr>
          <w:t>’</w:t>
        </w:r>
        <w:r w:rsidRPr="002358A2" w:rsidR="007B776F">
          <w:rPr>
            <w:rStyle w:val="Hyperlink"/>
            <w:noProof/>
          </w:rPr>
          <w:t>S DIRECTORS TO SEEK A JUDICIAL DECLARATION THAT THE BNB</w:t>
        </w:r>
        <w:r w:rsidRPr="002358A2" w:rsidR="002358A2">
          <w:rPr>
            <w:rStyle w:val="Hyperlink"/>
            <w:noProof/>
          </w:rPr>
          <w:t>’</w:t>
        </w:r>
        <w:r w:rsidRPr="002358A2" w:rsidR="007B776F">
          <w:rPr>
            <w:rStyle w:val="Hyperlink"/>
            <w:noProof/>
          </w:rPr>
          <w:t>S DECISION TO APPOINT SPECIAL ADMINISTRATORS WAS NULL AND VOID</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_Toc107950849 \h </w:instrText>
        </w:r>
        <w:r w:rsidRPr="002358A2" w:rsidR="007B776F">
          <w:rPr>
            <w:noProof/>
            <w:webHidden/>
          </w:rPr>
        </w:r>
        <w:r w:rsidRPr="002358A2" w:rsidR="007B776F">
          <w:rPr>
            <w:noProof/>
            <w:webHidden/>
          </w:rPr>
          <w:fldChar w:fldCharType="separate"/>
        </w:r>
        <w:r w:rsidRPr="002358A2" w:rsidR="002358A2">
          <w:rPr>
            <w:noProof/>
            <w:webHidden/>
          </w:rPr>
          <w:t>17</w:t>
        </w:r>
        <w:r w:rsidRPr="002358A2" w:rsidR="007B776F">
          <w:rPr>
            <w:noProof/>
            <w:webHidden/>
          </w:rPr>
          <w:fldChar w:fldCharType="end"/>
        </w:r>
      </w:hyperlink>
    </w:p>
    <w:p w:rsidRPr="002358A2" w:rsidR="007B776F" w:rsidP="002358A2" w:rsidRDefault="0048368E" w14:paraId="7D2223F2" w14:textId="38C5F0AB">
      <w:pPr>
        <w:pStyle w:val="TOC3"/>
        <w:tabs>
          <w:tab w:val="left" w:pos="1361"/>
        </w:tabs>
        <w:rPr>
          <w:rFonts w:eastAsiaTheme="minorEastAsia"/>
          <w:noProof/>
          <w:sz w:val="22"/>
          <w:szCs w:val="22"/>
          <w:lang w:val="fr-FR" w:eastAsia="fr-FR"/>
        </w:rPr>
      </w:pPr>
      <w:hyperlink w:history="1" w:anchor="_Toc107950850">
        <w:r w:rsidRPr="002358A2" w:rsidR="007B776F">
          <w:rPr>
            <w:rStyle w:val="Hyperlink"/>
            <w:noProof/>
          </w:rPr>
          <w:t>A.</w:t>
        </w:r>
        <w:r w:rsidRPr="002358A2" w:rsidR="007B776F">
          <w:rPr>
            <w:rFonts w:eastAsiaTheme="minorEastAsia"/>
            <w:noProof/>
            <w:sz w:val="22"/>
            <w:szCs w:val="22"/>
            <w:lang w:val="fr-FR" w:eastAsia="fr-FR"/>
          </w:rPr>
          <w:tab/>
        </w:r>
        <w:r w:rsidRPr="002358A2" w:rsidR="007B776F">
          <w:rPr>
            <w:rStyle w:val="Hyperlink"/>
            <w:noProof/>
          </w:rPr>
          <w:t>Proceedings at first instance</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_Toc107950850 \h </w:instrText>
        </w:r>
        <w:r w:rsidRPr="002358A2" w:rsidR="007B776F">
          <w:rPr>
            <w:noProof/>
            <w:webHidden/>
          </w:rPr>
        </w:r>
        <w:r w:rsidRPr="002358A2" w:rsidR="007B776F">
          <w:rPr>
            <w:noProof/>
            <w:webHidden/>
          </w:rPr>
          <w:fldChar w:fldCharType="separate"/>
        </w:r>
        <w:r w:rsidRPr="002358A2" w:rsidR="002358A2">
          <w:rPr>
            <w:noProof/>
            <w:webHidden/>
          </w:rPr>
          <w:t>17</w:t>
        </w:r>
        <w:r w:rsidRPr="002358A2" w:rsidR="007B776F">
          <w:rPr>
            <w:noProof/>
            <w:webHidden/>
          </w:rPr>
          <w:fldChar w:fldCharType="end"/>
        </w:r>
      </w:hyperlink>
    </w:p>
    <w:p w:rsidRPr="002358A2" w:rsidR="007B776F" w:rsidP="002358A2" w:rsidRDefault="0048368E" w14:paraId="21C9FE0A" w14:textId="2C4D6660">
      <w:pPr>
        <w:pStyle w:val="TOC3"/>
        <w:tabs>
          <w:tab w:val="left" w:pos="1361"/>
        </w:tabs>
        <w:rPr>
          <w:rFonts w:eastAsiaTheme="minorEastAsia"/>
          <w:noProof/>
          <w:sz w:val="22"/>
          <w:szCs w:val="22"/>
          <w:lang w:val="fr-FR" w:eastAsia="fr-FR"/>
        </w:rPr>
      </w:pPr>
      <w:hyperlink w:history="1" w:anchor="_Toc107950851">
        <w:r w:rsidRPr="002358A2" w:rsidR="007B776F">
          <w:rPr>
            <w:rStyle w:val="Hyperlink"/>
            <w:noProof/>
          </w:rPr>
          <w:t>B.</w:t>
        </w:r>
        <w:r w:rsidRPr="002358A2" w:rsidR="007B776F">
          <w:rPr>
            <w:rFonts w:eastAsiaTheme="minorEastAsia"/>
            <w:noProof/>
            <w:sz w:val="22"/>
            <w:szCs w:val="22"/>
            <w:lang w:val="fr-FR" w:eastAsia="fr-FR"/>
          </w:rPr>
          <w:tab/>
        </w:r>
        <w:r w:rsidRPr="002358A2" w:rsidR="007B776F">
          <w:rPr>
            <w:rStyle w:val="Hyperlink"/>
            <w:noProof/>
          </w:rPr>
          <w:t>Proceedings on appeal</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_Toc107950851 \h </w:instrText>
        </w:r>
        <w:r w:rsidRPr="002358A2" w:rsidR="007B776F">
          <w:rPr>
            <w:noProof/>
            <w:webHidden/>
          </w:rPr>
        </w:r>
        <w:r w:rsidRPr="002358A2" w:rsidR="007B776F">
          <w:rPr>
            <w:noProof/>
            <w:webHidden/>
          </w:rPr>
          <w:fldChar w:fldCharType="separate"/>
        </w:r>
        <w:r w:rsidRPr="002358A2" w:rsidR="002358A2">
          <w:rPr>
            <w:noProof/>
            <w:webHidden/>
          </w:rPr>
          <w:t>18</w:t>
        </w:r>
        <w:r w:rsidRPr="002358A2" w:rsidR="007B776F">
          <w:rPr>
            <w:noProof/>
            <w:webHidden/>
          </w:rPr>
          <w:fldChar w:fldCharType="end"/>
        </w:r>
      </w:hyperlink>
    </w:p>
    <w:p w:rsidRPr="002358A2" w:rsidR="007B776F" w:rsidP="002358A2" w:rsidRDefault="0048368E" w14:paraId="5D239AAD" w14:textId="1C5FB34F">
      <w:pPr>
        <w:pStyle w:val="TOC1"/>
        <w:rPr>
          <w:rFonts w:eastAsiaTheme="minorEastAsia"/>
          <w:b w:val="0"/>
          <w:noProof/>
          <w:szCs w:val="22"/>
          <w:lang w:val="fr-FR" w:eastAsia="fr-FR"/>
        </w:rPr>
      </w:pPr>
      <w:hyperlink w:history="1" w:anchor="_Toc107950852">
        <w:r w:rsidRPr="002358A2" w:rsidR="007B776F">
          <w:rPr>
            <w:rStyle w:val="Hyperlink"/>
            <w:noProof/>
          </w:rPr>
          <w:t>RELEVANT LEGAL FRAMEWORK</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_Toc107950852 \h </w:instrText>
        </w:r>
        <w:r w:rsidRPr="002358A2" w:rsidR="007B776F">
          <w:rPr>
            <w:noProof/>
            <w:webHidden/>
          </w:rPr>
        </w:r>
        <w:r w:rsidRPr="002358A2" w:rsidR="007B776F">
          <w:rPr>
            <w:noProof/>
            <w:webHidden/>
          </w:rPr>
          <w:fldChar w:fldCharType="separate"/>
        </w:r>
        <w:r w:rsidRPr="002358A2" w:rsidR="002358A2">
          <w:rPr>
            <w:noProof/>
            <w:webHidden/>
          </w:rPr>
          <w:t>20</w:t>
        </w:r>
        <w:r w:rsidRPr="002358A2" w:rsidR="007B776F">
          <w:rPr>
            <w:noProof/>
            <w:webHidden/>
          </w:rPr>
          <w:fldChar w:fldCharType="end"/>
        </w:r>
      </w:hyperlink>
    </w:p>
    <w:p w:rsidRPr="002358A2" w:rsidR="007B776F" w:rsidP="002358A2" w:rsidRDefault="0048368E" w14:paraId="39F1BEE8" w14:textId="4D93054A">
      <w:pPr>
        <w:pStyle w:val="TOC2"/>
        <w:tabs>
          <w:tab w:val="left" w:pos="680"/>
        </w:tabs>
        <w:rPr>
          <w:rFonts w:eastAsiaTheme="minorEastAsia"/>
          <w:noProof/>
          <w:szCs w:val="22"/>
          <w:lang w:val="fr-FR" w:eastAsia="fr-FR"/>
        </w:rPr>
      </w:pPr>
      <w:hyperlink w:history="1" w:anchor="_Toc107950853">
        <w:r w:rsidRPr="002358A2" w:rsidR="007B776F">
          <w:rPr>
            <w:rStyle w:val="Hyperlink"/>
            <w:noProof/>
          </w:rPr>
          <w:t>I.</w:t>
        </w:r>
        <w:r w:rsidRPr="002358A2" w:rsidR="007B776F">
          <w:rPr>
            <w:rFonts w:eastAsiaTheme="minorEastAsia"/>
            <w:noProof/>
            <w:szCs w:val="22"/>
            <w:lang w:val="fr-FR" w:eastAsia="fr-FR"/>
          </w:rPr>
          <w:tab/>
        </w:r>
        <w:r w:rsidRPr="002358A2" w:rsidR="007B776F">
          <w:rPr>
            <w:rStyle w:val="Hyperlink"/>
            <w:noProof/>
          </w:rPr>
          <w:t>THE BNB</w:t>
        </w:r>
        <w:r w:rsidRPr="002358A2" w:rsidR="002358A2">
          <w:rPr>
            <w:rStyle w:val="Hyperlink"/>
            <w:noProof/>
          </w:rPr>
          <w:t>’</w:t>
        </w:r>
        <w:r w:rsidRPr="002358A2" w:rsidR="007B776F">
          <w:rPr>
            <w:rStyle w:val="Hyperlink"/>
            <w:noProof/>
          </w:rPr>
          <w:t>S SUPERVISORY POWERS WITH RESPECT TO BANKS</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_Toc107950853 \h </w:instrText>
        </w:r>
        <w:r w:rsidRPr="002358A2" w:rsidR="007B776F">
          <w:rPr>
            <w:noProof/>
            <w:webHidden/>
          </w:rPr>
        </w:r>
        <w:r w:rsidRPr="002358A2" w:rsidR="007B776F">
          <w:rPr>
            <w:noProof/>
            <w:webHidden/>
          </w:rPr>
          <w:fldChar w:fldCharType="separate"/>
        </w:r>
        <w:r w:rsidRPr="002358A2" w:rsidR="002358A2">
          <w:rPr>
            <w:noProof/>
            <w:webHidden/>
          </w:rPr>
          <w:t>20</w:t>
        </w:r>
        <w:r w:rsidRPr="002358A2" w:rsidR="007B776F">
          <w:rPr>
            <w:noProof/>
            <w:webHidden/>
          </w:rPr>
          <w:fldChar w:fldCharType="end"/>
        </w:r>
      </w:hyperlink>
    </w:p>
    <w:p w:rsidRPr="002358A2" w:rsidR="007B776F" w:rsidP="002358A2" w:rsidRDefault="0048368E" w14:paraId="0A359EE1" w14:textId="2C91CCC0">
      <w:pPr>
        <w:pStyle w:val="TOC3"/>
        <w:tabs>
          <w:tab w:val="left" w:pos="1361"/>
        </w:tabs>
        <w:rPr>
          <w:rFonts w:eastAsiaTheme="minorEastAsia"/>
          <w:noProof/>
          <w:sz w:val="22"/>
          <w:szCs w:val="22"/>
          <w:lang w:val="fr-FR" w:eastAsia="fr-FR"/>
        </w:rPr>
      </w:pPr>
      <w:hyperlink w:history="1" w:anchor="_Toc107950854">
        <w:r w:rsidRPr="002358A2" w:rsidR="007B776F">
          <w:rPr>
            <w:rStyle w:val="Hyperlink"/>
            <w:noProof/>
          </w:rPr>
          <w:t>A.</w:t>
        </w:r>
        <w:r w:rsidRPr="002358A2" w:rsidR="007B776F">
          <w:rPr>
            <w:rFonts w:eastAsiaTheme="minorEastAsia"/>
            <w:noProof/>
            <w:sz w:val="22"/>
            <w:szCs w:val="22"/>
            <w:lang w:val="fr-FR" w:eastAsia="fr-FR"/>
          </w:rPr>
          <w:tab/>
        </w:r>
        <w:r w:rsidRPr="002358A2" w:rsidR="007B776F">
          <w:rPr>
            <w:rStyle w:val="Hyperlink"/>
            <w:noProof/>
          </w:rPr>
          <w:t>To place a bank under special administration</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_Toc107950854 \h </w:instrText>
        </w:r>
        <w:r w:rsidRPr="002358A2" w:rsidR="007B776F">
          <w:rPr>
            <w:noProof/>
            <w:webHidden/>
          </w:rPr>
        </w:r>
        <w:r w:rsidRPr="002358A2" w:rsidR="007B776F">
          <w:rPr>
            <w:noProof/>
            <w:webHidden/>
          </w:rPr>
          <w:fldChar w:fldCharType="separate"/>
        </w:r>
        <w:r w:rsidRPr="002358A2" w:rsidR="002358A2">
          <w:rPr>
            <w:noProof/>
            <w:webHidden/>
          </w:rPr>
          <w:t>20</w:t>
        </w:r>
        <w:r w:rsidRPr="002358A2" w:rsidR="007B776F">
          <w:rPr>
            <w:noProof/>
            <w:webHidden/>
          </w:rPr>
          <w:fldChar w:fldCharType="end"/>
        </w:r>
      </w:hyperlink>
    </w:p>
    <w:p w:rsidRPr="002358A2" w:rsidR="007B776F" w:rsidP="002358A2" w:rsidRDefault="0048368E" w14:paraId="461CD3FC" w14:textId="31AB6493">
      <w:pPr>
        <w:pStyle w:val="TOC3"/>
        <w:tabs>
          <w:tab w:val="left" w:pos="1361"/>
        </w:tabs>
        <w:rPr>
          <w:rFonts w:eastAsiaTheme="minorEastAsia"/>
          <w:noProof/>
          <w:sz w:val="22"/>
          <w:szCs w:val="22"/>
          <w:lang w:val="fr-FR" w:eastAsia="fr-FR"/>
        </w:rPr>
      </w:pPr>
      <w:hyperlink w:history="1" w:anchor="_Toc107950855">
        <w:r w:rsidRPr="002358A2" w:rsidR="007B776F">
          <w:rPr>
            <w:rStyle w:val="Hyperlink"/>
            <w:noProof/>
          </w:rPr>
          <w:t>B.</w:t>
        </w:r>
        <w:r w:rsidRPr="002358A2" w:rsidR="007B776F">
          <w:rPr>
            <w:rFonts w:eastAsiaTheme="minorEastAsia"/>
            <w:noProof/>
            <w:sz w:val="22"/>
            <w:szCs w:val="22"/>
            <w:lang w:val="fr-FR" w:eastAsia="fr-FR"/>
          </w:rPr>
          <w:tab/>
        </w:r>
        <w:r w:rsidRPr="002358A2" w:rsidR="007B776F">
          <w:rPr>
            <w:rStyle w:val="Hyperlink"/>
            <w:noProof/>
          </w:rPr>
          <w:t>To withdraw a bank</w:t>
        </w:r>
        <w:r w:rsidRPr="002358A2" w:rsidR="002358A2">
          <w:rPr>
            <w:rStyle w:val="Hyperlink"/>
            <w:noProof/>
          </w:rPr>
          <w:t>’</w:t>
        </w:r>
        <w:r w:rsidRPr="002358A2" w:rsidR="007B776F">
          <w:rPr>
            <w:rStyle w:val="Hyperlink"/>
            <w:noProof/>
          </w:rPr>
          <w:t>s licence</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_Toc107950855 \h </w:instrText>
        </w:r>
        <w:r w:rsidRPr="002358A2" w:rsidR="007B776F">
          <w:rPr>
            <w:noProof/>
            <w:webHidden/>
          </w:rPr>
        </w:r>
        <w:r w:rsidRPr="002358A2" w:rsidR="007B776F">
          <w:rPr>
            <w:noProof/>
            <w:webHidden/>
          </w:rPr>
          <w:fldChar w:fldCharType="separate"/>
        </w:r>
        <w:r w:rsidRPr="002358A2" w:rsidR="002358A2">
          <w:rPr>
            <w:noProof/>
            <w:webHidden/>
          </w:rPr>
          <w:t>20</w:t>
        </w:r>
        <w:r w:rsidRPr="002358A2" w:rsidR="007B776F">
          <w:rPr>
            <w:noProof/>
            <w:webHidden/>
          </w:rPr>
          <w:fldChar w:fldCharType="end"/>
        </w:r>
      </w:hyperlink>
    </w:p>
    <w:p w:rsidRPr="002358A2" w:rsidR="007B776F" w:rsidP="002358A2" w:rsidRDefault="0048368E" w14:paraId="5AFD57DE" w14:textId="469C1392">
      <w:pPr>
        <w:pStyle w:val="TOC2"/>
        <w:tabs>
          <w:tab w:val="left" w:pos="1020"/>
        </w:tabs>
        <w:rPr>
          <w:rFonts w:eastAsiaTheme="minorEastAsia"/>
          <w:noProof/>
          <w:szCs w:val="22"/>
          <w:lang w:val="fr-FR" w:eastAsia="fr-FR"/>
        </w:rPr>
      </w:pPr>
      <w:hyperlink w:history="1" w:anchor="_Toc107950856">
        <w:r w:rsidRPr="002358A2" w:rsidR="007B776F">
          <w:rPr>
            <w:rStyle w:val="Hyperlink"/>
            <w:noProof/>
          </w:rPr>
          <w:t>II.</w:t>
        </w:r>
        <w:r w:rsidRPr="002358A2" w:rsidR="007B776F">
          <w:rPr>
            <w:rFonts w:eastAsiaTheme="minorEastAsia"/>
            <w:noProof/>
            <w:szCs w:val="22"/>
            <w:lang w:val="fr-FR" w:eastAsia="fr-FR"/>
          </w:rPr>
          <w:tab/>
        </w:r>
        <w:r w:rsidRPr="002358A2" w:rsidR="007B776F">
          <w:rPr>
            <w:rStyle w:val="Hyperlink"/>
            <w:noProof/>
          </w:rPr>
          <w:t>JUDICIAL REVIEW OF A DECISION BY THE BNB TO WITHDRAW A BANK</w:t>
        </w:r>
        <w:r w:rsidRPr="002358A2" w:rsidR="002358A2">
          <w:rPr>
            <w:rStyle w:val="Hyperlink"/>
            <w:noProof/>
          </w:rPr>
          <w:t>’</w:t>
        </w:r>
        <w:r w:rsidRPr="002358A2" w:rsidR="007B776F">
          <w:rPr>
            <w:rStyle w:val="Hyperlink"/>
            <w:noProof/>
          </w:rPr>
          <w:t>S LICENCE</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_Toc107950856 \h </w:instrText>
        </w:r>
        <w:r w:rsidRPr="002358A2" w:rsidR="007B776F">
          <w:rPr>
            <w:noProof/>
            <w:webHidden/>
          </w:rPr>
        </w:r>
        <w:r w:rsidRPr="002358A2" w:rsidR="007B776F">
          <w:rPr>
            <w:noProof/>
            <w:webHidden/>
          </w:rPr>
          <w:fldChar w:fldCharType="separate"/>
        </w:r>
        <w:r w:rsidRPr="002358A2" w:rsidR="002358A2">
          <w:rPr>
            <w:noProof/>
            <w:webHidden/>
          </w:rPr>
          <w:t>21</w:t>
        </w:r>
        <w:r w:rsidRPr="002358A2" w:rsidR="007B776F">
          <w:rPr>
            <w:noProof/>
            <w:webHidden/>
          </w:rPr>
          <w:fldChar w:fldCharType="end"/>
        </w:r>
      </w:hyperlink>
    </w:p>
    <w:p w:rsidRPr="002358A2" w:rsidR="007B776F" w:rsidP="002358A2" w:rsidRDefault="0048368E" w14:paraId="4420BA03" w14:textId="178DC1D2">
      <w:pPr>
        <w:pStyle w:val="TOC2"/>
        <w:tabs>
          <w:tab w:val="left" w:pos="1020"/>
        </w:tabs>
        <w:rPr>
          <w:rFonts w:eastAsiaTheme="minorEastAsia"/>
          <w:noProof/>
          <w:szCs w:val="22"/>
          <w:lang w:val="fr-FR" w:eastAsia="fr-FR"/>
        </w:rPr>
      </w:pPr>
      <w:hyperlink w:history="1" w:anchor="_Toc107950857">
        <w:r w:rsidRPr="002358A2" w:rsidR="007B776F">
          <w:rPr>
            <w:rStyle w:val="Hyperlink"/>
            <w:noProof/>
          </w:rPr>
          <w:t>III.</w:t>
        </w:r>
        <w:r w:rsidRPr="002358A2" w:rsidR="007B776F">
          <w:rPr>
            <w:rFonts w:eastAsiaTheme="minorEastAsia"/>
            <w:noProof/>
            <w:szCs w:val="22"/>
            <w:lang w:val="fr-FR" w:eastAsia="fr-FR"/>
          </w:rPr>
          <w:tab/>
        </w:r>
        <w:r w:rsidRPr="002358A2" w:rsidR="007B776F">
          <w:rPr>
            <w:rStyle w:val="Hyperlink"/>
            <w:noProof/>
          </w:rPr>
          <w:t>BANK INSOLVENCY</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_Toc107950857 \h </w:instrText>
        </w:r>
        <w:r w:rsidRPr="002358A2" w:rsidR="007B776F">
          <w:rPr>
            <w:noProof/>
            <w:webHidden/>
          </w:rPr>
        </w:r>
        <w:r w:rsidRPr="002358A2" w:rsidR="007B776F">
          <w:rPr>
            <w:noProof/>
            <w:webHidden/>
          </w:rPr>
          <w:fldChar w:fldCharType="separate"/>
        </w:r>
        <w:r w:rsidRPr="002358A2" w:rsidR="002358A2">
          <w:rPr>
            <w:noProof/>
            <w:webHidden/>
          </w:rPr>
          <w:t>22</w:t>
        </w:r>
        <w:r w:rsidRPr="002358A2" w:rsidR="007B776F">
          <w:rPr>
            <w:noProof/>
            <w:webHidden/>
          </w:rPr>
          <w:fldChar w:fldCharType="end"/>
        </w:r>
      </w:hyperlink>
    </w:p>
    <w:p w:rsidRPr="002358A2" w:rsidR="007B776F" w:rsidP="002358A2" w:rsidRDefault="0048368E" w14:paraId="368CE12D" w14:textId="2C27AAEC">
      <w:pPr>
        <w:pStyle w:val="TOC3"/>
        <w:tabs>
          <w:tab w:val="left" w:pos="1361"/>
        </w:tabs>
        <w:rPr>
          <w:rFonts w:eastAsiaTheme="minorEastAsia"/>
          <w:noProof/>
          <w:sz w:val="22"/>
          <w:szCs w:val="22"/>
          <w:lang w:val="fr-FR" w:eastAsia="fr-FR"/>
        </w:rPr>
      </w:pPr>
      <w:hyperlink w:history="1" w:anchor="_Toc107950858">
        <w:r w:rsidRPr="002358A2" w:rsidR="007B776F">
          <w:rPr>
            <w:rStyle w:val="Hyperlink"/>
            <w:noProof/>
          </w:rPr>
          <w:t>A.</w:t>
        </w:r>
        <w:r w:rsidRPr="002358A2" w:rsidR="007B776F">
          <w:rPr>
            <w:rFonts w:eastAsiaTheme="minorEastAsia"/>
            <w:noProof/>
            <w:sz w:val="22"/>
            <w:szCs w:val="22"/>
            <w:lang w:val="fr-FR" w:eastAsia="fr-FR"/>
          </w:rPr>
          <w:tab/>
        </w:r>
        <w:r w:rsidRPr="002358A2" w:rsidR="007B776F">
          <w:rPr>
            <w:rStyle w:val="Hyperlink"/>
            <w:noProof/>
          </w:rPr>
          <w:t>Opening of the proceedings</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_Toc107950858 \h </w:instrText>
        </w:r>
        <w:r w:rsidRPr="002358A2" w:rsidR="007B776F">
          <w:rPr>
            <w:noProof/>
            <w:webHidden/>
          </w:rPr>
        </w:r>
        <w:r w:rsidRPr="002358A2" w:rsidR="007B776F">
          <w:rPr>
            <w:noProof/>
            <w:webHidden/>
          </w:rPr>
          <w:fldChar w:fldCharType="separate"/>
        </w:r>
        <w:r w:rsidRPr="002358A2" w:rsidR="002358A2">
          <w:rPr>
            <w:noProof/>
            <w:webHidden/>
          </w:rPr>
          <w:t>22</w:t>
        </w:r>
        <w:r w:rsidRPr="002358A2" w:rsidR="007B776F">
          <w:rPr>
            <w:noProof/>
            <w:webHidden/>
          </w:rPr>
          <w:fldChar w:fldCharType="end"/>
        </w:r>
      </w:hyperlink>
    </w:p>
    <w:p w:rsidRPr="002358A2" w:rsidR="007B776F" w:rsidP="002358A2" w:rsidRDefault="0048368E" w14:paraId="55A75E41" w14:textId="78165403">
      <w:pPr>
        <w:pStyle w:val="TOC3"/>
        <w:tabs>
          <w:tab w:val="left" w:pos="1361"/>
        </w:tabs>
        <w:rPr>
          <w:rFonts w:eastAsiaTheme="minorEastAsia"/>
          <w:noProof/>
          <w:sz w:val="22"/>
          <w:szCs w:val="22"/>
          <w:lang w:val="fr-FR" w:eastAsia="fr-FR"/>
        </w:rPr>
      </w:pPr>
      <w:hyperlink w:history="1" w:anchor="_Toc107950859">
        <w:r w:rsidRPr="002358A2" w:rsidR="007B776F">
          <w:rPr>
            <w:rStyle w:val="Hyperlink"/>
            <w:noProof/>
          </w:rPr>
          <w:t>B.</w:t>
        </w:r>
        <w:r w:rsidRPr="002358A2" w:rsidR="007B776F">
          <w:rPr>
            <w:rFonts w:eastAsiaTheme="minorEastAsia"/>
            <w:noProof/>
            <w:sz w:val="22"/>
            <w:szCs w:val="22"/>
            <w:lang w:val="fr-FR" w:eastAsia="fr-FR"/>
          </w:rPr>
          <w:tab/>
        </w:r>
        <w:r w:rsidRPr="002358A2" w:rsidR="007B776F">
          <w:rPr>
            <w:rStyle w:val="Hyperlink"/>
            <w:noProof/>
          </w:rPr>
          <w:t>Provisional and permanent liquidators</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_Toc107950859 \h </w:instrText>
        </w:r>
        <w:r w:rsidRPr="002358A2" w:rsidR="007B776F">
          <w:rPr>
            <w:noProof/>
            <w:webHidden/>
          </w:rPr>
        </w:r>
        <w:r w:rsidRPr="002358A2" w:rsidR="007B776F">
          <w:rPr>
            <w:noProof/>
            <w:webHidden/>
          </w:rPr>
          <w:fldChar w:fldCharType="separate"/>
        </w:r>
        <w:r w:rsidRPr="002358A2" w:rsidR="002358A2">
          <w:rPr>
            <w:noProof/>
            <w:webHidden/>
          </w:rPr>
          <w:t>23</w:t>
        </w:r>
        <w:r w:rsidRPr="002358A2" w:rsidR="007B776F">
          <w:rPr>
            <w:noProof/>
            <w:webHidden/>
          </w:rPr>
          <w:fldChar w:fldCharType="end"/>
        </w:r>
      </w:hyperlink>
    </w:p>
    <w:p w:rsidRPr="002358A2" w:rsidR="007B776F" w:rsidP="002358A2" w:rsidRDefault="0048368E" w14:paraId="10D7B477" w14:textId="54EBAB3E">
      <w:pPr>
        <w:pStyle w:val="TOC2"/>
        <w:tabs>
          <w:tab w:val="left" w:pos="1020"/>
        </w:tabs>
        <w:rPr>
          <w:rFonts w:eastAsiaTheme="minorEastAsia"/>
          <w:noProof/>
          <w:szCs w:val="22"/>
          <w:lang w:val="fr-FR" w:eastAsia="fr-FR"/>
        </w:rPr>
      </w:pPr>
      <w:hyperlink w:history="1" w:anchor="_Toc107950860">
        <w:r w:rsidRPr="002358A2" w:rsidR="007B776F">
          <w:rPr>
            <w:rStyle w:val="Hyperlink"/>
            <w:noProof/>
          </w:rPr>
          <w:t>IV.</w:t>
        </w:r>
        <w:r w:rsidRPr="002358A2" w:rsidR="007B776F">
          <w:rPr>
            <w:rFonts w:eastAsiaTheme="minorEastAsia"/>
            <w:noProof/>
            <w:szCs w:val="22"/>
            <w:lang w:val="fr-FR" w:eastAsia="fr-FR"/>
          </w:rPr>
          <w:tab/>
        </w:r>
        <w:r w:rsidRPr="002358A2" w:rsidR="007B776F">
          <w:rPr>
            <w:rStyle w:val="Hyperlink"/>
            <w:noProof/>
          </w:rPr>
          <w:t xml:space="preserve">REPRESENTATIVE </w:t>
        </w:r>
        <w:r w:rsidRPr="002358A2" w:rsidR="007B776F">
          <w:rPr>
            <w:rStyle w:val="Hyperlink"/>
            <w:i/>
            <w:iCs/>
            <w:noProof/>
          </w:rPr>
          <w:t>AD LITEM</w:t>
        </w:r>
        <w:r w:rsidRPr="002358A2" w:rsidR="007B776F">
          <w:rPr>
            <w:rStyle w:val="Hyperlink"/>
            <w:noProof/>
          </w:rPr>
          <w:t xml:space="preserve"> IN THE EVENT OF A CONFLICT OF INTERESTS BETWEEN A PARTY AND ITS REPRESENTATIVE</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_Toc107950860 \h </w:instrText>
        </w:r>
        <w:r w:rsidRPr="002358A2" w:rsidR="007B776F">
          <w:rPr>
            <w:noProof/>
            <w:webHidden/>
          </w:rPr>
        </w:r>
        <w:r w:rsidRPr="002358A2" w:rsidR="007B776F">
          <w:rPr>
            <w:noProof/>
            <w:webHidden/>
          </w:rPr>
          <w:fldChar w:fldCharType="separate"/>
        </w:r>
        <w:r w:rsidRPr="002358A2" w:rsidR="002358A2">
          <w:rPr>
            <w:noProof/>
            <w:webHidden/>
          </w:rPr>
          <w:t>24</w:t>
        </w:r>
        <w:r w:rsidRPr="002358A2" w:rsidR="007B776F">
          <w:rPr>
            <w:noProof/>
            <w:webHidden/>
          </w:rPr>
          <w:fldChar w:fldCharType="end"/>
        </w:r>
      </w:hyperlink>
    </w:p>
    <w:p w:rsidRPr="002358A2" w:rsidR="007B776F" w:rsidP="002358A2" w:rsidRDefault="0048368E" w14:paraId="3E32EC55" w14:textId="7119E8FD">
      <w:pPr>
        <w:pStyle w:val="TOC1"/>
        <w:rPr>
          <w:rFonts w:eastAsiaTheme="minorEastAsia"/>
          <w:b w:val="0"/>
          <w:noProof/>
          <w:szCs w:val="22"/>
          <w:lang w:val="fr-FR" w:eastAsia="fr-FR"/>
        </w:rPr>
      </w:pPr>
      <w:hyperlink w:history="1" w:anchor="_Toc107950861">
        <w:r w:rsidRPr="002358A2" w:rsidR="007B776F">
          <w:rPr>
            <w:rStyle w:val="Hyperlink"/>
            <w:noProof/>
          </w:rPr>
          <w:t>RELEVANT COUNCIL OF EUROPE MATERIAL</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_Toc107950861 \h </w:instrText>
        </w:r>
        <w:r w:rsidRPr="002358A2" w:rsidR="007B776F">
          <w:rPr>
            <w:noProof/>
            <w:webHidden/>
          </w:rPr>
        </w:r>
        <w:r w:rsidRPr="002358A2" w:rsidR="007B776F">
          <w:rPr>
            <w:noProof/>
            <w:webHidden/>
          </w:rPr>
          <w:fldChar w:fldCharType="separate"/>
        </w:r>
        <w:r w:rsidRPr="002358A2" w:rsidR="002358A2">
          <w:rPr>
            <w:noProof/>
            <w:webHidden/>
          </w:rPr>
          <w:t>24</w:t>
        </w:r>
        <w:r w:rsidRPr="002358A2" w:rsidR="007B776F">
          <w:rPr>
            <w:noProof/>
            <w:webHidden/>
          </w:rPr>
          <w:fldChar w:fldCharType="end"/>
        </w:r>
      </w:hyperlink>
    </w:p>
    <w:p w:rsidRPr="002358A2" w:rsidR="007B776F" w:rsidP="002358A2" w:rsidRDefault="0048368E" w14:paraId="42A14E13" w14:textId="7225BED2">
      <w:pPr>
        <w:pStyle w:val="TOC1"/>
        <w:rPr>
          <w:rFonts w:eastAsiaTheme="minorEastAsia"/>
          <w:b w:val="0"/>
          <w:noProof/>
          <w:szCs w:val="22"/>
          <w:lang w:val="fr-FR" w:eastAsia="fr-FR"/>
        </w:rPr>
      </w:pPr>
      <w:hyperlink w:history="1" w:anchor="_Toc107950862">
        <w:r w:rsidRPr="002358A2" w:rsidR="007B776F">
          <w:rPr>
            <w:rStyle w:val="Hyperlink"/>
            <w:noProof/>
          </w:rPr>
          <w:t>THE LAW</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_Toc107950862 \h </w:instrText>
        </w:r>
        <w:r w:rsidRPr="002358A2" w:rsidR="007B776F">
          <w:rPr>
            <w:noProof/>
            <w:webHidden/>
          </w:rPr>
        </w:r>
        <w:r w:rsidRPr="002358A2" w:rsidR="007B776F">
          <w:rPr>
            <w:noProof/>
            <w:webHidden/>
          </w:rPr>
          <w:fldChar w:fldCharType="separate"/>
        </w:r>
        <w:r w:rsidRPr="002358A2" w:rsidR="002358A2">
          <w:rPr>
            <w:noProof/>
            <w:webHidden/>
          </w:rPr>
          <w:t>25</w:t>
        </w:r>
        <w:r w:rsidRPr="002358A2" w:rsidR="007B776F">
          <w:rPr>
            <w:noProof/>
            <w:webHidden/>
          </w:rPr>
          <w:fldChar w:fldCharType="end"/>
        </w:r>
      </w:hyperlink>
    </w:p>
    <w:p w:rsidRPr="002358A2" w:rsidR="007B776F" w:rsidP="002358A2" w:rsidRDefault="0048368E" w14:paraId="413CF689" w14:textId="14718035">
      <w:pPr>
        <w:pStyle w:val="TOC2"/>
        <w:tabs>
          <w:tab w:val="left" w:pos="680"/>
        </w:tabs>
        <w:rPr>
          <w:rFonts w:eastAsiaTheme="minorEastAsia"/>
          <w:noProof/>
          <w:szCs w:val="22"/>
          <w:lang w:val="fr-FR" w:eastAsia="fr-FR"/>
        </w:rPr>
      </w:pPr>
      <w:hyperlink w:history="1" w:anchor="_Toc107950863">
        <w:r w:rsidRPr="002358A2" w:rsidR="007B776F">
          <w:rPr>
            <w:rStyle w:val="Hyperlink"/>
            <w:noProof/>
          </w:rPr>
          <w:t>I.</w:t>
        </w:r>
        <w:r w:rsidRPr="002358A2" w:rsidR="007B776F">
          <w:rPr>
            <w:rFonts w:eastAsiaTheme="minorEastAsia"/>
            <w:noProof/>
            <w:szCs w:val="22"/>
            <w:lang w:val="fr-FR" w:eastAsia="fr-FR"/>
          </w:rPr>
          <w:tab/>
        </w:r>
        <w:r w:rsidRPr="002358A2" w:rsidR="007B776F">
          <w:rPr>
            <w:rStyle w:val="Hyperlink"/>
            <w:noProof/>
          </w:rPr>
          <w:t>JOINDER OF THE TWO APPLICATIONS</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_Toc107950863 \h </w:instrText>
        </w:r>
        <w:r w:rsidRPr="002358A2" w:rsidR="007B776F">
          <w:rPr>
            <w:noProof/>
            <w:webHidden/>
          </w:rPr>
        </w:r>
        <w:r w:rsidRPr="002358A2" w:rsidR="007B776F">
          <w:rPr>
            <w:noProof/>
            <w:webHidden/>
          </w:rPr>
          <w:fldChar w:fldCharType="separate"/>
        </w:r>
        <w:r w:rsidRPr="002358A2" w:rsidR="002358A2">
          <w:rPr>
            <w:noProof/>
            <w:webHidden/>
          </w:rPr>
          <w:t>25</w:t>
        </w:r>
        <w:r w:rsidRPr="002358A2" w:rsidR="007B776F">
          <w:rPr>
            <w:noProof/>
            <w:webHidden/>
          </w:rPr>
          <w:fldChar w:fldCharType="end"/>
        </w:r>
      </w:hyperlink>
    </w:p>
    <w:p w:rsidRPr="002358A2" w:rsidR="007B776F" w:rsidP="002358A2" w:rsidRDefault="0048368E" w14:paraId="5ACAB21F" w14:textId="738482BB">
      <w:pPr>
        <w:pStyle w:val="TOC2"/>
        <w:tabs>
          <w:tab w:val="left" w:pos="1020"/>
        </w:tabs>
        <w:rPr>
          <w:rFonts w:eastAsiaTheme="minorEastAsia"/>
          <w:noProof/>
          <w:szCs w:val="22"/>
          <w:lang w:val="fr-FR" w:eastAsia="fr-FR"/>
        </w:rPr>
      </w:pPr>
      <w:hyperlink w:history="1" w:anchor="_Toc107950864">
        <w:r w:rsidRPr="002358A2" w:rsidR="007B776F">
          <w:rPr>
            <w:rStyle w:val="Hyperlink"/>
            <w:noProof/>
          </w:rPr>
          <w:t>II.</w:t>
        </w:r>
        <w:r w:rsidRPr="002358A2" w:rsidR="007B776F">
          <w:rPr>
            <w:rFonts w:eastAsiaTheme="minorEastAsia"/>
            <w:noProof/>
            <w:szCs w:val="22"/>
            <w:lang w:val="fr-FR" w:eastAsia="fr-FR"/>
          </w:rPr>
          <w:tab/>
        </w:r>
        <w:r w:rsidRPr="002358A2" w:rsidR="007B776F">
          <w:rPr>
            <w:rStyle w:val="Hyperlink"/>
            <w:noProof/>
          </w:rPr>
          <w:t>STANDING TO COMPLAIN ON KTB</w:t>
        </w:r>
        <w:r w:rsidRPr="002358A2" w:rsidR="002358A2">
          <w:rPr>
            <w:rStyle w:val="Hyperlink"/>
            <w:noProof/>
          </w:rPr>
          <w:t>’</w:t>
        </w:r>
        <w:r w:rsidRPr="002358A2" w:rsidR="007B776F">
          <w:rPr>
            <w:rStyle w:val="Hyperlink"/>
            <w:noProof/>
          </w:rPr>
          <w:t>S BEHALF</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_Toc107950864 \h </w:instrText>
        </w:r>
        <w:r w:rsidRPr="002358A2" w:rsidR="007B776F">
          <w:rPr>
            <w:noProof/>
            <w:webHidden/>
          </w:rPr>
        </w:r>
        <w:r w:rsidRPr="002358A2" w:rsidR="007B776F">
          <w:rPr>
            <w:noProof/>
            <w:webHidden/>
          </w:rPr>
          <w:fldChar w:fldCharType="separate"/>
        </w:r>
        <w:r w:rsidRPr="002358A2" w:rsidR="002358A2">
          <w:rPr>
            <w:noProof/>
            <w:webHidden/>
          </w:rPr>
          <w:t>25</w:t>
        </w:r>
        <w:r w:rsidRPr="002358A2" w:rsidR="007B776F">
          <w:rPr>
            <w:noProof/>
            <w:webHidden/>
          </w:rPr>
          <w:fldChar w:fldCharType="end"/>
        </w:r>
      </w:hyperlink>
    </w:p>
    <w:p w:rsidRPr="002358A2" w:rsidR="007B776F" w:rsidP="002358A2" w:rsidRDefault="0048368E" w14:paraId="2D202CA0" w14:textId="5E7A4A5B">
      <w:pPr>
        <w:pStyle w:val="TOC2"/>
        <w:tabs>
          <w:tab w:val="left" w:pos="1020"/>
        </w:tabs>
        <w:rPr>
          <w:rFonts w:eastAsiaTheme="minorEastAsia"/>
          <w:noProof/>
          <w:szCs w:val="22"/>
          <w:lang w:val="fr-FR" w:eastAsia="fr-FR"/>
        </w:rPr>
      </w:pPr>
      <w:hyperlink w:history="1" w:anchor="_Toc107950865">
        <w:r w:rsidRPr="002358A2" w:rsidR="007B776F">
          <w:rPr>
            <w:rStyle w:val="Hyperlink"/>
            <w:noProof/>
          </w:rPr>
          <w:t>III.</w:t>
        </w:r>
        <w:r w:rsidRPr="002358A2" w:rsidR="007B776F">
          <w:rPr>
            <w:rFonts w:eastAsiaTheme="minorEastAsia"/>
            <w:noProof/>
            <w:szCs w:val="22"/>
            <w:lang w:val="fr-FR" w:eastAsia="fr-FR"/>
          </w:rPr>
          <w:tab/>
        </w:r>
        <w:r w:rsidRPr="002358A2" w:rsidR="007B776F">
          <w:rPr>
            <w:rStyle w:val="Hyperlink"/>
            <w:noProof/>
          </w:rPr>
          <w:t>SCOPE OF THE CASE</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_Toc107950865 \h </w:instrText>
        </w:r>
        <w:r w:rsidRPr="002358A2" w:rsidR="007B776F">
          <w:rPr>
            <w:noProof/>
            <w:webHidden/>
          </w:rPr>
        </w:r>
        <w:r w:rsidRPr="002358A2" w:rsidR="007B776F">
          <w:rPr>
            <w:noProof/>
            <w:webHidden/>
          </w:rPr>
          <w:fldChar w:fldCharType="separate"/>
        </w:r>
        <w:r w:rsidRPr="002358A2" w:rsidR="002358A2">
          <w:rPr>
            <w:noProof/>
            <w:webHidden/>
          </w:rPr>
          <w:t>26</w:t>
        </w:r>
        <w:r w:rsidRPr="002358A2" w:rsidR="007B776F">
          <w:rPr>
            <w:noProof/>
            <w:webHidden/>
          </w:rPr>
          <w:fldChar w:fldCharType="end"/>
        </w:r>
      </w:hyperlink>
    </w:p>
    <w:p w:rsidRPr="002358A2" w:rsidR="007B776F" w:rsidP="002358A2" w:rsidRDefault="0048368E" w14:paraId="465CB60A" w14:textId="4A83A7D2">
      <w:pPr>
        <w:pStyle w:val="TOC2"/>
        <w:tabs>
          <w:tab w:val="left" w:pos="1020"/>
        </w:tabs>
        <w:rPr>
          <w:rFonts w:eastAsiaTheme="minorEastAsia"/>
          <w:noProof/>
          <w:szCs w:val="22"/>
          <w:lang w:val="fr-FR" w:eastAsia="fr-FR"/>
        </w:rPr>
      </w:pPr>
      <w:hyperlink w:history="1" w:anchor="_Toc107950866">
        <w:r w:rsidRPr="002358A2" w:rsidR="007B776F">
          <w:rPr>
            <w:rStyle w:val="Hyperlink"/>
            <w:noProof/>
          </w:rPr>
          <w:t>IV.</w:t>
        </w:r>
        <w:r w:rsidRPr="002358A2" w:rsidR="007B776F">
          <w:rPr>
            <w:rFonts w:eastAsiaTheme="minorEastAsia"/>
            <w:noProof/>
            <w:szCs w:val="22"/>
            <w:lang w:val="fr-FR" w:eastAsia="fr-FR"/>
          </w:rPr>
          <w:tab/>
        </w:r>
        <w:r w:rsidRPr="002358A2" w:rsidR="007B776F">
          <w:rPr>
            <w:rStyle w:val="Hyperlink"/>
            <w:noProof/>
          </w:rPr>
          <w:t>ALLEGED IMPOSSIBILITY FOR KTB TO OBTAIN JUDICIAL REVIEW OF THE WITHDRAWAL OF ITS LICENCE</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_Toc107950866 \h </w:instrText>
        </w:r>
        <w:r w:rsidRPr="002358A2" w:rsidR="007B776F">
          <w:rPr>
            <w:noProof/>
            <w:webHidden/>
          </w:rPr>
        </w:r>
        <w:r w:rsidRPr="002358A2" w:rsidR="007B776F">
          <w:rPr>
            <w:noProof/>
            <w:webHidden/>
          </w:rPr>
          <w:fldChar w:fldCharType="separate"/>
        </w:r>
        <w:r w:rsidRPr="002358A2" w:rsidR="002358A2">
          <w:rPr>
            <w:noProof/>
            <w:webHidden/>
          </w:rPr>
          <w:t>26</w:t>
        </w:r>
        <w:r w:rsidRPr="002358A2" w:rsidR="007B776F">
          <w:rPr>
            <w:noProof/>
            <w:webHidden/>
          </w:rPr>
          <w:fldChar w:fldCharType="end"/>
        </w:r>
      </w:hyperlink>
    </w:p>
    <w:p w:rsidRPr="002358A2" w:rsidR="007B776F" w:rsidP="002358A2" w:rsidRDefault="0048368E" w14:paraId="6DC07526" w14:textId="205A5F76">
      <w:pPr>
        <w:pStyle w:val="TOC3"/>
        <w:tabs>
          <w:tab w:val="left" w:pos="1361"/>
        </w:tabs>
        <w:rPr>
          <w:rFonts w:eastAsiaTheme="minorEastAsia"/>
          <w:noProof/>
          <w:sz w:val="22"/>
          <w:szCs w:val="22"/>
          <w:lang w:val="fr-FR" w:eastAsia="fr-FR"/>
        </w:rPr>
      </w:pPr>
      <w:hyperlink w:history="1" w:anchor="_Toc107950867">
        <w:r w:rsidRPr="002358A2" w:rsidR="007B776F">
          <w:rPr>
            <w:rStyle w:val="Hyperlink"/>
            <w:noProof/>
          </w:rPr>
          <w:t>A.</w:t>
        </w:r>
        <w:r w:rsidRPr="002358A2" w:rsidR="007B776F">
          <w:rPr>
            <w:rFonts w:eastAsiaTheme="minorEastAsia"/>
            <w:noProof/>
            <w:sz w:val="22"/>
            <w:szCs w:val="22"/>
            <w:lang w:val="fr-FR" w:eastAsia="fr-FR"/>
          </w:rPr>
          <w:tab/>
        </w:r>
        <w:r w:rsidRPr="002358A2" w:rsidR="007B776F">
          <w:rPr>
            <w:rStyle w:val="Hyperlink"/>
            <w:noProof/>
          </w:rPr>
          <w:t>Admissibility</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_Toc107950867 \h </w:instrText>
        </w:r>
        <w:r w:rsidRPr="002358A2" w:rsidR="007B776F">
          <w:rPr>
            <w:noProof/>
            <w:webHidden/>
          </w:rPr>
        </w:r>
        <w:r w:rsidRPr="002358A2" w:rsidR="007B776F">
          <w:rPr>
            <w:noProof/>
            <w:webHidden/>
          </w:rPr>
          <w:fldChar w:fldCharType="separate"/>
        </w:r>
        <w:r w:rsidRPr="002358A2" w:rsidR="002358A2">
          <w:rPr>
            <w:noProof/>
            <w:webHidden/>
          </w:rPr>
          <w:t>27</w:t>
        </w:r>
        <w:r w:rsidRPr="002358A2" w:rsidR="007B776F">
          <w:rPr>
            <w:noProof/>
            <w:webHidden/>
          </w:rPr>
          <w:fldChar w:fldCharType="end"/>
        </w:r>
      </w:hyperlink>
    </w:p>
    <w:p w:rsidRPr="002358A2" w:rsidR="007B776F" w:rsidP="002358A2" w:rsidRDefault="0048368E" w14:paraId="0B5B12A4" w14:textId="1218708A">
      <w:pPr>
        <w:pStyle w:val="TOC4"/>
        <w:tabs>
          <w:tab w:val="left" w:pos="1701"/>
        </w:tabs>
        <w:rPr>
          <w:rFonts w:eastAsiaTheme="minorEastAsia"/>
          <w:noProof/>
          <w:sz w:val="22"/>
          <w:szCs w:val="22"/>
          <w:lang w:val="fr-FR" w:eastAsia="fr-FR"/>
        </w:rPr>
      </w:pPr>
      <w:hyperlink w:history="1" w:anchor="_Toc107950868">
        <w:r w:rsidRPr="002358A2" w:rsidR="007B776F">
          <w:rPr>
            <w:rStyle w:val="Hyperlink"/>
            <w:noProof/>
          </w:rPr>
          <w:t>1.</w:t>
        </w:r>
        <w:r w:rsidRPr="002358A2" w:rsidR="007B776F">
          <w:rPr>
            <w:rFonts w:eastAsiaTheme="minorEastAsia"/>
            <w:noProof/>
            <w:sz w:val="22"/>
            <w:szCs w:val="22"/>
            <w:lang w:val="fr-FR" w:eastAsia="fr-FR"/>
          </w:rPr>
          <w:tab/>
        </w:r>
        <w:r w:rsidRPr="002358A2" w:rsidR="007B776F">
          <w:rPr>
            <w:rStyle w:val="Hyperlink"/>
            <w:noProof/>
          </w:rPr>
          <w:t>The parties</w:t>
        </w:r>
        <w:r w:rsidRPr="002358A2" w:rsidR="002358A2">
          <w:rPr>
            <w:rStyle w:val="Hyperlink"/>
            <w:noProof/>
          </w:rPr>
          <w:t>’</w:t>
        </w:r>
        <w:r w:rsidRPr="002358A2" w:rsidR="007B776F">
          <w:rPr>
            <w:rStyle w:val="Hyperlink"/>
            <w:noProof/>
          </w:rPr>
          <w:t xml:space="preserve"> submissions</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_Toc107950868 \h </w:instrText>
        </w:r>
        <w:r w:rsidRPr="002358A2" w:rsidR="007B776F">
          <w:rPr>
            <w:noProof/>
            <w:webHidden/>
          </w:rPr>
        </w:r>
        <w:r w:rsidRPr="002358A2" w:rsidR="007B776F">
          <w:rPr>
            <w:noProof/>
            <w:webHidden/>
          </w:rPr>
          <w:fldChar w:fldCharType="separate"/>
        </w:r>
        <w:r w:rsidRPr="002358A2" w:rsidR="002358A2">
          <w:rPr>
            <w:noProof/>
            <w:webHidden/>
          </w:rPr>
          <w:t>27</w:t>
        </w:r>
        <w:r w:rsidRPr="002358A2" w:rsidR="007B776F">
          <w:rPr>
            <w:noProof/>
            <w:webHidden/>
          </w:rPr>
          <w:fldChar w:fldCharType="end"/>
        </w:r>
      </w:hyperlink>
    </w:p>
    <w:p w:rsidRPr="002358A2" w:rsidR="007B776F" w:rsidP="002358A2" w:rsidRDefault="0048368E" w14:paraId="3FE6DD58" w14:textId="3FB65C86">
      <w:pPr>
        <w:pStyle w:val="TOC5"/>
        <w:tabs>
          <w:tab w:val="left" w:pos="2041"/>
        </w:tabs>
        <w:rPr>
          <w:rFonts w:eastAsiaTheme="minorEastAsia"/>
          <w:noProof/>
          <w:sz w:val="22"/>
          <w:szCs w:val="22"/>
          <w:lang w:val="fr-FR" w:eastAsia="fr-FR"/>
        </w:rPr>
      </w:pPr>
      <w:hyperlink w:history="1" w:anchor="_Toc107950869">
        <w:r w:rsidRPr="002358A2" w:rsidR="007B776F">
          <w:rPr>
            <w:rStyle w:val="Hyperlink"/>
            <w:noProof/>
          </w:rPr>
          <w:t>(a)</w:t>
        </w:r>
        <w:r w:rsidRPr="002358A2" w:rsidR="007B776F">
          <w:rPr>
            <w:rFonts w:eastAsiaTheme="minorEastAsia"/>
            <w:noProof/>
            <w:sz w:val="22"/>
            <w:szCs w:val="22"/>
            <w:lang w:val="fr-FR" w:eastAsia="fr-FR"/>
          </w:rPr>
          <w:tab/>
        </w:r>
        <w:r w:rsidRPr="002358A2" w:rsidR="007B776F">
          <w:rPr>
            <w:rStyle w:val="Hyperlink"/>
            <w:noProof/>
          </w:rPr>
          <w:t>The Government</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_Toc107950869 \h </w:instrText>
        </w:r>
        <w:r w:rsidRPr="002358A2" w:rsidR="007B776F">
          <w:rPr>
            <w:noProof/>
            <w:webHidden/>
          </w:rPr>
        </w:r>
        <w:r w:rsidRPr="002358A2" w:rsidR="007B776F">
          <w:rPr>
            <w:noProof/>
            <w:webHidden/>
          </w:rPr>
          <w:fldChar w:fldCharType="separate"/>
        </w:r>
        <w:r w:rsidRPr="002358A2" w:rsidR="002358A2">
          <w:rPr>
            <w:noProof/>
            <w:webHidden/>
          </w:rPr>
          <w:t>27</w:t>
        </w:r>
        <w:r w:rsidRPr="002358A2" w:rsidR="007B776F">
          <w:rPr>
            <w:noProof/>
            <w:webHidden/>
          </w:rPr>
          <w:fldChar w:fldCharType="end"/>
        </w:r>
      </w:hyperlink>
    </w:p>
    <w:p w:rsidRPr="002358A2" w:rsidR="007B776F" w:rsidP="002358A2" w:rsidRDefault="0048368E" w14:paraId="16C6428D" w14:textId="2AF91749">
      <w:pPr>
        <w:pStyle w:val="TOC5"/>
        <w:tabs>
          <w:tab w:val="left" w:pos="2041"/>
        </w:tabs>
        <w:rPr>
          <w:rFonts w:eastAsiaTheme="minorEastAsia"/>
          <w:noProof/>
          <w:sz w:val="22"/>
          <w:szCs w:val="22"/>
          <w:lang w:val="fr-FR" w:eastAsia="fr-FR"/>
        </w:rPr>
      </w:pPr>
      <w:hyperlink w:history="1" w:anchor="_Toc107950870">
        <w:r w:rsidRPr="002358A2" w:rsidR="007B776F">
          <w:rPr>
            <w:rStyle w:val="Hyperlink"/>
            <w:noProof/>
          </w:rPr>
          <w:t>(b)</w:t>
        </w:r>
        <w:r w:rsidRPr="002358A2" w:rsidR="007B776F">
          <w:rPr>
            <w:rFonts w:eastAsiaTheme="minorEastAsia"/>
            <w:noProof/>
            <w:sz w:val="22"/>
            <w:szCs w:val="22"/>
            <w:lang w:val="fr-FR" w:eastAsia="fr-FR"/>
          </w:rPr>
          <w:tab/>
        </w:r>
        <w:r w:rsidRPr="002358A2" w:rsidR="007B776F">
          <w:rPr>
            <w:rStyle w:val="Hyperlink"/>
            <w:noProof/>
          </w:rPr>
          <w:t>KTB</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_Toc107950870 \h </w:instrText>
        </w:r>
        <w:r w:rsidRPr="002358A2" w:rsidR="007B776F">
          <w:rPr>
            <w:noProof/>
            <w:webHidden/>
          </w:rPr>
        </w:r>
        <w:r w:rsidRPr="002358A2" w:rsidR="007B776F">
          <w:rPr>
            <w:noProof/>
            <w:webHidden/>
          </w:rPr>
          <w:fldChar w:fldCharType="separate"/>
        </w:r>
        <w:r w:rsidRPr="002358A2" w:rsidR="002358A2">
          <w:rPr>
            <w:noProof/>
            <w:webHidden/>
          </w:rPr>
          <w:t>27</w:t>
        </w:r>
        <w:r w:rsidRPr="002358A2" w:rsidR="007B776F">
          <w:rPr>
            <w:noProof/>
            <w:webHidden/>
          </w:rPr>
          <w:fldChar w:fldCharType="end"/>
        </w:r>
      </w:hyperlink>
    </w:p>
    <w:p w:rsidRPr="002358A2" w:rsidR="007B776F" w:rsidP="002358A2" w:rsidRDefault="0048368E" w14:paraId="4EF3DCEF" w14:textId="39738BE4">
      <w:pPr>
        <w:pStyle w:val="TOC4"/>
        <w:tabs>
          <w:tab w:val="left" w:pos="1701"/>
        </w:tabs>
        <w:rPr>
          <w:rFonts w:eastAsiaTheme="minorEastAsia"/>
          <w:noProof/>
          <w:sz w:val="22"/>
          <w:szCs w:val="22"/>
          <w:lang w:val="fr-FR" w:eastAsia="fr-FR"/>
        </w:rPr>
      </w:pPr>
      <w:hyperlink w:history="1" w:anchor="_Toc107950871">
        <w:r w:rsidRPr="002358A2" w:rsidR="007B776F">
          <w:rPr>
            <w:rStyle w:val="Hyperlink"/>
            <w:noProof/>
          </w:rPr>
          <w:t>2.</w:t>
        </w:r>
        <w:r w:rsidRPr="002358A2" w:rsidR="007B776F">
          <w:rPr>
            <w:rFonts w:eastAsiaTheme="minorEastAsia"/>
            <w:noProof/>
            <w:sz w:val="22"/>
            <w:szCs w:val="22"/>
            <w:lang w:val="fr-FR" w:eastAsia="fr-FR"/>
          </w:rPr>
          <w:tab/>
        </w:r>
        <w:r w:rsidRPr="002358A2" w:rsidR="007B776F">
          <w:rPr>
            <w:rStyle w:val="Hyperlink"/>
            <w:noProof/>
          </w:rPr>
          <w:t>The Court</w:t>
        </w:r>
        <w:r w:rsidRPr="002358A2" w:rsidR="002358A2">
          <w:rPr>
            <w:rStyle w:val="Hyperlink"/>
            <w:noProof/>
          </w:rPr>
          <w:t>’</w:t>
        </w:r>
        <w:r w:rsidRPr="002358A2" w:rsidR="007B776F">
          <w:rPr>
            <w:rStyle w:val="Hyperlink"/>
            <w:noProof/>
          </w:rPr>
          <w:t>s assessment</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_Toc107950871 \h </w:instrText>
        </w:r>
        <w:r w:rsidRPr="002358A2" w:rsidR="007B776F">
          <w:rPr>
            <w:noProof/>
            <w:webHidden/>
          </w:rPr>
        </w:r>
        <w:r w:rsidRPr="002358A2" w:rsidR="007B776F">
          <w:rPr>
            <w:noProof/>
            <w:webHidden/>
          </w:rPr>
          <w:fldChar w:fldCharType="separate"/>
        </w:r>
        <w:r w:rsidRPr="002358A2" w:rsidR="002358A2">
          <w:rPr>
            <w:noProof/>
            <w:webHidden/>
          </w:rPr>
          <w:t>28</w:t>
        </w:r>
        <w:r w:rsidRPr="002358A2" w:rsidR="007B776F">
          <w:rPr>
            <w:noProof/>
            <w:webHidden/>
          </w:rPr>
          <w:fldChar w:fldCharType="end"/>
        </w:r>
      </w:hyperlink>
    </w:p>
    <w:p w:rsidRPr="002358A2" w:rsidR="007B776F" w:rsidP="002358A2" w:rsidRDefault="0048368E" w14:paraId="7C6FA220" w14:textId="49A4D5E3">
      <w:pPr>
        <w:pStyle w:val="TOC3"/>
        <w:tabs>
          <w:tab w:val="left" w:pos="1361"/>
        </w:tabs>
        <w:rPr>
          <w:rFonts w:eastAsiaTheme="minorEastAsia"/>
          <w:noProof/>
          <w:sz w:val="22"/>
          <w:szCs w:val="22"/>
          <w:lang w:val="fr-FR" w:eastAsia="fr-FR"/>
        </w:rPr>
      </w:pPr>
      <w:hyperlink w:history="1" w:anchor="_Toc107950872">
        <w:r w:rsidRPr="002358A2" w:rsidR="007B776F">
          <w:rPr>
            <w:rStyle w:val="Hyperlink"/>
            <w:noProof/>
          </w:rPr>
          <w:t>B.</w:t>
        </w:r>
        <w:r w:rsidRPr="002358A2" w:rsidR="007B776F">
          <w:rPr>
            <w:rFonts w:eastAsiaTheme="minorEastAsia"/>
            <w:noProof/>
            <w:sz w:val="22"/>
            <w:szCs w:val="22"/>
            <w:lang w:val="fr-FR" w:eastAsia="fr-FR"/>
          </w:rPr>
          <w:tab/>
        </w:r>
        <w:r w:rsidRPr="002358A2" w:rsidR="007B776F">
          <w:rPr>
            <w:rStyle w:val="Hyperlink"/>
            <w:noProof/>
          </w:rPr>
          <w:t>Merits</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_Toc107950872 \h </w:instrText>
        </w:r>
        <w:r w:rsidRPr="002358A2" w:rsidR="007B776F">
          <w:rPr>
            <w:noProof/>
            <w:webHidden/>
          </w:rPr>
        </w:r>
        <w:r w:rsidRPr="002358A2" w:rsidR="007B776F">
          <w:rPr>
            <w:noProof/>
            <w:webHidden/>
          </w:rPr>
          <w:fldChar w:fldCharType="separate"/>
        </w:r>
        <w:r w:rsidRPr="002358A2" w:rsidR="002358A2">
          <w:rPr>
            <w:noProof/>
            <w:webHidden/>
          </w:rPr>
          <w:t>29</w:t>
        </w:r>
        <w:r w:rsidRPr="002358A2" w:rsidR="007B776F">
          <w:rPr>
            <w:noProof/>
            <w:webHidden/>
          </w:rPr>
          <w:fldChar w:fldCharType="end"/>
        </w:r>
      </w:hyperlink>
    </w:p>
    <w:p w:rsidRPr="002358A2" w:rsidR="007B776F" w:rsidP="002358A2" w:rsidRDefault="0048368E" w14:paraId="61AB95A4" w14:textId="10C30FFB">
      <w:pPr>
        <w:pStyle w:val="TOC4"/>
        <w:tabs>
          <w:tab w:val="left" w:pos="1701"/>
        </w:tabs>
        <w:rPr>
          <w:rFonts w:eastAsiaTheme="minorEastAsia"/>
          <w:noProof/>
          <w:sz w:val="22"/>
          <w:szCs w:val="22"/>
          <w:lang w:val="fr-FR" w:eastAsia="fr-FR"/>
        </w:rPr>
      </w:pPr>
      <w:hyperlink w:history="1" w:anchor="_Toc107950873">
        <w:r w:rsidRPr="002358A2" w:rsidR="007B776F">
          <w:rPr>
            <w:rStyle w:val="Hyperlink"/>
            <w:noProof/>
          </w:rPr>
          <w:t>1.</w:t>
        </w:r>
        <w:r w:rsidRPr="002358A2" w:rsidR="007B776F">
          <w:rPr>
            <w:rFonts w:eastAsiaTheme="minorEastAsia"/>
            <w:noProof/>
            <w:sz w:val="22"/>
            <w:szCs w:val="22"/>
            <w:lang w:val="fr-FR" w:eastAsia="fr-FR"/>
          </w:rPr>
          <w:tab/>
        </w:r>
        <w:r w:rsidRPr="002358A2" w:rsidR="007B776F">
          <w:rPr>
            <w:rStyle w:val="Hyperlink"/>
            <w:noProof/>
          </w:rPr>
          <w:t>The parties</w:t>
        </w:r>
        <w:r w:rsidRPr="002358A2" w:rsidR="002358A2">
          <w:rPr>
            <w:rStyle w:val="Hyperlink"/>
            <w:noProof/>
          </w:rPr>
          <w:t>’</w:t>
        </w:r>
        <w:r w:rsidRPr="002358A2" w:rsidR="007B776F">
          <w:rPr>
            <w:rStyle w:val="Hyperlink"/>
            <w:noProof/>
          </w:rPr>
          <w:t xml:space="preserve"> submissions</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_Toc107950873 \h </w:instrText>
        </w:r>
        <w:r w:rsidRPr="002358A2" w:rsidR="007B776F">
          <w:rPr>
            <w:noProof/>
            <w:webHidden/>
          </w:rPr>
        </w:r>
        <w:r w:rsidRPr="002358A2" w:rsidR="007B776F">
          <w:rPr>
            <w:noProof/>
            <w:webHidden/>
          </w:rPr>
          <w:fldChar w:fldCharType="separate"/>
        </w:r>
        <w:r w:rsidRPr="002358A2" w:rsidR="002358A2">
          <w:rPr>
            <w:noProof/>
            <w:webHidden/>
          </w:rPr>
          <w:t>29</w:t>
        </w:r>
        <w:r w:rsidRPr="002358A2" w:rsidR="007B776F">
          <w:rPr>
            <w:noProof/>
            <w:webHidden/>
          </w:rPr>
          <w:fldChar w:fldCharType="end"/>
        </w:r>
      </w:hyperlink>
    </w:p>
    <w:p w:rsidRPr="002358A2" w:rsidR="007B776F" w:rsidP="002358A2" w:rsidRDefault="0048368E" w14:paraId="0E98A3B3" w14:textId="539D7880">
      <w:pPr>
        <w:pStyle w:val="TOC4"/>
        <w:tabs>
          <w:tab w:val="left" w:pos="1701"/>
        </w:tabs>
        <w:rPr>
          <w:rFonts w:eastAsiaTheme="minorEastAsia"/>
          <w:noProof/>
          <w:sz w:val="22"/>
          <w:szCs w:val="22"/>
          <w:lang w:val="fr-FR" w:eastAsia="fr-FR"/>
        </w:rPr>
      </w:pPr>
      <w:hyperlink w:history="1" w:anchor="_Toc107950874">
        <w:r w:rsidRPr="002358A2" w:rsidR="007B776F">
          <w:rPr>
            <w:rStyle w:val="Hyperlink"/>
            <w:noProof/>
          </w:rPr>
          <w:t>2.</w:t>
        </w:r>
        <w:r w:rsidRPr="002358A2" w:rsidR="007B776F">
          <w:rPr>
            <w:rFonts w:eastAsiaTheme="minorEastAsia"/>
            <w:noProof/>
            <w:sz w:val="22"/>
            <w:szCs w:val="22"/>
            <w:lang w:val="fr-FR" w:eastAsia="fr-FR"/>
          </w:rPr>
          <w:tab/>
        </w:r>
        <w:r w:rsidRPr="002358A2" w:rsidR="007B776F">
          <w:rPr>
            <w:rStyle w:val="Hyperlink"/>
            <w:noProof/>
          </w:rPr>
          <w:t>The Court</w:t>
        </w:r>
        <w:r w:rsidRPr="002358A2" w:rsidR="002358A2">
          <w:rPr>
            <w:rStyle w:val="Hyperlink"/>
            <w:noProof/>
          </w:rPr>
          <w:t>’</w:t>
        </w:r>
        <w:r w:rsidRPr="002358A2" w:rsidR="007B776F">
          <w:rPr>
            <w:rStyle w:val="Hyperlink"/>
            <w:noProof/>
          </w:rPr>
          <w:t>s assessment</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_Toc107950874 \h </w:instrText>
        </w:r>
        <w:r w:rsidRPr="002358A2" w:rsidR="007B776F">
          <w:rPr>
            <w:noProof/>
            <w:webHidden/>
          </w:rPr>
        </w:r>
        <w:r w:rsidRPr="002358A2" w:rsidR="007B776F">
          <w:rPr>
            <w:noProof/>
            <w:webHidden/>
          </w:rPr>
          <w:fldChar w:fldCharType="separate"/>
        </w:r>
        <w:r w:rsidRPr="002358A2" w:rsidR="002358A2">
          <w:rPr>
            <w:noProof/>
            <w:webHidden/>
          </w:rPr>
          <w:t>29</w:t>
        </w:r>
        <w:r w:rsidRPr="002358A2" w:rsidR="007B776F">
          <w:rPr>
            <w:noProof/>
            <w:webHidden/>
          </w:rPr>
          <w:fldChar w:fldCharType="end"/>
        </w:r>
      </w:hyperlink>
    </w:p>
    <w:p w:rsidRPr="002358A2" w:rsidR="007B776F" w:rsidP="002358A2" w:rsidRDefault="0048368E" w14:paraId="10CCCBD1" w14:textId="6A2113BB">
      <w:pPr>
        <w:pStyle w:val="TOC2"/>
        <w:tabs>
          <w:tab w:val="left" w:pos="1020"/>
        </w:tabs>
        <w:rPr>
          <w:rFonts w:eastAsiaTheme="minorEastAsia"/>
          <w:noProof/>
          <w:szCs w:val="22"/>
          <w:lang w:val="fr-FR" w:eastAsia="fr-FR"/>
        </w:rPr>
      </w:pPr>
      <w:hyperlink w:history="1" w:anchor="_Toc107950875">
        <w:r w:rsidRPr="002358A2" w:rsidR="007B776F">
          <w:rPr>
            <w:rStyle w:val="Hyperlink"/>
            <w:noProof/>
          </w:rPr>
          <w:t>V.</w:t>
        </w:r>
        <w:r w:rsidRPr="002358A2" w:rsidR="007B776F">
          <w:rPr>
            <w:rFonts w:eastAsiaTheme="minorEastAsia"/>
            <w:noProof/>
            <w:szCs w:val="22"/>
            <w:lang w:val="fr-FR" w:eastAsia="fr-FR"/>
          </w:rPr>
          <w:tab/>
        </w:r>
        <w:r w:rsidRPr="002358A2" w:rsidR="007B776F">
          <w:rPr>
            <w:rStyle w:val="Hyperlink"/>
            <w:noProof/>
          </w:rPr>
          <w:t>KTB</w:t>
        </w:r>
        <w:r w:rsidRPr="002358A2" w:rsidR="002358A2">
          <w:rPr>
            <w:rStyle w:val="Hyperlink"/>
            <w:noProof/>
          </w:rPr>
          <w:t>’</w:t>
        </w:r>
        <w:r w:rsidRPr="002358A2" w:rsidR="007B776F">
          <w:rPr>
            <w:rStyle w:val="Hyperlink"/>
            <w:noProof/>
          </w:rPr>
          <w:t>S REPRESENTATION IN THE PROCEEDINGS RELATING TO THE BNB</w:t>
        </w:r>
        <w:r w:rsidRPr="002358A2" w:rsidR="002358A2">
          <w:rPr>
            <w:rStyle w:val="Hyperlink"/>
            <w:noProof/>
          </w:rPr>
          <w:t>’</w:t>
        </w:r>
        <w:r w:rsidRPr="002358A2" w:rsidR="007B776F">
          <w:rPr>
            <w:rStyle w:val="Hyperlink"/>
            <w:noProof/>
          </w:rPr>
          <w:t>S APPLICATION FOR KTB TO BE WOUND UP</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_Toc107950875 \h </w:instrText>
        </w:r>
        <w:r w:rsidRPr="002358A2" w:rsidR="007B776F">
          <w:rPr>
            <w:noProof/>
            <w:webHidden/>
          </w:rPr>
        </w:r>
        <w:r w:rsidRPr="002358A2" w:rsidR="007B776F">
          <w:rPr>
            <w:noProof/>
            <w:webHidden/>
          </w:rPr>
          <w:fldChar w:fldCharType="separate"/>
        </w:r>
        <w:r w:rsidRPr="002358A2" w:rsidR="002358A2">
          <w:rPr>
            <w:noProof/>
            <w:webHidden/>
          </w:rPr>
          <w:t>33</w:t>
        </w:r>
        <w:r w:rsidRPr="002358A2" w:rsidR="007B776F">
          <w:rPr>
            <w:noProof/>
            <w:webHidden/>
          </w:rPr>
          <w:fldChar w:fldCharType="end"/>
        </w:r>
      </w:hyperlink>
    </w:p>
    <w:p w:rsidRPr="002358A2" w:rsidR="007B776F" w:rsidP="002358A2" w:rsidRDefault="0048368E" w14:paraId="1BB3D6D6" w14:textId="5BDB5D85">
      <w:pPr>
        <w:pStyle w:val="TOC3"/>
        <w:tabs>
          <w:tab w:val="left" w:pos="1361"/>
        </w:tabs>
        <w:rPr>
          <w:rFonts w:eastAsiaTheme="minorEastAsia"/>
          <w:noProof/>
          <w:sz w:val="22"/>
          <w:szCs w:val="22"/>
          <w:lang w:val="fr-FR" w:eastAsia="fr-FR"/>
        </w:rPr>
      </w:pPr>
      <w:hyperlink w:history="1" w:anchor="_Toc107950876">
        <w:r w:rsidRPr="002358A2" w:rsidR="007B776F">
          <w:rPr>
            <w:rStyle w:val="Hyperlink"/>
            <w:noProof/>
          </w:rPr>
          <w:t>A.</w:t>
        </w:r>
        <w:r w:rsidRPr="002358A2" w:rsidR="007B776F">
          <w:rPr>
            <w:rFonts w:eastAsiaTheme="minorEastAsia"/>
            <w:noProof/>
            <w:sz w:val="22"/>
            <w:szCs w:val="22"/>
            <w:lang w:val="fr-FR" w:eastAsia="fr-FR"/>
          </w:rPr>
          <w:tab/>
        </w:r>
        <w:r w:rsidRPr="002358A2" w:rsidR="007B776F">
          <w:rPr>
            <w:rStyle w:val="Hyperlink"/>
            <w:noProof/>
          </w:rPr>
          <w:t>Admissibility</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_Toc107950876 \h </w:instrText>
        </w:r>
        <w:r w:rsidRPr="002358A2" w:rsidR="007B776F">
          <w:rPr>
            <w:noProof/>
            <w:webHidden/>
          </w:rPr>
        </w:r>
        <w:r w:rsidRPr="002358A2" w:rsidR="007B776F">
          <w:rPr>
            <w:noProof/>
            <w:webHidden/>
          </w:rPr>
          <w:fldChar w:fldCharType="separate"/>
        </w:r>
        <w:r w:rsidRPr="002358A2" w:rsidR="002358A2">
          <w:rPr>
            <w:noProof/>
            <w:webHidden/>
          </w:rPr>
          <w:t>33</w:t>
        </w:r>
        <w:r w:rsidRPr="002358A2" w:rsidR="007B776F">
          <w:rPr>
            <w:noProof/>
            <w:webHidden/>
          </w:rPr>
          <w:fldChar w:fldCharType="end"/>
        </w:r>
      </w:hyperlink>
    </w:p>
    <w:p w:rsidRPr="002358A2" w:rsidR="007B776F" w:rsidP="002358A2" w:rsidRDefault="0048368E" w14:paraId="5D459546" w14:textId="79A0231F">
      <w:pPr>
        <w:pStyle w:val="TOC4"/>
        <w:tabs>
          <w:tab w:val="left" w:pos="1701"/>
        </w:tabs>
        <w:rPr>
          <w:rFonts w:eastAsiaTheme="minorEastAsia"/>
          <w:noProof/>
          <w:sz w:val="22"/>
          <w:szCs w:val="22"/>
          <w:lang w:val="fr-FR" w:eastAsia="fr-FR"/>
        </w:rPr>
      </w:pPr>
      <w:hyperlink w:history="1" w:anchor="_Toc107950877">
        <w:r w:rsidRPr="002358A2" w:rsidR="007B776F">
          <w:rPr>
            <w:rStyle w:val="Hyperlink"/>
            <w:noProof/>
          </w:rPr>
          <w:t>1.</w:t>
        </w:r>
        <w:r w:rsidRPr="002358A2" w:rsidR="007B776F">
          <w:rPr>
            <w:rFonts w:eastAsiaTheme="minorEastAsia"/>
            <w:noProof/>
            <w:sz w:val="22"/>
            <w:szCs w:val="22"/>
            <w:lang w:val="fr-FR" w:eastAsia="fr-FR"/>
          </w:rPr>
          <w:tab/>
        </w:r>
        <w:r w:rsidRPr="002358A2" w:rsidR="007B776F">
          <w:rPr>
            <w:rStyle w:val="Hyperlink"/>
            <w:noProof/>
          </w:rPr>
          <w:t>The Government</w:t>
        </w:r>
        <w:r w:rsidRPr="002358A2" w:rsidR="002358A2">
          <w:rPr>
            <w:rStyle w:val="Hyperlink"/>
            <w:noProof/>
          </w:rPr>
          <w:t>’</w:t>
        </w:r>
        <w:r w:rsidRPr="002358A2" w:rsidR="007B776F">
          <w:rPr>
            <w:rStyle w:val="Hyperlink"/>
            <w:noProof/>
          </w:rPr>
          <w:t>s non-exhaustion objections</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_Toc107950877 \h </w:instrText>
        </w:r>
        <w:r w:rsidRPr="002358A2" w:rsidR="007B776F">
          <w:rPr>
            <w:noProof/>
            <w:webHidden/>
          </w:rPr>
        </w:r>
        <w:r w:rsidRPr="002358A2" w:rsidR="007B776F">
          <w:rPr>
            <w:noProof/>
            <w:webHidden/>
          </w:rPr>
          <w:fldChar w:fldCharType="separate"/>
        </w:r>
        <w:r w:rsidRPr="002358A2" w:rsidR="002358A2">
          <w:rPr>
            <w:noProof/>
            <w:webHidden/>
          </w:rPr>
          <w:t>33</w:t>
        </w:r>
        <w:r w:rsidRPr="002358A2" w:rsidR="007B776F">
          <w:rPr>
            <w:noProof/>
            <w:webHidden/>
          </w:rPr>
          <w:fldChar w:fldCharType="end"/>
        </w:r>
      </w:hyperlink>
    </w:p>
    <w:p w:rsidRPr="002358A2" w:rsidR="007B776F" w:rsidP="002358A2" w:rsidRDefault="0048368E" w14:paraId="517C8DD9" w14:textId="56AB3CD9">
      <w:pPr>
        <w:pStyle w:val="TOC5"/>
        <w:tabs>
          <w:tab w:val="left" w:pos="2041"/>
        </w:tabs>
        <w:rPr>
          <w:rFonts w:eastAsiaTheme="minorEastAsia"/>
          <w:noProof/>
          <w:sz w:val="22"/>
          <w:szCs w:val="22"/>
          <w:lang w:val="fr-FR" w:eastAsia="fr-FR"/>
        </w:rPr>
      </w:pPr>
      <w:hyperlink w:history="1" w:anchor="_Toc107950878">
        <w:r w:rsidRPr="002358A2" w:rsidR="007B776F">
          <w:rPr>
            <w:rStyle w:val="Hyperlink"/>
            <w:noProof/>
          </w:rPr>
          <w:t>(a)</w:t>
        </w:r>
        <w:r w:rsidRPr="002358A2" w:rsidR="007B776F">
          <w:rPr>
            <w:rFonts w:eastAsiaTheme="minorEastAsia"/>
            <w:noProof/>
            <w:sz w:val="22"/>
            <w:szCs w:val="22"/>
            <w:lang w:val="fr-FR" w:eastAsia="fr-FR"/>
          </w:rPr>
          <w:tab/>
        </w:r>
        <w:r w:rsidRPr="002358A2" w:rsidR="007B776F">
          <w:rPr>
            <w:rStyle w:val="Hyperlink"/>
            <w:noProof/>
          </w:rPr>
          <w:t>First objection</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_Toc107950878 \h </w:instrText>
        </w:r>
        <w:r w:rsidRPr="002358A2" w:rsidR="007B776F">
          <w:rPr>
            <w:noProof/>
            <w:webHidden/>
          </w:rPr>
        </w:r>
        <w:r w:rsidRPr="002358A2" w:rsidR="007B776F">
          <w:rPr>
            <w:noProof/>
            <w:webHidden/>
          </w:rPr>
          <w:fldChar w:fldCharType="separate"/>
        </w:r>
        <w:r w:rsidRPr="002358A2" w:rsidR="002358A2">
          <w:rPr>
            <w:noProof/>
            <w:webHidden/>
          </w:rPr>
          <w:t>33</w:t>
        </w:r>
        <w:r w:rsidRPr="002358A2" w:rsidR="007B776F">
          <w:rPr>
            <w:noProof/>
            <w:webHidden/>
          </w:rPr>
          <w:fldChar w:fldCharType="end"/>
        </w:r>
      </w:hyperlink>
    </w:p>
    <w:p w:rsidRPr="002358A2" w:rsidR="007B776F" w:rsidP="002358A2" w:rsidRDefault="0048368E" w14:paraId="325A9B7E" w14:textId="1D809A2E">
      <w:pPr>
        <w:pStyle w:val="TOC5"/>
        <w:tabs>
          <w:tab w:val="left" w:pos="2041"/>
        </w:tabs>
        <w:rPr>
          <w:rFonts w:eastAsiaTheme="minorEastAsia"/>
          <w:noProof/>
          <w:sz w:val="22"/>
          <w:szCs w:val="22"/>
          <w:lang w:val="fr-FR" w:eastAsia="fr-FR"/>
        </w:rPr>
      </w:pPr>
      <w:hyperlink w:history="1" w:anchor="_Toc107950879">
        <w:r w:rsidRPr="002358A2" w:rsidR="007B776F">
          <w:rPr>
            <w:rStyle w:val="Hyperlink"/>
            <w:noProof/>
          </w:rPr>
          <w:t>(b)</w:t>
        </w:r>
        <w:r w:rsidRPr="002358A2" w:rsidR="007B776F">
          <w:rPr>
            <w:rFonts w:eastAsiaTheme="minorEastAsia"/>
            <w:noProof/>
            <w:sz w:val="22"/>
            <w:szCs w:val="22"/>
            <w:lang w:val="fr-FR" w:eastAsia="fr-FR"/>
          </w:rPr>
          <w:tab/>
        </w:r>
        <w:r w:rsidRPr="002358A2" w:rsidR="007B776F">
          <w:rPr>
            <w:rStyle w:val="Hyperlink"/>
            <w:noProof/>
          </w:rPr>
          <w:t>Second objection</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_Toc107950879 \h </w:instrText>
        </w:r>
        <w:r w:rsidRPr="002358A2" w:rsidR="007B776F">
          <w:rPr>
            <w:noProof/>
            <w:webHidden/>
          </w:rPr>
        </w:r>
        <w:r w:rsidRPr="002358A2" w:rsidR="007B776F">
          <w:rPr>
            <w:noProof/>
            <w:webHidden/>
          </w:rPr>
          <w:fldChar w:fldCharType="separate"/>
        </w:r>
        <w:r w:rsidRPr="002358A2" w:rsidR="002358A2">
          <w:rPr>
            <w:noProof/>
            <w:webHidden/>
          </w:rPr>
          <w:t>34</w:t>
        </w:r>
        <w:r w:rsidRPr="002358A2" w:rsidR="007B776F">
          <w:rPr>
            <w:noProof/>
            <w:webHidden/>
          </w:rPr>
          <w:fldChar w:fldCharType="end"/>
        </w:r>
      </w:hyperlink>
    </w:p>
    <w:p w:rsidRPr="002358A2" w:rsidR="007B776F" w:rsidP="002358A2" w:rsidRDefault="0048368E" w14:paraId="590C0C8F" w14:textId="60F1DD15">
      <w:pPr>
        <w:pStyle w:val="TOC6"/>
        <w:tabs>
          <w:tab w:val="left" w:pos="2381"/>
        </w:tabs>
        <w:rPr>
          <w:rFonts w:eastAsiaTheme="minorEastAsia"/>
          <w:noProof/>
          <w:sz w:val="22"/>
          <w:szCs w:val="22"/>
          <w:lang w:val="fr-FR" w:eastAsia="fr-FR"/>
        </w:rPr>
      </w:pPr>
      <w:hyperlink w:history="1" w:anchor="_Toc107950880">
        <w:r w:rsidRPr="002358A2" w:rsidR="007B776F">
          <w:rPr>
            <w:rStyle w:val="Hyperlink"/>
            <w:noProof/>
            <w:lang w:bidi="en-US"/>
          </w:rPr>
          <w:t>(i)</w:t>
        </w:r>
        <w:r w:rsidRPr="002358A2" w:rsidR="007B776F">
          <w:rPr>
            <w:rFonts w:eastAsiaTheme="minorEastAsia"/>
            <w:noProof/>
            <w:sz w:val="22"/>
            <w:szCs w:val="22"/>
            <w:lang w:val="fr-FR" w:eastAsia="fr-FR"/>
          </w:rPr>
          <w:tab/>
        </w:r>
        <w:r w:rsidRPr="002358A2" w:rsidR="007B776F">
          <w:rPr>
            <w:rStyle w:val="Hyperlink"/>
            <w:noProof/>
            <w:lang w:bidi="en-US"/>
          </w:rPr>
          <w:t>The Government</w:t>
        </w:r>
        <w:r w:rsidRPr="002358A2" w:rsidR="002358A2">
          <w:rPr>
            <w:rStyle w:val="Hyperlink"/>
            <w:noProof/>
            <w:lang w:bidi="en-US"/>
          </w:rPr>
          <w:t>’</w:t>
        </w:r>
        <w:r w:rsidRPr="002358A2" w:rsidR="007B776F">
          <w:rPr>
            <w:rStyle w:val="Hyperlink"/>
            <w:noProof/>
            <w:lang w:bidi="en-US"/>
          </w:rPr>
          <w:t>s submissions</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_Toc107950880 \h </w:instrText>
        </w:r>
        <w:r w:rsidRPr="002358A2" w:rsidR="007B776F">
          <w:rPr>
            <w:noProof/>
            <w:webHidden/>
          </w:rPr>
        </w:r>
        <w:r w:rsidRPr="002358A2" w:rsidR="007B776F">
          <w:rPr>
            <w:noProof/>
            <w:webHidden/>
          </w:rPr>
          <w:fldChar w:fldCharType="separate"/>
        </w:r>
        <w:r w:rsidRPr="002358A2" w:rsidR="002358A2">
          <w:rPr>
            <w:noProof/>
            <w:webHidden/>
          </w:rPr>
          <w:t>34</w:t>
        </w:r>
        <w:r w:rsidRPr="002358A2" w:rsidR="007B776F">
          <w:rPr>
            <w:noProof/>
            <w:webHidden/>
          </w:rPr>
          <w:fldChar w:fldCharType="end"/>
        </w:r>
      </w:hyperlink>
    </w:p>
    <w:p w:rsidRPr="002358A2" w:rsidR="007B776F" w:rsidP="002358A2" w:rsidRDefault="0048368E" w14:paraId="3E4AB758" w14:textId="625C03CE">
      <w:pPr>
        <w:pStyle w:val="TOC6"/>
        <w:tabs>
          <w:tab w:val="left" w:pos="2381"/>
        </w:tabs>
        <w:rPr>
          <w:rFonts w:eastAsiaTheme="minorEastAsia"/>
          <w:noProof/>
          <w:sz w:val="22"/>
          <w:szCs w:val="22"/>
          <w:lang w:val="fr-FR" w:eastAsia="fr-FR"/>
        </w:rPr>
      </w:pPr>
      <w:hyperlink w:history="1" w:anchor="_Toc107950881">
        <w:r w:rsidRPr="002358A2" w:rsidR="007B776F">
          <w:rPr>
            <w:rStyle w:val="Hyperlink"/>
            <w:noProof/>
            <w:lang w:bidi="en-US"/>
          </w:rPr>
          <w:t>(ii)</w:t>
        </w:r>
        <w:r w:rsidRPr="002358A2" w:rsidR="007B776F">
          <w:rPr>
            <w:rFonts w:eastAsiaTheme="minorEastAsia"/>
            <w:noProof/>
            <w:sz w:val="22"/>
            <w:szCs w:val="22"/>
            <w:lang w:val="fr-FR" w:eastAsia="fr-FR"/>
          </w:rPr>
          <w:tab/>
        </w:r>
        <w:r w:rsidRPr="002358A2" w:rsidR="007B776F">
          <w:rPr>
            <w:rStyle w:val="Hyperlink"/>
            <w:noProof/>
            <w:lang w:bidi="en-US"/>
          </w:rPr>
          <w:t>The Court</w:t>
        </w:r>
        <w:r w:rsidRPr="002358A2" w:rsidR="002358A2">
          <w:rPr>
            <w:rStyle w:val="Hyperlink"/>
            <w:noProof/>
            <w:lang w:bidi="en-US"/>
          </w:rPr>
          <w:t>’</w:t>
        </w:r>
        <w:r w:rsidRPr="002358A2" w:rsidR="007B776F">
          <w:rPr>
            <w:rStyle w:val="Hyperlink"/>
            <w:noProof/>
            <w:lang w:bidi="en-US"/>
          </w:rPr>
          <w:t>s assessment</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_Toc107950881 \h </w:instrText>
        </w:r>
        <w:r w:rsidRPr="002358A2" w:rsidR="007B776F">
          <w:rPr>
            <w:noProof/>
            <w:webHidden/>
          </w:rPr>
        </w:r>
        <w:r w:rsidRPr="002358A2" w:rsidR="007B776F">
          <w:rPr>
            <w:noProof/>
            <w:webHidden/>
          </w:rPr>
          <w:fldChar w:fldCharType="separate"/>
        </w:r>
        <w:r w:rsidRPr="002358A2" w:rsidR="002358A2">
          <w:rPr>
            <w:noProof/>
            <w:webHidden/>
          </w:rPr>
          <w:t>34</w:t>
        </w:r>
        <w:r w:rsidRPr="002358A2" w:rsidR="007B776F">
          <w:rPr>
            <w:noProof/>
            <w:webHidden/>
          </w:rPr>
          <w:fldChar w:fldCharType="end"/>
        </w:r>
      </w:hyperlink>
    </w:p>
    <w:p w:rsidRPr="002358A2" w:rsidR="007B776F" w:rsidP="002358A2" w:rsidRDefault="0048368E" w14:paraId="53688C4D" w14:textId="5F99B151">
      <w:pPr>
        <w:pStyle w:val="TOC4"/>
        <w:tabs>
          <w:tab w:val="left" w:pos="1701"/>
        </w:tabs>
        <w:rPr>
          <w:rFonts w:eastAsiaTheme="minorEastAsia"/>
          <w:noProof/>
          <w:sz w:val="22"/>
          <w:szCs w:val="22"/>
          <w:lang w:val="fr-FR" w:eastAsia="fr-FR"/>
        </w:rPr>
      </w:pPr>
      <w:hyperlink w:history="1" w:anchor="_Toc107950882">
        <w:r w:rsidRPr="002358A2" w:rsidR="007B776F">
          <w:rPr>
            <w:rStyle w:val="Hyperlink"/>
            <w:noProof/>
          </w:rPr>
          <w:t>2.</w:t>
        </w:r>
        <w:r w:rsidRPr="002358A2" w:rsidR="007B776F">
          <w:rPr>
            <w:rFonts w:eastAsiaTheme="minorEastAsia"/>
            <w:noProof/>
            <w:sz w:val="22"/>
            <w:szCs w:val="22"/>
            <w:lang w:val="fr-FR" w:eastAsia="fr-FR"/>
          </w:rPr>
          <w:tab/>
        </w:r>
        <w:r w:rsidRPr="002358A2" w:rsidR="007B776F">
          <w:rPr>
            <w:rStyle w:val="Hyperlink"/>
            <w:noProof/>
          </w:rPr>
          <w:t>The Court</w:t>
        </w:r>
        <w:r w:rsidRPr="002358A2" w:rsidR="002358A2">
          <w:rPr>
            <w:rStyle w:val="Hyperlink"/>
            <w:noProof/>
          </w:rPr>
          <w:t>’</w:t>
        </w:r>
        <w:r w:rsidRPr="002358A2" w:rsidR="007B776F">
          <w:rPr>
            <w:rStyle w:val="Hyperlink"/>
            <w:noProof/>
          </w:rPr>
          <w:t>s decision on the admissibility of the complaint</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_Toc107950882 \h </w:instrText>
        </w:r>
        <w:r w:rsidRPr="002358A2" w:rsidR="007B776F">
          <w:rPr>
            <w:noProof/>
            <w:webHidden/>
          </w:rPr>
        </w:r>
        <w:r w:rsidRPr="002358A2" w:rsidR="007B776F">
          <w:rPr>
            <w:noProof/>
            <w:webHidden/>
          </w:rPr>
          <w:fldChar w:fldCharType="separate"/>
        </w:r>
        <w:r w:rsidRPr="002358A2" w:rsidR="002358A2">
          <w:rPr>
            <w:noProof/>
            <w:webHidden/>
          </w:rPr>
          <w:t>35</w:t>
        </w:r>
        <w:r w:rsidRPr="002358A2" w:rsidR="007B776F">
          <w:rPr>
            <w:noProof/>
            <w:webHidden/>
          </w:rPr>
          <w:fldChar w:fldCharType="end"/>
        </w:r>
      </w:hyperlink>
    </w:p>
    <w:p w:rsidRPr="002358A2" w:rsidR="007B776F" w:rsidP="002358A2" w:rsidRDefault="0048368E" w14:paraId="6CDB3DF0" w14:textId="19113C65">
      <w:pPr>
        <w:pStyle w:val="TOC3"/>
        <w:tabs>
          <w:tab w:val="left" w:pos="1361"/>
        </w:tabs>
        <w:rPr>
          <w:rFonts w:eastAsiaTheme="minorEastAsia"/>
          <w:noProof/>
          <w:sz w:val="22"/>
          <w:szCs w:val="22"/>
          <w:lang w:val="fr-FR" w:eastAsia="fr-FR"/>
        </w:rPr>
      </w:pPr>
      <w:hyperlink w:history="1" w:anchor="_Toc107950883">
        <w:r w:rsidRPr="002358A2" w:rsidR="007B776F">
          <w:rPr>
            <w:rStyle w:val="Hyperlink"/>
            <w:noProof/>
          </w:rPr>
          <w:t>B.</w:t>
        </w:r>
        <w:r w:rsidRPr="002358A2" w:rsidR="007B776F">
          <w:rPr>
            <w:rFonts w:eastAsiaTheme="minorEastAsia"/>
            <w:noProof/>
            <w:sz w:val="22"/>
            <w:szCs w:val="22"/>
            <w:lang w:val="fr-FR" w:eastAsia="fr-FR"/>
          </w:rPr>
          <w:tab/>
        </w:r>
        <w:r w:rsidRPr="002358A2" w:rsidR="007B776F">
          <w:rPr>
            <w:rStyle w:val="Hyperlink"/>
            <w:noProof/>
          </w:rPr>
          <w:t>Merits</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_Toc107950883 \h </w:instrText>
        </w:r>
        <w:r w:rsidRPr="002358A2" w:rsidR="007B776F">
          <w:rPr>
            <w:noProof/>
            <w:webHidden/>
          </w:rPr>
        </w:r>
        <w:r w:rsidRPr="002358A2" w:rsidR="007B776F">
          <w:rPr>
            <w:noProof/>
            <w:webHidden/>
          </w:rPr>
          <w:fldChar w:fldCharType="separate"/>
        </w:r>
        <w:r w:rsidRPr="002358A2" w:rsidR="002358A2">
          <w:rPr>
            <w:noProof/>
            <w:webHidden/>
          </w:rPr>
          <w:t>35</w:t>
        </w:r>
        <w:r w:rsidRPr="002358A2" w:rsidR="007B776F">
          <w:rPr>
            <w:noProof/>
            <w:webHidden/>
          </w:rPr>
          <w:fldChar w:fldCharType="end"/>
        </w:r>
      </w:hyperlink>
    </w:p>
    <w:p w:rsidRPr="002358A2" w:rsidR="007B776F" w:rsidP="002358A2" w:rsidRDefault="0048368E" w14:paraId="31E40378" w14:textId="40765457">
      <w:pPr>
        <w:pStyle w:val="TOC4"/>
        <w:tabs>
          <w:tab w:val="left" w:pos="1701"/>
        </w:tabs>
        <w:rPr>
          <w:rFonts w:eastAsiaTheme="minorEastAsia"/>
          <w:noProof/>
          <w:sz w:val="22"/>
          <w:szCs w:val="22"/>
          <w:lang w:val="fr-FR" w:eastAsia="fr-FR"/>
        </w:rPr>
      </w:pPr>
      <w:hyperlink w:history="1" w:anchor="_Toc107950884">
        <w:r w:rsidRPr="002358A2" w:rsidR="007B776F">
          <w:rPr>
            <w:rStyle w:val="Hyperlink"/>
            <w:noProof/>
          </w:rPr>
          <w:t>1.</w:t>
        </w:r>
        <w:r w:rsidRPr="002358A2" w:rsidR="007B776F">
          <w:rPr>
            <w:rFonts w:eastAsiaTheme="minorEastAsia"/>
            <w:noProof/>
            <w:sz w:val="22"/>
            <w:szCs w:val="22"/>
            <w:lang w:val="fr-FR" w:eastAsia="fr-FR"/>
          </w:rPr>
          <w:tab/>
        </w:r>
        <w:r w:rsidRPr="002358A2" w:rsidR="007B776F">
          <w:rPr>
            <w:rStyle w:val="Hyperlink"/>
            <w:noProof/>
          </w:rPr>
          <w:t>The parties</w:t>
        </w:r>
        <w:r w:rsidRPr="002358A2" w:rsidR="002358A2">
          <w:rPr>
            <w:rStyle w:val="Hyperlink"/>
            <w:noProof/>
          </w:rPr>
          <w:t>’</w:t>
        </w:r>
        <w:r w:rsidRPr="002358A2" w:rsidR="007B776F">
          <w:rPr>
            <w:rStyle w:val="Hyperlink"/>
            <w:noProof/>
          </w:rPr>
          <w:t xml:space="preserve"> submissions</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_Toc107950884 \h </w:instrText>
        </w:r>
        <w:r w:rsidRPr="002358A2" w:rsidR="007B776F">
          <w:rPr>
            <w:noProof/>
            <w:webHidden/>
          </w:rPr>
        </w:r>
        <w:r w:rsidRPr="002358A2" w:rsidR="007B776F">
          <w:rPr>
            <w:noProof/>
            <w:webHidden/>
          </w:rPr>
          <w:fldChar w:fldCharType="separate"/>
        </w:r>
        <w:r w:rsidRPr="002358A2" w:rsidR="002358A2">
          <w:rPr>
            <w:noProof/>
            <w:webHidden/>
          </w:rPr>
          <w:t>35</w:t>
        </w:r>
        <w:r w:rsidRPr="002358A2" w:rsidR="007B776F">
          <w:rPr>
            <w:noProof/>
            <w:webHidden/>
          </w:rPr>
          <w:fldChar w:fldCharType="end"/>
        </w:r>
      </w:hyperlink>
    </w:p>
    <w:p w:rsidRPr="002358A2" w:rsidR="007B776F" w:rsidP="002358A2" w:rsidRDefault="0048368E" w14:paraId="1365DFFF" w14:textId="6E3AA812">
      <w:pPr>
        <w:pStyle w:val="TOC4"/>
        <w:tabs>
          <w:tab w:val="left" w:pos="1701"/>
        </w:tabs>
        <w:rPr>
          <w:rFonts w:eastAsiaTheme="minorEastAsia"/>
          <w:noProof/>
          <w:sz w:val="22"/>
          <w:szCs w:val="22"/>
          <w:lang w:val="fr-FR" w:eastAsia="fr-FR"/>
        </w:rPr>
      </w:pPr>
      <w:hyperlink w:history="1" w:anchor="_Toc107950885">
        <w:r w:rsidRPr="002358A2" w:rsidR="007B776F">
          <w:rPr>
            <w:rStyle w:val="Hyperlink"/>
            <w:noProof/>
          </w:rPr>
          <w:t>2.</w:t>
        </w:r>
        <w:r w:rsidRPr="002358A2" w:rsidR="007B776F">
          <w:rPr>
            <w:rFonts w:eastAsiaTheme="minorEastAsia"/>
            <w:noProof/>
            <w:sz w:val="22"/>
            <w:szCs w:val="22"/>
            <w:lang w:val="fr-FR" w:eastAsia="fr-FR"/>
          </w:rPr>
          <w:tab/>
        </w:r>
        <w:r w:rsidRPr="002358A2" w:rsidR="007B776F">
          <w:rPr>
            <w:rStyle w:val="Hyperlink"/>
            <w:noProof/>
          </w:rPr>
          <w:t>The Court</w:t>
        </w:r>
        <w:r w:rsidRPr="002358A2" w:rsidR="002358A2">
          <w:rPr>
            <w:rStyle w:val="Hyperlink"/>
            <w:noProof/>
          </w:rPr>
          <w:t>’</w:t>
        </w:r>
        <w:r w:rsidRPr="002358A2" w:rsidR="007B776F">
          <w:rPr>
            <w:rStyle w:val="Hyperlink"/>
            <w:noProof/>
          </w:rPr>
          <w:t>s assessment</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_Toc107950885 \h </w:instrText>
        </w:r>
        <w:r w:rsidRPr="002358A2" w:rsidR="007B776F">
          <w:rPr>
            <w:noProof/>
            <w:webHidden/>
          </w:rPr>
        </w:r>
        <w:r w:rsidRPr="002358A2" w:rsidR="007B776F">
          <w:rPr>
            <w:noProof/>
            <w:webHidden/>
          </w:rPr>
          <w:fldChar w:fldCharType="separate"/>
        </w:r>
        <w:r w:rsidRPr="002358A2" w:rsidR="002358A2">
          <w:rPr>
            <w:noProof/>
            <w:webHidden/>
          </w:rPr>
          <w:t>36</w:t>
        </w:r>
        <w:r w:rsidRPr="002358A2" w:rsidR="007B776F">
          <w:rPr>
            <w:noProof/>
            <w:webHidden/>
          </w:rPr>
          <w:fldChar w:fldCharType="end"/>
        </w:r>
      </w:hyperlink>
    </w:p>
    <w:p w:rsidRPr="002358A2" w:rsidR="007B776F" w:rsidP="002358A2" w:rsidRDefault="0048368E" w14:paraId="464F0577" w14:textId="543A871B">
      <w:pPr>
        <w:pStyle w:val="TOC2"/>
        <w:tabs>
          <w:tab w:val="left" w:pos="1020"/>
        </w:tabs>
        <w:rPr>
          <w:rFonts w:eastAsiaTheme="minorEastAsia"/>
          <w:noProof/>
          <w:szCs w:val="22"/>
          <w:lang w:val="fr-FR" w:eastAsia="fr-FR"/>
        </w:rPr>
      </w:pPr>
      <w:hyperlink w:history="1" w:anchor="_Toc107950886">
        <w:r w:rsidRPr="002358A2" w:rsidR="007B776F">
          <w:rPr>
            <w:rStyle w:val="Hyperlink"/>
            <w:noProof/>
          </w:rPr>
          <w:t>VI.</w:t>
        </w:r>
        <w:r w:rsidRPr="002358A2" w:rsidR="007B776F">
          <w:rPr>
            <w:rFonts w:eastAsiaTheme="minorEastAsia"/>
            <w:noProof/>
            <w:szCs w:val="22"/>
            <w:lang w:val="fr-FR" w:eastAsia="fr-FR"/>
          </w:rPr>
          <w:tab/>
        </w:r>
        <w:r w:rsidRPr="002358A2" w:rsidR="007B776F">
          <w:rPr>
            <w:rStyle w:val="Hyperlink"/>
            <w:noProof/>
          </w:rPr>
          <w:t>ALLEGED VIOLATION OF ARTICLE 1 OF PROTOCOL No. 1</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_Toc107950886 \h </w:instrText>
        </w:r>
        <w:r w:rsidRPr="002358A2" w:rsidR="007B776F">
          <w:rPr>
            <w:noProof/>
            <w:webHidden/>
          </w:rPr>
        </w:r>
        <w:r w:rsidRPr="002358A2" w:rsidR="007B776F">
          <w:rPr>
            <w:noProof/>
            <w:webHidden/>
          </w:rPr>
          <w:fldChar w:fldCharType="separate"/>
        </w:r>
        <w:r w:rsidRPr="002358A2" w:rsidR="002358A2">
          <w:rPr>
            <w:noProof/>
            <w:webHidden/>
          </w:rPr>
          <w:t>38</w:t>
        </w:r>
        <w:r w:rsidRPr="002358A2" w:rsidR="007B776F">
          <w:rPr>
            <w:noProof/>
            <w:webHidden/>
          </w:rPr>
          <w:fldChar w:fldCharType="end"/>
        </w:r>
      </w:hyperlink>
    </w:p>
    <w:p w:rsidRPr="002358A2" w:rsidR="007B776F" w:rsidP="002358A2" w:rsidRDefault="0048368E" w14:paraId="6091792D" w14:textId="2EA6C9BD">
      <w:pPr>
        <w:pStyle w:val="TOC3"/>
        <w:tabs>
          <w:tab w:val="left" w:pos="1361"/>
        </w:tabs>
        <w:rPr>
          <w:rFonts w:eastAsiaTheme="minorEastAsia"/>
          <w:noProof/>
          <w:sz w:val="22"/>
          <w:szCs w:val="22"/>
          <w:lang w:val="fr-FR" w:eastAsia="fr-FR"/>
        </w:rPr>
      </w:pPr>
      <w:hyperlink w:history="1" w:anchor="_Toc107950887">
        <w:r w:rsidRPr="002358A2" w:rsidR="007B776F">
          <w:rPr>
            <w:rStyle w:val="Hyperlink"/>
            <w:noProof/>
          </w:rPr>
          <w:t>A.</w:t>
        </w:r>
        <w:r w:rsidRPr="002358A2" w:rsidR="007B776F">
          <w:rPr>
            <w:rFonts w:eastAsiaTheme="minorEastAsia"/>
            <w:noProof/>
            <w:sz w:val="22"/>
            <w:szCs w:val="22"/>
            <w:lang w:val="fr-FR" w:eastAsia="fr-FR"/>
          </w:rPr>
          <w:tab/>
        </w:r>
        <w:r w:rsidRPr="002358A2" w:rsidR="007B776F">
          <w:rPr>
            <w:rStyle w:val="Hyperlink"/>
            <w:noProof/>
          </w:rPr>
          <w:t>Whether a separate examination of the complaints is necessary</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_Toc107950887 \h </w:instrText>
        </w:r>
        <w:r w:rsidRPr="002358A2" w:rsidR="007B776F">
          <w:rPr>
            <w:noProof/>
            <w:webHidden/>
          </w:rPr>
        </w:r>
        <w:r w:rsidRPr="002358A2" w:rsidR="007B776F">
          <w:rPr>
            <w:noProof/>
            <w:webHidden/>
          </w:rPr>
          <w:fldChar w:fldCharType="separate"/>
        </w:r>
        <w:r w:rsidRPr="002358A2" w:rsidR="002358A2">
          <w:rPr>
            <w:noProof/>
            <w:webHidden/>
          </w:rPr>
          <w:t>38</w:t>
        </w:r>
        <w:r w:rsidRPr="002358A2" w:rsidR="007B776F">
          <w:rPr>
            <w:noProof/>
            <w:webHidden/>
          </w:rPr>
          <w:fldChar w:fldCharType="end"/>
        </w:r>
      </w:hyperlink>
    </w:p>
    <w:p w:rsidRPr="002358A2" w:rsidR="007B776F" w:rsidP="002358A2" w:rsidRDefault="0048368E" w14:paraId="47E2901C" w14:textId="702BBC47">
      <w:pPr>
        <w:pStyle w:val="TOC3"/>
        <w:tabs>
          <w:tab w:val="left" w:pos="1361"/>
        </w:tabs>
        <w:rPr>
          <w:rFonts w:eastAsiaTheme="minorEastAsia"/>
          <w:noProof/>
          <w:sz w:val="22"/>
          <w:szCs w:val="22"/>
          <w:lang w:val="fr-FR" w:eastAsia="fr-FR"/>
        </w:rPr>
      </w:pPr>
      <w:hyperlink w:history="1" w:anchor="_Toc107950888">
        <w:r w:rsidRPr="002358A2" w:rsidR="007B776F">
          <w:rPr>
            <w:rStyle w:val="Hyperlink"/>
            <w:noProof/>
          </w:rPr>
          <w:t>B.</w:t>
        </w:r>
        <w:r w:rsidRPr="002358A2" w:rsidR="007B776F">
          <w:rPr>
            <w:rFonts w:eastAsiaTheme="minorEastAsia"/>
            <w:noProof/>
            <w:sz w:val="22"/>
            <w:szCs w:val="22"/>
            <w:lang w:val="fr-FR" w:eastAsia="fr-FR"/>
          </w:rPr>
          <w:tab/>
        </w:r>
        <w:r w:rsidRPr="002358A2" w:rsidR="007B776F">
          <w:rPr>
            <w:rStyle w:val="Hyperlink"/>
            <w:noProof/>
          </w:rPr>
          <w:t>Admissibility</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_Toc107950888 \h </w:instrText>
        </w:r>
        <w:r w:rsidRPr="002358A2" w:rsidR="007B776F">
          <w:rPr>
            <w:noProof/>
            <w:webHidden/>
          </w:rPr>
        </w:r>
        <w:r w:rsidRPr="002358A2" w:rsidR="007B776F">
          <w:rPr>
            <w:noProof/>
            <w:webHidden/>
          </w:rPr>
          <w:fldChar w:fldCharType="separate"/>
        </w:r>
        <w:r w:rsidRPr="002358A2" w:rsidR="002358A2">
          <w:rPr>
            <w:noProof/>
            <w:webHidden/>
          </w:rPr>
          <w:t>39</w:t>
        </w:r>
        <w:r w:rsidRPr="002358A2" w:rsidR="007B776F">
          <w:rPr>
            <w:noProof/>
            <w:webHidden/>
          </w:rPr>
          <w:fldChar w:fldCharType="end"/>
        </w:r>
      </w:hyperlink>
    </w:p>
    <w:p w:rsidRPr="002358A2" w:rsidR="007B776F" w:rsidP="002358A2" w:rsidRDefault="0048368E" w14:paraId="59BF5710" w14:textId="1A7B2E9E">
      <w:pPr>
        <w:pStyle w:val="TOC3"/>
        <w:tabs>
          <w:tab w:val="left" w:pos="1361"/>
        </w:tabs>
        <w:rPr>
          <w:rFonts w:eastAsiaTheme="minorEastAsia"/>
          <w:noProof/>
          <w:sz w:val="22"/>
          <w:szCs w:val="22"/>
          <w:lang w:val="fr-FR" w:eastAsia="fr-FR"/>
        </w:rPr>
      </w:pPr>
      <w:hyperlink w:history="1" w:anchor="_Toc107950889">
        <w:r w:rsidRPr="002358A2" w:rsidR="007B776F">
          <w:rPr>
            <w:rStyle w:val="Hyperlink"/>
            <w:noProof/>
          </w:rPr>
          <w:t>C.</w:t>
        </w:r>
        <w:r w:rsidRPr="002358A2" w:rsidR="007B776F">
          <w:rPr>
            <w:rFonts w:eastAsiaTheme="minorEastAsia"/>
            <w:noProof/>
            <w:sz w:val="22"/>
            <w:szCs w:val="22"/>
            <w:lang w:val="fr-FR" w:eastAsia="fr-FR"/>
          </w:rPr>
          <w:tab/>
        </w:r>
        <w:r w:rsidRPr="002358A2" w:rsidR="007B776F">
          <w:rPr>
            <w:rStyle w:val="Hyperlink"/>
            <w:noProof/>
          </w:rPr>
          <w:t>Merits</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_Toc107950889 \h </w:instrText>
        </w:r>
        <w:r w:rsidRPr="002358A2" w:rsidR="007B776F">
          <w:rPr>
            <w:noProof/>
            <w:webHidden/>
          </w:rPr>
        </w:r>
        <w:r w:rsidRPr="002358A2" w:rsidR="007B776F">
          <w:rPr>
            <w:noProof/>
            <w:webHidden/>
          </w:rPr>
          <w:fldChar w:fldCharType="separate"/>
        </w:r>
        <w:r w:rsidRPr="002358A2" w:rsidR="002358A2">
          <w:rPr>
            <w:noProof/>
            <w:webHidden/>
          </w:rPr>
          <w:t>39</w:t>
        </w:r>
        <w:r w:rsidRPr="002358A2" w:rsidR="007B776F">
          <w:rPr>
            <w:noProof/>
            <w:webHidden/>
          </w:rPr>
          <w:fldChar w:fldCharType="end"/>
        </w:r>
      </w:hyperlink>
    </w:p>
    <w:p w:rsidRPr="002358A2" w:rsidR="007B776F" w:rsidP="002358A2" w:rsidRDefault="0048368E" w14:paraId="1C7BF94D" w14:textId="720F0E6E">
      <w:pPr>
        <w:pStyle w:val="TOC4"/>
        <w:tabs>
          <w:tab w:val="left" w:pos="1701"/>
        </w:tabs>
        <w:rPr>
          <w:rFonts w:eastAsiaTheme="minorEastAsia"/>
          <w:noProof/>
          <w:sz w:val="22"/>
          <w:szCs w:val="22"/>
          <w:lang w:val="fr-FR" w:eastAsia="fr-FR"/>
        </w:rPr>
      </w:pPr>
      <w:hyperlink w:history="1" w:anchor="_Toc107950890">
        <w:r w:rsidRPr="002358A2" w:rsidR="007B776F">
          <w:rPr>
            <w:rStyle w:val="Hyperlink"/>
            <w:noProof/>
          </w:rPr>
          <w:t>1.</w:t>
        </w:r>
        <w:r w:rsidRPr="002358A2" w:rsidR="007B776F">
          <w:rPr>
            <w:rFonts w:eastAsiaTheme="minorEastAsia"/>
            <w:noProof/>
            <w:sz w:val="22"/>
            <w:szCs w:val="22"/>
            <w:lang w:val="fr-FR" w:eastAsia="fr-FR"/>
          </w:rPr>
          <w:tab/>
        </w:r>
        <w:r w:rsidRPr="002358A2" w:rsidR="007B776F">
          <w:rPr>
            <w:rStyle w:val="Hyperlink"/>
            <w:noProof/>
          </w:rPr>
          <w:t>The parties</w:t>
        </w:r>
        <w:r w:rsidRPr="002358A2" w:rsidR="002358A2">
          <w:rPr>
            <w:rStyle w:val="Hyperlink"/>
            <w:noProof/>
          </w:rPr>
          <w:t>’</w:t>
        </w:r>
        <w:r w:rsidRPr="002358A2" w:rsidR="007B776F">
          <w:rPr>
            <w:rStyle w:val="Hyperlink"/>
            <w:noProof/>
          </w:rPr>
          <w:t xml:space="preserve"> submissions</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_Toc107950890 \h </w:instrText>
        </w:r>
        <w:r w:rsidRPr="002358A2" w:rsidR="007B776F">
          <w:rPr>
            <w:noProof/>
            <w:webHidden/>
          </w:rPr>
        </w:r>
        <w:r w:rsidRPr="002358A2" w:rsidR="007B776F">
          <w:rPr>
            <w:noProof/>
            <w:webHidden/>
          </w:rPr>
          <w:fldChar w:fldCharType="separate"/>
        </w:r>
        <w:r w:rsidRPr="002358A2" w:rsidR="002358A2">
          <w:rPr>
            <w:noProof/>
            <w:webHidden/>
          </w:rPr>
          <w:t>39</w:t>
        </w:r>
        <w:r w:rsidRPr="002358A2" w:rsidR="007B776F">
          <w:rPr>
            <w:noProof/>
            <w:webHidden/>
          </w:rPr>
          <w:fldChar w:fldCharType="end"/>
        </w:r>
      </w:hyperlink>
    </w:p>
    <w:p w:rsidRPr="002358A2" w:rsidR="007B776F" w:rsidP="002358A2" w:rsidRDefault="0048368E" w14:paraId="5B17B572" w14:textId="0C58D28D">
      <w:pPr>
        <w:pStyle w:val="TOC5"/>
        <w:tabs>
          <w:tab w:val="left" w:pos="2041"/>
        </w:tabs>
        <w:rPr>
          <w:rFonts w:eastAsiaTheme="minorEastAsia"/>
          <w:noProof/>
          <w:sz w:val="22"/>
          <w:szCs w:val="22"/>
          <w:lang w:val="fr-FR" w:eastAsia="fr-FR"/>
        </w:rPr>
      </w:pPr>
      <w:hyperlink w:history="1" w:anchor="_Toc107950891">
        <w:r w:rsidRPr="002358A2" w:rsidR="007B776F">
          <w:rPr>
            <w:rStyle w:val="Hyperlink"/>
            <w:noProof/>
          </w:rPr>
          <w:t>(a)</w:t>
        </w:r>
        <w:r w:rsidRPr="002358A2" w:rsidR="007B776F">
          <w:rPr>
            <w:rFonts w:eastAsiaTheme="minorEastAsia"/>
            <w:noProof/>
            <w:sz w:val="22"/>
            <w:szCs w:val="22"/>
            <w:lang w:val="fr-FR" w:eastAsia="fr-FR"/>
          </w:rPr>
          <w:tab/>
        </w:r>
        <w:r w:rsidRPr="002358A2" w:rsidR="007B776F">
          <w:rPr>
            <w:rStyle w:val="Hyperlink"/>
            <w:noProof/>
          </w:rPr>
          <w:t>KTB</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_Toc107950891 \h </w:instrText>
        </w:r>
        <w:r w:rsidRPr="002358A2" w:rsidR="007B776F">
          <w:rPr>
            <w:noProof/>
            <w:webHidden/>
          </w:rPr>
        </w:r>
        <w:r w:rsidRPr="002358A2" w:rsidR="007B776F">
          <w:rPr>
            <w:noProof/>
            <w:webHidden/>
          </w:rPr>
          <w:fldChar w:fldCharType="separate"/>
        </w:r>
        <w:r w:rsidRPr="002358A2" w:rsidR="002358A2">
          <w:rPr>
            <w:noProof/>
            <w:webHidden/>
          </w:rPr>
          <w:t>39</w:t>
        </w:r>
        <w:r w:rsidRPr="002358A2" w:rsidR="007B776F">
          <w:rPr>
            <w:noProof/>
            <w:webHidden/>
          </w:rPr>
          <w:fldChar w:fldCharType="end"/>
        </w:r>
      </w:hyperlink>
    </w:p>
    <w:p w:rsidRPr="002358A2" w:rsidR="007B776F" w:rsidP="002358A2" w:rsidRDefault="0048368E" w14:paraId="3798B247" w14:textId="03FE0777">
      <w:pPr>
        <w:pStyle w:val="TOC5"/>
        <w:tabs>
          <w:tab w:val="left" w:pos="2041"/>
        </w:tabs>
        <w:rPr>
          <w:rFonts w:eastAsiaTheme="minorEastAsia"/>
          <w:noProof/>
          <w:sz w:val="22"/>
          <w:szCs w:val="22"/>
          <w:lang w:val="fr-FR" w:eastAsia="fr-FR"/>
        </w:rPr>
      </w:pPr>
      <w:hyperlink w:history="1" w:anchor="_Toc107950892">
        <w:r w:rsidRPr="002358A2" w:rsidR="007B776F">
          <w:rPr>
            <w:rStyle w:val="Hyperlink"/>
            <w:noProof/>
          </w:rPr>
          <w:t>(b)</w:t>
        </w:r>
        <w:r w:rsidRPr="002358A2" w:rsidR="007B776F">
          <w:rPr>
            <w:rFonts w:eastAsiaTheme="minorEastAsia"/>
            <w:noProof/>
            <w:sz w:val="22"/>
            <w:szCs w:val="22"/>
            <w:lang w:val="fr-FR" w:eastAsia="fr-FR"/>
          </w:rPr>
          <w:tab/>
        </w:r>
        <w:r w:rsidRPr="002358A2" w:rsidR="007B776F">
          <w:rPr>
            <w:rStyle w:val="Hyperlink"/>
            <w:noProof/>
          </w:rPr>
          <w:t>The Government</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_Toc107950892 \h </w:instrText>
        </w:r>
        <w:r w:rsidRPr="002358A2" w:rsidR="007B776F">
          <w:rPr>
            <w:noProof/>
            <w:webHidden/>
          </w:rPr>
        </w:r>
        <w:r w:rsidRPr="002358A2" w:rsidR="007B776F">
          <w:rPr>
            <w:noProof/>
            <w:webHidden/>
          </w:rPr>
          <w:fldChar w:fldCharType="separate"/>
        </w:r>
        <w:r w:rsidRPr="002358A2" w:rsidR="002358A2">
          <w:rPr>
            <w:noProof/>
            <w:webHidden/>
          </w:rPr>
          <w:t>40</w:t>
        </w:r>
        <w:r w:rsidRPr="002358A2" w:rsidR="007B776F">
          <w:rPr>
            <w:noProof/>
            <w:webHidden/>
          </w:rPr>
          <w:fldChar w:fldCharType="end"/>
        </w:r>
      </w:hyperlink>
    </w:p>
    <w:p w:rsidRPr="002358A2" w:rsidR="007B776F" w:rsidP="002358A2" w:rsidRDefault="0048368E" w14:paraId="77FC1BCA" w14:textId="6F036D7D">
      <w:pPr>
        <w:pStyle w:val="TOC4"/>
        <w:tabs>
          <w:tab w:val="left" w:pos="1701"/>
        </w:tabs>
        <w:rPr>
          <w:rFonts w:eastAsiaTheme="minorEastAsia"/>
          <w:noProof/>
          <w:sz w:val="22"/>
          <w:szCs w:val="22"/>
          <w:lang w:val="fr-FR" w:eastAsia="fr-FR"/>
        </w:rPr>
      </w:pPr>
      <w:hyperlink w:history="1" w:anchor="_Toc107950893">
        <w:r w:rsidRPr="002358A2" w:rsidR="007B776F">
          <w:rPr>
            <w:rStyle w:val="Hyperlink"/>
            <w:noProof/>
          </w:rPr>
          <w:t>2.</w:t>
        </w:r>
        <w:r w:rsidRPr="002358A2" w:rsidR="007B776F">
          <w:rPr>
            <w:rFonts w:eastAsiaTheme="minorEastAsia"/>
            <w:noProof/>
            <w:sz w:val="22"/>
            <w:szCs w:val="22"/>
            <w:lang w:val="fr-FR" w:eastAsia="fr-FR"/>
          </w:rPr>
          <w:tab/>
        </w:r>
        <w:r w:rsidRPr="002358A2" w:rsidR="007B776F">
          <w:rPr>
            <w:rStyle w:val="Hyperlink"/>
            <w:noProof/>
          </w:rPr>
          <w:t>The Court</w:t>
        </w:r>
        <w:r w:rsidRPr="002358A2" w:rsidR="002358A2">
          <w:rPr>
            <w:rStyle w:val="Hyperlink"/>
            <w:noProof/>
          </w:rPr>
          <w:t>’</w:t>
        </w:r>
        <w:r w:rsidRPr="002358A2" w:rsidR="007B776F">
          <w:rPr>
            <w:rStyle w:val="Hyperlink"/>
            <w:noProof/>
          </w:rPr>
          <w:t>s assessment</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_Toc107950893 \h </w:instrText>
        </w:r>
        <w:r w:rsidRPr="002358A2" w:rsidR="007B776F">
          <w:rPr>
            <w:noProof/>
            <w:webHidden/>
          </w:rPr>
        </w:r>
        <w:r w:rsidRPr="002358A2" w:rsidR="007B776F">
          <w:rPr>
            <w:noProof/>
            <w:webHidden/>
          </w:rPr>
          <w:fldChar w:fldCharType="separate"/>
        </w:r>
        <w:r w:rsidRPr="002358A2" w:rsidR="002358A2">
          <w:rPr>
            <w:noProof/>
            <w:webHidden/>
          </w:rPr>
          <w:t>40</w:t>
        </w:r>
        <w:r w:rsidRPr="002358A2" w:rsidR="007B776F">
          <w:rPr>
            <w:noProof/>
            <w:webHidden/>
          </w:rPr>
          <w:fldChar w:fldCharType="end"/>
        </w:r>
      </w:hyperlink>
    </w:p>
    <w:p w:rsidRPr="002358A2" w:rsidR="007B776F" w:rsidP="002358A2" w:rsidRDefault="0048368E" w14:paraId="1DC317F6" w14:textId="566B716B">
      <w:pPr>
        <w:pStyle w:val="TOC2"/>
        <w:tabs>
          <w:tab w:val="left" w:pos="1020"/>
        </w:tabs>
        <w:rPr>
          <w:rFonts w:eastAsiaTheme="minorEastAsia"/>
          <w:noProof/>
          <w:szCs w:val="22"/>
          <w:lang w:val="fr-FR" w:eastAsia="fr-FR"/>
        </w:rPr>
      </w:pPr>
      <w:hyperlink w:history="1" w:anchor="_Toc107950894">
        <w:r w:rsidRPr="002358A2" w:rsidR="007B776F">
          <w:rPr>
            <w:rStyle w:val="Hyperlink"/>
            <w:noProof/>
          </w:rPr>
          <w:t>VII.</w:t>
        </w:r>
        <w:r w:rsidRPr="002358A2" w:rsidR="007B776F">
          <w:rPr>
            <w:rFonts w:eastAsiaTheme="minorEastAsia"/>
            <w:noProof/>
            <w:szCs w:val="22"/>
            <w:lang w:val="fr-FR" w:eastAsia="fr-FR"/>
          </w:rPr>
          <w:tab/>
        </w:r>
        <w:r w:rsidRPr="002358A2" w:rsidR="007B776F">
          <w:rPr>
            <w:rStyle w:val="Hyperlink"/>
            <w:noProof/>
          </w:rPr>
          <w:t>ALLEGED VIOLATION OF ARTICLE 13 OF THE CONVENTION</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_Toc107950894 \h </w:instrText>
        </w:r>
        <w:r w:rsidRPr="002358A2" w:rsidR="007B776F">
          <w:rPr>
            <w:noProof/>
            <w:webHidden/>
          </w:rPr>
        </w:r>
        <w:r w:rsidRPr="002358A2" w:rsidR="007B776F">
          <w:rPr>
            <w:noProof/>
            <w:webHidden/>
          </w:rPr>
          <w:fldChar w:fldCharType="separate"/>
        </w:r>
        <w:r w:rsidRPr="002358A2" w:rsidR="002358A2">
          <w:rPr>
            <w:noProof/>
            <w:webHidden/>
          </w:rPr>
          <w:t>41</w:t>
        </w:r>
        <w:r w:rsidRPr="002358A2" w:rsidR="007B776F">
          <w:rPr>
            <w:noProof/>
            <w:webHidden/>
          </w:rPr>
          <w:fldChar w:fldCharType="end"/>
        </w:r>
      </w:hyperlink>
    </w:p>
    <w:p w:rsidRPr="002358A2" w:rsidR="007B776F" w:rsidP="002358A2" w:rsidRDefault="0048368E" w14:paraId="607AEA58" w14:textId="2B4FAE22">
      <w:pPr>
        <w:pStyle w:val="TOC3"/>
        <w:tabs>
          <w:tab w:val="left" w:pos="1361"/>
        </w:tabs>
        <w:rPr>
          <w:rFonts w:eastAsiaTheme="minorEastAsia"/>
          <w:noProof/>
          <w:sz w:val="22"/>
          <w:szCs w:val="22"/>
          <w:lang w:val="fr-FR" w:eastAsia="fr-FR"/>
        </w:rPr>
      </w:pPr>
      <w:hyperlink w:history="1" w:anchor="_Toc107950895">
        <w:r w:rsidRPr="002358A2" w:rsidR="007B776F">
          <w:rPr>
            <w:rStyle w:val="Hyperlink"/>
            <w:noProof/>
          </w:rPr>
          <w:t>A.</w:t>
        </w:r>
        <w:r w:rsidRPr="002358A2" w:rsidR="007B776F">
          <w:rPr>
            <w:rFonts w:eastAsiaTheme="minorEastAsia"/>
            <w:noProof/>
            <w:sz w:val="22"/>
            <w:szCs w:val="22"/>
            <w:lang w:val="fr-FR" w:eastAsia="fr-FR"/>
          </w:rPr>
          <w:tab/>
        </w:r>
        <w:r w:rsidRPr="002358A2" w:rsidR="007B776F">
          <w:rPr>
            <w:rStyle w:val="Hyperlink"/>
            <w:noProof/>
          </w:rPr>
          <w:t>The parties</w:t>
        </w:r>
        <w:r w:rsidRPr="002358A2" w:rsidR="002358A2">
          <w:rPr>
            <w:rStyle w:val="Hyperlink"/>
            <w:noProof/>
          </w:rPr>
          <w:t>’</w:t>
        </w:r>
        <w:r w:rsidRPr="002358A2" w:rsidR="007B776F">
          <w:rPr>
            <w:rStyle w:val="Hyperlink"/>
            <w:noProof/>
          </w:rPr>
          <w:t xml:space="preserve"> submissions</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_Toc107950895 \h </w:instrText>
        </w:r>
        <w:r w:rsidRPr="002358A2" w:rsidR="007B776F">
          <w:rPr>
            <w:noProof/>
            <w:webHidden/>
          </w:rPr>
        </w:r>
        <w:r w:rsidRPr="002358A2" w:rsidR="007B776F">
          <w:rPr>
            <w:noProof/>
            <w:webHidden/>
          </w:rPr>
          <w:fldChar w:fldCharType="separate"/>
        </w:r>
        <w:r w:rsidRPr="002358A2" w:rsidR="002358A2">
          <w:rPr>
            <w:noProof/>
            <w:webHidden/>
          </w:rPr>
          <w:t>42</w:t>
        </w:r>
        <w:r w:rsidRPr="002358A2" w:rsidR="007B776F">
          <w:rPr>
            <w:noProof/>
            <w:webHidden/>
          </w:rPr>
          <w:fldChar w:fldCharType="end"/>
        </w:r>
      </w:hyperlink>
    </w:p>
    <w:p w:rsidRPr="002358A2" w:rsidR="007B776F" w:rsidP="002358A2" w:rsidRDefault="0048368E" w14:paraId="667D11BA" w14:textId="3D68E111">
      <w:pPr>
        <w:pStyle w:val="TOC3"/>
        <w:tabs>
          <w:tab w:val="left" w:pos="1361"/>
        </w:tabs>
        <w:rPr>
          <w:rFonts w:eastAsiaTheme="minorEastAsia"/>
          <w:noProof/>
          <w:sz w:val="22"/>
          <w:szCs w:val="22"/>
          <w:lang w:val="fr-FR" w:eastAsia="fr-FR"/>
        </w:rPr>
      </w:pPr>
      <w:hyperlink w:history="1" w:anchor="_Toc107950896">
        <w:r w:rsidRPr="002358A2" w:rsidR="007B776F">
          <w:rPr>
            <w:rStyle w:val="Hyperlink"/>
            <w:noProof/>
          </w:rPr>
          <w:t>B.</w:t>
        </w:r>
        <w:r w:rsidRPr="002358A2" w:rsidR="007B776F">
          <w:rPr>
            <w:rFonts w:eastAsiaTheme="minorEastAsia"/>
            <w:noProof/>
            <w:sz w:val="22"/>
            <w:szCs w:val="22"/>
            <w:lang w:val="fr-FR" w:eastAsia="fr-FR"/>
          </w:rPr>
          <w:tab/>
        </w:r>
        <w:r w:rsidRPr="002358A2" w:rsidR="007B776F">
          <w:rPr>
            <w:rStyle w:val="Hyperlink"/>
            <w:noProof/>
          </w:rPr>
          <w:t>The Court</w:t>
        </w:r>
        <w:r w:rsidRPr="002358A2" w:rsidR="002358A2">
          <w:rPr>
            <w:rStyle w:val="Hyperlink"/>
            <w:noProof/>
          </w:rPr>
          <w:t>’</w:t>
        </w:r>
        <w:r w:rsidRPr="002358A2" w:rsidR="007B776F">
          <w:rPr>
            <w:rStyle w:val="Hyperlink"/>
            <w:noProof/>
          </w:rPr>
          <w:t>s assessment</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_Toc107950896 \h </w:instrText>
        </w:r>
        <w:r w:rsidRPr="002358A2" w:rsidR="007B776F">
          <w:rPr>
            <w:noProof/>
            <w:webHidden/>
          </w:rPr>
        </w:r>
        <w:r w:rsidRPr="002358A2" w:rsidR="007B776F">
          <w:rPr>
            <w:noProof/>
            <w:webHidden/>
          </w:rPr>
          <w:fldChar w:fldCharType="separate"/>
        </w:r>
        <w:r w:rsidRPr="002358A2" w:rsidR="002358A2">
          <w:rPr>
            <w:noProof/>
            <w:webHidden/>
          </w:rPr>
          <w:t>42</w:t>
        </w:r>
        <w:r w:rsidRPr="002358A2" w:rsidR="007B776F">
          <w:rPr>
            <w:noProof/>
            <w:webHidden/>
          </w:rPr>
          <w:fldChar w:fldCharType="end"/>
        </w:r>
      </w:hyperlink>
    </w:p>
    <w:p w:rsidRPr="002358A2" w:rsidR="007B776F" w:rsidP="002358A2" w:rsidRDefault="0048368E" w14:paraId="671DEBA7" w14:textId="46E55546">
      <w:pPr>
        <w:pStyle w:val="TOC2"/>
        <w:tabs>
          <w:tab w:val="left" w:pos="1020"/>
        </w:tabs>
        <w:rPr>
          <w:rFonts w:eastAsiaTheme="minorEastAsia"/>
          <w:noProof/>
          <w:szCs w:val="22"/>
          <w:lang w:val="fr-FR" w:eastAsia="fr-FR"/>
        </w:rPr>
      </w:pPr>
      <w:hyperlink w:history="1" w:anchor="_Toc107950897">
        <w:r w:rsidRPr="002358A2" w:rsidR="007B776F">
          <w:rPr>
            <w:rStyle w:val="Hyperlink"/>
            <w:noProof/>
          </w:rPr>
          <w:t>VIII.</w:t>
        </w:r>
        <w:r w:rsidRPr="002358A2" w:rsidR="007B776F">
          <w:rPr>
            <w:rFonts w:eastAsiaTheme="minorEastAsia"/>
            <w:noProof/>
            <w:szCs w:val="22"/>
            <w:lang w:val="fr-FR" w:eastAsia="fr-FR"/>
          </w:rPr>
          <w:tab/>
        </w:r>
        <w:r w:rsidRPr="002358A2" w:rsidR="007B776F">
          <w:rPr>
            <w:rStyle w:val="Hyperlink"/>
            <w:noProof/>
          </w:rPr>
          <w:t>APPLICATION OF ARTICLE 46 OF THE CONVENTION</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_Toc107950897 \h </w:instrText>
        </w:r>
        <w:r w:rsidRPr="002358A2" w:rsidR="007B776F">
          <w:rPr>
            <w:noProof/>
            <w:webHidden/>
          </w:rPr>
        </w:r>
        <w:r w:rsidRPr="002358A2" w:rsidR="007B776F">
          <w:rPr>
            <w:noProof/>
            <w:webHidden/>
          </w:rPr>
          <w:fldChar w:fldCharType="separate"/>
        </w:r>
        <w:r w:rsidRPr="002358A2" w:rsidR="002358A2">
          <w:rPr>
            <w:noProof/>
            <w:webHidden/>
          </w:rPr>
          <w:t>43</w:t>
        </w:r>
        <w:r w:rsidRPr="002358A2" w:rsidR="007B776F">
          <w:rPr>
            <w:noProof/>
            <w:webHidden/>
          </w:rPr>
          <w:fldChar w:fldCharType="end"/>
        </w:r>
      </w:hyperlink>
    </w:p>
    <w:p w:rsidRPr="002358A2" w:rsidR="007B776F" w:rsidP="002358A2" w:rsidRDefault="0048368E" w14:paraId="01E652C5" w14:textId="22F437AE">
      <w:pPr>
        <w:pStyle w:val="TOC3"/>
        <w:tabs>
          <w:tab w:val="left" w:pos="1361"/>
        </w:tabs>
        <w:rPr>
          <w:rFonts w:eastAsiaTheme="minorEastAsia"/>
          <w:noProof/>
          <w:sz w:val="22"/>
          <w:szCs w:val="22"/>
          <w:lang w:val="fr-FR" w:eastAsia="fr-FR"/>
        </w:rPr>
      </w:pPr>
      <w:hyperlink w:history="1" w:anchor="_Toc107950898">
        <w:r w:rsidRPr="002358A2" w:rsidR="007B776F">
          <w:rPr>
            <w:rStyle w:val="Hyperlink"/>
            <w:noProof/>
          </w:rPr>
          <w:t>A.</w:t>
        </w:r>
        <w:r w:rsidRPr="002358A2" w:rsidR="007B776F">
          <w:rPr>
            <w:rFonts w:eastAsiaTheme="minorEastAsia"/>
            <w:noProof/>
            <w:sz w:val="22"/>
            <w:szCs w:val="22"/>
            <w:lang w:val="fr-FR" w:eastAsia="fr-FR"/>
          </w:rPr>
          <w:tab/>
        </w:r>
        <w:r w:rsidRPr="002358A2" w:rsidR="007B776F">
          <w:rPr>
            <w:rStyle w:val="Hyperlink"/>
            <w:noProof/>
          </w:rPr>
          <w:t>Individual measures</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_Toc107950898 \h </w:instrText>
        </w:r>
        <w:r w:rsidRPr="002358A2" w:rsidR="007B776F">
          <w:rPr>
            <w:noProof/>
            <w:webHidden/>
          </w:rPr>
        </w:r>
        <w:r w:rsidRPr="002358A2" w:rsidR="007B776F">
          <w:rPr>
            <w:noProof/>
            <w:webHidden/>
          </w:rPr>
          <w:fldChar w:fldCharType="separate"/>
        </w:r>
        <w:r w:rsidRPr="002358A2" w:rsidR="002358A2">
          <w:rPr>
            <w:noProof/>
            <w:webHidden/>
          </w:rPr>
          <w:t>43</w:t>
        </w:r>
        <w:r w:rsidRPr="002358A2" w:rsidR="007B776F">
          <w:rPr>
            <w:noProof/>
            <w:webHidden/>
          </w:rPr>
          <w:fldChar w:fldCharType="end"/>
        </w:r>
      </w:hyperlink>
    </w:p>
    <w:p w:rsidRPr="002358A2" w:rsidR="007B776F" w:rsidP="002358A2" w:rsidRDefault="0048368E" w14:paraId="7C01EEA9" w14:textId="3A7C01F1">
      <w:pPr>
        <w:pStyle w:val="TOC4"/>
        <w:tabs>
          <w:tab w:val="left" w:pos="1701"/>
        </w:tabs>
        <w:rPr>
          <w:rFonts w:eastAsiaTheme="minorEastAsia"/>
          <w:noProof/>
          <w:sz w:val="22"/>
          <w:szCs w:val="22"/>
          <w:lang w:val="fr-FR" w:eastAsia="fr-FR"/>
        </w:rPr>
      </w:pPr>
      <w:hyperlink w:history="1" w:anchor="_Toc107950899">
        <w:r w:rsidRPr="002358A2" w:rsidR="007B776F">
          <w:rPr>
            <w:rStyle w:val="Hyperlink"/>
            <w:noProof/>
          </w:rPr>
          <w:t>1.</w:t>
        </w:r>
        <w:r w:rsidRPr="002358A2" w:rsidR="007B776F">
          <w:rPr>
            <w:rFonts w:eastAsiaTheme="minorEastAsia"/>
            <w:noProof/>
            <w:sz w:val="22"/>
            <w:szCs w:val="22"/>
            <w:lang w:val="fr-FR" w:eastAsia="fr-FR"/>
          </w:rPr>
          <w:tab/>
        </w:r>
        <w:r w:rsidRPr="002358A2" w:rsidR="007B776F">
          <w:rPr>
            <w:rStyle w:val="Hyperlink"/>
            <w:noProof/>
          </w:rPr>
          <w:t>The parties</w:t>
        </w:r>
        <w:r w:rsidRPr="002358A2" w:rsidR="002358A2">
          <w:rPr>
            <w:rStyle w:val="Hyperlink"/>
            <w:noProof/>
          </w:rPr>
          <w:t>’</w:t>
        </w:r>
        <w:r w:rsidRPr="002358A2" w:rsidR="007B776F">
          <w:rPr>
            <w:rStyle w:val="Hyperlink"/>
            <w:noProof/>
          </w:rPr>
          <w:t xml:space="preserve"> submissions</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_Toc107950899 \h </w:instrText>
        </w:r>
        <w:r w:rsidRPr="002358A2" w:rsidR="007B776F">
          <w:rPr>
            <w:noProof/>
            <w:webHidden/>
          </w:rPr>
        </w:r>
        <w:r w:rsidRPr="002358A2" w:rsidR="007B776F">
          <w:rPr>
            <w:noProof/>
            <w:webHidden/>
          </w:rPr>
          <w:fldChar w:fldCharType="separate"/>
        </w:r>
        <w:r w:rsidRPr="002358A2" w:rsidR="002358A2">
          <w:rPr>
            <w:noProof/>
            <w:webHidden/>
          </w:rPr>
          <w:t>43</w:t>
        </w:r>
        <w:r w:rsidRPr="002358A2" w:rsidR="007B776F">
          <w:rPr>
            <w:noProof/>
            <w:webHidden/>
          </w:rPr>
          <w:fldChar w:fldCharType="end"/>
        </w:r>
      </w:hyperlink>
    </w:p>
    <w:p w:rsidRPr="002358A2" w:rsidR="007B776F" w:rsidP="002358A2" w:rsidRDefault="0048368E" w14:paraId="712DB1D8" w14:textId="744AF8CB">
      <w:pPr>
        <w:pStyle w:val="TOC4"/>
        <w:tabs>
          <w:tab w:val="left" w:pos="1701"/>
        </w:tabs>
        <w:rPr>
          <w:rFonts w:eastAsiaTheme="minorEastAsia"/>
          <w:noProof/>
          <w:sz w:val="22"/>
          <w:szCs w:val="22"/>
          <w:lang w:val="fr-FR" w:eastAsia="fr-FR"/>
        </w:rPr>
      </w:pPr>
      <w:hyperlink w:history="1" w:anchor="_Toc107950900">
        <w:r w:rsidRPr="002358A2" w:rsidR="007B776F">
          <w:rPr>
            <w:rStyle w:val="Hyperlink"/>
            <w:noProof/>
          </w:rPr>
          <w:t>2.</w:t>
        </w:r>
        <w:r w:rsidRPr="002358A2" w:rsidR="007B776F">
          <w:rPr>
            <w:rFonts w:eastAsiaTheme="minorEastAsia"/>
            <w:noProof/>
            <w:sz w:val="22"/>
            <w:szCs w:val="22"/>
            <w:lang w:val="fr-FR" w:eastAsia="fr-FR"/>
          </w:rPr>
          <w:tab/>
        </w:r>
        <w:r w:rsidRPr="002358A2" w:rsidR="007B776F">
          <w:rPr>
            <w:rStyle w:val="Hyperlink"/>
            <w:noProof/>
          </w:rPr>
          <w:t>The Court</w:t>
        </w:r>
        <w:r w:rsidRPr="002358A2" w:rsidR="002358A2">
          <w:rPr>
            <w:rStyle w:val="Hyperlink"/>
            <w:noProof/>
          </w:rPr>
          <w:t>’</w:t>
        </w:r>
        <w:r w:rsidRPr="002358A2" w:rsidR="007B776F">
          <w:rPr>
            <w:rStyle w:val="Hyperlink"/>
            <w:noProof/>
          </w:rPr>
          <w:t>s assessment</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_Toc107950900 \h </w:instrText>
        </w:r>
        <w:r w:rsidRPr="002358A2" w:rsidR="007B776F">
          <w:rPr>
            <w:noProof/>
            <w:webHidden/>
          </w:rPr>
        </w:r>
        <w:r w:rsidRPr="002358A2" w:rsidR="007B776F">
          <w:rPr>
            <w:noProof/>
            <w:webHidden/>
          </w:rPr>
          <w:fldChar w:fldCharType="separate"/>
        </w:r>
        <w:r w:rsidRPr="002358A2" w:rsidR="002358A2">
          <w:rPr>
            <w:noProof/>
            <w:webHidden/>
          </w:rPr>
          <w:t>43</w:t>
        </w:r>
        <w:r w:rsidRPr="002358A2" w:rsidR="007B776F">
          <w:rPr>
            <w:noProof/>
            <w:webHidden/>
          </w:rPr>
          <w:fldChar w:fldCharType="end"/>
        </w:r>
      </w:hyperlink>
    </w:p>
    <w:p w:rsidRPr="002358A2" w:rsidR="007B776F" w:rsidP="002358A2" w:rsidRDefault="0048368E" w14:paraId="010CA455" w14:textId="4E94C441">
      <w:pPr>
        <w:pStyle w:val="TOC3"/>
        <w:tabs>
          <w:tab w:val="left" w:pos="1361"/>
        </w:tabs>
        <w:rPr>
          <w:rFonts w:eastAsiaTheme="minorEastAsia"/>
          <w:noProof/>
          <w:sz w:val="22"/>
          <w:szCs w:val="22"/>
          <w:lang w:val="fr-FR" w:eastAsia="fr-FR"/>
        </w:rPr>
      </w:pPr>
      <w:hyperlink w:history="1" w:anchor="_Toc107950901">
        <w:r w:rsidRPr="002358A2" w:rsidR="007B776F">
          <w:rPr>
            <w:rStyle w:val="Hyperlink"/>
            <w:noProof/>
          </w:rPr>
          <w:t>B.</w:t>
        </w:r>
        <w:r w:rsidRPr="002358A2" w:rsidR="007B776F">
          <w:rPr>
            <w:rFonts w:eastAsiaTheme="minorEastAsia"/>
            <w:noProof/>
            <w:sz w:val="22"/>
            <w:szCs w:val="22"/>
            <w:lang w:val="fr-FR" w:eastAsia="fr-FR"/>
          </w:rPr>
          <w:tab/>
        </w:r>
        <w:r w:rsidRPr="002358A2" w:rsidR="007B776F">
          <w:rPr>
            <w:rStyle w:val="Hyperlink"/>
            <w:noProof/>
          </w:rPr>
          <w:t>General measures</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_Toc107950901 \h </w:instrText>
        </w:r>
        <w:r w:rsidRPr="002358A2" w:rsidR="007B776F">
          <w:rPr>
            <w:noProof/>
            <w:webHidden/>
          </w:rPr>
        </w:r>
        <w:r w:rsidRPr="002358A2" w:rsidR="007B776F">
          <w:rPr>
            <w:noProof/>
            <w:webHidden/>
          </w:rPr>
          <w:fldChar w:fldCharType="separate"/>
        </w:r>
        <w:r w:rsidRPr="002358A2" w:rsidR="002358A2">
          <w:rPr>
            <w:noProof/>
            <w:webHidden/>
          </w:rPr>
          <w:t>45</w:t>
        </w:r>
        <w:r w:rsidRPr="002358A2" w:rsidR="007B776F">
          <w:rPr>
            <w:noProof/>
            <w:webHidden/>
          </w:rPr>
          <w:fldChar w:fldCharType="end"/>
        </w:r>
      </w:hyperlink>
    </w:p>
    <w:p w:rsidRPr="002358A2" w:rsidR="007B776F" w:rsidP="002358A2" w:rsidRDefault="0048368E" w14:paraId="5D0903E7" w14:textId="1D0A04CD">
      <w:pPr>
        <w:pStyle w:val="TOC4"/>
        <w:tabs>
          <w:tab w:val="left" w:pos="1701"/>
        </w:tabs>
        <w:rPr>
          <w:rFonts w:eastAsiaTheme="minorEastAsia"/>
          <w:noProof/>
          <w:sz w:val="22"/>
          <w:szCs w:val="22"/>
          <w:lang w:val="fr-FR" w:eastAsia="fr-FR"/>
        </w:rPr>
      </w:pPr>
      <w:hyperlink w:history="1" w:anchor="_Toc107950902">
        <w:r w:rsidRPr="002358A2" w:rsidR="007B776F">
          <w:rPr>
            <w:rStyle w:val="Hyperlink"/>
            <w:noProof/>
          </w:rPr>
          <w:t>1.</w:t>
        </w:r>
        <w:r w:rsidRPr="002358A2" w:rsidR="007B776F">
          <w:rPr>
            <w:rFonts w:eastAsiaTheme="minorEastAsia"/>
            <w:noProof/>
            <w:sz w:val="22"/>
            <w:szCs w:val="22"/>
            <w:lang w:val="fr-FR" w:eastAsia="fr-FR"/>
          </w:rPr>
          <w:tab/>
        </w:r>
        <w:r w:rsidRPr="002358A2" w:rsidR="007B776F">
          <w:rPr>
            <w:rStyle w:val="Hyperlink"/>
            <w:noProof/>
          </w:rPr>
          <w:t>The parties</w:t>
        </w:r>
        <w:r w:rsidRPr="002358A2" w:rsidR="002358A2">
          <w:rPr>
            <w:rStyle w:val="Hyperlink"/>
            <w:noProof/>
          </w:rPr>
          <w:t>’</w:t>
        </w:r>
        <w:r w:rsidRPr="002358A2" w:rsidR="007B776F">
          <w:rPr>
            <w:rStyle w:val="Hyperlink"/>
            <w:noProof/>
          </w:rPr>
          <w:t xml:space="preserve"> submissions</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_Toc107950902 \h </w:instrText>
        </w:r>
        <w:r w:rsidRPr="002358A2" w:rsidR="007B776F">
          <w:rPr>
            <w:noProof/>
            <w:webHidden/>
          </w:rPr>
        </w:r>
        <w:r w:rsidRPr="002358A2" w:rsidR="007B776F">
          <w:rPr>
            <w:noProof/>
            <w:webHidden/>
          </w:rPr>
          <w:fldChar w:fldCharType="separate"/>
        </w:r>
        <w:r w:rsidRPr="002358A2" w:rsidR="002358A2">
          <w:rPr>
            <w:noProof/>
            <w:webHidden/>
          </w:rPr>
          <w:t>45</w:t>
        </w:r>
        <w:r w:rsidRPr="002358A2" w:rsidR="007B776F">
          <w:rPr>
            <w:noProof/>
            <w:webHidden/>
          </w:rPr>
          <w:fldChar w:fldCharType="end"/>
        </w:r>
      </w:hyperlink>
    </w:p>
    <w:p w:rsidRPr="002358A2" w:rsidR="007B776F" w:rsidP="002358A2" w:rsidRDefault="0048368E" w14:paraId="3DE7A982" w14:textId="1BB5676A">
      <w:pPr>
        <w:pStyle w:val="TOC4"/>
        <w:tabs>
          <w:tab w:val="left" w:pos="1701"/>
        </w:tabs>
        <w:rPr>
          <w:rFonts w:eastAsiaTheme="minorEastAsia"/>
          <w:noProof/>
          <w:sz w:val="22"/>
          <w:szCs w:val="22"/>
          <w:lang w:val="fr-FR" w:eastAsia="fr-FR"/>
        </w:rPr>
      </w:pPr>
      <w:hyperlink w:history="1" w:anchor="_Toc107950903">
        <w:r w:rsidRPr="002358A2" w:rsidR="007B776F">
          <w:rPr>
            <w:rStyle w:val="Hyperlink"/>
            <w:noProof/>
          </w:rPr>
          <w:t>2.</w:t>
        </w:r>
        <w:r w:rsidRPr="002358A2" w:rsidR="007B776F">
          <w:rPr>
            <w:rFonts w:eastAsiaTheme="minorEastAsia"/>
            <w:noProof/>
            <w:sz w:val="22"/>
            <w:szCs w:val="22"/>
            <w:lang w:val="fr-FR" w:eastAsia="fr-FR"/>
          </w:rPr>
          <w:tab/>
        </w:r>
        <w:r w:rsidRPr="002358A2" w:rsidR="007B776F">
          <w:rPr>
            <w:rStyle w:val="Hyperlink"/>
            <w:noProof/>
          </w:rPr>
          <w:t>The Court</w:t>
        </w:r>
        <w:r w:rsidRPr="002358A2" w:rsidR="002358A2">
          <w:rPr>
            <w:rStyle w:val="Hyperlink"/>
            <w:noProof/>
          </w:rPr>
          <w:t>’</w:t>
        </w:r>
        <w:r w:rsidRPr="002358A2" w:rsidR="007B776F">
          <w:rPr>
            <w:rStyle w:val="Hyperlink"/>
            <w:noProof/>
          </w:rPr>
          <w:t>s assessment</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_Toc107950903 \h </w:instrText>
        </w:r>
        <w:r w:rsidRPr="002358A2" w:rsidR="007B776F">
          <w:rPr>
            <w:noProof/>
            <w:webHidden/>
          </w:rPr>
        </w:r>
        <w:r w:rsidRPr="002358A2" w:rsidR="007B776F">
          <w:rPr>
            <w:noProof/>
            <w:webHidden/>
          </w:rPr>
          <w:fldChar w:fldCharType="separate"/>
        </w:r>
        <w:r w:rsidRPr="002358A2" w:rsidR="002358A2">
          <w:rPr>
            <w:noProof/>
            <w:webHidden/>
          </w:rPr>
          <w:t>45</w:t>
        </w:r>
        <w:r w:rsidRPr="002358A2" w:rsidR="007B776F">
          <w:rPr>
            <w:noProof/>
            <w:webHidden/>
          </w:rPr>
          <w:fldChar w:fldCharType="end"/>
        </w:r>
      </w:hyperlink>
    </w:p>
    <w:p w:rsidRPr="002358A2" w:rsidR="007B776F" w:rsidP="002358A2" w:rsidRDefault="0048368E" w14:paraId="7B5EB771" w14:textId="0A99A94E">
      <w:pPr>
        <w:pStyle w:val="TOC2"/>
        <w:tabs>
          <w:tab w:val="left" w:pos="1020"/>
        </w:tabs>
        <w:rPr>
          <w:rFonts w:eastAsiaTheme="minorEastAsia"/>
          <w:noProof/>
          <w:szCs w:val="22"/>
          <w:lang w:val="fr-FR" w:eastAsia="fr-FR"/>
        </w:rPr>
      </w:pPr>
      <w:hyperlink w:history="1" w:anchor="_Toc107950904">
        <w:r w:rsidRPr="002358A2" w:rsidR="007B776F">
          <w:rPr>
            <w:rStyle w:val="Hyperlink"/>
            <w:noProof/>
          </w:rPr>
          <w:t>IX.</w:t>
        </w:r>
        <w:r w:rsidRPr="002358A2" w:rsidR="007B776F">
          <w:rPr>
            <w:rFonts w:eastAsiaTheme="minorEastAsia"/>
            <w:noProof/>
            <w:szCs w:val="22"/>
            <w:lang w:val="fr-FR" w:eastAsia="fr-FR"/>
          </w:rPr>
          <w:tab/>
        </w:r>
        <w:r w:rsidRPr="002358A2" w:rsidR="007B776F">
          <w:rPr>
            <w:rStyle w:val="Hyperlink"/>
            <w:noProof/>
          </w:rPr>
          <w:t>APPLICATION OF ARTICLE 41 OF THE CONVENTION</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_Toc107950904 \h </w:instrText>
        </w:r>
        <w:r w:rsidRPr="002358A2" w:rsidR="007B776F">
          <w:rPr>
            <w:noProof/>
            <w:webHidden/>
          </w:rPr>
        </w:r>
        <w:r w:rsidRPr="002358A2" w:rsidR="007B776F">
          <w:rPr>
            <w:noProof/>
            <w:webHidden/>
          </w:rPr>
          <w:fldChar w:fldCharType="separate"/>
        </w:r>
        <w:r w:rsidRPr="002358A2" w:rsidR="002358A2">
          <w:rPr>
            <w:noProof/>
            <w:webHidden/>
          </w:rPr>
          <w:t>46</w:t>
        </w:r>
        <w:r w:rsidRPr="002358A2" w:rsidR="007B776F">
          <w:rPr>
            <w:noProof/>
            <w:webHidden/>
          </w:rPr>
          <w:fldChar w:fldCharType="end"/>
        </w:r>
      </w:hyperlink>
    </w:p>
    <w:p w:rsidRPr="002358A2" w:rsidR="007B776F" w:rsidP="002358A2" w:rsidRDefault="0048368E" w14:paraId="7BB0545F" w14:textId="3DE8B21B">
      <w:pPr>
        <w:pStyle w:val="TOC3"/>
        <w:tabs>
          <w:tab w:val="left" w:pos="1361"/>
        </w:tabs>
        <w:rPr>
          <w:rFonts w:eastAsiaTheme="minorEastAsia"/>
          <w:noProof/>
          <w:sz w:val="22"/>
          <w:szCs w:val="22"/>
          <w:lang w:val="fr-FR" w:eastAsia="fr-FR"/>
        </w:rPr>
      </w:pPr>
      <w:hyperlink w:history="1" w:anchor="_Toc107950905">
        <w:r w:rsidRPr="002358A2" w:rsidR="007B776F">
          <w:rPr>
            <w:rStyle w:val="Hyperlink"/>
            <w:noProof/>
          </w:rPr>
          <w:t>A.</w:t>
        </w:r>
        <w:r w:rsidRPr="002358A2" w:rsidR="007B776F">
          <w:rPr>
            <w:rFonts w:eastAsiaTheme="minorEastAsia"/>
            <w:noProof/>
            <w:sz w:val="22"/>
            <w:szCs w:val="22"/>
            <w:lang w:val="fr-FR" w:eastAsia="fr-FR"/>
          </w:rPr>
          <w:tab/>
        </w:r>
        <w:r w:rsidRPr="002358A2" w:rsidR="007B776F">
          <w:rPr>
            <w:rStyle w:val="Hyperlink"/>
            <w:noProof/>
          </w:rPr>
          <w:t>Pecuniary damage</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_Toc107950905 \h </w:instrText>
        </w:r>
        <w:r w:rsidRPr="002358A2" w:rsidR="007B776F">
          <w:rPr>
            <w:noProof/>
            <w:webHidden/>
          </w:rPr>
        </w:r>
        <w:r w:rsidRPr="002358A2" w:rsidR="007B776F">
          <w:rPr>
            <w:noProof/>
            <w:webHidden/>
          </w:rPr>
          <w:fldChar w:fldCharType="separate"/>
        </w:r>
        <w:r w:rsidRPr="002358A2" w:rsidR="002358A2">
          <w:rPr>
            <w:noProof/>
            <w:webHidden/>
          </w:rPr>
          <w:t>46</w:t>
        </w:r>
        <w:r w:rsidRPr="002358A2" w:rsidR="007B776F">
          <w:rPr>
            <w:noProof/>
            <w:webHidden/>
          </w:rPr>
          <w:fldChar w:fldCharType="end"/>
        </w:r>
      </w:hyperlink>
    </w:p>
    <w:p w:rsidRPr="002358A2" w:rsidR="007B776F" w:rsidP="002358A2" w:rsidRDefault="0048368E" w14:paraId="36A1B720" w14:textId="7FED4DF0">
      <w:pPr>
        <w:pStyle w:val="TOC4"/>
        <w:tabs>
          <w:tab w:val="left" w:pos="1701"/>
        </w:tabs>
        <w:rPr>
          <w:rFonts w:eastAsiaTheme="minorEastAsia"/>
          <w:noProof/>
          <w:sz w:val="22"/>
          <w:szCs w:val="22"/>
          <w:lang w:val="fr-FR" w:eastAsia="fr-FR"/>
        </w:rPr>
      </w:pPr>
      <w:hyperlink w:history="1" w:anchor="_Toc107950906">
        <w:r w:rsidRPr="002358A2" w:rsidR="007B776F">
          <w:rPr>
            <w:rStyle w:val="Hyperlink"/>
            <w:noProof/>
          </w:rPr>
          <w:t>1.</w:t>
        </w:r>
        <w:r w:rsidRPr="002358A2" w:rsidR="007B776F">
          <w:rPr>
            <w:rFonts w:eastAsiaTheme="minorEastAsia"/>
            <w:noProof/>
            <w:sz w:val="22"/>
            <w:szCs w:val="22"/>
            <w:lang w:val="fr-FR" w:eastAsia="fr-FR"/>
          </w:rPr>
          <w:tab/>
        </w:r>
        <w:r w:rsidRPr="002358A2" w:rsidR="007B776F">
          <w:rPr>
            <w:rStyle w:val="Hyperlink"/>
            <w:noProof/>
          </w:rPr>
          <w:t>KTB</w:t>
        </w:r>
        <w:r w:rsidRPr="002358A2" w:rsidR="002358A2">
          <w:rPr>
            <w:rStyle w:val="Hyperlink"/>
            <w:noProof/>
          </w:rPr>
          <w:t>’</w:t>
        </w:r>
        <w:r w:rsidRPr="002358A2" w:rsidR="007B776F">
          <w:rPr>
            <w:rStyle w:val="Hyperlink"/>
            <w:noProof/>
          </w:rPr>
          <w:t>s claim and the Government</w:t>
        </w:r>
        <w:r w:rsidRPr="002358A2" w:rsidR="002358A2">
          <w:rPr>
            <w:rStyle w:val="Hyperlink"/>
            <w:noProof/>
          </w:rPr>
          <w:t>’</w:t>
        </w:r>
        <w:r w:rsidRPr="002358A2" w:rsidR="007B776F">
          <w:rPr>
            <w:rStyle w:val="Hyperlink"/>
            <w:noProof/>
          </w:rPr>
          <w:t>s comments on it</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_Toc107950906 \h </w:instrText>
        </w:r>
        <w:r w:rsidRPr="002358A2" w:rsidR="007B776F">
          <w:rPr>
            <w:noProof/>
            <w:webHidden/>
          </w:rPr>
        </w:r>
        <w:r w:rsidRPr="002358A2" w:rsidR="007B776F">
          <w:rPr>
            <w:noProof/>
            <w:webHidden/>
          </w:rPr>
          <w:fldChar w:fldCharType="separate"/>
        </w:r>
        <w:r w:rsidRPr="002358A2" w:rsidR="002358A2">
          <w:rPr>
            <w:noProof/>
            <w:webHidden/>
          </w:rPr>
          <w:t>46</w:t>
        </w:r>
        <w:r w:rsidRPr="002358A2" w:rsidR="007B776F">
          <w:rPr>
            <w:noProof/>
            <w:webHidden/>
          </w:rPr>
          <w:fldChar w:fldCharType="end"/>
        </w:r>
      </w:hyperlink>
    </w:p>
    <w:p w:rsidRPr="002358A2" w:rsidR="007B776F" w:rsidP="002358A2" w:rsidRDefault="0048368E" w14:paraId="74FB0EC7" w14:textId="5721796B">
      <w:pPr>
        <w:pStyle w:val="TOC5"/>
        <w:tabs>
          <w:tab w:val="left" w:pos="2041"/>
        </w:tabs>
        <w:rPr>
          <w:rFonts w:eastAsiaTheme="minorEastAsia"/>
          <w:noProof/>
          <w:sz w:val="22"/>
          <w:szCs w:val="22"/>
          <w:lang w:val="fr-FR" w:eastAsia="fr-FR"/>
        </w:rPr>
      </w:pPr>
      <w:hyperlink w:history="1" w:anchor="_Toc107950907">
        <w:r w:rsidRPr="002358A2" w:rsidR="007B776F">
          <w:rPr>
            <w:rStyle w:val="Hyperlink"/>
            <w:noProof/>
          </w:rPr>
          <w:t>(a)</w:t>
        </w:r>
        <w:r w:rsidRPr="002358A2" w:rsidR="007B776F">
          <w:rPr>
            <w:rFonts w:eastAsiaTheme="minorEastAsia"/>
            <w:noProof/>
            <w:sz w:val="22"/>
            <w:szCs w:val="22"/>
            <w:lang w:val="fr-FR" w:eastAsia="fr-FR"/>
          </w:rPr>
          <w:tab/>
        </w:r>
        <w:r w:rsidRPr="002358A2" w:rsidR="007B776F">
          <w:rPr>
            <w:rStyle w:val="Hyperlink"/>
            <w:noProof/>
          </w:rPr>
          <w:t>KTB</w:t>
        </w:r>
        <w:r w:rsidRPr="002358A2" w:rsidR="002358A2">
          <w:rPr>
            <w:rStyle w:val="Hyperlink"/>
            <w:noProof/>
          </w:rPr>
          <w:t>’</w:t>
        </w:r>
        <w:r w:rsidRPr="002358A2" w:rsidR="007B776F">
          <w:rPr>
            <w:rStyle w:val="Hyperlink"/>
            <w:noProof/>
          </w:rPr>
          <w:t>s claim</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_Toc107950907 \h </w:instrText>
        </w:r>
        <w:r w:rsidRPr="002358A2" w:rsidR="007B776F">
          <w:rPr>
            <w:noProof/>
            <w:webHidden/>
          </w:rPr>
        </w:r>
        <w:r w:rsidRPr="002358A2" w:rsidR="007B776F">
          <w:rPr>
            <w:noProof/>
            <w:webHidden/>
          </w:rPr>
          <w:fldChar w:fldCharType="separate"/>
        </w:r>
        <w:r w:rsidRPr="002358A2" w:rsidR="002358A2">
          <w:rPr>
            <w:noProof/>
            <w:webHidden/>
          </w:rPr>
          <w:t>46</w:t>
        </w:r>
        <w:r w:rsidRPr="002358A2" w:rsidR="007B776F">
          <w:rPr>
            <w:noProof/>
            <w:webHidden/>
          </w:rPr>
          <w:fldChar w:fldCharType="end"/>
        </w:r>
      </w:hyperlink>
    </w:p>
    <w:p w:rsidRPr="002358A2" w:rsidR="007B776F" w:rsidP="002358A2" w:rsidRDefault="0048368E" w14:paraId="5E72E56C" w14:textId="268CBEBF">
      <w:pPr>
        <w:pStyle w:val="TOC5"/>
        <w:tabs>
          <w:tab w:val="left" w:pos="2041"/>
        </w:tabs>
        <w:rPr>
          <w:rFonts w:eastAsiaTheme="minorEastAsia"/>
          <w:noProof/>
          <w:sz w:val="22"/>
          <w:szCs w:val="22"/>
          <w:lang w:val="fr-FR" w:eastAsia="fr-FR"/>
        </w:rPr>
      </w:pPr>
      <w:hyperlink w:history="1" w:anchor="_Toc107950908">
        <w:r w:rsidRPr="002358A2" w:rsidR="007B776F">
          <w:rPr>
            <w:rStyle w:val="Hyperlink"/>
            <w:noProof/>
          </w:rPr>
          <w:t>(b)</w:t>
        </w:r>
        <w:r w:rsidRPr="002358A2" w:rsidR="007B776F">
          <w:rPr>
            <w:rFonts w:eastAsiaTheme="minorEastAsia"/>
            <w:noProof/>
            <w:sz w:val="22"/>
            <w:szCs w:val="22"/>
            <w:lang w:val="fr-FR" w:eastAsia="fr-FR"/>
          </w:rPr>
          <w:tab/>
        </w:r>
        <w:r w:rsidRPr="002358A2" w:rsidR="007B776F">
          <w:rPr>
            <w:rStyle w:val="Hyperlink"/>
            <w:noProof/>
          </w:rPr>
          <w:t>The Government</w:t>
        </w:r>
        <w:r w:rsidRPr="002358A2" w:rsidR="002358A2">
          <w:rPr>
            <w:rStyle w:val="Hyperlink"/>
            <w:noProof/>
          </w:rPr>
          <w:t>’</w:t>
        </w:r>
        <w:r w:rsidRPr="002358A2" w:rsidR="007B776F">
          <w:rPr>
            <w:rStyle w:val="Hyperlink"/>
            <w:noProof/>
          </w:rPr>
          <w:t>s comments on the claim</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_Toc107950908 \h </w:instrText>
        </w:r>
        <w:r w:rsidRPr="002358A2" w:rsidR="007B776F">
          <w:rPr>
            <w:noProof/>
            <w:webHidden/>
          </w:rPr>
        </w:r>
        <w:r w:rsidRPr="002358A2" w:rsidR="007B776F">
          <w:rPr>
            <w:noProof/>
            <w:webHidden/>
          </w:rPr>
          <w:fldChar w:fldCharType="separate"/>
        </w:r>
        <w:r w:rsidRPr="002358A2" w:rsidR="002358A2">
          <w:rPr>
            <w:noProof/>
            <w:webHidden/>
          </w:rPr>
          <w:t>47</w:t>
        </w:r>
        <w:r w:rsidRPr="002358A2" w:rsidR="007B776F">
          <w:rPr>
            <w:noProof/>
            <w:webHidden/>
          </w:rPr>
          <w:fldChar w:fldCharType="end"/>
        </w:r>
      </w:hyperlink>
    </w:p>
    <w:p w:rsidRPr="002358A2" w:rsidR="007B776F" w:rsidP="002358A2" w:rsidRDefault="0048368E" w14:paraId="78D84742" w14:textId="0C153196">
      <w:pPr>
        <w:pStyle w:val="TOC4"/>
        <w:tabs>
          <w:tab w:val="left" w:pos="1701"/>
        </w:tabs>
        <w:rPr>
          <w:rFonts w:eastAsiaTheme="minorEastAsia"/>
          <w:noProof/>
          <w:sz w:val="22"/>
          <w:szCs w:val="22"/>
          <w:lang w:val="fr-FR" w:eastAsia="fr-FR"/>
        </w:rPr>
      </w:pPr>
      <w:hyperlink w:history="1" w:anchor="_Toc107950909">
        <w:r w:rsidRPr="002358A2" w:rsidR="007B776F">
          <w:rPr>
            <w:rStyle w:val="Hyperlink"/>
            <w:noProof/>
          </w:rPr>
          <w:t>2.</w:t>
        </w:r>
        <w:r w:rsidRPr="002358A2" w:rsidR="007B776F">
          <w:rPr>
            <w:rFonts w:eastAsiaTheme="minorEastAsia"/>
            <w:noProof/>
            <w:sz w:val="22"/>
            <w:szCs w:val="22"/>
            <w:lang w:val="fr-FR" w:eastAsia="fr-FR"/>
          </w:rPr>
          <w:tab/>
        </w:r>
        <w:r w:rsidRPr="002358A2" w:rsidR="007B776F">
          <w:rPr>
            <w:rStyle w:val="Hyperlink"/>
            <w:noProof/>
          </w:rPr>
          <w:t>The Court</w:t>
        </w:r>
        <w:r w:rsidRPr="002358A2" w:rsidR="002358A2">
          <w:rPr>
            <w:rStyle w:val="Hyperlink"/>
            <w:noProof/>
          </w:rPr>
          <w:t>’</w:t>
        </w:r>
        <w:r w:rsidRPr="002358A2" w:rsidR="007B776F">
          <w:rPr>
            <w:rStyle w:val="Hyperlink"/>
            <w:noProof/>
          </w:rPr>
          <w:t>s assessment</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_Toc107950909 \h </w:instrText>
        </w:r>
        <w:r w:rsidRPr="002358A2" w:rsidR="007B776F">
          <w:rPr>
            <w:noProof/>
            <w:webHidden/>
          </w:rPr>
        </w:r>
        <w:r w:rsidRPr="002358A2" w:rsidR="007B776F">
          <w:rPr>
            <w:noProof/>
            <w:webHidden/>
          </w:rPr>
          <w:fldChar w:fldCharType="separate"/>
        </w:r>
        <w:r w:rsidRPr="002358A2" w:rsidR="002358A2">
          <w:rPr>
            <w:noProof/>
            <w:webHidden/>
          </w:rPr>
          <w:t>47</w:t>
        </w:r>
        <w:r w:rsidRPr="002358A2" w:rsidR="007B776F">
          <w:rPr>
            <w:noProof/>
            <w:webHidden/>
          </w:rPr>
          <w:fldChar w:fldCharType="end"/>
        </w:r>
      </w:hyperlink>
    </w:p>
    <w:p w:rsidRPr="002358A2" w:rsidR="007B776F" w:rsidP="002358A2" w:rsidRDefault="0048368E" w14:paraId="1C32A5D1" w14:textId="68AE7DEE">
      <w:pPr>
        <w:pStyle w:val="TOC3"/>
        <w:tabs>
          <w:tab w:val="left" w:pos="1361"/>
        </w:tabs>
        <w:rPr>
          <w:rFonts w:eastAsiaTheme="minorEastAsia"/>
          <w:noProof/>
          <w:sz w:val="22"/>
          <w:szCs w:val="22"/>
          <w:lang w:val="fr-FR" w:eastAsia="fr-FR"/>
        </w:rPr>
      </w:pPr>
      <w:hyperlink w:history="1" w:anchor="_Toc107950910">
        <w:r w:rsidRPr="002358A2" w:rsidR="007B776F">
          <w:rPr>
            <w:rStyle w:val="Hyperlink"/>
            <w:noProof/>
          </w:rPr>
          <w:t>B.</w:t>
        </w:r>
        <w:r w:rsidRPr="002358A2" w:rsidR="007B776F">
          <w:rPr>
            <w:rFonts w:eastAsiaTheme="minorEastAsia"/>
            <w:noProof/>
            <w:sz w:val="22"/>
            <w:szCs w:val="22"/>
            <w:lang w:val="fr-FR" w:eastAsia="fr-FR"/>
          </w:rPr>
          <w:tab/>
        </w:r>
        <w:r w:rsidRPr="002358A2" w:rsidR="007B776F">
          <w:rPr>
            <w:rStyle w:val="Hyperlink"/>
            <w:noProof/>
          </w:rPr>
          <w:t>Costs and expenses</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_Toc107950910 \h </w:instrText>
        </w:r>
        <w:r w:rsidRPr="002358A2" w:rsidR="007B776F">
          <w:rPr>
            <w:noProof/>
            <w:webHidden/>
          </w:rPr>
        </w:r>
        <w:r w:rsidRPr="002358A2" w:rsidR="007B776F">
          <w:rPr>
            <w:noProof/>
            <w:webHidden/>
          </w:rPr>
          <w:fldChar w:fldCharType="separate"/>
        </w:r>
        <w:r w:rsidRPr="002358A2" w:rsidR="002358A2">
          <w:rPr>
            <w:noProof/>
            <w:webHidden/>
          </w:rPr>
          <w:t>47</w:t>
        </w:r>
        <w:r w:rsidRPr="002358A2" w:rsidR="007B776F">
          <w:rPr>
            <w:noProof/>
            <w:webHidden/>
          </w:rPr>
          <w:fldChar w:fldCharType="end"/>
        </w:r>
      </w:hyperlink>
    </w:p>
    <w:p w:rsidRPr="002358A2" w:rsidR="007B776F" w:rsidP="002358A2" w:rsidRDefault="0048368E" w14:paraId="5E0FF9B2" w14:textId="2B203A99">
      <w:pPr>
        <w:pStyle w:val="TOC4"/>
        <w:tabs>
          <w:tab w:val="left" w:pos="1701"/>
        </w:tabs>
        <w:rPr>
          <w:rFonts w:eastAsiaTheme="minorEastAsia"/>
          <w:noProof/>
          <w:sz w:val="22"/>
          <w:szCs w:val="22"/>
          <w:lang w:val="fr-FR" w:eastAsia="fr-FR"/>
        </w:rPr>
      </w:pPr>
      <w:hyperlink w:history="1" w:anchor="_Toc107950911">
        <w:r w:rsidRPr="002358A2" w:rsidR="007B776F">
          <w:rPr>
            <w:rStyle w:val="Hyperlink"/>
            <w:noProof/>
          </w:rPr>
          <w:t>1.</w:t>
        </w:r>
        <w:r w:rsidRPr="002358A2" w:rsidR="007B776F">
          <w:rPr>
            <w:rFonts w:eastAsiaTheme="minorEastAsia"/>
            <w:noProof/>
            <w:sz w:val="22"/>
            <w:szCs w:val="22"/>
            <w:lang w:val="fr-FR" w:eastAsia="fr-FR"/>
          </w:rPr>
          <w:tab/>
        </w:r>
        <w:r w:rsidRPr="002358A2" w:rsidR="007B776F">
          <w:rPr>
            <w:rStyle w:val="Hyperlink"/>
            <w:noProof/>
          </w:rPr>
          <w:t>KTB</w:t>
        </w:r>
        <w:r w:rsidRPr="002358A2" w:rsidR="002358A2">
          <w:rPr>
            <w:rStyle w:val="Hyperlink"/>
            <w:noProof/>
          </w:rPr>
          <w:t>’</w:t>
        </w:r>
        <w:r w:rsidRPr="002358A2" w:rsidR="007B776F">
          <w:rPr>
            <w:rStyle w:val="Hyperlink"/>
            <w:noProof/>
          </w:rPr>
          <w:t>s claim and the Government</w:t>
        </w:r>
        <w:r w:rsidRPr="002358A2" w:rsidR="002358A2">
          <w:rPr>
            <w:rStyle w:val="Hyperlink"/>
            <w:noProof/>
          </w:rPr>
          <w:t>’</w:t>
        </w:r>
        <w:r w:rsidRPr="002358A2" w:rsidR="007B776F">
          <w:rPr>
            <w:rStyle w:val="Hyperlink"/>
            <w:noProof/>
          </w:rPr>
          <w:t>s comments on it</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_Toc107950911 \h </w:instrText>
        </w:r>
        <w:r w:rsidRPr="002358A2" w:rsidR="007B776F">
          <w:rPr>
            <w:noProof/>
            <w:webHidden/>
          </w:rPr>
        </w:r>
        <w:r w:rsidRPr="002358A2" w:rsidR="007B776F">
          <w:rPr>
            <w:noProof/>
            <w:webHidden/>
          </w:rPr>
          <w:fldChar w:fldCharType="separate"/>
        </w:r>
        <w:r w:rsidRPr="002358A2" w:rsidR="002358A2">
          <w:rPr>
            <w:noProof/>
            <w:webHidden/>
          </w:rPr>
          <w:t>47</w:t>
        </w:r>
        <w:r w:rsidRPr="002358A2" w:rsidR="007B776F">
          <w:rPr>
            <w:noProof/>
            <w:webHidden/>
          </w:rPr>
          <w:fldChar w:fldCharType="end"/>
        </w:r>
      </w:hyperlink>
    </w:p>
    <w:p w:rsidRPr="002358A2" w:rsidR="007B776F" w:rsidP="002358A2" w:rsidRDefault="0048368E" w14:paraId="25EB1967" w14:textId="311F746E">
      <w:pPr>
        <w:pStyle w:val="TOC4"/>
        <w:tabs>
          <w:tab w:val="left" w:pos="1701"/>
        </w:tabs>
        <w:rPr>
          <w:rFonts w:eastAsiaTheme="minorEastAsia"/>
          <w:noProof/>
          <w:sz w:val="22"/>
          <w:szCs w:val="22"/>
          <w:lang w:val="fr-FR" w:eastAsia="fr-FR"/>
        </w:rPr>
      </w:pPr>
      <w:hyperlink w:history="1" w:anchor="_Toc107950912">
        <w:r w:rsidRPr="002358A2" w:rsidR="007B776F">
          <w:rPr>
            <w:rStyle w:val="Hyperlink"/>
            <w:noProof/>
          </w:rPr>
          <w:t>2.</w:t>
        </w:r>
        <w:r w:rsidRPr="002358A2" w:rsidR="007B776F">
          <w:rPr>
            <w:rFonts w:eastAsiaTheme="minorEastAsia"/>
            <w:noProof/>
            <w:sz w:val="22"/>
            <w:szCs w:val="22"/>
            <w:lang w:val="fr-FR" w:eastAsia="fr-FR"/>
          </w:rPr>
          <w:tab/>
        </w:r>
        <w:r w:rsidRPr="002358A2" w:rsidR="007B776F">
          <w:rPr>
            <w:rStyle w:val="Hyperlink"/>
            <w:noProof/>
          </w:rPr>
          <w:t>The Court</w:t>
        </w:r>
        <w:r w:rsidRPr="002358A2" w:rsidR="002358A2">
          <w:rPr>
            <w:rStyle w:val="Hyperlink"/>
            <w:noProof/>
          </w:rPr>
          <w:t>’</w:t>
        </w:r>
        <w:r w:rsidRPr="002358A2" w:rsidR="007B776F">
          <w:rPr>
            <w:rStyle w:val="Hyperlink"/>
            <w:noProof/>
          </w:rPr>
          <w:t>s assessment</w:t>
        </w:r>
        <w:r w:rsidRPr="002358A2" w:rsidR="007B776F">
          <w:rPr>
            <w:noProof/>
            <w:webHidden/>
          </w:rPr>
          <w:tab/>
        </w:r>
        <w:r w:rsidRPr="002358A2" w:rsidR="007B776F">
          <w:rPr>
            <w:noProof/>
            <w:webHidden/>
          </w:rPr>
          <w:fldChar w:fldCharType="begin"/>
        </w:r>
        <w:r w:rsidRPr="002358A2" w:rsidR="007B776F">
          <w:rPr>
            <w:noProof/>
            <w:webHidden/>
          </w:rPr>
          <w:instrText xml:space="preserve"> PAGEREF _Toc107950912 \h </w:instrText>
        </w:r>
        <w:r w:rsidRPr="002358A2" w:rsidR="007B776F">
          <w:rPr>
            <w:noProof/>
            <w:webHidden/>
          </w:rPr>
        </w:r>
        <w:r w:rsidRPr="002358A2" w:rsidR="007B776F">
          <w:rPr>
            <w:noProof/>
            <w:webHidden/>
          </w:rPr>
          <w:fldChar w:fldCharType="separate"/>
        </w:r>
        <w:r w:rsidRPr="002358A2" w:rsidR="002358A2">
          <w:rPr>
            <w:noProof/>
            <w:webHidden/>
          </w:rPr>
          <w:t>48</w:t>
        </w:r>
        <w:r w:rsidRPr="002358A2" w:rsidR="007B776F">
          <w:rPr>
            <w:noProof/>
            <w:webHidden/>
          </w:rPr>
          <w:fldChar w:fldCharType="end"/>
        </w:r>
      </w:hyperlink>
    </w:p>
    <w:p w:rsidRPr="002358A2" w:rsidR="00BF0CAC" w:rsidP="002358A2" w:rsidRDefault="00BF0CAC" w14:paraId="60000733" w14:textId="473A41EF">
      <w:pPr>
        <w:pStyle w:val="JuCase"/>
        <w:rPr>
          <w:sz w:val="22"/>
          <w:szCs w:val="22"/>
        </w:rPr>
      </w:pPr>
      <w:r w:rsidRPr="002358A2">
        <w:rPr>
          <w:sz w:val="22"/>
          <w:szCs w:val="22"/>
        </w:rPr>
        <w:fldChar w:fldCharType="end"/>
      </w:r>
    </w:p>
    <w:p w:rsidRPr="002358A2" w:rsidR="00625751" w:rsidP="002358A2" w:rsidRDefault="00625751" w14:paraId="7D0A09BD" w14:textId="37FF80E1">
      <w:pPr>
        <w:pStyle w:val="JuPara"/>
        <w:sectPr w:rsidRPr="002358A2" w:rsidR="00625751" w:rsidSect="00976F59">
          <w:headerReference w:type="even" r:id="rId13"/>
          <w:headerReference w:type="default" r:id="rId14"/>
          <w:footerReference w:type="even" r:id="rId15"/>
          <w:footerReference w:type="default" r:id="rId16"/>
          <w:footnotePr>
            <w:numRestart w:val="eachSect"/>
          </w:footnotePr>
          <w:endnotePr>
            <w:numFmt w:val="decimal"/>
            <w:numRestart w:val="eachSect"/>
          </w:endnotePr>
          <w:type w:val="oddPage"/>
          <w:pgSz w:w="11906" w:h="16838" w:code="9"/>
          <w:pgMar w:top="2274" w:right="2274" w:bottom="2274" w:left="2274" w:header="1701" w:footer="720" w:gutter="0"/>
          <w:pgNumType w:fmt="lowerRoman" w:start="1"/>
          <w:cols w:space="720"/>
          <w:docGrid w:linePitch="326"/>
        </w:sectPr>
      </w:pPr>
    </w:p>
    <w:p w:rsidRPr="002358A2" w:rsidR="0098410D" w:rsidP="002358A2" w:rsidRDefault="00245537" w14:paraId="328CDAAB" w14:textId="0757C7E5">
      <w:pPr>
        <w:pStyle w:val="JuCase"/>
      </w:pPr>
      <w:r w:rsidRPr="002358A2">
        <w:t xml:space="preserve">In the case of </w:t>
      </w:r>
      <w:r w:rsidRPr="002358A2" w:rsidR="00BF0CAC">
        <w:t>Korporativna Targovska Banka AD v. Bulgaria</w:t>
      </w:r>
      <w:r w:rsidRPr="002358A2">
        <w:t>,</w:t>
      </w:r>
    </w:p>
    <w:p w:rsidRPr="002358A2" w:rsidR="00BF0CAC" w:rsidP="002358A2" w:rsidRDefault="00BF0CAC" w14:paraId="00232183" w14:textId="77777777">
      <w:pPr>
        <w:pStyle w:val="JuPara"/>
      </w:pPr>
      <w:r w:rsidRPr="002358A2">
        <w:t>The European Court of Human Rights (Fourth Section), sitting as a Chamber composed of:</w:t>
      </w:r>
    </w:p>
    <w:p w:rsidRPr="002358A2" w:rsidR="00BF0CAC" w:rsidP="002358A2" w:rsidRDefault="00BF0CAC" w14:paraId="5EC95716" w14:textId="5FC34328">
      <w:pPr>
        <w:pStyle w:val="JuJudges"/>
      </w:pPr>
      <w:r w:rsidRPr="002358A2">
        <w:tab/>
        <w:t>Gabriele Kucsko-Stadlmayer,</w:t>
      </w:r>
      <w:r w:rsidRPr="002358A2">
        <w:rPr>
          <w:i/>
        </w:rPr>
        <w:t xml:space="preserve"> President</w:t>
      </w:r>
      <w:r w:rsidRPr="002358A2">
        <w:rPr>
          <w:iCs/>
        </w:rPr>
        <w:t>,</w:t>
      </w:r>
      <w:r w:rsidRPr="002358A2">
        <w:rPr>
          <w:iCs/>
        </w:rPr>
        <w:br/>
      </w:r>
      <w:r w:rsidRPr="002358A2">
        <w:tab/>
        <w:t>Tim Eicke,</w:t>
      </w:r>
      <w:r w:rsidRPr="002358A2">
        <w:rPr>
          <w:i/>
        </w:rPr>
        <w:br/>
      </w:r>
      <w:r w:rsidRPr="002358A2">
        <w:tab/>
        <w:t>Faris Vehabović,</w:t>
      </w:r>
      <w:r w:rsidRPr="002358A2">
        <w:rPr>
          <w:i/>
        </w:rPr>
        <w:br/>
      </w:r>
      <w:r w:rsidRPr="002358A2">
        <w:tab/>
        <w:t>Iulia Antoanella Motoc,</w:t>
      </w:r>
      <w:r w:rsidRPr="002358A2">
        <w:rPr>
          <w:i/>
        </w:rPr>
        <w:br/>
      </w:r>
      <w:r w:rsidRPr="002358A2">
        <w:tab/>
        <w:t>Yonko Grozev,</w:t>
      </w:r>
      <w:r w:rsidRPr="002358A2">
        <w:rPr>
          <w:i/>
        </w:rPr>
        <w:br/>
      </w:r>
      <w:r w:rsidRPr="002358A2">
        <w:tab/>
        <w:t>Armen Harutyunyan,</w:t>
      </w:r>
      <w:r w:rsidRPr="002358A2">
        <w:rPr>
          <w:i/>
        </w:rPr>
        <w:br/>
      </w:r>
      <w:r w:rsidRPr="002358A2">
        <w:tab/>
        <w:t>Ana Maria Guerra Martins,</w:t>
      </w:r>
      <w:r w:rsidRPr="002358A2">
        <w:rPr>
          <w:i/>
        </w:rPr>
        <w:t xml:space="preserve"> judges</w:t>
      </w:r>
      <w:r w:rsidRPr="002358A2">
        <w:rPr>
          <w:iCs/>
        </w:rPr>
        <w:t>,</w:t>
      </w:r>
      <w:r w:rsidRPr="002358A2">
        <w:rPr>
          <w:iCs/>
        </w:rPr>
        <w:br/>
      </w:r>
      <w:r w:rsidRPr="002358A2">
        <w:t xml:space="preserve">and Ilse Freiwirth, </w:t>
      </w:r>
      <w:r w:rsidRPr="002358A2">
        <w:rPr>
          <w:i/>
          <w:iCs/>
        </w:rPr>
        <w:t>Deputy</w:t>
      </w:r>
      <w:r w:rsidRPr="002358A2">
        <w:t xml:space="preserve"> </w:t>
      </w:r>
      <w:r w:rsidRPr="002358A2">
        <w:rPr>
          <w:i/>
        </w:rPr>
        <w:t xml:space="preserve">Section </w:t>
      </w:r>
      <w:r w:rsidRPr="002358A2">
        <w:rPr>
          <w:i/>
          <w:iCs/>
        </w:rPr>
        <w:t>Registrar</w:t>
      </w:r>
      <w:r w:rsidRPr="002358A2">
        <w:t>,</w:t>
      </w:r>
    </w:p>
    <w:p w:rsidRPr="002358A2" w:rsidR="00BF0CAC" w:rsidP="002358A2" w:rsidRDefault="00BF0CAC" w14:paraId="6D1EBF2F" w14:textId="1407431C">
      <w:pPr>
        <w:pStyle w:val="JuPara"/>
      </w:pPr>
      <w:r w:rsidRPr="002358A2">
        <w:t>Having regard to:</w:t>
      </w:r>
    </w:p>
    <w:p w:rsidRPr="002358A2" w:rsidR="00BF0CAC" w:rsidP="002358A2" w:rsidRDefault="00BF0CAC" w14:paraId="4F994E48" w14:textId="77777777">
      <w:pPr>
        <w:pStyle w:val="JuPara"/>
      </w:pPr>
      <w:r w:rsidRPr="002358A2">
        <w:t>the two applications (nos. 46564/15 and 68140/16) against the Republic of Bulgaria lodged with the Court under Article 34 of the Convention for the Protection of Human Rights and Fundamental Freedoms (“the Convention”) by Mr I. Zafirov, Mr O. Rusev, Mr G. Hristov and Mr A. Pantaleev, the four former executive directors of Korporativna Targovska Banka AD (“KTB”) on behalf of the bank, on 17 September 2015 and 18 November 2016 respectively;</w:t>
      </w:r>
    </w:p>
    <w:p w:rsidRPr="002358A2" w:rsidR="00BF0CAC" w:rsidP="002358A2" w:rsidRDefault="00BF0CAC" w14:paraId="475D02B0" w14:textId="0456E013">
      <w:pPr>
        <w:pStyle w:val="JuPara"/>
      </w:pPr>
      <w:r w:rsidRPr="002358A2">
        <w:t>the decision to give the Bulgarian Government (“the Government”) notice of the complaints that (a) KTB could not obtain judicial review of the withdrawal of its banking licence; (b) in the ensuing proceedings in which the courts decided that KTB was to be declared insolvent and wound up, it was represented exclusively by persons dependent on its opponent, the Bulgarian National Bank (“the BNB”); (c) the withdrawal of KTB</w:t>
      </w:r>
      <w:r w:rsidRPr="002358A2" w:rsidR="002358A2">
        <w:t>’</w:t>
      </w:r>
      <w:r w:rsidRPr="002358A2">
        <w:t>s licence and the ensuing decision to wind it up were an unlawful and unjustified interference with its possessions; and (d) KTB had no effective remedies in that regard, and to declare the remainder of the two applications, including all complaints raised by KTB</w:t>
      </w:r>
      <w:r w:rsidRPr="002358A2" w:rsidR="002358A2">
        <w:t>’</w:t>
      </w:r>
      <w:r w:rsidRPr="002358A2">
        <w:t>s largest shareholder, the limited liability company Bromak EOOD (“Bromak”), inadmissible;</w:t>
      </w:r>
    </w:p>
    <w:p w:rsidRPr="002358A2" w:rsidR="00BF0CAC" w:rsidP="002358A2" w:rsidRDefault="00BF0CAC" w14:paraId="563CEE4E" w14:textId="682AED69">
      <w:pPr>
        <w:pStyle w:val="JuPara"/>
      </w:pPr>
      <w:r w:rsidRPr="002358A2">
        <w:t>the parties</w:t>
      </w:r>
      <w:r w:rsidRPr="002358A2" w:rsidR="002358A2">
        <w:t>’</w:t>
      </w:r>
      <w:r w:rsidRPr="002358A2">
        <w:t xml:space="preserve"> observations;</w:t>
      </w:r>
    </w:p>
    <w:p w:rsidRPr="002358A2" w:rsidR="00BF0CAC" w:rsidP="002358A2" w:rsidRDefault="00BF0CAC" w14:paraId="7A8F1467" w14:textId="6EF00185">
      <w:pPr>
        <w:pStyle w:val="JuPara"/>
      </w:pPr>
      <w:r w:rsidRPr="002358A2">
        <w:t>Having deliberated in private on 5 July 2022,</w:t>
      </w:r>
    </w:p>
    <w:p w:rsidRPr="002358A2" w:rsidR="00BF0CAC" w:rsidP="002358A2" w:rsidRDefault="00BF0CAC" w14:paraId="5E0EAD1A" w14:textId="77777777">
      <w:pPr>
        <w:pStyle w:val="JuPara"/>
      </w:pPr>
      <w:r w:rsidRPr="002358A2">
        <w:t>Delivers the following judgment, which was adopted on that date:</w:t>
      </w:r>
    </w:p>
    <w:p w:rsidRPr="002358A2" w:rsidR="00BF0CAC" w:rsidP="002358A2" w:rsidRDefault="00BF0CAC" w14:paraId="741397AF" w14:textId="48E75A45">
      <w:pPr>
        <w:pStyle w:val="JuHHead"/>
        <w:numPr>
          <w:ilvl w:val="0"/>
          <w:numId w:val="0"/>
        </w:numPr>
      </w:pPr>
      <w:bookmarkStart w:name="_Toc107950826" w:id="0"/>
      <w:r w:rsidRPr="002358A2">
        <w:t>INTRODUCTION</w:t>
      </w:r>
      <w:bookmarkEnd w:id="0"/>
    </w:p>
    <w:bookmarkStart w:name="I_1" w:id="1"/>
    <w:p w:rsidRPr="002358A2" w:rsidR="00BF0CAC" w:rsidP="002358A2" w:rsidRDefault="00BF0CAC" w14:paraId="2EAEFB3A" w14:textId="13BB7659">
      <w:pPr>
        <w:pStyle w:val="JuPara"/>
      </w:pPr>
      <w:r w:rsidRPr="002358A2">
        <w:fldChar w:fldCharType="begin"/>
      </w:r>
      <w:r w:rsidRPr="002358A2">
        <w:instrText xml:space="preserve"> SEQ level0 \*arabic </w:instrText>
      </w:r>
      <w:r w:rsidRPr="002358A2">
        <w:fldChar w:fldCharType="separate"/>
      </w:r>
      <w:r w:rsidRPr="002358A2" w:rsidR="002358A2">
        <w:rPr>
          <w:noProof/>
        </w:rPr>
        <w:t>1</w:t>
      </w:r>
      <w:r w:rsidRPr="002358A2">
        <w:fldChar w:fldCharType="end"/>
      </w:r>
      <w:bookmarkEnd w:id="1"/>
      <w:r w:rsidRPr="002358A2">
        <w:t>.  The case mainly concerns the question whether a bank whose licence was withdrawn – which then almost automatically led to a judicial declaration of insolvency and an order that it be wound up – had a clear and practical possibility of seeking and obtaining judicial review of that withdrawal, and more generally a possibility of contesting it. These aspects of the case raise issues under Article 6 § 1 of the Convention and Article 1 of Protocol No. 1.</w:t>
      </w:r>
    </w:p>
    <w:bookmarkStart w:name="I_2" w:id="2"/>
    <w:p w:rsidRPr="002358A2" w:rsidR="00BF0CAC" w:rsidP="002358A2" w:rsidRDefault="00BF0CAC" w14:paraId="09E8B438" w14:textId="1A0C1003">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2</w:t>
      </w:r>
      <w:r w:rsidRPr="002358A2">
        <w:fldChar w:fldCharType="end"/>
      </w:r>
      <w:bookmarkEnd w:id="2"/>
      <w:r w:rsidRPr="002358A2">
        <w:t>.  The case also concerns the fact that in the proceedings in which the bank was declared insolvent and ordered to be wound up, it was represented by persons alleged to be dependent on the opposing party. This second aspect of the case raises issues under Article 6 § 1 of the Convention.</w:t>
      </w:r>
    </w:p>
    <w:p w:rsidRPr="002358A2" w:rsidR="00BF0CAC" w:rsidP="002358A2" w:rsidRDefault="00BF0CAC" w14:paraId="3F567B25" w14:textId="77777777">
      <w:pPr>
        <w:pStyle w:val="JuHHead"/>
      </w:pPr>
      <w:bookmarkStart w:name="_Toc107950827" w:id="3"/>
      <w:r w:rsidRPr="002358A2">
        <w:t>THE FACTS</w:t>
      </w:r>
      <w:bookmarkEnd w:id="3"/>
    </w:p>
    <w:p w:rsidRPr="002358A2" w:rsidR="00BF0CAC" w:rsidP="002358A2" w:rsidRDefault="00BF0CAC" w14:paraId="73BF1A1F" w14:textId="4EBC8B73">
      <w:pPr>
        <w:pStyle w:val="JuPara"/>
      </w:pPr>
      <w:r w:rsidRPr="002358A2">
        <w:fldChar w:fldCharType="begin"/>
      </w:r>
      <w:r w:rsidRPr="002358A2">
        <w:instrText xml:space="preserve"> SEQ level0 \*arabic </w:instrText>
      </w:r>
      <w:r w:rsidRPr="002358A2">
        <w:fldChar w:fldCharType="separate"/>
      </w:r>
      <w:r w:rsidRPr="002358A2" w:rsidR="002358A2">
        <w:rPr>
          <w:noProof/>
        </w:rPr>
        <w:t>3</w:t>
      </w:r>
      <w:r w:rsidRPr="002358A2">
        <w:fldChar w:fldCharType="end"/>
      </w:r>
      <w:r w:rsidRPr="002358A2">
        <w:t>.  KTB, a limited company, was a bank which was formed and obtained its banking licence in 1994. Its registered office was in Sofia.</w:t>
      </w:r>
    </w:p>
    <w:bookmarkStart w:name="F_A_KTB_status" w:id="4"/>
    <w:p w:rsidRPr="002358A2" w:rsidR="00BF0CAC" w:rsidP="002358A2" w:rsidRDefault="00BF0CAC" w14:paraId="055A15BF" w14:textId="0DC08D17">
      <w:pPr>
        <w:pStyle w:val="JuPara"/>
      </w:pPr>
      <w:r w:rsidRPr="002358A2">
        <w:fldChar w:fldCharType="begin"/>
      </w:r>
      <w:r w:rsidRPr="002358A2">
        <w:instrText xml:space="preserve"> SEQ level0 \*arabic </w:instrText>
      </w:r>
      <w:r w:rsidRPr="002358A2">
        <w:fldChar w:fldCharType="separate"/>
      </w:r>
      <w:r w:rsidRPr="002358A2" w:rsidR="002358A2">
        <w:rPr>
          <w:noProof/>
        </w:rPr>
        <w:t>4</w:t>
      </w:r>
      <w:r w:rsidRPr="002358A2">
        <w:fldChar w:fldCharType="end"/>
      </w:r>
      <w:bookmarkEnd w:id="4"/>
      <w:r w:rsidRPr="002358A2">
        <w:t xml:space="preserve">.  On 20 June 2014 the BNB placed KTB under special administration, removed all members of its management and supervisory boards from office, and appointed special administrators to run the bank (see paragraph </w:t>
      </w:r>
      <w:r w:rsidRPr="002358A2">
        <w:fldChar w:fldCharType="begin"/>
      </w:r>
      <w:r w:rsidRPr="002358A2">
        <w:instrText xml:space="preserve"> REF F_BNB_special_administration \h </w:instrText>
      </w:r>
      <w:r w:rsidRPr="002358A2">
        <w:fldChar w:fldCharType="separate"/>
      </w:r>
      <w:r w:rsidRPr="002358A2" w:rsidR="002358A2">
        <w:rPr>
          <w:noProof/>
        </w:rPr>
        <w:t>12</w:t>
      </w:r>
      <w:r w:rsidRPr="002358A2">
        <w:fldChar w:fldCharType="end"/>
      </w:r>
      <w:r w:rsidRPr="002358A2">
        <w:t xml:space="preserve"> (b) below). On 6 November 2014 </w:t>
      </w:r>
      <w:bookmarkStart w:name="_Hlk103953055" w:id="5"/>
      <w:r w:rsidRPr="002358A2">
        <w:t>the BNB</w:t>
      </w:r>
      <w:bookmarkEnd w:id="5"/>
      <w:r w:rsidRPr="002358A2">
        <w:t xml:space="preserve"> withdrew KTB</w:t>
      </w:r>
      <w:r w:rsidRPr="002358A2" w:rsidR="002358A2">
        <w:t>’</w:t>
      </w:r>
      <w:r w:rsidRPr="002358A2">
        <w:t>s licence and extended the special administrators</w:t>
      </w:r>
      <w:r w:rsidRPr="002358A2" w:rsidR="002358A2">
        <w:t>’</w:t>
      </w:r>
      <w:r w:rsidRPr="002358A2">
        <w:t xml:space="preserve"> mandate pending the appointment of liquidators by the competent court (see paragraphs </w:t>
      </w:r>
      <w:r w:rsidRPr="002358A2">
        <w:fldChar w:fldCharType="begin"/>
      </w:r>
      <w:r w:rsidRPr="002358A2">
        <w:instrText xml:space="preserve"> REF F_BNB_revoke_licence \h </w:instrText>
      </w:r>
      <w:r w:rsidRPr="002358A2">
        <w:fldChar w:fldCharType="separate"/>
      </w:r>
      <w:r w:rsidRPr="002358A2" w:rsidR="002358A2">
        <w:rPr>
          <w:noProof/>
        </w:rPr>
        <w:t>20</w:t>
      </w:r>
      <w:r w:rsidRPr="002358A2">
        <w:fldChar w:fldCharType="end"/>
      </w:r>
      <w:r w:rsidRPr="002358A2">
        <w:t>-</w:t>
      </w:r>
      <w:r w:rsidRPr="002358A2">
        <w:fldChar w:fldCharType="begin"/>
      </w:r>
      <w:r w:rsidRPr="002358A2">
        <w:instrText xml:space="preserve"> REF F_BNB_revoke_licence_extent_special_adms \h </w:instrText>
      </w:r>
      <w:r w:rsidRPr="002358A2">
        <w:fldChar w:fldCharType="separate"/>
      </w:r>
      <w:r w:rsidRPr="002358A2" w:rsidR="002358A2">
        <w:rPr>
          <w:noProof/>
        </w:rPr>
        <w:t>21</w:t>
      </w:r>
      <w:r w:rsidRPr="002358A2">
        <w:fldChar w:fldCharType="end"/>
      </w:r>
      <w:r w:rsidRPr="002358A2">
        <w:t xml:space="preserve"> below). On</w:t>
      </w:r>
      <w:r w:rsidRPr="002358A2" w:rsidR="00E91771">
        <w:t xml:space="preserve"> </w:t>
      </w:r>
      <w:r w:rsidRPr="002358A2">
        <w:t>25</w:t>
      </w:r>
      <w:r w:rsidRPr="002358A2" w:rsidR="00D74919">
        <w:t> </w:t>
      </w:r>
      <w:r w:rsidRPr="002358A2">
        <w:t xml:space="preserve">March 2015 the Sofia City Court appointed provisional liquidators for KTB (see paragraph </w:t>
      </w:r>
      <w:r w:rsidRPr="002358A2">
        <w:fldChar w:fldCharType="begin"/>
      </w:r>
      <w:r w:rsidRPr="002358A2">
        <w:instrText xml:space="preserve"> REF F_winding_up_SofCC_prov_liquid \h </w:instrText>
      </w:r>
      <w:r w:rsidRPr="002358A2">
        <w:fldChar w:fldCharType="separate"/>
      </w:r>
      <w:r w:rsidRPr="002358A2" w:rsidR="002358A2">
        <w:rPr>
          <w:noProof/>
        </w:rPr>
        <w:t>56</w:t>
      </w:r>
      <w:r w:rsidRPr="002358A2">
        <w:fldChar w:fldCharType="end"/>
      </w:r>
      <w:r w:rsidRPr="002358A2">
        <w:t xml:space="preserve"> below), and on 22 April 2015 declared it insolvent and made an order for it to be wound up (see paragraph </w:t>
      </w:r>
      <w:r w:rsidRPr="002358A2">
        <w:fldChar w:fldCharType="begin"/>
      </w:r>
      <w:r w:rsidRPr="002358A2">
        <w:instrText xml:space="preserve"> REF F_winding_up_SofCC_dec_22_04_2015 \h </w:instrText>
      </w:r>
      <w:r w:rsidRPr="002358A2">
        <w:fldChar w:fldCharType="separate"/>
      </w:r>
      <w:r w:rsidRPr="002358A2" w:rsidR="002358A2">
        <w:rPr>
          <w:noProof/>
        </w:rPr>
        <w:t>60</w:t>
      </w:r>
      <w:r w:rsidRPr="002358A2">
        <w:fldChar w:fldCharType="end"/>
      </w:r>
      <w:r w:rsidRPr="002358A2">
        <w:t xml:space="preserve"> below). On</w:t>
      </w:r>
      <w:r w:rsidRPr="002358A2" w:rsidR="00E91771">
        <w:t xml:space="preserve"> </w:t>
      </w:r>
      <w:r w:rsidRPr="002358A2">
        <w:t>23</w:t>
      </w:r>
      <w:r w:rsidRPr="002358A2" w:rsidR="00D74919">
        <w:t> </w:t>
      </w:r>
      <w:r w:rsidRPr="002358A2">
        <w:t xml:space="preserve">April 2015 the Deposit Insurance Fund appointed the provisional liquidators as permanent ones (see paragraph </w:t>
      </w:r>
      <w:r w:rsidRPr="002358A2">
        <w:fldChar w:fldCharType="begin"/>
      </w:r>
      <w:r w:rsidRPr="002358A2">
        <w:instrText xml:space="preserve"> REF F_winding_up_SofCC_DIF_appoint_liquid \h </w:instrText>
      </w:r>
      <w:r w:rsidRPr="002358A2">
        <w:fldChar w:fldCharType="separate"/>
      </w:r>
      <w:r w:rsidRPr="002358A2" w:rsidR="002358A2">
        <w:rPr>
          <w:noProof/>
        </w:rPr>
        <w:t>62</w:t>
      </w:r>
      <w:r w:rsidRPr="002358A2">
        <w:fldChar w:fldCharType="end"/>
      </w:r>
      <w:r w:rsidRPr="002358A2">
        <w:t xml:space="preserve"> below). The winding-up proceedings are still pending.</w:t>
      </w:r>
    </w:p>
    <w:bookmarkStart w:name="F_A_KTB_exec_directors" w:id="6"/>
    <w:p w:rsidRPr="002358A2" w:rsidR="00BF0CAC" w:rsidP="002358A2" w:rsidRDefault="00BF0CAC" w14:paraId="6C00E4E0" w14:textId="7B03F7BD">
      <w:pPr>
        <w:pStyle w:val="JuPara"/>
      </w:pPr>
      <w:r w:rsidRPr="002358A2">
        <w:fldChar w:fldCharType="begin"/>
      </w:r>
      <w:r w:rsidRPr="002358A2">
        <w:instrText xml:space="preserve"> SEQ level0 \*arabic </w:instrText>
      </w:r>
      <w:r w:rsidRPr="002358A2">
        <w:fldChar w:fldCharType="separate"/>
      </w:r>
      <w:r w:rsidRPr="002358A2" w:rsidR="002358A2">
        <w:rPr>
          <w:noProof/>
        </w:rPr>
        <w:t>5</w:t>
      </w:r>
      <w:r w:rsidRPr="002358A2">
        <w:fldChar w:fldCharType="end"/>
      </w:r>
      <w:bookmarkEnd w:id="6"/>
      <w:r w:rsidRPr="002358A2">
        <w:t>.  Both applications were lodged on KTB</w:t>
      </w:r>
      <w:r w:rsidRPr="002358A2" w:rsidR="002358A2">
        <w:t>’</w:t>
      </w:r>
      <w:r w:rsidRPr="002358A2">
        <w:t xml:space="preserve">s behalf by its four former executive directors, Mr I. Zafirov, Mr O. Rusev, Mr G. Hristov and Mr A. Pantaleev, whom the BNB had earlier removed from office (see paragraph </w:t>
      </w:r>
      <w:r w:rsidRPr="002358A2">
        <w:fldChar w:fldCharType="begin"/>
      </w:r>
      <w:r w:rsidRPr="002358A2">
        <w:instrText xml:space="preserve"> REF F_BNB_special_administration \h </w:instrText>
      </w:r>
      <w:r w:rsidRPr="002358A2">
        <w:fldChar w:fldCharType="separate"/>
      </w:r>
      <w:r w:rsidRPr="002358A2" w:rsidR="002358A2">
        <w:rPr>
          <w:noProof/>
        </w:rPr>
        <w:t>12</w:t>
      </w:r>
      <w:r w:rsidRPr="002358A2">
        <w:fldChar w:fldCharType="end"/>
      </w:r>
      <w:r w:rsidRPr="002358A2">
        <w:t xml:space="preserve"> (e) below). They in turn authorised Mr M. Menkov, a lawyer practising in Sofia, to represent KTB in the proceedings before the Court.</w:t>
      </w:r>
    </w:p>
    <w:p w:rsidRPr="002358A2" w:rsidR="00BF0CAC" w:rsidP="002358A2" w:rsidRDefault="00BF0CAC" w14:paraId="795950D2" w14:textId="60417136">
      <w:pPr>
        <w:pStyle w:val="JuPara"/>
      </w:pPr>
      <w:r w:rsidRPr="002358A2">
        <w:fldChar w:fldCharType="begin"/>
      </w:r>
      <w:r w:rsidRPr="002358A2">
        <w:instrText xml:space="preserve"> SEQ level0 \*arabic </w:instrText>
      </w:r>
      <w:r w:rsidRPr="002358A2">
        <w:fldChar w:fldCharType="separate"/>
      </w:r>
      <w:r w:rsidRPr="002358A2" w:rsidR="002358A2">
        <w:rPr>
          <w:noProof/>
        </w:rPr>
        <w:t>6</w:t>
      </w:r>
      <w:r w:rsidRPr="002358A2">
        <w:fldChar w:fldCharType="end"/>
      </w:r>
      <w:r w:rsidRPr="002358A2">
        <w:t>.  The Government were represented by their Agents, Ms B. Simeonova and Ms R. Nikolova of the Ministry of Justice.</w:t>
      </w:r>
    </w:p>
    <w:p w:rsidRPr="002358A2" w:rsidR="00BF0CAC" w:rsidP="002358A2" w:rsidRDefault="00BF0CAC" w14:paraId="727E7468" w14:textId="6EE1ADC3">
      <w:pPr>
        <w:pStyle w:val="JuPara"/>
      </w:pPr>
      <w:r w:rsidRPr="002358A2">
        <w:fldChar w:fldCharType="begin"/>
      </w:r>
      <w:r w:rsidRPr="002358A2">
        <w:instrText xml:space="preserve"> SEQ level0 \*arabic </w:instrText>
      </w:r>
      <w:r w:rsidRPr="002358A2">
        <w:fldChar w:fldCharType="separate"/>
      </w:r>
      <w:r w:rsidRPr="002358A2" w:rsidR="002358A2">
        <w:rPr>
          <w:noProof/>
        </w:rPr>
        <w:t>7</w:t>
      </w:r>
      <w:r w:rsidRPr="002358A2">
        <w:fldChar w:fldCharType="end"/>
      </w:r>
      <w:r w:rsidRPr="002358A2">
        <w:t>.  The facts of the case may be summarised as follows.</w:t>
      </w:r>
    </w:p>
    <w:p w:rsidRPr="002358A2" w:rsidR="00BF0CAC" w:rsidP="002358A2" w:rsidRDefault="00BF0CAC" w14:paraId="7844BE2D" w14:textId="68D75D64">
      <w:pPr>
        <w:pStyle w:val="JuHIRoman"/>
      </w:pPr>
      <w:bookmarkStart w:name="_Toc452473223" w:id="7"/>
      <w:bookmarkStart w:name="_Toc107950828" w:id="8"/>
      <w:r w:rsidRPr="002358A2">
        <w:rPr>
          <w:caps w:val="0"/>
        </w:rPr>
        <w:t>KTB</w:t>
      </w:r>
      <w:r w:rsidRPr="002358A2" w:rsidR="002358A2">
        <w:rPr>
          <w:caps w:val="0"/>
        </w:rPr>
        <w:t>’</w:t>
      </w:r>
      <w:r w:rsidRPr="002358A2">
        <w:rPr>
          <w:caps w:val="0"/>
        </w:rPr>
        <w:t>S MAJOR SHAREHOLDERS AND MANAGEMENT</w:t>
      </w:r>
      <w:bookmarkEnd w:id="7"/>
      <w:bookmarkEnd w:id="8"/>
    </w:p>
    <w:bookmarkStart w:name="F_KTB_shareholders" w:id="9"/>
    <w:p w:rsidRPr="002358A2" w:rsidR="00BF0CAC" w:rsidP="002358A2" w:rsidRDefault="00BF0CAC" w14:paraId="0040C30E" w14:textId="6C77AFE0">
      <w:pPr>
        <w:pStyle w:val="JuPara"/>
      </w:pPr>
      <w:r w:rsidRPr="002358A2">
        <w:fldChar w:fldCharType="begin"/>
      </w:r>
      <w:r w:rsidRPr="002358A2">
        <w:instrText xml:space="preserve"> SEQ level0 \*arabic </w:instrText>
      </w:r>
      <w:r w:rsidRPr="002358A2">
        <w:fldChar w:fldCharType="separate"/>
      </w:r>
      <w:r w:rsidRPr="002358A2" w:rsidR="002358A2">
        <w:rPr>
          <w:noProof/>
        </w:rPr>
        <w:t>8</w:t>
      </w:r>
      <w:r w:rsidRPr="002358A2">
        <w:fldChar w:fldCharType="end"/>
      </w:r>
      <w:bookmarkEnd w:id="9"/>
      <w:r w:rsidRPr="002358A2">
        <w:t>.  At the time of the events which gave rise to the applications, Bromak, a single-member limited liability company, held 50.66% of KTB</w:t>
      </w:r>
      <w:r w:rsidRPr="002358A2" w:rsidR="002358A2">
        <w:t>’</w:t>
      </w:r>
      <w:r w:rsidRPr="002358A2">
        <w:t>s shares. Bromak was in turn wholly owned by Mr Tsvetan Vasilev. Another limited liability company, Bulgarian Acquisition Company II Sarl, which has its registered office in Luxembourg, held 30.35% of KTB</w:t>
      </w:r>
      <w:r w:rsidRPr="002358A2" w:rsidR="002358A2">
        <w:t>’</w:t>
      </w:r>
      <w:r w:rsidRPr="002358A2">
        <w:t>s shares.</w:t>
      </w:r>
    </w:p>
    <w:bookmarkStart w:name="F_KTB_management" w:id="10"/>
    <w:p w:rsidRPr="002358A2" w:rsidR="00BF0CAC" w:rsidP="002358A2" w:rsidRDefault="00BF0CAC" w14:paraId="4F87A98E" w14:textId="7ABC5F26">
      <w:pPr>
        <w:pStyle w:val="JuPara"/>
      </w:pPr>
      <w:r w:rsidRPr="002358A2">
        <w:fldChar w:fldCharType="begin"/>
      </w:r>
      <w:r w:rsidRPr="002358A2">
        <w:instrText xml:space="preserve"> SEQ level0 \*arabic </w:instrText>
      </w:r>
      <w:r w:rsidRPr="002358A2">
        <w:fldChar w:fldCharType="separate"/>
      </w:r>
      <w:r w:rsidRPr="002358A2" w:rsidR="002358A2">
        <w:rPr>
          <w:noProof/>
        </w:rPr>
        <w:t>9</w:t>
      </w:r>
      <w:r w:rsidRPr="002358A2">
        <w:fldChar w:fldCharType="end"/>
      </w:r>
      <w:bookmarkEnd w:id="10"/>
      <w:r w:rsidRPr="002358A2">
        <w:t>.  At the time of the events which gave rise to the applications, KTB had a management board and a supervisory board, each consisting of four members. The management board</w:t>
      </w:r>
      <w:r w:rsidRPr="002358A2" w:rsidR="002358A2">
        <w:t>’</w:t>
      </w:r>
      <w:r w:rsidRPr="002358A2">
        <w:t xml:space="preserve">s members were the four executive directors (see paragraph </w:t>
      </w:r>
      <w:r w:rsidRPr="002358A2">
        <w:fldChar w:fldCharType="begin"/>
      </w:r>
      <w:r w:rsidRPr="002358A2">
        <w:instrText xml:space="preserve"> REF F_A_KTB_exec_directors \h </w:instrText>
      </w:r>
      <w:r w:rsidRPr="002358A2">
        <w:fldChar w:fldCharType="separate"/>
      </w:r>
      <w:r w:rsidRPr="002358A2" w:rsidR="002358A2">
        <w:rPr>
          <w:noProof/>
        </w:rPr>
        <w:t>5</w:t>
      </w:r>
      <w:r w:rsidRPr="002358A2">
        <w:fldChar w:fldCharType="end"/>
      </w:r>
      <w:r w:rsidRPr="002358A2">
        <w:t xml:space="preserve"> above). Mr Vasilev was a member of the supervisory board.</w:t>
      </w:r>
    </w:p>
    <w:p w:rsidRPr="002358A2" w:rsidR="00BF0CAC" w:rsidP="002358A2" w:rsidRDefault="00BF0CAC" w14:paraId="228092A4" w14:textId="075ECA23">
      <w:pPr>
        <w:pStyle w:val="JuHIRoman"/>
      </w:pPr>
      <w:bookmarkStart w:name="_Toc107950829" w:id="11"/>
      <w:r w:rsidRPr="002358A2">
        <w:rPr>
          <w:caps w:val="0"/>
        </w:rPr>
        <w:t>KTB</w:t>
      </w:r>
      <w:r w:rsidRPr="002358A2" w:rsidR="002358A2">
        <w:rPr>
          <w:caps w:val="0"/>
        </w:rPr>
        <w:t>’</w:t>
      </w:r>
      <w:r w:rsidRPr="002358A2">
        <w:rPr>
          <w:caps w:val="0"/>
        </w:rPr>
        <w:t>S PLACEMENT UNDER SPECIAL ADMINISTRATION</w:t>
      </w:r>
      <w:bookmarkEnd w:id="11"/>
    </w:p>
    <w:bookmarkStart w:name="F_KTB_16_June_2014" w:id="12"/>
    <w:p w:rsidRPr="002358A2" w:rsidR="00BF0CAC" w:rsidP="002358A2" w:rsidRDefault="00BF0CAC" w14:paraId="39866E94" w14:textId="50699234">
      <w:pPr>
        <w:pStyle w:val="JuPara"/>
      </w:pPr>
      <w:r w:rsidRPr="002358A2">
        <w:fldChar w:fldCharType="begin"/>
      </w:r>
      <w:r w:rsidRPr="002358A2">
        <w:instrText xml:space="preserve"> SEQ level0 \*arabic </w:instrText>
      </w:r>
      <w:r w:rsidRPr="002358A2">
        <w:fldChar w:fldCharType="separate"/>
      </w:r>
      <w:r w:rsidRPr="002358A2" w:rsidR="002358A2">
        <w:rPr>
          <w:noProof/>
        </w:rPr>
        <w:t>10</w:t>
      </w:r>
      <w:r w:rsidRPr="002358A2">
        <w:fldChar w:fldCharType="end"/>
      </w:r>
      <w:bookmarkEnd w:id="12"/>
      <w:r w:rsidRPr="002358A2">
        <w:t>.  In mid-June 2014, following the opening of criminal investigations relating to KTB and a number of negative media publications about it, depositors in the bank began mass withdrawals of funds. On 16 June 2014 KTB asked the BNB to take steps to prevent the dissemination of false information about it and its destabilisation.</w:t>
      </w:r>
    </w:p>
    <w:bookmarkStart w:name="F_KTB_20_June_2014" w:id="13"/>
    <w:p w:rsidRPr="002358A2" w:rsidR="00BF0CAC" w:rsidP="002358A2" w:rsidRDefault="00BF0CAC" w14:paraId="754CE4CD" w14:textId="6ADC5CA0">
      <w:pPr>
        <w:pStyle w:val="JuPara"/>
      </w:pPr>
      <w:r w:rsidRPr="002358A2">
        <w:fldChar w:fldCharType="begin"/>
      </w:r>
      <w:r w:rsidRPr="002358A2">
        <w:instrText xml:space="preserve"> SEQ level0 \*arabic </w:instrText>
      </w:r>
      <w:r w:rsidRPr="002358A2">
        <w:fldChar w:fldCharType="separate"/>
      </w:r>
      <w:r w:rsidRPr="002358A2" w:rsidR="002358A2">
        <w:rPr>
          <w:noProof/>
        </w:rPr>
        <w:t>11</w:t>
      </w:r>
      <w:r w:rsidRPr="002358A2">
        <w:fldChar w:fldCharType="end"/>
      </w:r>
      <w:bookmarkEnd w:id="13"/>
      <w:r w:rsidRPr="002358A2">
        <w:t>.  The run on KTB continued, and at 10.51 a.m. on 20 June 2014 KTB advised the BNB that it was experiencing liquidity problems and would soon become unable to honour all withdrawal requests. It requested the BNB to take measures in that regard, including placing it under special administration. At 12.06 p.m. KTB informed the BNB that at 11.45 a.m. it had stopped making payments or any other banking transactions.</w:t>
      </w:r>
    </w:p>
    <w:bookmarkStart w:name="F_BNB_special_administration" w:id="14"/>
    <w:p w:rsidRPr="002358A2" w:rsidR="00BF0CAC" w:rsidP="002358A2" w:rsidRDefault="00BF0CAC" w14:paraId="21F27FCA" w14:textId="3F5B35F0">
      <w:pPr>
        <w:pStyle w:val="JuPara"/>
      </w:pPr>
      <w:r w:rsidRPr="002358A2">
        <w:fldChar w:fldCharType="begin"/>
      </w:r>
      <w:r w:rsidRPr="002358A2">
        <w:instrText xml:space="preserve"> SEQ level0 \*arabic </w:instrText>
      </w:r>
      <w:r w:rsidRPr="002358A2">
        <w:fldChar w:fldCharType="separate"/>
      </w:r>
      <w:r w:rsidRPr="002358A2" w:rsidR="002358A2">
        <w:rPr>
          <w:noProof/>
        </w:rPr>
        <w:t>12</w:t>
      </w:r>
      <w:r w:rsidRPr="002358A2">
        <w:fldChar w:fldCharType="end"/>
      </w:r>
      <w:bookmarkEnd w:id="14"/>
      <w:r w:rsidRPr="002358A2">
        <w:t>.  Shortly after 12.30 p.m. the same day, 20 June 2014, the BNB decided to:</w:t>
      </w:r>
    </w:p>
    <w:p w:rsidRPr="002358A2" w:rsidR="00BF0CAC" w:rsidP="002358A2" w:rsidRDefault="00BF0CAC" w14:paraId="6F1D30D6" w14:textId="77777777">
      <w:pPr>
        <w:pStyle w:val="JuPara"/>
      </w:pPr>
      <w:r w:rsidRPr="002358A2">
        <w:t>(a)  place KTB under special administration for three months;</w:t>
      </w:r>
    </w:p>
    <w:p w:rsidRPr="002358A2" w:rsidR="00BF0CAC" w:rsidP="002358A2" w:rsidRDefault="00BF0CAC" w14:paraId="4DE77462" w14:textId="77777777">
      <w:pPr>
        <w:pStyle w:val="JuPara"/>
      </w:pPr>
      <w:r w:rsidRPr="002358A2">
        <w:t>(b)  appoint two special administrators to run KTB;</w:t>
      </w:r>
    </w:p>
    <w:p w:rsidRPr="002358A2" w:rsidR="00BF0CAC" w:rsidP="002358A2" w:rsidRDefault="00BF0CAC" w14:paraId="4368AA25" w14:textId="77777777">
      <w:pPr>
        <w:pStyle w:val="JuPara"/>
      </w:pPr>
      <w:r w:rsidRPr="002358A2">
        <w:t>(c)  suspend the payment of all debts owed by KTB for three months;</w:t>
      </w:r>
    </w:p>
    <w:p w:rsidRPr="002358A2" w:rsidR="00BF0CAC" w:rsidP="002358A2" w:rsidRDefault="00BF0CAC" w14:paraId="21541F6A" w14:textId="77777777">
      <w:pPr>
        <w:pStyle w:val="JuPara"/>
      </w:pPr>
      <w:r w:rsidRPr="002358A2">
        <w:t>(d)  bar KTB from carrying out any further banking transactions;</w:t>
      </w:r>
    </w:p>
    <w:p w:rsidRPr="002358A2" w:rsidR="00BF0CAC" w:rsidP="002358A2" w:rsidRDefault="00BF0CAC" w14:paraId="3345F469" w14:textId="10F44977">
      <w:pPr>
        <w:pStyle w:val="JuPara"/>
      </w:pPr>
      <w:r w:rsidRPr="002358A2">
        <w:t>(e)  remove all members of KTB</w:t>
      </w:r>
      <w:r w:rsidRPr="002358A2" w:rsidR="002358A2">
        <w:t>’</w:t>
      </w:r>
      <w:r w:rsidRPr="002358A2">
        <w:t>s management and supervisory boards from office; and</w:t>
      </w:r>
    </w:p>
    <w:p w:rsidRPr="002358A2" w:rsidR="00BF0CAC" w:rsidP="002358A2" w:rsidRDefault="00BF0CAC" w14:paraId="1DBE1DE3" w14:textId="54AAFF2D">
      <w:pPr>
        <w:pStyle w:val="JuPara"/>
      </w:pPr>
      <w:r w:rsidRPr="002358A2">
        <w:t xml:space="preserve">(f)  deprive all shareholders in KTB holding more than 10% of its shares – Bromak and Bulgarian Acquisition Company II Sarl (see paragraph </w:t>
      </w:r>
      <w:r w:rsidRPr="002358A2">
        <w:fldChar w:fldCharType="begin"/>
      </w:r>
      <w:r w:rsidRPr="002358A2">
        <w:instrText xml:space="preserve"> REF F_KTB_shareholders \h  \* MERGEFORMAT </w:instrText>
      </w:r>
      <w:r w:rsidRPr="002358A2">
        <w:fldChar w:fldCharType="separate"/>
      </w:r>
      <w:r w:rsidRPr="002358A2" w:rsidR="002358A2">
        <w:rPr>
          <w:noProof/>
        </w:rPr>
        <w:t>8</w:t>
      </w:r>
      <w:r w:rsidRPr="002358A2">
        <w:fldChar w:fldCharType="end"/>
      </w:r>
      <w:r w:rsidRPr="002358A2">
        <w:t xml:space="preserve"> above) – of the right to vote for three months.</w:t>
      </w:r>
    </w:p>
    <w:bookmarkStart w:name="F_BNB_special_administration_bis" w:id="15"/>
    <w:p w:rsidRPr="002358A2" w:rsidR="00BF0CAC" w:rsidP="002358A2" w:rsidRDefault="00BF0CAC" w14:paraId="218D5AB8" w14:textId="20271326">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13</w:t>
      </w:r>
      <w:r w:rsidRPr="002358A2">
        <w:fldChar w:fldCharType="end"/>
      </w:r>
      <w:bookmarkEnd w:id="15"/>
      <w:r w:rsidRPr="002358A2">
        <w:t>.  The decision was immediately enforceable and was amenable to review by the Supreme Administrative Court. No such claim was made within the applicable time-limit, but later, in January 2015, KTB</w:t>
      </w:r>
      <w:r w:rsidRPr="002358A2" w:rsidR="002358A2">
        <w:t>’</w:t>
      </w:r>
      <w:r w:rsidRPr="002358A2">
        <w:t xml:space="preserve">s (then former) executive directors brought one on its behalf (see paragraphs </w:t>
      </w:r>
      <w:r w:rsidRPr="002358A2">
        <w:fldChar w:fldCharType="begin"/>
      </w:r>
      <w:r w:rsidRPr="002358A2">
        <w:instrText xml:space="preserve"> REF F_spec_adm_appoint_jud_rev_claim \h  \* MERGEFORMAT </w:instrText>
      </w:r>
      <w:r w:rsidRPr="002358A2">
        <w:fldChar w:fldCharType="separate"/>
      </w:r>
      <w:r w:rsidRPr="002358A2" w:rsidR="002358A2">
        <w:rPr>
          <w:noProof/>
        </w:rPr>
        <w:t>82</w:t>
      </w:r>
      <w:r w:rsidRPr="002358A2">
        <w:fldChar w:fldCharType="end"/>
      </w:r>
      <w:r w:rsidRPr="002358A2">
        <w:t>-</w:t>
      </w:r>
      <w:r w:rsidRPr="002358A2">
        <w:fldChar w:fldCharType="begin"/>
      </w:r>
      <w:r w:rsidRPr="002358A2">
        <w:instrText xml:space="preserve"> REF F_spec_adm_appoint_jud_rev_claim_5MP \h  \* MERGEFORMAT </w:instrText>
      </w:r>
      <w:r w:rsidRPr="002358A2">
        <w:fldChar w:fldCharType="separate"/>
      </w:r>
      <w:r w:rsidRPr="002358A2" w:rsidR="002358A2">
        <w:rPr>
          <w:noProof/>
        </w:rPr>
        <w:t>87</w:t>
      </w:r>
      <w:r w:rsidRPr="002358A2">
        <w:fldChar w:fldCharType="end"/>
      </w:r>
      <w:r w:rsidRPr="002358A2">
        <w:t xml:space="preserve"> below).</w:t>
      </w:r>
    </w:p>
    <w:p w:rsidRPr="002358A2" w:rsidR="00BF0CAC" w:rsidP="002358A2" w:rsidRDefault="00BF0CAC" w14:paraId="46DE02BC" w14:textId="3CA6EBE3">
      <w:pPr>
        <w:pStyle w:val="JuPara"/>
      </w:pPr>
      <w:r w:rsidRPr="002358A2">
        <w:fldChar w:fldCharType="begin"/>
      </w:r>
      <w:r w:rsidRPr="002358A2">
        <w:instrText xml:space="preserve"> SEQ level0 \*arabic </w:instrText>
      </w:r>
      <w:r w:rsidRPr="002358A2">
        <w:fldChar w:fldCharType="separate"/>
      </w:r>
      <w:r w:rsidRPr="002358A2" w:rsidR="002358A2">
        <w:rPr>
          <w:noProof/>
        </w:rPr>
        <w:t>14</w:t>
      </w:r>
      <w:r w:rsidRPr="002358A2">
        <w:fldChar w:fldCharType="end"/>
      </w:r>
      <w:r w:rsidRPr="002358A2">
        <w:t>.  On 22 June 2014 the BNB made minor technical corrections to its decision.</w:t>
      </w:r>
    </w:p>
    <w:bookmarkStart w:name="F_BNB_new_special_administrators" w:id="16"/>
    <w:p w:rsidRPr="002358A2" w:rsidR="00BF0CAC" w:rsidP="002358A2" w:rsidRDefault="00BF0CAC" w14:paraId="4E1BC17C" w14:textId="74394CA1">
      <w:pPr>
        <w:pStyle w:val="JuPara"/>
      </w:pPr>
      <w:r w:rsidRPr="002358A2">
        <w:fldChar w:fldCharType="begin"/>
      </w:r>
      <w:r w:rsidRPr="002358A2">
        <w:instrText xml:space="preserve"> SEQ level0 \*arabic </w:instrText>
      </w:r>
      <w:r w:rsidRPr="002358A2">
        <w:fldChar w:fldCharType="separate"/>
      </w:r>
      <w:r w:rsidRPr="002358A2" w:rsidR="002358A2">
        <w:rPr>
          <w:noProof/>
        </w:rPr>
        <w:t>15</w:t>
      </w:r>
      <w:r w:rsidRPr="002358A2">
        <w:fldChar w:fldCharType="end"/>
      </w:r>
      <w:bookmarkEnd w:id="16"/>
      <w:r w:rsidRPr="002358A2">
        <w:t>.  On 25 July 2014 the BNB replaced the two special administrators with new ones. It also commissioned an audit of KTB</w:t>
      </w:r>
      <w:r w:rsidRPr="002358A2" w:rsidR="002358A2">
        <w:t>’</w:t>
      </w:r>
      <w:r w:rsidRPr="002358A2">
        <w:t>s assets by three auditing companies.</w:t>
      </w:r>
    </w:p>
    <w:bookmarkStart w:name="F_BNB_special_administration_prolonged" w:id="17"/>
    <w:p w:rsidRPr="002358A2" w:rsidR="00BF0CAC" w:rsidP="002358A2" w:rsidRDefault="00BF0CAC" w14:paraId="19DA8E10" w14:textId="34A7284E">
      <w:pPr>
        <w:pStyle w:val="JuPara"/>
      </w:pPr>
      <w:r w:rsidRPr="002358A2">
        <w:fldChar w:fldCharType="begin"/>
      </w:r>
      <w:r w:rsidRPr="002358A2">
        <w:instrText xml:space="preserve"> SEQ level0 \*arabic </w:instrText>
      </w:r>
      <w:r w:rsidRPr="002358A2">
        <w:fldChar w:fldCharType="separate"/>
      </w:r>
      <w:r w:rsidRPr="002358A2" w:rsidR="002358A2">
        <w:rPr>
          <w:noProof/>
        </w:rPr>
        <w:t>16</w:t>
      </w:r>
      <w:r w:rsidRPr="002358A2">
        <w:fldChar w:fldCharType="end"/>
      </w:r>
      <w:bookmarkEnd w:id="17"/>
      <w:r w:rsidRPr="002358A2">
        <w:t>.  On 16 September 2014 the BNB extended KTB</w:t>
      </w:r>
      <w:r w:rsidRPr="002358A2" w:rsidR="002358A2">
        <w:t>’</w:t>
      </w:r>
      <w:r w:rsidRPr="002358A2">
        <w:t xml:space="preserve">s special administration and all related measures (see paragraph </w:t>
      </w:r>
      <w:r w:rsidRPr="002358A2">
        <w:fldChar w:fldCharType="begin"/>
      </w:r>
      <w:r w:rsidRPr="002358A2">
        <w:instrText xml:space="preserve"> REF F_BNB_special_administration \h </w:instrText>
      </w:r>
      <w:r w:rsidRPr="002358A2">
        <w:fldChar w:fldCharType="separate"/>
      </w:r>
      <w:r w:rsidRPr="002358A2" w:rsidR="002358A2">
        <w:rPr>
          <w:noProof/>
        </w:rPr>
        <w:t>12</w:t>
      </w:r>
      <w:r w:rsidRPr="002358A2">
        <w:fldChar w:fldCharType="end"/>
      </w:r>
      <w:r w:rsidRPr="002358A2">
        <w:t xml:space="preserve"> above) until</w:t>
      </w:r>
      <w:r w:rsidRPr="002358A2" w:rsidR="00E91771">
        <w:t xml:space="preserve"> </w:t>
      </w:r>
      <w:r w:rsidRPr="002358A2">
        <w:t>20 November 2014. It also instructed the special administrators to report on KTB</w:t>
      </w:r>
      <w:r w:rsidRPr="002358A2" w:rsidR="002358A2">
        <w:t>’</w:t>
      </w:r>
      <w:r w:rsidRPr="002358A2">
        <w:t>s assets. Their report was submitted on 20 October 2014.</w:t>
      </w:r>
    </w:p>
    <w:p w:rsidRPr="002358A2" w:rsidR="00BF0CAC" w:rsidP="002358A2" w:rsidRDefault="00BF0CAC" w14:paraId="7088B162" w14:textId="66883F33">
      <w:pPr>
        <w:pStyle w:val="JuPara"/>
      </w:pPr>
      <w:r w:rsidRPr="002358A2">
        <w:fldChar w:fldCharType="begin"/>
      </w:r>
      <w:r w:rsidRPr="002358A2">
        <w:instrText xml:space="preserve"> SEQ level0 \*arabic </w:instrText>
      </w:r>
      <w:r w:rsidRPr="002358A2">
        <w:fldChar w:fldCharType="separate"/>
      </w:r>
      <w:r w:rsidRPr="002358A2" w:rsidR="002358A2">
        <w:rPr>
          <w:noProof/>
        </w:rPr>
        <w:t>17</w:t>
      </w:r>
      <w:r w:rsidRPr="002358A2">
        <w:fldChar w:fldCharType="end"/>
      </w:r>
      <w:r w:rsidRPr="002358A2">
        <w:t>.  Meanwhile, between July and mid-October 2014, the BNB itself audited KTB. The audit report likewise became available on 20 October 2014.</w:t>
      </w:r>
    </w:p>
    <w:bookmarkStart w:name="F_BNB_new_spec_adms_instrcns_21_Oct_2014" w:id="18"/>
    <w:p w:rsidRPr="002358A2" w:rsidR="00BF0CAC" w:rsidP="002358A2" w:rsidRDefault="00BF0CAC" w14:paraId="4709F7EF" w14:textId="6F1C0F77">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18</w:t>
      </w:r>
      <w:r w:rsidRPr="002358A2">
        <w:fldChar w:fldCharType="end"/>
      </w:r>
      <w:bookmarkEnd w:id="18"/>
      <w:r w:rsidRPr="002358A2">
        <w:t xml:space="preserve">.  On 21 October 2014 the BNB, having reviewed the reports drawn up by the auditing companies (see paragraph </w:t>
      </w:r>
      <w:r w:rsidRPr="002358A2">
        <w:fldChar w:fldCharType="begin"/>
      </w:r>
      <w:r w:rsidRPr="002358A2">
        <w:instrText xml:space="preserve"> REF F_BNB_new_special_administrators \h </w:instrText>
      </w:r>
      <w:r w:rsidRPr="002358A2">
        <w:fldChar w:fldCharType="separate"/>
      </w:r>
      <w:r w:rsidRPr="002358A2" w:rsidR="002358A2">
        <w:rPr>
          <w:noProof/>
        </w:rPr>
        <w:t>15</w:t>
      </w:r>
      <w:r w:rsidRPr="002358A2">
        <w:fldChar w:fldCharType="end"/>
      </w:r>
      <w:r w:rsidRPr="002358A2">
        <w:t xml:space="preserve"> above), instructed the special administrators to reflect the findings of those reports about KTB</w:t>
      </w:r>
      <w:r w:rsidRPr="002358A2" w:rsidR="002358A2">
        <w:t>’</w:t>
      </w:r>
      <w:r w:rsidRPr="002358A2">
        <w:t>s assets in the bank</w:t>
      </w:r>
      <w:r w:rsidRPr="002358A2" w:rsidR="002358A2">
        <w:t>’</w:t>
      </w:r>
      <w:r w:rsidRPr="002358A2">
        <w:t>s accounts and then report on KTB</w:t>
      </w:r>
      <w:r w:rsidRPr="002358A2" w:rsidR="002358A2">
        <w:t>’</w:t>
      </w:r>
      <w:r w:rsidRPr="002358A2">
        <w:t>s financial situation.</w:t>
      </w:r>
    </w:p>
    <w:bookmarkStart w:name="F_BNB_new_special_adms_rep_4_Nov_2014" w:id="19"/>
    <w:p w:rsidRPr="002358A2" w:rsidR="00BF0CAC" w:rsidP="002358A2" w:rsidRDefault="00BF0CAC" w14:paraId="64796510" w14:textId="2CED08CD">
      <w:pPr>
        <w:pStyle w:val="JuPara"/>
      </w:pPr>
      <w:r w:rsidRPr="002358A2">
        <w:fldChar w:fldCharType="begin"/>
      </w:r>
      <w:r w:rsidRPr="002358A2">
        <w:instrText xml:space="preserve"> SEQ level0 \*arabic </w:instrText>
      </w:r>
      <w:r w:rsidRPr="002358A2">
        <w:fldChar w:fldCharType="separate"/>
      </w:r>
      <w:r w:rsidRPr="002358A2" w:rsidR="002358A2">
        <w:rPr>
          <w:noProof/>
        </w:rPr>
        <w:t>19</w:t>
      </w:r>
      <w:r w:rsidRPr="002358A2">
        <w:fldChar w:fldCharType="end"/>
      </w:r>
      <w:bookmarkEnd w:id="19"/>
      <w:r w:rsidRPr="002358A2">
        <w:t>.  On 4 November 2014 the special administrators submitted reports to the BNB about KTB</w:t>
      </w:r>
      <w:r w:rsidRPr="002358A2" w:rsidR="002358A2">
        <w:t>’</w:t>
      </w:r>
      <w:r w:rsidRPr="002358A2">
        <w:t>s financial situation on 30 September 2014.</w:t>
      </w:r>
    </w:p>
    <w:p w:rsidRPr="002358A2" w:rsidR="00BF0CAC" w:rsidP="002358A2" w:rsidRDefault="00BF0CAC" w14:paraId="2026FD77" w14:textId="4F78A807">
      <w:pPr>
        <w:pStyle w:val="JuHIRoman"/>
      </w:pPr>
      <w:bookmarkStart w:name="_Toc107950830" w:id="20"/>
      <w:r w:rsidRPr="002358A2">
        <w:rPr>
          <w:caps w:val="0"/>
        </w:rPr>
        <w:t>THE BNB</w:t>
      </w:r>
      <w:r w:rsidRPr="002358A2" w:rsidR="002358A2">
        <w:rPr>
          <w:caps w:val="0"/>
        </w:rPr>
        <w:t>’</w:t>
      </w:r>
      <w:r w:rsidRPr="002358A2">
        <w:rPr>
          <w:caps w:val="0"/>
        </w:rPr>
        <w:t>S DECISION TO WITHDRAW KTB</w:t>
      </w:r>
      <w:r w:rsidRPr="002358A2" w:rsidR="002358A2">
        <w:rPr>
          <w:caps w:val="0"/>
        </w:rPr>
        <w:t>’</w:t>
      </w:r>
      <w:r w:rsidRPr="002358A2">
        <w:rPr>
          <w:caps w:val="0"/>
        </w:rPr>
        <w:t>S LICENCE</w:t>
      </w:r>
      <w:bookmarkEnd w:id="20"/>
    </w:p>
    <w:bookmarkStart w:name="F_BNB_revoke_licence" w:id="21"/>
    <w:p w:rsidRPr="002358A2" w:rsidR="00BF0CAC" w:rsidP="002358A2" w:rsidRDefault="00BF0CAC" w14:paraId="12D6923A" w14:textId="06C34BA1">
      <w:pPr>
        <w:pStyle w:val="JuPara"/>
      </w:pPr>
      <w:r w:rsidRPr="002358A2">
        <w:fldChar w:fldCharType="begin"/>
      </w:r>
      <w:r w:rsidRPr="002358A2">
        <w:instrText xml:space="preserve"> SEQ level0 \*arabic </w:instrText>
      </w:r>
      <w:r w:rsidRPr="002358A2">
        <w:fldChar w:fldCharType="separate"/>
      </w:r>
      <w:r w:rsidRPr="002358A2" w:rsidR="002358A2">
        <w:rPr>
          <w:noProof/>
        </w:rPr>
        <w:t>20</w:t>
      </w:r>
      <w:r w:rsidRPr="002358A2">
        <w:fldChar w:fldCharType="end"/>
      </w:r>
      <w:bookmarkEnd w:id="21"/>
      <w:r w:rsidRPr="002358A2">
        <w:t>.  On 6 November 2014 the BNB decided to withdraw KTB</w:t>
      </w:r>
      <w:r w:rsidRPr="002358A2" w:rsidR="002358A2">
        <w:t>’</w:t>
      </w:r>
      <w:r w:rsidRPr="002358A2">
        <w:t>s licence and apply to the competent court to have it declared insolvent and wound up. The BNB set out the steps that it had taken with respect to KTB and the audits carried out on it since June 2014, finding that according to the reports about KTB</w:t>
      </w:r>
      <w:r w:rsidRPr="002358A2" w:rsidR="002358A2">
        <w:t>’</w:t>
      </w:r>
      <w:r w:rsidRPr="002358A2">
        <w:t xml:space="preserve">s situation, on 30 September 2014 its own funds, assessed in the manner laid down by Regulation (EU) No 575/2013 on prudential requirements for credit institutions and investment firms (“the </w:t>
      </w:r>
      <w:r w:rsidRPr="002358A2">
        <w:rPr>
          <w:lang w:val="en"/>
        </w:rPr>
        <w:t>Capital Requirements Regulation</w:t>
      </w:r>
      <w:r w:rsidRPr="002358A2">
        <w:t xml:space="preserve">” – see paragraph </w:t>
      </w:r>
      <w:r w:rsidRPr="002358A2">
        <w:fldChar w:fldCharType="begin"/>
      </w:r>
      <w:r w:rsidRPr="002358A2">
        <w:instrText xml:space="preserve"> REF RLF_BNB_revoke_licence_conditions \h </w:instrText>
      </w:r>
      <w:r w:rsidRPr="002358A2">
        <w:fldChar w:fldCharType="separate"/>
      </w:r>
      <w:r w:rsidRPr="002358A2" w:rsidR="002358A2">
        <w:rPr>
          <w:noProof/>
        </w:rPr>
        <w:t>90</w:t>
      </w:r>
      <w:r w:rsidRPr="002358A2">
        <w:fldChar w:fldCharType="end"/>
      </w:r>
      <w:r w:rsidRPr="002358A2">
        <w:t xml:space="preserve"> below), were minus 3,745,313,000 Bulgarian levs (BGN – equivalent to 1,914,948,129 euros (EUR)), and that it did not meet the capital requirements laid down in that Regulation. According to the special administrators</w:t>
      </w:r>
      <w:r w:rsidRPr="002358A2" w:rsidR="002358A2">
        <w:t>’</w:t>
      </w:r>
      <w:r w:rsidRPr="002358A2">
        <w:t xml:space="preserve"> report, the developments since 30 September 2014 – in particular a series of assignments and set-offs carried out by some of KTB</w:t>
      </w:r>
      <w:r w:rsidRPr="002358A2" w:rsidR="002358A2">
        <w:t>’</w:t>
      </w:r>
      <w:r w:rsidRPr="002358A2">
        <w:t>s clients – had not materially improved that situation. Even if all those operations were to be reflected in KTB</w:t>
      </w:r>
      <w:r w:rsidRPr="002358A2" w:rsidR="002358A2">
        <w:t>’</w:t>
      </w:r>
      <w:r w:rsidRPr="002358A2">
        <w:t xml:space="preserve">s accounting records, they would reduce that sum by only BGN 161,468,000 (equivalent to EUR 82,557,277) and its own funds would remain a negative value. Under section 36(2)(2) of the Credit Institutions Act 2006 (see paragraph </w:t>
      </w:r>
      <w:r w:rsidRPr="002358A2">
        <w:fldChar w:fldCharType="begin"/>
      </w:r>
      <w:r w:rsidRPr="002358A2">
        <w:instrText xml:space="preserve"> REF RLF_BNB_revoke_licence_conditions \h </w:instrText>
      </w:r>
      <w:r w:rsidRPr="002358A2">
        <w:fldChar w:fldCharType="separate"/>
      </w:r>
      <w:r w:rsidRPr="002358A2" w:rsidR="002358A2">
        <w:rPr>
          <w:noProof/>
        </w:rPr>
        <w:t>90</w:t>
      </w:r>
      <w:r w:rsidRPr="002358A2">
        <w:fldChar w:fldCharType="end"/>
      </w:r>
      <w:r w:rsidRPr="002358A2">
        <w:t xml:space="preserve"> below), the BNB had to withdraw a bank</w:t>
      </w:r>
      <w:r w:rsidRPr="002358A2" w:rsidR="002358A2">
        <w:t>’</w:t>
      </w:r>
      <w:r w:rsidRPr="002358A2">
        <w:t>s licence if it found that the bank</w:t>
      </w:r>
      <w:r w:rsidRPr="002358A2" w:rsidR="002358A2">
        <w:t>’</w:t>
      </w:r>
      <w:r w:rsidRPr="002358A2">
        <w:t>s own funds were a negative value. KTB</w:t>
      </w:r>
      <w:r w:rsidRPr="002358A2" w:rsidR="002358A2">
        <w:t>’</w:t>
      </w:r>
      <w:r w:rsidRPr="002358A2">
        <w:t xml:space="preserve">s Common Equity Tier 1 capital ratio was minus 188.03%, its Tier 1 capital ratio was likewise minus 188.03% and its total capital ratio was minus 180.10%. All those values were below the minimum levels required under Article 92 </w:t>
      </w:r>
      <w:r w:rsidRPr="002358A2">
        <w:rPr>
          <w:rFonts w:cstheme="minorHAnsi"/>
        </w:rPr>
        <w:t>§</w:t>
      </w:r>
      <w:r w:rsidRPr="002358A2">
        <w:t xml:space="preserve"> 1 of the Capital Requirements Regulation. The BNB also noted that its own audit of KTB, carried out between July and October 2014, had revealed that its management had engaged in “vicious banking and business practices” and submitted misleading reports about the bank.</w:t>
      </w:r>
    </w:p>
    <w:bookmarkStart w:name="F_BNB_revoke_licence_extent_special_adms" w:id="22"/>
    <w:p w:rsidRPr="002358A2" w:rsidR="00BF0CAC" w:rsidP="002358A2" w:rsidRDefault="00BF0CAC" w14:paraId="4CB4864C" w14:textId="234AB010">
      <w:pPr>
        <w:pStyle w:val="JuPara"/>
      </w:pPr>
      <w:r w:rsidRPr="002358A2">
        <w:fldChar w:fldCharType="begin"/>
      </w:r>
      <w:r w:rsidRPr="002358A2">
        <w:instrText xml:space="preserve"> SEQ level0 \*arabic </w:instrText>
      </w:r>
      <w:r w:rsidRPr="002358A2">
        <w:fldChar w:fldCharType="separate"/>
      </w:r>
      <w:r w:rsidRPr="002358A2" w:rsidR="002358A2">
        <w:rPr>
          <w:noProof/>
        </w:rPr>
        <w:t>21</w:t>
      </w:r>
      <w:r w:rsidRPr="002358A2">
        <w:fldChar w:fldCharType="end"/>
      </w:r>
      <w:bookmarkEnd w:id="22"/>
      <w:r w:rsidRPr="002358A2">
        <w:t xml:space="preserve">.  The BNB also extended the mandate of the two special administrators already running KTB (see paragraphs </w:t>
      </w:r>
      <w:r w:rsidRPr="002358A2">
        <w:fldChar w:fldCharType="begin"/>
      </w:r>
      <w:r w:rsidRPr="002358A2">
        <w:instrText xml:space="preserve"> REF F_BNB_special_administration \h </w:instrText>
      </w:r>
      <w:r w:rsidRPr="002358A2">
        <w:fldChar w:fldCharType="separate"/>
      </w:r>
      <w:r w:rsidRPr="002358A2" w:rsidR="002358A2">
        <w:rPr>
          <w:noProof/>
        </w:rPr>
        <w:t>12</w:t>
      </w:r>
      <w:r w:rsidRPr="002358A2">
        <w:fldChar w:fldCharType="end"/>
      </w:r>
      <w:r w:rsidRPr="002358A2">
        <w:t xml:space="preserve"> (b) and </w:t>
      </w:r>
      <w:r w:rsidRPr="002358A2">
        <w:fldChar w:fldCharType="begin"/>
      </w:r>
      <w:r w:rsidRPr="002358A2">
        <w:instrText xml:space="preserve"> REF F_BNB_new_special_administrators \h </w:instrText>
      </w:r>
      <w:r w:rsidRPr="002358A2">
        <w:fldChar w:fldCharType="separate"/>
      </w:r>
      <w:r w:rsidRPr="002358A2" w:rsidR="002358A2">
        <w:rPr>
          <w:noProof/>
        </w:rPr>
        <w:t>15</w:t>
      </w:r>
      <w:r w:rsidRPr="002358A2">
        <w:fldChar w:fldCharType="end"/>
      </w:r>
      <w:r w:rsidRPr="002358A2">
        <w:t>-</w:t>
      </w:r>
      <w:r w:rsidRPr="002358A2">
        <w:fldChar w:fldCharType="begin"/>
      </w:r>
      <w:r w:rsidRPr="002358A2">
        <w:instrText xml:space="preserve"> REF F_BNB_special_administration_prolonged \h </w:instrText>
      </w:r>
      <w:r w:rsidRPr="002358A2">
        <w:fldChar w:fldCharType="separate"/>
      </w:r>
      <w:r w:rsidRPr="002358A2" w:rsidR="002358A2">
        <w:rPr>
          <w:noProof/>
        </w:rPr>
        <w:t>16</w:t>
      </w:r>
      <w:r w:rsidRPr="002358A2">
        <w:fldChar w:fldCharType="end"/>
      </w:r>
      <w:r w:rsidRPr="002358A2">
        <w:t xml:space="preserve"> above) pending the appointment of liquidators by the competent court.</w:t>
      </w:r>
    </w:p>
    <w:p w:rsidRPr="002358A2" w:rsidR="00BF0CAC" w:rsidP="002358A2" w:rsidRDefault="00BF0CAC" w14:paraId="4490F989" w14:textId="60884BB0">
      <w:pPr>
        <w:pStyle w:val="JuHIRoman"/>
      </w:pPr>
      <w:bookmarkStart w:name="_Toc107950831" w:id="23"/>
      <w:r w:rsidRPr="002358A2">
        <w:rPr>
          <w:caps w:val="0"/>
        </w:rPr>
        <w:t>ATTEMPT BY KTB</w:t>
      </w:r>
      <w:r w:rsidRPr="002358A2" w:rsidR="002358A2">
        <w:rPr>
          <w:caps w:val="0"/>
        </w:rPr>
        <w:t>’</w:t>
      </w:r>
      <w:r w:rsidRPr="002358A2">
        <w:rPr>
          <w:caps w:val="0"/>
        </w:rPr>
        <w:t>S SHAREHOLDERS TO SEEK JUDICIAL REVIEW OF THE WITHDRAWAL OF ITS LICENCE</w:t>
      </w:r>
      <w:bookmarkEnd w:id="23"/>
    </w:p>
    <w:p w:rsidRPr="002358A2" w:rsidR="00BF0CAC" w:rsidP="002358A2" w:rsidRDefault="00BF0CAC" w14:paraId="08C1D424" w14:textId="77777777">
      <w:pPr>
        <w:pStyle w:val="JuHA"/>
      </w:pPr>
      <w:bookmarkStart w:name="_Toc107950832" w:id="24"/>
      <w:r w:rsidRPr="002358A2">
        <w:t>Proceedings at first instance</w:t>
      </w:r>
      <w:bookmarkEnd w:id="24"/>
    </w:p>
    <w:bookmarkStart w:name="F_SAC_3MP_jud_rev_claim_Bromak" w:id="25"/>
    <w:p w:rsidRPr="002358A2" w:rsidR="00BF0CAC" w:rsidP="002358A2" w:rsidRDefault="00BF0CAC" w14:paraId="0EF4149D" w14:textId="213DE539">
      <w:pPr>
        <w:pStyle w:val="JuPara"/>
      </w:pPr>
      <w:r w:rsidRPr="002358A2">
        <w:fldChar w:fldCharType="begin"/>
      </w:r>
      <w:r w:rsidRPr="002358A2">
        <w:instrText xml:space="preserve"> SEQ level0 \*arabic </w:instrText>
      </w:r>
      <w:r w:rsidRPr="002358A2">
        <w:fldChar w:fldCharType="separate"/>
      </w:r>
      <w:r w:rsidRPr="002358A2" w:rsidR="002358A2">
        <w:rPr>
          <w:noProof/>
        </w:rPr>
        <w:t>22</w:t>
      </w:r>
      <w:r w:rsidRPr="002358A2">
        <w:fldChar w:fldCharType="end"/>
      </w:r>
      <w:bookmarkEnd w:id="25"/>
      <w:r w:rsidRPr="002358A2">
        <w:t>.  Bromak sought judicial review of the BNB</w:t>
      </w:r>
      <w:r w:rsidRPr="002358A2" w:rsidR="002358A2">
        <w:t>’</w:t>
      </w:r>
      <w:r w:rsidRPr="002358A2">
        <w:t>s decision to withdraw KTB</w:t>
      </w:r>
      <w:r w:rsidRPr="002358A2" w:rsidR="002358A2">
        <w:t>’</w:t>
      </w:r>
      <w:r w:rsidRPr="002358A2">
        <w:t xml:space="preserve">s licence by the Supreme Administrative Court under section 151(3) of the Credit Institutions Act 2006 (see paragraph </w:t>
      </w:r>
      <w:r w:rsidRPr="002358A2">
        <w:fldChar w:fldCharType="begin"/>
      </w:r>
      <w:r w:rsidRPr="002358A2">
        <w:instrText xml:space="preserve"> REF RLF_BNB_revoke_licence_jud_rev \h </w:instrText>
      </w:r>
      <w:r w:rsidRPr="002358A2">
        <w:fldChar w:fldCharType="separate"/>
      </w:r>
      <w:r w:rsidRPr="002358A2" w:rsidR="002358A2">
        <w:rPr>
          <w:noProof/>
          <w:lang w:val="bg-BG"/>
        </w:rPr>
        <w:t>94</w:t>
      </w:r>
      <w:r w:rsidRPr="002358A2">
        <w:fldChar w:fldCharType="end"/>
      </w:r>
      <w:r w:rsidRPr="002358A2">
        <w:t xml:space="preserve"> below). In its statement of claim, it argued that it had standing to do so, as it was a majority shareholder in KTB and the withdrawal of KTB</w:t>
      </w:r>
      <w:r w:rsidRPr="002358A2" w:rsidR="002358A2">
        <w:t>’</w:t>
      </w:r>
      <w:r w:rsidRPr="002358A2">
        <w:t>s licence, which would inevitably trigger a winding-up, would directly affect its rights pertaining to its shares in KTB.</w:t>
      </w:r>
    </w:p>
    <w:bookmarkStart w:name="F_SAC_3MP_joinder_other_shareholders" w:id="26"/>
    <w:p w:rsidRPr="002358A2" w:rsidR="00BF0CAC" w:rsidP="002358A2" w:rsidRDefault="00BF0CAC" w14:paraId="44C792F7" w14:textId="41A8D8BA">
      <w:pPr>
        <w:pStyle w:val="JuPara"/>
      </w:pPr>
      <w:r w:rsidRPr="002358A2">
        <w:fldChar w:fldCharType="begin"/>
      </w:r>
      <w:r w:rsidRPr="002358A2">
        <w:instrText xml:space="preserve"> SEQ level0 \*arabic </w:instrText>
      </w:r>
      <w:r w:rsidRPr="002358A2">
        <w:fldChar w:fldCharType="separate"/>
      </w:r>
      <w:r w:rsidRPr="002358A2" w:rsidR="002358A2">
        <w:rPr>
          <w:noProof/>
        </w:rPr>
        <w:t>23</w:t>
      </w:r>
      <w:r w:rsidRPr="002358A2">
        <w:fldChar w:fldCharType="end"/>
      </w:r>
      <w:bookmarkEnd w:id="26"/>
      <w:r w:rsidRPr="002358A2">
        <w:t>.  The three-member panel of the Supreme Administrative Court dealing with Bromak</w:t>
      </w:r>
      <w:r w:rsidRPr="002358A2" w:rsidR="002358A2">
        <w:t>’</w:t>
      </w:r>
      <w:r w:rsidRPr="002358A2">
        <w:t xml:space="preserve">s claim joined it to similar judicial review claims brought by three other shareholders in KTB, one of which was Bulgarian Acquisition Company II Sarl (see paragraph </w:t>
      </w:r>
      <w:r w:rsidRPr="002358A2">
        <w:fldChar w:fldCharType="begin"/>
      </w:r>
      <w:r w:rsidRPr="002358A2">
        <w:instrText xml:space="preserve"> REF F_KTB_shareholders \h </w:instrText>
      </w:r>
      <w:r w:rsidRPr="002358A2">
        <w:fldChar w:fldCharType="separate"/>
      </w:r>
      <w:r w:rsidRPr="002358A2" w:rsidR="002358A2">
        <w:rPr>
          <w:noProof/>
        </w:rPr>
        <w:t>8</w:t>
      </w:r>
      <w:r w:rsidRPr="002358A2">
        <w:fldChar w:fldCharType="end"/>
      </w:r>
      <w:r w:rsidRPr="002358A2">
        <w:t xml:space="preserve"> above).</w:t>
      </w:r>
    </w:p>
    <w:bookmarkStart w:name="F_SAC_3MP_exec_dir_req_intervention" w:id="27"/>
    <w:p w:rsidRPr="002358A2" w:rsidR="00BF0CAC" w:rsidP="002358A2" w:rsidRDefault="00BF0CAC" w14:paraId="375DF5F5" w14:textId="2E6A0993">
      <w:pPr>
        <w:pStyle w:val="JuPara"/>
      </w:pPr>
      <w:r w:rsidRPr="002358A2">
        <w:fldChar w:fldCharType="begin"/>
      </w:r>
      <w:r w:rsidRPr="002358A2">
        <w:instrText xml:space="preserve"> SEQ level0 \*arabic </w:instrText>
      </w:r>
      <w:r w:rsidRPr="002358A2">
        <w:fldChar w:fldCharType="separate"/>
      </w:r>
      <w:r w:rsidRPr="002358A2" w:rsidR="002358A2">
        <w:rPr>
          <w:noProof/>
        </w:rPr>
        <w:t>24</w:t>
      </w:r>
      <w:r w:rsidRPr="002358A2">
        <w:fldChar w:fldCharType="end"/>
      </w:r>
      <w:bookmarkEnd w:id="27"/>
      <w:r w:rsidRPr="002358A2">
        <w:t>.  On 13 December 2014 KTB</w:t>
      </w:r>
      <w:r w:rsidRPr="002358A2" w:rsidR="002358A2">
        <w:t>’</w:t>
      </w:r>
      <w:r w:rsidRPr="002358A2">
        <w:t xml:space="preserve">s (then former) executive directors, whom the BNB had earlier removed from office (see paragraph </w:t>
      </w:r>
      <w:r w:rsidRPr="002358A2">
        <w:fldChar w:fldCharType="begin"/>
      </w:r>
      <w:r w:rsidRPr="002358A2">
        <w:instrText xml:space="preserve"> REF F_BNB_special_administration \h </w:instrText>
      </w:r>
      <w:r w:rsidRPr="002358A2">
        <w:fldChar w:fldCharType="separate"/>
      </w:r>
      <w:r w:rsidRPr="002358A2" w:rsidR="002358A2">
        <w:rPr>
          <w:noProof/>
        </w:rPr>
        <w:t>12</w:t>
      </w:r>
      <w:r w:rsidRPr="002358A2">
        <w:fldChar w:fldCharType="end"/>
      </w:r>
      <w:r w:rsidRPr="002358A2">
        <w:t xml:space="preserve"> (e) above), sought permission to intervene in the proceedings. They pointed out that they had likewise applied for judicial review of the BNB</w:t>
      </w:r>
      <w:r w:rsidRPr="002358A2" w:rsidR="002358A2">
        <w:t>’</w:t>
      </w:r>
      <w:r w:rsidRPr="002358A2">
        <w:t>s decision to withdraw KTB</w:t>
      </w:r>
      <w:r w:rsidRPr="002358A2" w:rsidR="002358A2">
        <w:t>’</w:t>
      </w:r>
      <w:r w:rsidRPr="002358A2">
        <w:t xml:space="preserve">s licence (see paragraph </w:t>
      </w:r>
      <w:r w:rsidRPr="002358A2">
        <w:fldChar w:fldCharType="begin"/>
      </w:r>
      <w:r w:rsidRPr="002358A2">
        <w:instrText xml:space="preserve"> REF F_SAC_ex_dir_3MP_claim \h </w:instrText>
      </w:r>
      <w:r w:rsidRPr="002358A2">
        <w:fldChar w:fldCharType="separate"/>
      </w:r>
      <w:r w:rsidRPr="002358A2" w:rsidR="002358A2">
        <w:rPr>
          <w:noProof/>
        </w:rPr>
        <w:t>44</w:t>
      </w:r>
      <w:r w:rsidRPr="002358A2">
        <w:fldChar w:fldCharType="end"/>
      </w:r>
      <w:r w:rsidRPr="002358A2">
        <w:t xml:space="preserve"> below), arguing that the two cases should be joined since they concerned legal challenges against the same decision.</w:t>
      </w:r>
    </w:p>
    <w:bookmarkStart w:name="F_SAC_3MP_hearing_15_12_2014" w:id="28"/>
    <w:p w:rsidRPr="002358A2" w:rsidR="00BF0CAC" w:rsidP="002358A2" w:rsidRDefault="00BF0CAC" w14:paraId="2AB184E2" w14:textId="73407C9D">
      <w:pPr>
        <w:pStyle w:val="JuPara"/>
      </w:pPr>
      <w:r w:rsidRPr="002358A2">
        <w:fldChar w:fldCharType="begin"/>
      </w:r>
      <w:r w:rsidRPr="002358A2">
        <w:instrText xml:space="preserve"> SEQ level0 \*arabic </w:instrText>
      </w:r>
      <w:r w:rsidRPr="002358A2">
        <w:fldChar w:fldCharType="separate"/>
      </w:r>
      <w:r w:rsidRPr="002358A2" w:rsidR="002358A2">
        <w:rPr>
          <w:noProof/>
        </w:rPr>
        <w:t>25</w:t>
      </w:r>
      <w:r w:rsidRPr="002358A2">
        <w:fldChar w:fldCharType="end"/>
      </w:r>
      <w:bookmarkEnd w:id="28"/>
      <w:r w:rsidRPr="002358A2">
        <w:t>.  The three-member panel heard the case in public on 15 December 2014. Bromak asked the court to join KTB itself to the proceedings. Noting that the BNB</w:t>
      </w:r>
      <w:r w:rsidRPr="002358A2" w:rsidR="002358A2">
        <w:t>’</w:t>
      </w:r>
      <w:r w:rsidRPr="002358A2">
        <w:t>s decision had been addressed to KTB and affected its rights, the court allowed Bromak</w:t>
      </w:r>
      <w:r w:rsidRPr="002358A2" w:rsidR="002358A2">
        <w:t>’</w:t>
      </w:r>
      <w:r w:rsidRPr="002358A2">
        <w:t>s request and joined KTB as an interested party.</w:t>
      </w:r>
    </w:p>
    <w:p w:rsidRPr="002358A2" w:rsidR="00BF0CAC" w:rsidP="002358A2" w:rsidRDefault="00BF0CAC" w14:paraId="77439383" w14:textId="00E89908">
      <w:pPr>
        <w:pStyle w:val="JuPara"/>
      </w:pPr>
      <w:r w:rsidRPr="002358A2">
        <w:fldChar w:fldCharType="begin"/>
      </w:r>
      <w:r w:rsidRPr="002358A2">
        <w:instrText xml:space="preserve"> SEQ level0 \*arabic </w:instrText>
      </w:r>
      <w:r w:rsidRPr="002358A2">
        <w:fldChar w:fldCharType="separate"/>
      </w:r>
      <w:r w:rsidRPr="002358A2" w:rsidR="002358A2">
        <w:rPr>
          <w:noProof/>
        </w:rPr>
        <w:t>26</w:t>
      </w:r>
      <w:r w:rsidRPr="002358A2">
        <w:fldChar w:fldCharType="end"/>
      </w:r>
      <w:r w:rsidRPr="002358A2">
        <w:t>.  Bromak informed the court that it had made a claim for the BNB</w:t>
      </w:r>
      <w:r w:rsidRPr="002358A2" w:rsidR="002358A2">
        <w:t>’</w:t>
      </w:r>
      <w:r w:rsidRPr="002358A2">
        <w:t>s earlier decision to appoint special administrators to be declared null and void, requesting that the proceedings be stayed pending the determination of that claim.</w:t>
      </w:r>
    </w:p>
    <w:bookmarkStart w:name="F_SAC_3MP_exec_dir_req_interv_refused" w:id="29"/>
    <w:p w:rsidRPr="002358A2" w:rsidR="00BF0CAC" w:rsidP="002358A2" w:rsidRDefault="00BF0CAC" w14:paraId="767EF861" w14:textId="505A4AFE">
      <w:pPr>
        <w:pStyle w:val="JuPara"/>
      </w:pPr>
      <w:r w:rsidRPr="002358A2">
        <w:fldChar w:fldCharType="begin"/>
      </w:r>
      <w:r w:rsidRPr="002358A2">
        <w:instrText xml:space="preserve"> SEQ level0 \*arabic </w:instrText>
      </w:r>
      <w:r w:rsidRPr="002358A2">
        <w:fldChar w:fldCharType="separate"/>
      </w:r>
      <w:r w:rsidRPr="002358A2" w:rsidR="002358A2">
        <w:rPr>
          <w:noProof/>
        </w:rPr>
        <w:t>27</w:t>
      </w:r>
      <w:r w:rsidRPr="002358A2">
        <w:fldChar w:fldCharType="end"/>
      </w:r>
      <w:bookmarkEnd w:id="29"/>
      <w:r w:rsidRPr="002358A2">
        <w:t>.  The three-member panel refused the request by KTB</w:t>
      </w:r>
      <w:r w:rsidRPr="002358A2" w:rsidR="002358A2">
        <w:t>’</w:t>
      </w:r>
      <w:r w:rsidRPr="002358A2">
        <w:t xml:space="preserve">s former executive directors for permission to intervene (see paragraph </w:t>
      </w:r>
      <w:r w:rsidRPr="002358A2">
        <w:fldChar w:fldCharType="begin"/>
      </w:r>
      <w:r w:rsidRPr="002358A2">
        <w:instrText xml:space="preserve"> REF F_SAC_3MP_exec_dir_req_intervention \h </w:instrText>
      </w:r>
      <w:r w:rsidRPr="002358A2">
        <w:fldChar w:fldCharType="separate"/>
      </w:r>
      <w:r w:rsidRPr="002358A2" w:rsidR="002358A2">
        <w:rPr>
          <w:noProof/>
        </w:rPr>
        <w:t>24</w:t>
      </w:r>
      <w:r w:rsidRPr="002358A2">
        <w:fldChar w:fldCharType="end"/>
      </w:r>
      <w:r w:rsidRPr="002358A2">
        <w:t xml:space="preserve"> above). It noted that they had appealed against the decision of another three-member panel to dismiss their own claim for review of the BNB</w:t>
      </w:r>
      <w:r w:rsidRPr="002358A2" w:rsidR="002358A2">
        <w:t>’</w:t>
      </w:r>
      <w:r w:rsidRPr="002358A2">
        <w:t xml:space="preserve">s decision for lack of standing, and that that appeal was still pending (see paragraph </w:t>
      </w:r>
      <w:r w:rsidRPr="002358A2">
        <w:fldChar w:fldCharType="begin"/>
      </w:r>
      <w:r w:rsidRPr="002358A2">
        <w:instrText xml:space="preserve"> REF F_SAC_ex_dir_5MP_appeal \h </w:instrText>
      </w:r>
      <w:r w:rsidRPr="002358A2">
        <w:fldChar w:fldCharType="separate"/>
      </w:r>
      <w:r w:rsidRPr="002358A2" w:rsidR="002358A2">
        <w:rPr>
          <w:noProof/>
        </w:rPr>
        <w:t>46</w:t>
      </w:r>
      <w:r w:rsidRPr="002358A2">
        <w:fldChar w:fldCharType="end"/>
      </w:r>
      <w:r w:rsidRPr="002358A2">
        <w:t xml:space="preserve"> below).</w:t>
      </w:r>
    </w:p>
    <w:bookmarkStart w:name="F_SAC_3MP_KTB_joined_interested_party" w:id="30"/>
    <w:p w:rsidRPr="002358A2" w:rsidR="00BF0CAC" w:rsidP="002358A2" w:rsidRDefault="00BF0CAC" w14:paraId="000BA1BF" w14:textId="262541B4">
      <w:pPr>
        <w:pStyle w:val="JuPara"/>
      </w:pPr>
      <w:r w:rsidRPr="002358A2">
        <w:fldChar w:fldCharType="begin"/>
      </w:r>
      <w:r w:rsidRPr="002358A2">
        <w:instrText xml:space="preserve"> SEQ level0 \*arabic </w:instrText>
      </w:r>
      <w:r w:rsidRPr="002358A2">
        <w:fldChar w:fldCharType="separate"/>
      </w:r>
      <w:r w:rsidRPr="002358A2" w:rsidR="002358A2">
        <w:rPr>
          <w:noProof/>
        </w:rPr>
        <w:t>28</w:t>
      </w:r>
      <w:r w:rsidRPr="002358A2">
        <w:fldChar w:fldCharType="end"/>
      </w:r>
      <w:bookmarkEnd w:id="30"/>
      <w:r w:rsidRPr="002358A2">
        <w:t xml:space="preserve">.  Lastly, the three-member panel found that KTB, which it had joined to the proceedings as an interested party (see paragraph </w:t>
      </w:r>
      <w:r w:rsidRPr="002358A2">
        <w:fldChar w:fldCharType="begin"/>
      </w:r>
      <w:r w:rsidRPr="002358A2">
        <w:instrText xml:space="preserve"> REF F_SAC_3MP_hearing_15_12_2014 \h </w:instrText>
      </w:r>
      <w:r w:rsidRPr="002358A2">
        <w:fldChar w:fldCharType="separate"/>
      </w:r>
      <w:r w:rsidRPr="002358A2" w:rsidR="002358A2">
        <w:rPr>
          <w:noProof/>
        </w:rPr>
        <w:t>25</w:t>
      </w:r>
      <w:r w:rsidRPr="002358A2">
        <w:fldChar w:fldCharType="end"/>
      </w:r>
      <w:r w:rsidRPr="002358A2">
        <w:t xml:space="preserve"> above), had to be given an opportunity to comment on the issues in the case. The panel listed a further hearing for 9 February 2015.</w:t>
      </w:r>
    </w:p>
    <w:bookmarkStart w:name="F_SAC_3MP_exec_dir_req_rep_ad_litem" w:id="31"/>
    <w:p w:rsidRPr="002358A2" w:rsidR="00BF0CAC" w:rsidP="002358A2" w:rsidRDefault="00BF0CAC" w14:paraId="5948BD47" w14:textId="228E0861">
      <w:pPr>
        <w:pStyle w:val="JuPara"/>
      </w:pPr>
      <w:r w:rsidRPr="002358A2">
        <w:fldChar w:fldCharType="begin"/>
      </w:r>
      <w:r w:rsidRPr="002358A2">
        <w:instrText xml:space="preserve"> SEQ level0 \*arabic </w:instrText>
      </w:r>
      <w:r w:rsidRPr="002358A2">
        <w:fldChar w:fldCharType="separate"/>
      </w:r>
      <w:r w:rsidRPr="002358A2" w:rsidR="002358A2">
        <w:rPr>
          <w:noProof/>
        </w:rPr>
        <w:t>29</w:t>
      </w:r>
      <w:r w:rsidRPr="002358A2">
        <w:fldChar w:fldCharType="end"/>
      </w:r>
      <w:bookmarkEnd w:id="31"/>
      <w:r w:rsidRPr="002358A2">
        <w:t>.  On 19 December 2014 KTB</w:t>
      </w:r>
      <w:r w:rsidRPr="002358A2" w:rsidR="002358A2">
        <w:t>’</w:t>
      </w:r>
      <w:r w:rsidRPr="002358A2">
        <w:t>s former executive directors filed written submissions on the bank</w:t>
      </w:r>
      <w:r w:rsidRPr="002358A2" w:rsidR="002358A2">
        <w:t>’</w:t>
      </w:r>
      <w:r w:rsidRPr="002358A2">
        <w:t xml:space="preserve">s behalf. They argued that they were entitled to represent it in the proceedings. They pointed out that although they had been removed from office, their powers had not been terminated. Moreover, there was a conflict of interests between the special administrators and KTB. This was, </w:t>
      </w:r>
      <w:r w:rsidRPr="002358A2">
        <w:rPr>
          <w:i/>
          <w:iCs/>
        </w:rPr>
        <w:t>inter alia</w:t>
      </w:r>
      <w:r w:rsidRPr="002358A2">
        <w:t>, because (a) they had been appointed by and could be removed by – and were accountable to – the respondent in the proceedings, the</w:t>
      </w:r>
      <w:r w:rsidRPr="002358A2" w:rsidR="00E91771">
        <w:t xml:space="preserve"> </w:t>
      </w:r>
      <w:r w:rsidRPr="002358A2">
        <w:t>BNB;(b) the BNB had withdrawn KTB</w:t>
      </w:r>
      <w:r w:rsidRPr="002358A2" w:rsidR="002358A2">
        <w:t>’</w:t>
      </w:r>
      <w:r w:rsidRPr="002358A2">
        <w:t>s licence on the basis of their reports; and (c) instead of trying to fix KTB</w:t>
      </w:r>
      <w:r w:rsidRPr="002358A2" w:rsidR="002358A2">
        <w:t>’</w:t>
      </w:r>
      <w:r w:rsidRPr="002358A2">
        <w:t xml:space="preserve">s financial situation after their appointment, they had acted in a manner leading to the withdrawal of its licence. The former executive directors also requested the court to appoint a special representative </w:t>
      </w:r>
      <w:r w:rsidRPr="002358A2">
        <w:rPr>
          <w:i/>
          <w:iCs/>
        </w:rPr>
        <w:t>ad litem</w:t>
      </w:r>
      <w:r w:rsidRPr="002358A2">
        <w:t xml:space="preserve"> for KTB under Article 29 </w:t>
      </w:r>
      <w:r w:rsidRPr="002358A2">
        <w:rPr>
          <w:rFonts w:cstheme="minorHAnsi"/>
        </w:rPr>
        <w:t>§</w:t>
      </w:r>
      <w:r w:rsidRPr="002358A2">
        <w:t xml:space="preserve"> 4 of the Code of Civil Procedure (see paragraph </w:t>
      </w:r>
      <w:r w:rsidRPr="002358A2">
        <w:fldChar w:fldCharType="begin"/>
      </w:r>
      <w:r w:rsidRPr="002358A2">
        <w:instrText xml:space="preserve"> REF RLF_CCP_A_29_4 \h </w:instrText>
      </w:r>
      <w:r w:rsidRPr="002358A2">
        <w:fldChar w:fldCharType="separate"/>
      </w:r>
      <w:r w:rsidRPr="002358A2" w:rsidR="002358A2">
        <w:rPr>
          <w:noProof/>
        </w:rPr>
        <w:t>105</w:t>
      </w:r>
      <w:r w:rsidRPr="002358A2">
        <w:fldChar w:fldCharType="end"/>
      </w:r>
      <w:r w:rsidRPr="002358A2">
        <w:t xml:space="preserve"> below).</w:t>
      </w:r>
    </w:p>
    <w:bookmarkStart w:name="F_SAC_3MP_special_adm_written_smbs" w:id="32"/>
    <w:p w:rsidRPr="002358A2" w:rsidR="00BF0CAC" w:rsidP="002358A2" w:rsidRDefault="00BF0CAC" w14:paraId="56924308" w14:textId="738B67FC">
      <w:pPr>
        <w:pStyle w:val="JuPara"/>
      </w:pPr>
      <w:r w:rsidRPr="002358A2">
        <w:fldChar w:fldCharType="begin"/>
      </w:r>
      <w:r w:rsidRPr="002358A2">
        <w:instrText xml:space="preserve"> SEQ level0 \*arabic </w:instrText>
      </w:r>
      <w:r w:rsidRPr="002358A2">
        <w:fldChar w:fldCharType="separate"/>
      </w:r>
      <w:r w:rsidRPr="002358A2" w:rsidR="002358A2">
        <w:rPr>
          <w:noProof/>
        </w:rPr>
        <w:t>30</w:t>
      </w:r>
      <w:r w:rsidRPr="002358A2">
        <w:fldChar w:fldCharType="end"/>
      </w:r>
      <w:bookmarkEnd w:id="32"/>
      <w:r w:rsidRPr="002358A2">
        <w:t>.  On 29 December 2014 KTB</w:t>
      </w:r>
      <w:r w:rsidRPr="002358A2" w:rsidR="002358A2">
        <w:t>’</w:t>
      </w:r>
      <w:r w:rsidRPr="002358A2">
        <w:t>s special administrators also filed written submissions on behalf of the bank in which they argued that the shareholders were not entitled to seek a review of the BNB</w:t>
      </w:r>
      <w:r w:rsidRPr="002358A2" w:rsidR="002358A2">
        <w:t>’</w:t>
      </w:r>
      <w:r w:rsidRPr="002358A2">
        <w:t>s decision to withdraw KTB</w:t>
      </w:r>
      <w:r w:rsidRPr="002358A2" w:rsidR="002358A2">
        <w:t>’</w:t>
      </w:r>
      <w:r w:rsidRPr="002358A2">
        <w:t>s licence as it did not directly and immediately affect them.</w:t>
      </w:r>
    </w:p>
    <w:bookmarkStart w:name="F_SAC_3MP_dec_13_01_2015" w:id="33"/>
    <w:p w:rsidRPr="002358A2" w:rsidR="00BF0CAC" w:rsidP="002358A2" w:rsidRDefault="00BF0CAC" w14:paraId="44226325" w14:textId="2822116B">
      <w:pPr>
        <w:pStyle w:val="JuPara"/>
      </w:pPr>
      <w:r w:rsidRPr="002358A2">
        <w:fldChar w:fldCharType="begin"/>
      </w:r>
      <w:r w:rsidRPr="002358A2">
        <w:instrText xml:space="preserve"> SEQ level0 \*arabic </w:instrText>
      </w:r>
      <w:r w:rsidRPr="002358A2">
        <w:fldChar w:fldCharType="separate"/>
      </w:r>
      <w:r w:rsidRPr="002358A2" w:rsidR="002358A2">
        <w:rPr>
          <w:noProof/>
        </w:rPr>
        <w:t>31</w:t>
      </w:r>
      <w:r w:rsidRPr="002358A2">
        <w:fldChar w:fldCharType="end"/>
      </w:r>
      <w:bookmarkEnd w:id="33"/>
      <w:r w:rsidRPr="002358A2">
        <w:t>.  On 13 January 2015 the three-member panel of the Supreme Administrative Court refused to examine the claims brought by Bromak and the three other shareholders. It found that only KTB had been directly affected by the BNB</w:t>
      </w:r>
      <w:r w:rsidRPr="002358A2" w:rsidR="002358A2">
        <w:t>’</w:t>
      </w:r>
      <w:r w:rsidRPr="002358A2">
        <w:t>s decision to withdraw its licence, and that the effects of that decision on its shareholders were only indirect. It followed that they had no standing to challenge that decision. It could be accepted that the shareholders only had standing to protect KTB</w:t>
      </w:r>
      <w:r w:rsidRPr="002358A2" w:rsidR="002358A2">
        <w:t>’</w:t>
      </w:r>
      <w:r w:rsidRPr="002358A2">
        <w:t>s interests if it was being run by persons who could not be controlled by them. But this was not the case, since the special administrators had initially been appointed as a result of a request from KTB</w:t>
      </w:r>
      <w:r w:rsidRPr="002358A2" w:rsidR="002358A2">
        <w:t>’</w:t>
      </w:r>
      <w:r w:rsidRPr="002358A2">
        <w:t>s own management that it be placed under special administration, and their appointment had not been challenged by the bank. The shareholders could protect their rights in the subsequent proceedings relating to the BNB</w:t>
      </w:r>
      <w:r w:rsidRPr="002358A2" w:rsidR="002358A2">
        <w:t>’</w:t>
      </w:r>
      <w:r w:rsidRPr="002358A2">
        <w:t xml:space="preserve">s application for KTB to be declared insolvent and wound up, in which they could intervene under section 11(4) of the Bank Insolvency Act 2002 (see paragraph </w:t>
      </w:r>
      <w:r w:rsidRPr="002358A2">
        <w:fldChar w:fldCharType="begin"/>
      </w:r>
      <w:r w:rsidRPr="002358A2">
        <w:instrText xml:space="preserve"> REF RLF_winding_up_hearing_representation \h  \* MERGEFORMAT </w:instrText>
      </w:r>
      <w:r w:rsidRPr="002358A2">
        <w:fldChar w:fldCharType="separate"/>
      </w:r>
      <w:r w:rsidRPr="002358A2" w:rsidR="002358A2">
        <w:rPr>
          <w:noProof/>
        </w:rPr>
        <w:t>96</w:t>
      </w:r>
      <w:r w:rsidRPr="002358A2">
        <w:fldChar w:fldCharType="end"/>
      </w:r>
      <w:r w:rsidRPr="002358A2">
        <w:t xml:space="preserve"> </w:t>
      </w:r>
      <w:r w:rsidRPr="002358A2">
        <w:rPr>
          <w:i/>
          <w:iCs/>
        </w:rPr>
        <w:t>in fine</w:t>
      </w:r>
      <w:r w:rsidRPr="002358A2">
        <w:t xml:space="preserve"> below). Shareholders were legally distinct from the bank, which had been the sole addressee of the BNB</w:t>
      </w:r>
      <w:r w:rsidRPr="002358A2" w:rsidR="002358A2">
        <w:t>’</w:t>
      </w:r>
      <w:r w:rsidRPr="002358A2">
        <w:t>s decision to withdraw its licence (see</w:t>
      </w:r>
      <w:r w:rsidRPr="002358A2">
        <w:rPr>
          <w:lang w:val="bg-BG"/>
        </w:rPr>
        <w:t xml:space="preserve"> </w:t>
      </w:r>
      <w:r w:rsidRPr="002358A2">
        <w:rPr>
          <w:i/>
          <w:iCs/>
          <w:lang w:val="bg-BG"/>
        </w:rPr>
        <w:t>опр.</w:t>
      </w:r>
      <w:r w:rsidRPr="002358A2">
        <w:rPr>
          <w:i/>
          <w:iCs/>
        </w:rPr>
        <w:t xml:space="preserve"> </w:t>
      </w:r>
      <w:r w:rsidRPr="002358A2">
        <w:rPr>
          <w:i/>
          <w:iCs/>
          <w:lang w:val="bg-BG"/>
        </w:rPr>
        <w:t>№ 363 от</w:t>
      </w:r>
      <w:r w:rsidRPr="002358A2">
        <w:rPr>
          <w:i/>
          <w:iCs/>
        </w:rPr>
        <w:t xml:space="preserve"> </w:t>
      </w:r>
      <w:r w:rsidRPr="002358A2">
        <w:rPr>
          <w:i/>
          <w:iCs/>
          <w:lang w:val="bg-BG"/>
        </w:rPr>
        <w:t>13.01.2015 г. по адм.</w:t>
      </w:r>
      <w:r w:rsidRPr="002358A2">
        <w:rPr>
          <w:i/>
          <w:iCs/>
        </w:rPr>
        <w:t xml:space="preserve"> </w:t>
      </w:r>
      <w:r w:rsidRPr="002358A2">
        <w:rPr>
          <w:i/>
          <w:iCs/>
          <w:lang w:val="bg-BG"/>
        </w:rPr>
        <w:t>д.</w:t>
      </w:r>
      <w:r w:rsidRPr="002358A2">
        <w:rPr>
          <w:i/>
          <w:iCs/>
        </w:rPr>
        <w:t xml:space="preserve"> </w:t>
      </w:r>
      <w:r w:rsidRPr="002358A2">
        <w:rPr>
          <w:i/>
          <w:iCs/>
          <w:lang w:val="bg-BG"/>
        </w:rPr>
        <w:t>№</w:t>
      </w:r>
      <w:r w:rsidRPr="002358A2">
        <w:rPr>
          <w:i/>
          <w:iCs/>
        </w:rPr>
        <w:t xml:space="preserve"> </w:t>
      </w:r>
      <w:r w:rsidRPr="002358A2">
        <w:rPr>
          <w:i/>
          <w:iCs/>
          <w:lang w:val="bg-BG"/>
        </w:rPr>
        <w:t xml:space="preserve">14782/2014 г., ВАС, </w:t>
      </w:r>
      <w:r w:rsidRPr="002358A2">
        <w:rPr>
          <w:i/>
          <w:iCs/>
        </w:rPr>
        <w:t xml:space="preserve">VII </w:t>
      </w:r>
      <w:r w:rsidRPr="002358A2">
        <w:rPr>
          <w:i/>
          <w:iCs/>
          <w:lang w:val="bg-BG"/>
        </w:rPr>
        <w:t>о.</w:t>
      </w:r>
      <w:r w:rsidRPr="002358A2">
        <w:t>).</w:t>
      </w:r>
    </w:p>
    <w:bookmarkStart w:name="F_SAC_3MP_dec_13_01_2015_dissent" w:id="34"/>
    <w:p w:rsidRPr="002358A2" w:rsidR="00BF0CAC" w:rsidP="002358A2" w:rsidRDefault="00BF0CAC" w14:paraId="76426917" w14:textId="55D5AEA2">
      <w:pPr>
        <w:pStyle w:val="JuPara"/>
      </w:pPr>
      <w:r w:rsidRPr="002358A2">
        <w:fldChar w:fldCharType="begin"/>
      </w:r>
      <w:r w:rsidRPr="002358A2">
        <w:instrText xml:space="preserve"> SEQ level0 \*arabic </w:instrText>
      </w:r>
      <w:r w:rsidRPr="002358A2">
        <w:fldChar w:fldCharType="separate"/>
      </w:r>
      <w:r w:rsidRPr="002358A2" w:rsidR="002358A2">
        <w:rPr>
          <w:noProof/>
        </w:rPr>
        <w:t>32</w:t>
      </w:r>
      <w:r w:rsidRPr="002358A2">
        <w:fldChar w:fldCharType="end"/>
      </w:r>
      <w:bookmarkEnd w:id="34"/>
      <w:r w:rsidRPr="002358A2">
        <w:t>.  One judge dissented. In her view, there were grounds to hold that KTB</w:t>
      </w:r>
      <w:r w:rsidRPr="002358A2" w:rsidR="002358A2">
        <w:t>’</w:t>
      </w:r>
      <w:r w:rsidRPr="002358A2">
        <w:t>s shareholders were, exceptionally, entitled to seek judicial review of the decision to withdraw its licence, because no one else could effectively do so. KTB</w:t>
      </w:r>
      <w:r w:rsidRPr="002358A2" w:rsidR="002358A2">
        <w:t>’</w:t>
      </w:r>
      <w:r w:rsidRPr="002358A2">
        <w:t>s management had been removed from office, and the special administrators were under the BNB</w:t>
      </w:r>
      <w:r w:rsidRPr="002358A2" w:rsidR="002358A2">
        <w:t>’</w:t>
      </w:r>
      <w:r w:rsidRPr="002358A2">
        <w:t>s control. Denying the shareholders standing would mean leaving the BNB</w:t>
      </w:r>
      <w:r w:rsidRPr="002358A2" w:rsidR="002358A2">
        <w:t>’</w:t>
      </w:r>
      <w:r w:rsidRPr="002358A2">
        <w:t xml:space="preserve">s decision without review, despite the statutory rule expressly providing for that possibility (see paragraph </w:t>
      </w:r>
      <w:r w:rsidRPr="002358A2">
        <w:fldChar w:fldCharType="begin"/>
      </w:r>
      <w:r w:rsidRPr="002358A2">
        <w:instrText xml:space="preserve"> REF RLF_BNB_revoke_licence_jud_rev \h </w:instrText>
      </w:r>
      <w:r w:rsidRPr="002358A2">
        <w:fldChar w:fldCharType="separate"/>
      </w:r>
      <w:r w:rsidRPr="002358A2" w:rsidR="002358A2">
        <w:rPr>
          <w:noProof/>
          <w:lang w:val="bg-BG"/>
        </w:rPr>
        <w:t>94</w:t>
      </w:r>
      <w:r w:rsidRPr="002358A2">
        <w:fldChar w:fldCharType="end"/>
      </w:r>
      <w:r w:rsidRPr="002358A2">
        <w:t xml:space="preserve"> below), thus rendering KTB</w:t>
      </w:r>
      <w:r w:rsidRPr="002358A2" w:rsidR="002358A2">
        <w:t>’</w:t>
      </w:r>
      <w:r w:rsidRPr="002358A2">
        <w:t>s rights theoretical and illusory. It also had to be borne in mind in that connection that the withdrawal of KTB</w:t>
      </w:r>
      <w:r w:rsidRPr="002358A2" w:rsidR="002358A2">
        <w:t>’</w:t>
      </w:r>
      <w:r w:rsidRPr="002358A2">
        <w:t>s licence could not be examined by the civil courts in the ensuing winding-up proceedings which would be triggered by it.</w:t>
      </w:r>
    </w:p>
    <w:bookmarkStart w:name="F_SAC_3MP_dec_13_01_2015_refer_writ_sbms" w:id="35"/>
    <w:p w:rsidRPr="002358A2" w:rsidR="00BF0CAC" w:rsidP="002358A2" w:rsidRDefault="00BF0CAC" w14:paraId="6CC691B6" w14:textId="72E2C0B5">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33</w:t>
      </w:r>
      <w:r w:rsidRPr="002358A2">
        <w:fldChar w:fldCharType="end"/>
      </w:r>
      <w:bookmarkEnd w:id="35"/>
      <w:r w:rsidRPr="002358A2">
        <w:t>.  In its decision, the panel did not refer to the written submissions made on KTB</w:t>
      </w:r>
      <w:r w:rsidRPr="002358A2" w:rsidR="002358A2">
        <w:t>’</w:t>
      </w:r>
      <w:r w:rsidRPr="002358A2">
        <w:t xml:space="preserve">s behalf by its former executive directors (see paragraph </w:t>
      </w:r>
      <w:r w:rsidRPr="002358A2">
        <w:fldChar w:fldCharType="begin"/>
      </w:r>
      <w:r w:rsidRPr="002358A2">
        <w:instrText xml:space="preserve"> REF F_SAC_3MP_exec_dir_req_rep_ad_litem \h  \* MERGEFORMAT </w:instrText>
      </w:r>
      <w:r w:rsidRPr="002358A2">
        <w:fldChar w:fldCharType="separate"/>
      </w:r>
      <w:r w:rsidRPr="002358A2" w:rsidR="002358A2">
        <w:rPr>
          <w:noProof/>
        </w:rPr>
        <w:t>29</w:t>
      </w:r>
      <w:r w:rsidRPr="002358A2">
        <w:fldChar w:fldCharType="end"/>
      </w:r>
      <w:r w:rsidRPr="002358A2">
        <w:t xml:space="preserve"> above); when describing the submissions made by KTB in its capacity as an interested party, it referred only to the submissions made on the bank</w:t>
      </w:r>
      <w:r w:rsidRPr="002358A2" w:rsidR="002358A2">
        <w:t>’</w:t>
      </w:r>
      <w:r w:rsidRPr="002358A2">
        <w:t xml:space="preserve">s behalf by the special administrators (see paragraph </w:t>
      </w:r>
      <w:r w:rsidRPr="002358A2">
        <w:fldChar w:fldCharType="begin"/>
      </w:r>
      <w:r w:rsidRPr="002358A2">
        <w:instrText xml:space="preserve"> REF F_SAC_3MP_special_adm_written_smbs \h </w:instrText>
      </w:r>
      <w:r w:rsidRPr="002358A2">
        <w:fldChar w:fldCharType="separate"/>
      </w:r>
      <w:r w:rsidRPr="002358A2" w:rsidR="002358A2">
        <w:rPr>
          <w:noProof/>
        </w:rPr>
        <w:t>30</w:t>
      </w:r>
      <w:r w:rsidRPr="002358A2">
        <w:fldChar w:fldCharType="end"/>
      </w:r>
      <w:r w:rsidRPr="002358A2">
        <w:t xml:space="preserve"> above).</w:t>
      </w:r>
    </w:p>
    <w:p w:rsidRPr="002358A2" w:rsidR="00BF0CAC" w:rsidP="002358A2" w:rsidRDefault="00BF0CAC" w14:paraId="18D0E4C9" w14:textId="77777777">
      <w:pPr>
        <w:pStyle w:val="JuHA"/>
      </w:pPr>
      <w:bookmarkStart w:name="_Toc107950833" w:id="36"/>
      <w:r w:rsidRPr="002358A2">
        <w:t>Proceedings on appeal</w:t>
      </w:r>
      <w:bookmarkEnd w:id="36"/>
    </w:p>
    <w:bookmarkStart w:name="F_SAC_5MP_appeal_Bromak" w:id="37"/>
    <w:p w:rsidRPr="002358A2" w:rsidR="00BF0CAC" w:rsidP="002358A2" w:rsidRDefault="00BF0CAC" w14:paraId="20E5BBA1" w14:textId="450B7B15">
      <w:pPr>
        <w:pStyle w:val="JuPara"/>
      </w:pPr>
      <w:r w:rsidRPr="002358A2">
        <w:fldChar w:fldCharType="begin"/>
      </w:r>
      <w:r w:rsidRPr="002358A2">
        <w:instrText xml:space="preserve"> SEQ level0 \*arabic </w:instrText>
      </w:r>
      <w:r w:rsidRPr="002358A2">
        <w:fldChar w:fldCharType="separate"/>
      </w:r>
      <w:r w:rsidRPr="002358A2" w:rsidR="002358A2">
        <w:rPr>
          <w:noProof/>
        </w:rPr>
        <w:t>34</w:t>
      </w:r>
      <w:r w:rsidRPr="002358A2">
        <w:fldChar w:fldCharType="end"/>
      </w:r>
      <w:bookmarkEnd w:id="37"/>
      <w:r w:rsidRPr="002358A2">
        <w:t>.  Bromak appealed against that decision to a five-member panel of the Supreme Administrative Court. It reiterated its arguments that the withdrawal of KTB</w:t>
      </w:r>
      <w:r w:rsidRPr="002358A2" w:rsidR="002358A2">
        <w:t>’</w:t>
      </w:r>
      <w:r w:rsidRPr="002358A2">
        <w:t xml:space="preserve">s licence had affected its rights as a shareholder in it. It also pointed out, </w:t>
      </w:r>
      <w:r w:rsidRPr="002358A2">
        <w:rPr>
          <w:i/>
          <w:iCs/>
        </w:rPr>
        <w:t>inter alia</w:t>
      </w:r>
      <w:r w:rsidRPr="002358A2">
        <w:t xml:space="preserve">, that the three-member panel had omitted to rule on the request to appoint a special representative </w:t>
      </w:r>
      <w:r w:rsidRPr="002358A2">
        <w:rPr>
          <w:i/>
          <w:iCs/>
        </w:rPr>
        <w:t>ad litem</w:t>
      </w:r>
      <w:r w:rsidRPr="002358A2">
        <w:t xml:space="preserve"> for KTB (see paragraph </w:t>
      </w:r>
      <w:r w:rsidRPr="002358A2">
        <w:fldChar w:fldCharType="begin"/>
      </w:r>
      <w:r w:rsidRPr="002358A2">
        <w:instrText xml:space="preserve"> REF F_SAC_3MP_exec_dir_req_rep_ad_litem \h </w:instrText>
      </w:r>
      <w:r w:rsidRPr="002358A2">
        <w:fldChar w:fldCharType="separate"/>
      </w:r>
      <w:r w:rsidRPr="002358A2" w:rsidR="002358A2">
        <w:rPr>
          <w:noProof/>
        </w:rPr>
        <w:t>29</w:t>
      </w:r>
      <w:r w:rsidRPr="002358A2">
        <w:fldChar w:fldCharType="end"/>
      </w:r>
      <w:r w:rsidRPr="002358A2">
        <w:t xml:space="preserve"> </w:t>
      </w:r>
      <w:r w:rsidRPr="002358A2">
        <w:rPr>
          <w:i/>
          <w:iCs/>
        </w:rPr>
        <w:t>in fine</w:t>
      </w:r>
      <w:r w:rsidRPr="002358A2">
        <w:t xml:space="preserve"> above). It relied on, </w:t>
      </w:r>
      <w:r w:rsidRPr="002358A2">
        <w:rPr>
          <w:i/>
          <w:iCs/>
        </w:rPr>
        <w:t>inter alia</w:t>
      </w:r>
      <w:r w:rsidRPr="002358A2">
        <w:t>, Article 6 § 1 of the Convention and Article 1 of Protocol No. 1.</w:t>
      </w:r>
    </w:p>
    <w:bookmarkStart w:name="F_SAC_5MP_appeal_other_shareholders" w:id="38"/>
    <w:p w:rsidRPr="002358A2" w:rsidR="00BF0CAC" w:rsidP="002358A2" w:rsidRDefault="00BF0CAC" w14:paraId="285BC357" w14:textId="3B6C9D55">
      <w:pPr>
        <w:pStyle w:val="JuPara"/>
      </w:pPr>
      <w:r w:rsidRPr="002358A2">
        <w:fldChar w:fldCharType="begin"/>
      </w:r>
      <w:r w:rsidRPr="002358A2">
        <w:instrText xml:space="preserve"> SEQ level0 \*arabic </w:instrText>
      </w:r>
      <w:r w:rsidRPr="002358A2">
        <w:fldChar w:fldCharType="separate"/>
      </w:r>
      <w:r w:rsidRPr="002358A2" w:rsidR="002358A2">
        <w:rPr>
          <w:noProof/>
        </w:rPr>
        <w:t>35</w:t>
      </w:r>
      <w:r w:rsidRPr="002358A2">
        <w:fldChar w:fldCharType="end"/>
      </w:r>
      <w:bookmarkEnd w:id="38"/>
      <w:r w:rsidRPr="002358A2">
        <w:t>.  The other three shareholders in KTB also appealed.</w:t>
      </w:r>
    </w:p>
    <w:bookmarkStart w:name="F_SAC_5MP_Bromask_req_rep_ad_litem" w:id="39"/>
    <w:p w:rsidRPr="002358A2" w:rsidR="00BF0CAC" w:rsidP="002358A2" w:rsidRDefault="00BF0CAC" w14:paraId="6361AEC1" w14:textId="4766D0B3">
      <w:pPr>
        <w:pStyle w:val="JuPara"/>
      </w:pPr>
      <w:r w:rsidRPr="002358A2">
        <w:fldChar w:fldCharType="begin"/>
      </w:r>
      <w:r w:rsidRPr="002358A2">
        <w:instrText xml:space="preserve"> SEQ level0 \*arabic </w:instrText>
      </w:r>
      <w:r w:rsidRPr="002358A2">
        <w:fldChar w:fldCharType="separate"/>
      </w:r>
      <w:r w:rsidRPr="002358A2" w:rsidR="002358A2">
        <w:rPr>
          <w:noProof/>
        </w:rPr>
        <w:t>36</w:t>
      </w:r>
      <w:r w:rsidRPr="002358A2">
        <w:fldChar w:fldCharType="end"/>
      </w:r>
      <w:bookmarkEnd w:id="39"/>
      <w:r w:rsidRPr="002358A2">
        <w:t>.  Bromak reiterated the request, made by KTB</w:t>
      </w:r>
      <w:r w:rsidRPr="002358A2" w:rsidR="002358A2">
        <w:t>’</w:t>
      </w:r>
      <w:r w:rsidRPr="002358A2">
        <w:t xml:space="preserve">s former executive directors in the first-instance proceedings, for the court to appoint a special representative </w:t>
      </w:r>
      <w:r w:rsidRPr="002358A2">
        <w:rPr>
          <w:i/>
          <w:iCs/>
        </w:rPr>
        <w:t>ad litem</w:t>
      </w:r>
      <w:r w:rsidRPr="002358A2">
        <w:t xml:space="preserve"> for KTB under Article 29 </w:t>
      </w:r>
      <w:r w:rsidRPr="002358A2">
        <w:rPr>
          <w:rFonts w:cstheme="minorHAnsi"/>
        </w:rPr>
        <w:t>§</w:t>
      </w:r>
      <w:r w:rsidRPr="002358A2">
        <w:t xml:space="preserve"> 4 of the Code of Civil Procedure (see paragraph </w:t>
      </w:r>
      <w:r w:rsidRPr="002358A2">
        <w:fldChar w:fldCharType="begin"/>
      </w:r>
      <w:r w:rsidRPr="002358A2">
        <w:instrText xml:space="preserve"> REF F_SAC_3MP_exec_dir_req_rep_ad_litem \h </w:instrText>
      </w:r>
      <w:r w:rsidRPr="002358A2">
        <w:fldChar w:fldCharType="separate"/>
      </w:r>
      <w:r w:rsidRPr="002358A2" w:rsidR="002358A2">
        <w:rPr>
          <w:noProof/>
        </w:rPr>
        <w:t>29</w:t>
      </w:r>
      <w:r w:rsidRPr="002358A2">
        <w:fldChar w:fldCharType="end"/>
      </w:r>
      <w:r w:rsidRPr="002358A2">
        <w:t xml:space="preserve"> </w:t>
      </w:r>
      <w:r w:rsidRPr="002358A2">
        <w:rPr>
          <w:i/>
          <w:iCs/>
        </w:rPr>
        <w:t>in fine</w:t>
      </w:r>
      <w:r w:rsidRPr="002358A2">
        <w:t xml:space="preserve"> above and paragraph </w:t>
      </w:r>
      <w:r w:rsidRPr="002358A2">
        <w:fldChar w:fldCharType="begin"/>
      </w:r>
      <w:r w:rsidRPr="002358A2">
        <w:instrText xml:space="preserve"> REF RLF_CCP_A_29_4 \h </w:instrText>
      </w:r>
      <w:r w:rsidRPr="002358A2">
        <w:fldChar w:fldCharType="separate"/>
      </w:r>
      <w:r w:rsidRPr="002358A2" w:rsidR="002358A2">
        <w:rPr>
          <w:noProof/>
        </w:rPr>
        <w:t>105</w:t>
      </w:r>
      <w:r w:rsidRPr="002358A2">
        <w:fldChar w:fldCharType="end"/>
      </w:r>
      <w:r w:rsidRPr="002358A2">
        <w:t xml:space="preserve"> below). It pointed out that there was a conflict of interests between it and the special administrators, who were by law representing KTB and had a disincentive to challenge the withdrawal of its licence, which they had already demonstrated by their conduct in the first-instance proceedings.</w:t>
      </w:r>
    </w:p>
    <w:bookmarkStart w:name="F_SAC_5MP_Bromak_CJEU" w:id="40"/>
    <w:p w:rsidRPr="002358A2" w:rsidR="00BF0CAC" w:rsidP="002358A2" w:rsidRDefault="00BF0CAC" w14:paraId="357A0D43" w14:textId="490EF833">
      <w:pPr>
        <w:pStyle w:val="JuPara"/>
      </w:pPr>
      <w:r w:rsidRPr="002358A2">
        <w:fldChar w:fldCharType="begin"/>
      </w:r>
      <w:r w:rsidRPr="002358A2">
        <w:instrText xml:space="preserve"> SEQ level0 \*arabic </w:instrText>
      </w:r>
      <w:r w:rsidRPr="002358A2">
        <w:fldChar w:fldCharType="separate"/>
      </w:r>
      <w:r w:rsidRPr="002358A2" w:rsidR="002358A2">
        <w:rPr>
          <w:noProof/>
        </w:rPr>
        <w:t>37</w:t>
      </w:r>
      <w:r w:rsidRPr="002358A2">
        <w:fldChar w:fldCharType="end"/>
      </w:r>
      <w:bookmarkEnd w:id="40"/>
      <w:r w:rsidRPr="002358A2">
        <w:t>.  Bromak also asked the five-member panel to seek a preliminary ruling from the Court of Justice of the European Union (CJEU). In its view, the proper resolution of the case required answers to several questions under European Union (EU) law. Bulgarian Acquisition Company II Sarl also sought a preliminary ruling by the CJEU.</w:t>
      </w:r>
    </w:p>
    <w:bookmarkStart w:name="F_SAC_5MP_request_int_dec" w:id="41"/>
    <w:p w:rsidRPr="002358A2" w:rsidR="00BF0CAC" w:rsidP="002358A2" w:rsidRDefault="00BF0CAC" w14:paraId="265B9371" w14:textId="0520AE8A">
      <w:pPr>
        <w:pStyle w:val="JuPara"/>
      </w:pPr>
      <w:r w:rsidRPr="002358A2">
        <w:fldChar w:fldCharType="begin"/>
      </w:r>
      <w:r w:rsidRPr="002358A2">
        <w:instrText xml:space="preserve"> SEQ level0 \*arabic </w:instrText>
      </w:r>
      <w:r w:rsidRPr="002358A2">
        <w:fldChar w:fldCharType="separate"/>
      </w:r>
      <w:r w:rsidRPr="002358A2" w:rsidR="002358A2">
        <w:rPr>
          <w:noProof/>
        </w:rPr>
        <w:t>38</w:t>
      </w:r>
      <w:r w:rsidRPr="002358A2">
        <w:fldChar w:fldCharType="end"/>
      </w:r>
      <w:bookmarkEnd w:id="41"/>
      <w:r w:rsidRPr="002358A2">
        <w:t xml:space="preserve">.  At the suggestion of counsel for Bromak, made on 4 February 2015, on 10 March 2015 the Supreme Bar Council asked the plenary of the Supreme Administrative Court to give an interpretative decision on who had standing to seek judicial review under section 151(3) of the Credit Institutions Act 2006 (see paragraph </w:t>
      </w:r>
      <w:r w:rsidRPr="002358A2">
        <w:fldChar w:fldCharType="begin"/>
      </w:r>
      <w:r w:rsidRPr="002358A2">
        <w:instrText xml:space="preserve"> REF RLF_BNB_revoke_licence_jud_rev \h </w:instrText>
      </w:r>
      <w:r w:rsidRPr="002358A2">
        <w:fldChar w:fldCharType="separate"/>
      </w:r>
      <w:r w:rsidRPr="002358A2" w:rsidR="002358A2">
        <w:rPr>
          <w:noProof/>
          <w:lang w:val="bg-BG"/>
        </w:rPr>
        <w:t>94</w:t>
      </w:r>
      <w:r w:rsidRPr="002358A2">
        <w:fldChar w:fldCharType="end"/>
      </w:r>
      <w:r w:rsidRPr="002358A2">
        <w:t xml:space="preserve"> below) of a decision by the BNB to withdraw a bank</w:t>
      </w:r>
      <w:r w:rsidRPr="002358A2" w:rsidR="002358A2">
        <w:t>’</w:t>
      </w:r>
      <w:r w:rsidRPr="002358A2">
        <w:t>s licence. On 19 March 2015 Bromak asked the five-member panel to stay the examination of its appeal pending that interpretative decision.</w:t>
      </w:r>
    </w:p>
    <w:bookmarkStart w:name="F_SAC_5MP_request_int_dec_no_stay" w:id="42"/>
    <w:p w:rsidRPr="002358A2" w:rsidR="00BF0CAC" w:rsidP="002358A2" w:rsidRDefault="00BF0CAC" w14:paraId="22341033" w14:textId="60FBE214">
      <w:pPr>
        <w:pStyle w:val="JuPara"/>
      </w:pPr>
      <w:r w:rsidRPr="002358A2">
        <w:fldChar w:fldCharType="begin"/>
      </w:r>
      <w:r w:rsidRPr="002358A2">
        <w:instrText xml:space="preserve"> SEQ level0 \*arabic </w:instrText>
      </w:r>
      <w:r w:rsidRPr="002358A2">
        <w:fldChar w:fldCharType="separate"/>
      </w:r>
      <w:r w:rsidRPr="002358A2" w:rsidR="002358A2">
        <w:rPr>
          <w:noProof/>
        </w:rPr>
        <w:t>39</w:t>
      </w:r>
      <w:r w:rsidRPr="002358A2">
        <w:fldChar w:fldCharType="end"/>
      </w:r>
      <w:bookmarkEnd w:id="42"/>
      <w:r w:rsidRPr="002358A2">
        <w:t xml:space="preserve">.  The panel declined to stay the proceedings pending the interpretative decision requested by the Supreme Bar Council. It noted, </w:t>
      </w:r>
      <w:r w:rsidRPr="002358A2">
        <w:rPr>
          <w:i/>
          <w:iCs/>
        </w:rPr>
        <w:t>inter alia</w:t>
      </w:r>
      <w:r w:rsidRPr="002358A2">
        <w:t>, that no proceedings had yet been formally opened in relation to that request.</w:t>
      </w:r>
    </w:p>
    <w:bookmarkStart w:name="F_SAC_5MP_Bromask_req_rep_ad_litem_ref" w:id="43"/>
    <w:p w:rsidRPr="002358A2" w:rsidR="00BF0CAC" w:rsidP="002358A2" w:rsidRDefault="00BF0CAC" w14:paraId="425E2634" w14:textId="6DFE208E">
      <w:pPr>
        <w:pStyle w:val="JuPara"/>
      </w:pPr>
      <w:r w:rsidRPr="002358A2">
        <w:fldChar w:fldCharType="begin"/>
      </w:r>
      <w:r w:rsidRPr="002358A2">
        <w:instrText xml:space="preserve"> SEQ level0 \*arabic </w:instrText>
      </w:r>
      <w:r w:rsidRPr="002358A2">
        <w:fldChar w:fldCharType="separate"/>
      </w:r>
      <w:r w:rsidRPr="002358A2" w:rsidR="002358A2">
        <w:rPr>
          <w:noProof/>
        </w:rPr>
        <w:t>40</w:t>
      </w:r>
      <w:r w:rsidRPr="002358A2">
        <w:fldChar w:fldCharType="end"/>
      </w:r>
      <w:bookmarkEnd w:id="43"/>
      <w:r w:rsidRPr="002358A2">
        <w:t xml:space="preserve">.  The panel also refused the request that a special representative </w:t>
      </w:r>
      <w:r w:rsidRPr="002358A2">
        <w:rPr>
          <w:i/>
          <w:iCs/>
        </w:rPr>
        <w:t>ad litem</w:t>
      </w:r>
      <w:r w:rsidRPr="002358A2">
        <w:t xml:space="preserve"> be appointed for KTB (see paragraphs </w:t>
      </w:r>
      <w:r w:rsidRPr="002358A2">
        <w:fldChar w:fldCharType="begin"/>
      </w:r>
      <w:r w:rsidRPr="002358A2">
        <w:instrText xml:space="preserve"> REF F_SAC_3MP_exec_dir_req_rep_ad_litem \h </w:instrText>
      </w:r>
      <w:r w:rsidRPr="002358A2">
        <w:fldChar w:fldCharType="separate"/>
      </w:r>
      <w:r w:rsidRPr="002358A2" w:rsidR="002358A2">
        <w:rPr>
          <w:noProof/>
        </w:rPr>
        <w:t>29</w:t>
      </w:r>
      <w:r w:rsidRPr="002358A2">
        <w:fldChar w:fldCharType="end"/>
      </w:r>
      <w:r w:rsidRPr="002358A2">
        <w:t xml:space="preserve"> </w:t>
      </w:r>
      <w:r w:rsidRPr="002358A2">
        <w:rPr>
          <w:i/>
          <w:iCs/>
        </w:rPr>
        <w:t>in fine</w:t>
      </w:r>
      <w:r w:rsidRPr="002358A2">
        <w:t xml:space="preserve"> and </w:t>
      </w:r>
      <w:r w:rsidRPr="002358A2">
        <w:fldChar w:fldCharType="begin"/>
      </w:r>
      <w:r w:rsidRPr="002358A2">
        <w:instrText xml:space="preserve"> REF F_SAC_5MP_Bromask_req_rep_ad_litem \h </w:instrText>
      </w:r>
      <w:r w:rsidRPr="002358A2">
        <w:fldChar w:fldCharType="separate"/>
      </w:r>
      <w:r w:rsidRPr="002358A2" w:rsidR="002358A2">
        <w:rPr>
          <w:noProof/>
        </w:rPr>
        <w:t>36</w:t>
      </w:r>
      <w:r w:rsidRPr="002358A2">
        <w:fldChar w:fldCharType="end"/>
      </w:r>
      <w:r w:rsidRPr="002358A2">
        <w:t xml:space="preserve"> above). It noted that KTB, which was not a claimant but simply an interested party, was represented in the proceedings by its special administrators, as required by law. The special administrators had already commented on all requests by the claimants, and appointing a special representative </w:t>
      </w:r>
      <w:r w:rsidRPr="002358A2">
        <w:rPr>
          <w:i/>
          <w:iCs/>
        </w:rPr>
        <w:t>ad litem</w:t>
      </w:r>
      <w:r w:rsidRPr="002358A2">
        <w:t xml:space="preserve"> would clash with their mandate.</w:t>
      </w:r>
    </w:p>
    <w:bookmarkStart w:name="F_SAC_5MP_dec_2_4_2015" w:id="44"/>
    <w:p w:rsidRPr="002358A2" w:rsidR="00BF0CAC" w:rsidP="002358A2" w:rsidRDefault="00BF0CAC" w14:paraId="30EC8324" w14:textId="19A6E19E">
      <w:pPr>
        <w:pStyle w:val="JuPara"/>
      </w:pPr>
      <w:r w:rsidRPr="002358A2">
        <w:fldChar w:fldCharType="begin"/>
      </w:r>
      <w:r w:rsidRPr="002358A2">
        <w:instrText xml:space="preserve"> SEQ level0 \*arabic </w:instrText>
      </w:r>
      <w:r w:rsidRPr="002358A2">
        <w:fldChar w:fldCharType="separate"/>
      </w:r>
      <w:r w:rsidRPr="002358A2" w:rsidR="002358A2">
        <w:rPr>
          <w:noProof/>
        </w:rPr>
        <w:t>41</w:t>
      </w:r>
      <w:r w:rsidRPr="002358A2">
        <w:fldChar w:fldCharType="end"/>
      </w:r>
      <w:bookmarkEnd w:id="44"/>
      <w:r w:rsidRPr="002358A2">
        <w:t>.  In a decision of 2 April 2015 (</w:t>
      </w:r>
      <w:r w:rsidRPr="002358A2">
        <w:rPr>
          <w:i/>
          <w:iCs/>
          <w:lang w:val="bg-BG"/>
        </w:rPr>
        <w:t>опр. № 3725 от 02.04.2015</w:t>
      </w:r>
      <w:r w:rsidRPr="002358A2">
        <w:rPr>
          <w:i/>
          <w:iCs/>
        </w:rPr>
        <w:t xml:space="preserve"> </w:t>
      </w:r>
      <w:r w:rsidRPr="002358A2">
        <w:rPr>
          <w:i/>
          <w:iCs/>
          <w:lang w:val="bg-BG"/>
        </w:rPr>
        <w:t>г. по адм.</w:t>
      </w:r>
      <w:r w:rsidRPr="002358A2">
        <w:rPr>
          <w:i/>
          <w:iCs/>
        </w:rPr>
        <w:t> </w:t>
      </w:r>
      <w:r w:rsidRPr="002358A2">
        <w:rPr>
          <w:i/>
          <w:iCs/>
          <w:lang w:val="bg-BG"/>
        </w:rPr>
        <w:t xml:space="preserve">д. № </w:t>
      </w:r>
      <w:r w:rsidRPr="002358A2">
        <w:rPr>
          <w:i/>
          <w:iCs/>
        </w:rPr>
        <w:t>3438/2015</w:t>
      </w:r>
      <w:r w:rsidRPr="002358A2">
        <w:rPr>
          <w:i/>
          <w:iCs/>
          <w:lang w:val="bg-BG"/>
        </w:rPr>
        <w:t xml:space="preserve"> г., ВАС, петчл. с-в</w:t>
      </w:r>
      <w:r w:rsidRPr="002358A2">
        <w:t>), the five-member panel of the Supreme Administrative Court refused to seek a preliminary ruling from the CJEU and upheld the three-member panel</w:t>
      </w:r>
      <w:r w:rsidRPr="002358A2" w:rsidR="002358A2">
        <w:t>’</w:t>
      </w:r>
      <w:r w:rsidRPr="002358A2">
        <w:t xml:space="preserve">s decision. The five-member panel noted, </w:t>
      </w:r>
      <w:r w:rsidRPr="002358A2">
        <w:rPr>
          <w:i/>
          <w:iCs/>
        </w:rPr>
        <w:t>inter alia</w:t>
      </w:r>
      <w:r w:rsidRPr="002358A2">
        <w:t xml:space="preserve">, that section 151(3) of the Credit Institutions Act 2006 (see paragraph </w:t>
      </w:r>
      <w:r w:rsidRPr="002358A2">
        <w:fldChar w:fldCharType="begin"/>
      </w:r>
      <w:r w:rsidRPr="002358A2">
        <w:instrText xml:space="preserve"> REF RLF_BNB_revoke_licence_jud_rev \h </w:instrText>
      </w:r>
      <w:r w:rsidRPr="002358A2">
        <w:fldChar w:fldCharType="separate"/>
      </w:r>
      <w:r w:rsidRPr="002358A2" w:rsidR="002358A2">
        <w:rPr>
          <w:noProof/>
          <w:lang w:val="bg-BG"/>
        </w:rPr>
        <w:t>94</w:t>
      </w:r>
      <w:r w:rsidRPr="002358A2">
        <w:fldChar w:fldCharType="end"/>
      </w:r>
      <w:r w:rsidRPr="002358A2">
        <w:t xml:space="preserve"> below) expressly provided for judicial review of decisions by the BNB to withdraw a bank</w:t>
      </w:r>
      <w:r w:rsidRPr="002358A2" w:rsidR="002358A2">
        <w:t>’</w:t>
      </w:r>
      <w:r w:rsidRPr="002358A2">
        <w:t>s licence, which meant that there was no direct discrepancy between Bulgarian and EU law. The panel then analysed in detail the EU law provisions cited by KTB</w:t>
      </w:r>
      <w:r w:rsidRPr="002358A2" w:rsidR="002358A2">
        <w:t>’</w:t>
      </w:r>
      <w:r w:rsidRPr="002358A2">
        <w:t>s shareholders, holding that none of them required that they be granted standing to seek judicial review of the decision to withdraw KTB</w:t>
      </w:r>
      <w:r w:rsidRPr="002358A2" w:rsidR="002358A2">
        <w:t>’</w:t>
      </w:r>
      <w:r w:rsidRPr="002358A2">
        <w:t>s licence. Those provisions had already been analysed by the CJEU and could be construed without difficulty. It was hence unnecessary to seek a preliminary ruling from the CJEU. For the same reasons, the claimants</w:t>
      </w:r>
      <w:r w:rsidRPr="002358A2" w:rsidR="002358A2">
        <w:t>’</w:t>
      </w:r>
      <w:r w:rsidRPr="002358A2">
        <w:t xml:space="preserve"> appeals against the three-member panel</w:t>
      </w:r>
      <w:r w:rsidRPr="002358A2" w:rsidR="002358A2">
        <w:t>’</w:t>
      </w:r>
      <w:r w:rsidRPr="002358A2">
        <w:t>s decision were unfounded.</w:t>
      </w:r>
    </w:p>
    <w:p w:rsidRPr="002358A2" w:rsidR="00BF0CAC" w:rsidP="002358A2" w:rsidRDefault="00BF0CAC" w14:paraId="7C6FC548" w14:textId="15334744">
      <w:pPr>
        <w:pStyle w:val="JuHIRoman"/>
      </w:pPr>
      <w:bookmarkStart w:name="_Toc107950834" w:id="45"/>
      <w:r w:rsidRPr="002358A2">
        <w:rPr>
          <w:caps w:val="0"/>
        </w:rPr>
        <w:t>PROCEEDINGS RELATING TO THE SUPREME BAR COUNCIL</w:t>
      </w:r>
      <w:r w:rsidRPr="002358A2" w:rsidR="002358A2">
        <w:rPr>
          <w:caps w:val="0"/>
        </w:rPr>
        <w:t>’</w:t>
      </w:r>
      <w:r w:rsidRPr="002358A2">
        <w:rPr>
          <w:caps w:val="0"/>
        </w:rPr>
        <w:t>S REQUEST FOR AN INTERPRETATIVE DECISION</w:t>
      </w:r>
      <w:bookmarkEnd w:id="45"/>
    </w:p>
    <w:bookmarkStart w:name="F_SAC_int_case_opening" w:id="46"/>
    <w:p w:rsidRPr="002358A2" w:rsidR="00BF0CAC" w:rsidP="002358A2" w:rsidRDefault="00BF0CAC" w14:paraId="66F046C0" w14:textId="6CC5C917">
      <w:pPr>
        <w:pStyle w:val="JuPara"/>
      </w:pPr>
      <w:r w:rsidRPr="002358A2">
        <w:fldChar w:fldCharType="begin"/>
      </w:r>
      <w:r w:rsidRPr="002358A2">
        <w:instrText xml:space="preserve"> SEQ level0 \*arabic </w:instrText>
      </w:r>
      <w:r w:rsidRPr="002358A2">
        <w:fldChar w:fldCharType="separate"/>
      </w:r>
      <w:r w:rsidRPr="002358A2" w:rsidR="002358A2">
        <w:rPr>
          <w:noProof/>
        </w:rPr>
        <w:t>42</w:t>
      </w:r>
      <w:r w:rsidRPr="002358A2">
        <w:fldChar w:fldCharType="end"/>
      </w:r>
      <w:bookmarkEnd w:id="46"/>
      <w:r w:rsidRPr="002358A2">
        <w:t>.  The Supreme Administrative Court</w:t>
      </w:r>
      <w:r w:rsidRPr="002358A2" w:rsidR="002358A2">
        <w:t>’</w:t>
      </w:r>
      <w:r w:rsidRPr="002358A2">
        <w:t>s president opened proceedings relating to the Supreme Bar Council</w:t>
      </w:r>
      <w:r w:rsidRPr="002358A2" w:rsidR="002358A2">
        <w:t>’</w:t>
      </w:r>
      <w:r w:rsidRPr="002358A2">
        <w:t xml:space="preserve">s request for an interpretative decision (see paragraph </w:t>
      </w:r>
      <w:r w:rsidRPr="002358A2">
        <w:fldChar w:fldCharType="begin"/>
      </w:r>
      <w:r w:rsidRPr="002358A2">
        <w:instrText xml:space="preserve"> REF F_SAC_5MP_request_int_dec \h  \* MERGEFORMAT </w:instrText>
      </w:r>
      <w:r w:rsidRPr="002358A2">
        <w:fldChar w:fldCharType="separate"/>
      </w:r>
      <w:r w:rsidRPr="002358A2" w:rsidR="002358A2">
        <w:rPr>
          <w:noProof/>
        </w:rPr>
        <w:t>38</w:t>
      </w:r>
      <w:r w:rsidRPr="002358A2">
        <w:fldChar w:fldCharType="end"/>
      </w:r>
      <w:r w:rsidRPr="002358A2">
        <w:t xml:space="preserve"> above) on 28 September 2015.</w:t>
      </w:r>
    </w:p>
    <w:bookmarkStart w:name="F_SAC_int_case_decision" w:id="47"/>
    <w:p w:rsidRPr="002358A2" w:rsidR="00BF0CAC" w:rsidP="002358A2" w:rsidRDefault="00BF0CAC" w14:paraId="2AD72DA9" w14:textId="51325F0E">
      <w:pPr>
        <w:pStyle w:val="JuPara"/>
        <w:rPr>
          <w:lang w:val="ru-RU"/>
        </w:rPr>
      </w:pPr>
      <w:r w:rsidRPr="002358A2">
        <w:fldChar w:fldCharType="begin"/>
      </w:r>
      <w:r w:rsidRPr="002358A2">
        <w:instrText xml:space="preserve"> SEQ level0 \*arabic </w:instrText>
      </w:r>
      <w:r w:rsidRPr="002358A2">
        <w:fldChar w:fldCharType="separate"/>
      </w:r>
      <w:r w:rsidRPr="002358A2" w:rsidR="002358A2">
        <w:rPr>
          <w:noProof/>
        </w:rPr>
        <w:t>43</w:t>
      </w:r>
      <w:r w:rsidRPr="002358A2">
        <w:fldChar w:fldCharType="end"/>
      </w:r>
      <w:bookmarkEnd w:id="47"/>
      <w:r w:rsidRPr="002358A2">
        <w:t>.  The court, sitting in plenary session, examined the request in private on 29 March 2016. On 14 June 2016 it declined, against the dissent of eleven judges, to give an interpretative decision. It noted that section 151(3) of the Credit Institutions Act 2006 was silent on who could seek judicial review of a decision by the BNB to withdraw a bank</w:t>
      </w:r>
      <w:r w:rsidRPr="002358A2" w:rsidR="002358A2">
        <w:t>’</w:t>
      </w:r>
      <w:r w:rsidRPr="002358A2">
        <w:t>s licence, and that any interpretation aiming to elucidate that point would amount to supplementing the provision rather than construing it and would thus be outside the court</w:t>
      </w:r>
      <w:r w:rsidRPr="002358A2" w:rsidR="002358A2">
        <w:t>’</w:t>
      </w:r>
      <w:r w:rsidRPr="002358A2">
        <w:t>s remit. Under the general rules governing judicial review, an administrative decision could be challenged by persons whose rights, freedoms or legal interests were infringed or imperilled by it; this was a question that had to be determined on a case-by-case basis rather than in an abstract manner, as requested by the Supreme Bar Council. In so far as the request relied on provisions of EU law, the Supreme Administrative Court had no jurisdiction to interpret those; only the CJEU was competent to do so. But it was not possible to seek a preliminary ruling from the CJEU in interpretative proceedings, as this could only be done with respect to a specific case (see</w:t>
      </w:r>
      <w:r w:rsidRPr="002358A2">
        <w:rPr>
          <w:lang w:val="bg-BG"/>
        </w:rPr>
        <w:t xml:space="preserve"> </w:t>
      </w:r>
      <w:r w:rsidRPr="002358A2">
        <w:rPr>
          <w:i/>
          <w:iCs/>
          <w:lang w:val="bg-BG"/>
        </w:rPr>
        <w:t>опр. № 1 от</w:t>
      </w:r>
      <w:r w:rsidRPr="002358A2">
        <w:rPr>
          <w:i/>
          <w:iCs/>
          <w:lang w:val="ru-RU"/>
        </w:rPr>
        <w:t xml:space="preserve"> </w:t>
      </w:r>
      <w:r w:rsidRPr="002358A2">
        <w:rPr>
          <w:i/>
          <w:iCs/>
          <w:lang w:val="bg-BG"/>
        </w:rPr>
        <w:t>14.06.2016</w:t>
      </w:r>
      <w:r w:rsidRPr="002358A2">
        <w:rPr>
          <w:i/>
          <w:iCs/>
          <w:lang w:val="ru-RU"/>
        </w:rPr>
        <w:t xml:space="preserve"> </w:t>
      </w:r>
      <w:r w:rsidRPr="002358A2">
        <w:rPr>
          <w:i/>
          <w:iCs/>
          <w:lang w:val="bg-BG"/>
        </w:rPr>
        <w:t>г. по тълк. Д. №</w:t>
      </w:r>
      <w:r w:rsidRPr="002358A2">
        <w:rPr>
          <w:i/>
          <w:iCs/>
          <w:lang w:val="ru-RU"/>
        </w:rPr>
        <w:t xml:space="preserve"> </w:t>
      </w:r>
      <w:r w:rsidRPr="002358A2">
        <w:rPr>
          <w:i/>
          <w:iCs/>
          <w:lang w:val="bg-BG"/>
        </w:rPr>
        <w:t>4/2015 г., ВАС, ОСС на І и ІІ к.</w:t>
      </w:r>
      <w:r w:rsidRPr="002358A2">
        <w:rPr>
          <w:lang w:val="ru-RU"/>
        </w:rPr>
        <w:t>).</w:t>
      </w:r>
    </w:p>
    <w:p w:rsidRPr="002358A2" w:rsidR="00BF0CAC" w:rsidP="002358A2" w:rsidRDefault="00BF0CAC" w14:paraId="1BFF742E" w14:textId="78879EC9">
      <w:pPr>
        <w:pStyle w:val="JuHIRoman"/>
      </w:pPr>
      <w:bookmarkStart w:name="_Toc107950835" w:id="48"/>
      <w:r w:rsidRPr="002358A2">
        <w:rPr>
          <w:caps w:val="0"/>
        </w:rPr>
        <w:t>ATTEMPT BY KTB</w:t>
      </w:r>
      <w:r w:rsidRPr="002358A2" w:rsidR="002358A2">
        <w:rPr>
          <w:caps w:val="0"/>
        </w:rPr>
        <w:t>’</w:t>
      </w:r>
      <w:r w:rsidRPr="002358A2">
        <w:rPr>
          <w:caps w:val="0"/>
        </w:rPr>
        <w:t>S DIRECTORS TO SEEK JUDICIAL REVIEW OF THE WITHDRAWAL OF ITS LICENCE</w:t>
      </w:r>
      <w:bookmarkEnd w:id="48"/>
    </w:p>
    <w:p w:rsidRPr="002358A2" w:rsidR="00BF0CAC" w:rsidP="002358A2" w:rsidRDefault="00BF0CAC" w14:paraId="3218BCA3" w14:textId="77777777">
      <w:pPr>
        <w:pStyle w:val="JuHA"/>
      </w:pPr>
      <w:bookmarkStart w:name="_Toc107950836" w:id="49"/>
      <w:r w:rsidRPr="002358A2">
        <w:t>Proceedings at first instance</w:t>
      </w:r>
      <w:bookmarkEnd w:id="49"/>
    </w:p>
    <w:bookmarkStart w:name="F_SAC_ex_dir_3MP_claim" w:id="50"/>
    <w:p w:rsidRPr="002358A2" w:rsidR="00BF0CAC" w:rsidP="002358A2" w:rsidRDefault="00BF0CAC" w14:paraId="7A098E55" w14:textId="10EF4A16">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44</w:t>
      </w:r>
      <w:r w:rsidRPr="002358A2">
        <w:fldChar w:fldCharType="end"/>
      </w:r>
      <w:bookmarkEnd w:id="50"/>
      <w:r w:rsidRPr="002358A2">
        <w:t>.  Meanwhile, on 18 November 2014, KTB</w:t>
      </w:r>
      <w:r w:rsidRPr="002358A2" w:rsidR="002358A2">
        <w:t>’</w:t>
      </w:r>
      <w:r w:rsidRPr="002358A2">
        <w:t xml:space="preserve">s (then former) executive directors, whom the BNB had removed from office when placing KTB under special administration (see paragraphs </w:t>
      </w:r>
      <w:r w:rsidRPr="002358A2">
        <w:fldChar w:fldCharType="begin"/>
      </w:r>
      <w:r w:rsidRPr="002358A2">
        <w:instrText xml:space="preserve"> REF F_A_KTB_exec_directors \h </w:instrText>
      </w:r>
      <w:r w:rsidRPr="002358A2">
        <w:fldChar w:fldCharType="separate"/>
      </w:r>
      <w:r w:rsidRPr="002358A2" w:rsidR="002358A2">
        <w:rPr>
          <w:noProof/>
        </w:rPr>
        <w:t>5</w:t>
      </w:r>
      <w:r w:rsidRPr="002358A2">
        <w:fldChar w:fldCharType="end"/>
      </w:r>
      <w:r w:rsidRPr="002358A2">
        <w:t xml:space="preserve"> and </w:t>
      </w:r>
      <w:r w:rsidRPr="002358A2">
        <w:fldChar w:fldCharType="begin"/>
      </w:r>
      <w:r w:rsidRPr="002358A2">
        <w:instrText xml:space="preserve"> REF F_BNB_special_administration \h </w:instrText>
      </w:r>
      <w:r w:rsidRPr="002358A2">
        <w:fldChar w:fldCharType="separate"/>
      </w:r>
      <w:r w:rsidRPr="002358A2" w:rsidR="002358A2">
        <w:rPr>
          <w:noProof/>
        </w:rPr>
        <w:t>12</w:t>
      </w:r>
      <w:r w:rsidRPr="002358A2">
        <w:fldChar w:fldCharType="end"/>
      </w:r>
      <w:r w:rsidRPr="002358A2">
        <w:t xml:space="preserve"> (e) above) likewise applied to the Supreme Administrative Court for judicial review of the BNB</w:t>
      </w:r>
      <w:r w:rsidRPr="002358A2" w:rsidR="002358A2">
        <w:t>’</w:t>
      </w:r>
      <w:r w:rsidRPr="002358A2">
        <w:t>s decision to withdraw KTB</w:t>
      </w:r>
      <w:r w:rsidRPr="002358A2" w:rsidR="002358A2">
        <w:t>’</w:t>
      </w:r>
      <w:r w:rsidRPr="002358A2">
        <w:t>s licence. They argued that they had standing to do so because the withdrawal of KTB</w:t>
      </w:r>
      <w:r w:rsidRPr="002358A2" w:rsidR="002358A2">
        <w:t>’</w:t>
      </w:r>
      <w:r w:rsidRPr="002358A2">
        <w:t>s licence had perpetuated their removal from office and the stripping of their powers to act on its behalf. It had thus directly affected them on a professional, pecuniary and personal level, restraining their rights to work, to free movement and to freely dispose of their assets. The decision had also affected their professional reputation and limited their chances of finding similar employment in the future.</w:t>
      </w:r>
    </w:p>
    <w:bookmarkStart w:name="F_SAC_ex_dir_3MP_dec" w:id="51"/>
    <w:p w:rsidRPr="002358A2" w:rsidR="00BF0CAC" w:rsidP="002358A2" w:rsidRDefault="00BF0CAC" w14:paraId="5BA639E7" w14:textId="6939865B">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45</w:t>
      </w:r>
      <w:r w:rsidRPr="002358A2">
        <w:fldChar w:fldCharType="end"/>
      </w:r>
      <w:bookmarkEnd w:id="51"/>
      <w:r w:rsidRPr="002358A2">
        <w:t>.  On 4 December 2014 a three-member panel of the Supreme Administrative Court refused to examine the former executive directors</w:t>
      </w:r>
      <w:r w:rsidRPr="002358A2" w:rsidR="002358A2">
        <w:t>’</w:t>
      </w:r>
      <w:r w:rsidRPr="002358A2">
        <w:t xml:space="preserve"> claim (see</w:t>
      </w:r>
      <w:r w:rsidRPr="002358A2">
        <w:rPr>
          <w:lang w:val="bg-BG"/>
        </w:rPr>
        <w:t xml:space="preserve"> </w:t>
      </w:r>
      <w:r w:rsidRPr="002358A2">
        <w:rPr>
          <w:i/>
          <w:iCs/>
          <w:lang w:val="bg-BG"/>
        </w:rPr>
        <w:t>опр. № 14630 от</w:t>
      </w:r>
      <w:r w:rsidRPr="002358A2">
        <w:rPr>
          <w:i/>
          <w:iCs/>
        </w:rPr>
        <w:t xml:space="preserve"> </w:t>
      </w:r>
      <w:r w:rsidRPr="002358A2">
        <w:rPr>
          <w:i/>
          <w:iCs/>
          <w:lang w:val="bg-BG"/>
        </w:rPr>
        <w:t>04.12.2014 г. по адм. д. №</w:t>
      </w:r>
      <w:r w:rsidRPr="002358A2">
        <w:rPr>
          <w:i/>
          <w:iCs/>
        </w:rPr>
        <w:t xml:space="preserve"> 14813/2014</w:t>
      </w:r>
      <w:r w:rsidRPr="002358A2">
        <w:rPr>
          <w:i/>
          <w:iCs/>
          <w:lang w:val="bg-BG"/>
        </w:rPr>
        <w:t xml:space="preserve"> г., ВАС, VII о.</w:t>
      </w:r>
      <w:r w:rsidRPr="002358A2">
        <w:t>). It held that they had no standing to seek judicial review of the BNB</w:t>
      </w:r>
      <w:r w:rsidRPr="002358A2" w:rsidR="002358A2">
        <w:t>’</w:t>
      </w:r>
      <w:r w:rsidRPr="002358A2">
        <w:t>s decision to withdraw KTB</w:t>
      </w:r>
      <w:r w:rsidRPr="002358A2" w:rsidR="002358A2">
        <w:t>’</w:t>
      </w:r>
      <w:r w:rsidRPr="002358A2">
        <w:t>s licence, for the following reasons:</w:t>
      </w:r>
    </w:p>
    <w:p w:rsidRPr="002358A2" w:rsidR="00BF0CAC" w:rsidP="002358A2" w:rsidRDefault="00BF0CAC" w14:paraId="130849D5" w14:textId="2F706A25">
      <w:pPr>
        <w:pStyle w:val="JuQuot"/>
        <w:rPr>
          <w:lang w:val="bg-BG"/>
        </w:rPr>
      </w:pPr>
      <w:r w:rsidRPr="002358A2">
        <w:t>“The claimants were not the addressees of [the BNB]</w:t>
      </w:r>
      <w:r w:rsidRPr="002358A2" w:rsidR="002358A2">
        <w:t>’</w:t>
      </w:r>
      <w:r w:rsidRPr="002358A2">
        <w:t>s decision to withdraw [KTB]</w:t>
      </w:r>
      <w:r w:rsidRPr="002358A2" w:rsidR="002358A2">
        <w:t>’</w:t>
      </w:r>
      <w:r w:rsidRPr="002358A2">
        <w:t xml:space="preserve">s licence. The claim was made in their capacity as individuals. Their declared capacity as </w:t>
      </w:r>
      <w:r w:rsidRPr="002358A2" w:rsidR="002358A2">
        <w:t>‘</w:t>
      </w:r>
      <w:r w:rsidRPr="002358A2">
        <w:t>removed executive directors</w:t>
      </w:r>
      <w:r w:rsidRPr="002358A2" w:rsidR="002358A2">
        <w:t>’</w:t>
      </w:r>
      <w:r w:rsidRPr="002358A2">
        <w:t xml:space="preserve"> does not add a new element to their legal capacity or standing. The claimants do not represent [KTB], [which is] the addressee of [the BNB]</w:t>
      </w:r>
      <w:r w:rsidRPr="002358A2" w:rsidR="002358A2">
        <w:t>’</w:t>
      </w:r>
      <w:r w:rsidRPr="002358A2">
        <w:t>s decision. The management board and the executive board are bodies of the bank ... but they do not have their own legal personality and cannot seek to vindicate any rights different from the rights and interests of the bank which they run ... The procedure ... for withdrawing a banking licence takes place between the ... bank and the BNB, without the participation of any interested [third] parties ... By [a decision] of 20 June 2014 ... supplemented by a decision of 22 June 2014, issued in connection with [KTB]</w:t>
      </w:r>
      <w:r w:rsidRPr="002358A2" w:rsidR="002358A2">
        <w:t>’</w:t>
      </w:r>
      <w:r w:rsidRPr="002358A2">
        <w:t>s stopping payments to clients ... and [two letters] from the bank</w:t>
      </w:r>
      <w:r w:rsidRPr="002358A2" w:rsidR="002358A2">
        <w:t>’</w:t>
      </w:r>
      <w:r w:rsidRPr="002358A2">
        <w:t>s executive directors, [the BNB] ... placed [KTB] under special administration for a period of time; appointed special administrators; suspended the payment of all debts owed by KTB for three months; restricted the activities of the bank, depriving it of the right to carry out all licensed forms of business; removed all members of KTB</w:t>
      </w:r>
      <w:r w:rsidRPr="002358A2" w:rsidR="002358A2">
        <w:t>’</w:t>
      </w:r>
      <w:r w:rsidRPr="002358A2">
        <w:t>s management and supervisory boards from office; and deprived all shareholders in KTB directly or indirectly holding more than [10%] of its shares of the right to vote. It follows that in decisions prior to [the contested one], the activities of [KTB] have already been restricted, and it has been deprived of the right to engage in any form of business. The appointment of special administrators ... removed all powers of the management and supervisory boards, and their exercise was taken over by the special administrators. In any event, the legal consequences were for the bank placed under special administration, not for its management bodies or their members.”</w:t>
      </w:r>
    </w:p>
    <w:p w:rsidRPr="002358A2" w:rsidR="00BF0CAC" w:rsidP="002358A2" w:rsidRDefault="00BF0CAC" w14:paraId="40052DF8" w14:textId="77777777">
      <w:pPr>
        <w:pStyle w:val="JuHA"/>
      </w:pPr>
      <w:bookmarkStart w:name="_Toc107950837" w:id="52"/>
      <w:r w:rsidRPr="002358A2">
        <w:t>Proceedings on appeal</w:t>
      </w:r>
      <w:bookmarkEnd w:id="52"/>
    </w:p>
    <w:bookmarkStart w:name="F_SAC_ex_dir_5MP_appeal" w:id="53"/>
    <w:p w:rsidRPr="002358A2" w:rsidR="00BF0CAC" w:rsidP="002358A2" w:rsidRDefault="00BF0CAC" w14:paraId="21C168C6" w14:textId="00DE368B">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46</w:t>
      </w:r>
      <w:r w:rsidRPr="002358A2">
        <w:fldChar w:fldCharType="end"/>
      </w:r>
      <w:bookmarkEnd w:id="53"/>
      <w:r w:rsidRPr="002358A2">
        <w:t>.  On 13 December 2014 KTB</w:t>
      </w:r>
      <w:r w:rsidRPr="002358A2" w:rsidR="002358A2">
        <w:t>’</w:t>
      </w:r>
      <w:r w:rsidRPr="002358A2">
        <w:t>s former executive directors appealed against the above-mentioned decision to a five-member panel of the Supreme Administrative Court. They argued that since by law persons who had been members of the boards of a bank which had been declared insolvent over the course of the two years preceding that declaration could not hold such positions in another bank, the BNB</w:t>
      </w:r>
      <w:r w:rsidRPr="002358A2" w:rsidR="002358A2">
        <w:t>’</w:t>
      </w:r>
      <w:r w:rsidRPr="002358A2">
        <w:t>s decision to withdraw KTB</w:t>
      </w:r>
      <w:r w:rsidRPr="002358A2" w:rsidR="002358A2">
        <w:t>’</w:t>
      </w:r>
      <w:r w:rsidRPr="002358A2">
        <w:t>s licence had directly affected their employment prospects. The finding in the BNB</w:t>
      </w:r>
      <w:r w:rsidRPr="002358A2" w:rsidR="002358A2">
        <w:t>’</w:t>
      </w:r>
      <w:r w:rsidRPr="002358A2">
        <w:t>s decision that KTB</w:t>
      </w:r>
      <w:r w:rsidRPr="002358A2" w:rsidR="002358A2">
        <w:t>’</w:t>
      </w:r>
      <w:r w:rsidRPr="002358A2">
        <w:t xml:space="preserve">s management had engaged in “vicious banking and business practices” (see paragraph </w:t>
      </w:r>
      <w:r w:rsidRPr="002358A2">
        <w:fldChar w:fldCharType="begin"/>
      </w:r>
      <w:r w:rsidRPr="002358A2">
        <w:instrText xml:space="preserve"> REF F_BNB_revoke_licence \h </w:instrText>
      </w:r>
      <w:r w:rsidRPr="002358A2">
        <w:fldChar w:fldCharType="separate"/>
      </w:r>
      <w:r w:rsidRPr="002358A2" w:rsidR="002358A2">
        <w:rPr>
          <w:noProof/>
        </w:rPr>
        <w:t>20</w:t>
      </w:r>
      <w:r w:rsidRPr="002358A2">
        <w:fldChar w:fldCharType="end"/>
      </w:r>
      <w:r w:rsidRPr="002358A2">
        <w:t xml:space="preserve"> </w:t>
      </w:r>
      <w:r w:rsidRPr="002358A2">
        <w:rPr>
          <w:i/>
          <w:iCs/>
        </w:rPr>
        <w:t>in fine</w:t>
      </w:r>
      <w:r w:rsidRPr="002358A2">
        <w:t xml:space="preserve"> above) had further jeopardised their chances of being approved by the BNB to hold such a position in another bank in the future. In view of the applicable statutory requirements, the BNB</w:t>
      </w:r>
      <w:r w:rsidRPr="002358A2" w:rsidR="002358A2">
        <w:t>’</w:t>
      </w:r>
      <w:r w:rsidRPr="002358A2">
        <w:t>s decision had in addition jeopardised their chances of obtaining such positions in any company, not just in a bank. The BNB</w:t>
      </w:r>
      <w:r w:rsidRPr="002358A2" w:rsidR="002358A2">
        <w:t>’</w:t>
      </w:r>
      <w:r w:rsidRPr="002358A2">
        <w:t>s decision had also affected their right to receive remuneration for holding managerial positions in KTB. It was true that KTB</w:t>
      </w:r>
      <w:r w:rsidRPr="002358A2" w:rsidR="002358A2">
        <w:t>’</w:t>
      </w:r>
      <w:r w:rsidRPr="002358A2">
        <w:t>s earlier placement under special administration had already affected their rights, but the effects of that earlier decision had been temporary, whereas the effects of the decision to withdraw KTB</w:t>
      </w:r>
      <w:r w:rsidRPr="002358A2" w:rsidR="002358A2">
        <w:t>’</w:t>
      </w:r>
      <w:r w:rsidRPr="002358A2">
        <w:t xml:space="preserve">s licence were permanent. Each of them had had rights </w:t>
      </w:r>
      <w:r w:rsidRPr="002358A2">
        <w:rPr>
          <w:i/>
          <w:iCs/>
        </w:rPr>
        <w:t>vis-à-vis</w:t>
      </w:r>
      <w:r w:rsidRPr="002358A2">
        <w:t xml:space="preserve"> KTB, and the withdrawal of its licence had affected those rights. They were thus entitled to challenge that decision.</w:t>
      </w:r>
    </w:p>
    <w:bookmarkStart w:name="F_SAC_ex_dir_5MP_dec" w:id="54"/>
    <w:p w:rsidRPr="002358A2" w:rsidR="00BF0CAC" w:rsidP="002358A2" w:rsidRDefault="00BF0CAC" w14:paraId="13DD3A11" w14:textId="7883DED3">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47</w:t>
      </w:r>
      <w:r w:rsidRPr="002358A2">
        <w:fldChar w:fldCharType="end"/>
      </w:r>
      <w:bookmarkEnd w:id="54"/>
      <w:r w:rsidRPr="002358A2">
        <w:t>.  In a decision of 25 February 2015 (</w:t>
      </w:r>
      <w:r w:rsidRPr="002358A2">
        <w:rPr>
          <w:i/>
          <w:iCs/>
          <w:lang w:val="bg-BG"/>
        </w:rPr>
        <w:t>опр.</w:t>
      </w:r>
      <w:r w:rsidRPr="002358A2">
        <w:rPr>
          <w:i/>
          <w:iCs/>
        </w:rPr>
        <w:t xml:space="preserve"> </w:t>
      </w:r>
      <w:r w:rsidRPr="002358A2">
        <w:rPr>
          <w:i/>
          <w:iCs/>
          <w:lang w:val="bg-BG"/>
        </w:rPr>
        <w:t>№</w:t>
      </w:r>
      <w:r w:rsidRPr="002358A2">
        <w:rPr>
          <w:i/>
          <w:iCs/>
        </w:rPr>
        <w:t xml:space="preserve"> </w:t>
      </w:r>
      <w:r w:rsidRPr="002358A2">
        <w:rPr>
          <w:i/>
          <w:iCs/>
          <w:lang w:val="bg-BG"/>
        </w:rPr>
        <w:t>2038 от</w:t>
      </w:r>
      <w:r w:rsidRPr="002358A2">
        <w:rPr>
          <w:i/>
          <w:iCs/>
        </w:rPr>
        <w:t xml:space="preserve"> </w:t>
      </w:r>
      <w:r w:rsidRPr="002358A2">
        <w:rPr>
          <w:i/>
          <w:iCs/>
          <w:lang w:val="bg-BG"/>
        </w:rPr>
        <w:t>25.02.2015</w:t>
      </w:r>
      <w:r w:rsidRPr="002358A2">
        <w:rPr>
          <w:i/>
          <w:iCs/>
        </w:rPr>
        <w:t xml:space="preserve"> </w:t>
      </w:r>
      <w:r w:rsidRPr="002358A2">
        <w:rPr>
          <w:i/>
          <w:iCs/>
          <w:lang w:val="bg-BG"/>
        </w:rPr>
        <w:t>г. по адм. д. № 1813/2015 г., ВАС, петчл. с-в</w:t>
      </w:r>
      <w:r w:rsidRPr="002358A2">
        <w:t>), the five-member panel upheld the three-member panel</w:t>
      </w:r>
      <w:r w:rsidRPr="002358A2" w:rsidR="002358A2">
        <w:t>’</w:t>
      </w:r>
      <w:r w:rsidRPr="002358A2">
        <w:t>s decision, stating as follows:</w:t>
      </w:r>
    </w:p>
    <w:p w:rsidRPr="002358A2" w:rsidR="00BF0CAC" w:rsidP="002358A2" w:rsidRDefault="00BF0CAC" w14:paraId="29095241" w14:textId="307FBA96">
      <w:pPr>
        <w:pStyle w:val="JuQuot"/>
      </w:pPr>
      <w:r w:rsidRPr="002358A2">
        <w:t>“It is not disputed that when the claimants lodged their claim with the [three-member panel], they had been stripped of their powers as executive directors of [KTB] and had no rights of representation. In view of the [the BNB]</w:t>
      </w:r>
      <w:r w:rsidRPr="002358A2" w:rsidR="002358A2">
        <w:t>’</w:t>
      </w:r>
      <w:r w:rsidRPr="002358A2">
        <w:t>s decision [to place KTB under special administration] ... and the appointment of special administrators, the powers of the bank</w:t>
      </w:r>
      <w:r w:rsidRPr="002358A2" w:rsidR="002358A2">
        <w:t>’</w:t>
      </w:r>
      <w:r w:rsidRPr="002358A2">
        <w:t>s management bodies, and in particular its management board, were terminated. The fact that those powers had been terminated by the time of [the BNB</w:t>
      </w:r>
      <w:r w:rsidRPr="002358A2" w:rsidR="002358A2">
        <w:t>’</w:t>
      </w:r>
      <w:r w:rsidRPr="002358A2">
        <w:t xml:space="preserve">s] contested decision means ... that [the claimants] cannot be seen to have been affected by the rights and obligations arising from that decision, as they were not its addressees. The sole addressee of [that] decision was [KTB] as a legal person ... but not the appellants in their capacity as </w:t>
      </w:r>
      <w:r w:rsidRPr="002358A2" w:rsidR="002358A2">
        <w:t>‘</w:t>
      </w:r>
      <w:r w:rsidRPr="002358A2">
        <w:t>removed executive directors</w:t>
      </w:r>
      <w:r w:rsidRPr="002358A2" w:rsidR="002358A2">
        <w:t>’</w:t>
      </w:r>
      <w:r w:rsidRPr="002358A2">
        <w:t>. They have no standing distinct from that bank to challenge [the BNB</w:t>
      </w:r>
      <w:r w:rsidRPr="002358A2" w:rsidR="002358A2">
        <w:t>’</w:t>
      </w:r>
      <w:r w:rsidRPr="002358A2">
        <w:t>s] decision [to withdraw the licence] in their capacity as individuals, as correctly held by the three-member panel. Since [the BNB</w:t>
      </w:r>
      <w:r w:rsidRPr="002358A2" w:rsidR="002358A2">
        <w:t>’</w:t>
      </w:r>
      <w:r w:rsidRPr="002358A2">
        <w:t>s] decision did not have a direct and immediate effect on their legal position, they have no legal interest in contesting it. In the absence of a legal interest, their claim [for judicial review] was correctly left without examination ...</w:t>
      </w:r>
    </w:p>
    <w:p w:rsidRPr="002358A2" w:rsidR="00BF0CAC" w:rsidP="002358A2" w:rsidRDefault="00BF0CAC" w14:paraId="65A5444E" w14:textId="77777777">
      <w:pPr>
        <w:pStyle w:val="JuQuot"/>
      </w:pPr>
      <w:r w:rsidRPr="002358A2">
        <w:t>In this connection, the arguments in the appeal that such a legal interest stems from possible negative consequences for [the claimants] at a personal level are ill-founded. The potential negative [consequences] to which [they] refer do not make them interested parties entitled to seek judicial review ... which is why [those consequences] are irrelevant to whether a legal interest exists.”</w:t>
      </w:r>
    </w:p>
    <w:p w:rsidRPr="002358A2" w:rsidR="00BF0CAC" w:rsidP="002358A2" w:rsidRDefault="00BF0CAC" w14:paraId="103A4320" w14:textId="5A24F204">
      <w:pPr>
        <w:pStyle w:val="JuHIRoman"/>
      </w:pPr>
      <w:bookmarkStart w:name="_Toc107950838" w:id="55"/>
      <w:r w:rsidRPr="002358A2">
        <w:rPr>
          <w:caps w:val="0"/>
        </w:rPr>
        <w:t>ATTEMPT BY MR VASILEV TO SEEK JUDICIAL REVIEW OF THE WITHDRAWAL OF KTB</w:t>
      </w:r>
      <w:r w:rsidRPr="002358A2" w:rsidR="002358A2">
        <w:rPr>
          <w:caps w:val="0"/>
        </w:rPr>
        <w:t>’</w:t>
      </w:r>
      <w:r w:rsidRPr="002358A2">
        <w:rPr>
          <w:caps w:val="0"/>
        </w:rPr>
        <w:t>S LICENCE</w:t>
      </w:r>
      <w:bookmarkEnd w:id="55"/>
    </w:p>
    <w:bookmarkStart w:name="F_SAC_Vasilev_claim" w:id="56"/>
    <w:p w:rsidRPr="002358A2" w:rsidR="00BF0CAC" w:rsidP="002358A2" w:rsidRDefault="00BF0CAC" w14:paraId="262DCD7C" w14:textId="34C86FE0">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48</w:t>
      </w:r>
      <w:r w:rsidRPr="002358A2">
        <w:fldChar w:fldCharType="end"/>
      </w:r>
      <w:bookmarkEnd w:id="56"/>
      <w:r w:rsidRPr="002358A2">
        <w:t xml:space="preserve">.  On 17 December 2014 Mr Vasilev (see paragraphs </w:t>
      </w:r>
      <w:r w:rsidRPr="002358A2">
        <w:fldChar w:fldCharType="begin"/>
      </w:r>
      <w:r w:rsidRPr="002358A2">
        <w:instrText xml:space="preserve"> REF F_KTB_shareholders \h </w:instrText>
      </w:r>
      <w:r w:rsidRPr="002358A2">
        <w:fldChar w:fldCharType="separate"/>
      </w:r>
      <w:r w:rsidRPr="002358A2" w:rsidR="002358A2">
        <w:rPr>
          <w:noProof/>
        </w:rPr>
        <w:t>8</w:t>
      </w:r>
      <w:r w:rsidRPr="002358A2">
        <w:fldChar w:fldCharType="end"/>
      </w:r>
      <w:r w:rsidRPr="002358A2">
        <w:t xml:space="preserve"> and </w:t>
      </w:r>
      <w:r w:rsidRPr="002358A2">
        <w:fldChar w:fldCharType="begin"/>
      </w:r>
      <w:r w:rsidRPr="002358A2">
        <w:instrText xml:space="preserve"> REF F_KTB_management \h </w:instrText>
      </w:r>
      <w:r w:rsidRPr="002358A2">
        <w:fldChar w:fldCharType="separate"/>
      </w:r>
      <w:r w:rsidRPr="002358A2" w:rsidR="002358A2">
        <w:rPr>
          <w:noProof/>
        </w:rPr>
        <w:t>9</w:t>
      </w:r>
      <w:r w:rsidRPr="002358A2">
        <w:fldChar w:fldCharType="end"/>
      </w:r>
      <w:r w:rsidRPr="002358A2">
        <w:t xml:space="preserve"> above) likewise sought judicial review of the BNB</w:t>
      </w:r>
      <w:r w:rsidRPr="002358A2" w:rsidR="002358A2">
        <w:t>’</w:t>
      </w:r>
      <w:r w:rsidRPr="002358A2">
        <w:t>s decision to withdraw KTB</w:t>
      </w:r>
      <w:r w:rsidRPr="002358A2" w:rsidR="002358A2">
        <w:t>’</w:t>
      </w:r>
      <w:r w:rsidRPr="002358A2">
        <w:t>s licence. A three-member panel of the Supreme Administrative Court found that his claim had been made out of time (see</w:t>
      </w:r>
      <w:r w:rsidRPr="002358A2">
        <w:rPr>
          <w:lang w:val="bg-BG"/>
        </w:rPr>
        <w:t xml:space="preserve"> </w:t>
      </w:r>
      <w:r w:rsidRPr="002358A2">
        <w:rPr>
          <w:i/>
          <w:iCs/>
          <w:lang w:val="bg-BG"/>
        </w:rPr>
        <w:t>опр. № 2116 от 25.02.2015</w:t>
      </w:r>
      <w:r w:rsidRPr="002358A2">
        <w:rPr>
          <w:i/>
          <w:iCs/>
        </w:rPr>
        <w:t> </w:t>
      </w:r>
      <w:r w:rsidRPr="002358A2">
        <w:rPr>
          <w:i/>
          <w:iCs/>
          <w:lang w:val="bg-BG"/>
        </w:rPr>
        <w:t xml:space="preserve">г. по адм. д. № 1527/2015 г., ВАС, </w:t>
      </w:r>
      <w:r w:rsidRPr="002358A2">
        <w:rPr>
          <w:i/>
          <w:iCs/>
        </w:rPr>
        <w:t>VII</w:t>
      </w:r>
      <w:r w:rsidRPr="002358A2">
        <w:rPr>
          <w:i/>
          <w:iCs/>
          <w:lang w:val="bg-BG"/>
        </w:rPr>
        <w:t xml:space="preserve"> о.</w:t>
      </w:r>
      <w:r w:rsidRPr="002358A2">
        <w:rPr>
          <w:lang w:val="bg-BG"/>
        </w:rPr>
        <w:t xml:space="preserve">). </w:t>
      </w:r>
      <w:r w:rsidRPr="002358A2">
        <w:t>Mr</w:t>
      </w:r>
      <w:r w:rsidRPr="002358A2">
        <w:rPr>
          <w:lang w:val="bg-BG"/>
        </w:rPr>
        <w:t xml:space="preserve"> </w:t>
      </w:r>
      <w:r w:rsidRPr="002358A2">
        <w:t>Vasilev</w:t>
      </w:r>
      <w:r w:rsidRPr="002358A2">
        <w:rPr>
          <w:lang w:val="bg-BG"/>
        </w:rPr>
        <w:t xml:space="preserve"> </w:t>
      </w:r>
      <w:r w:rsidRPr="002358A2">
        <w:t>appealed</w:t>
      </w:r>
      <w:r w:rsidRPr="002358A2">
        <w:rPr>
          <w:lang w:val="bg-BG"/>
        </w:rPr>
        <w:t xml:space="preserve">. </w:t>
      </w:r>
      <w:r w:rsidRPr="002358A2">
        <w:t xml:space="preserve">On 14 April 2015 (see </w:t>
      </w:r>
      <w:r w:rsidRPr="002358A2">
        <w:rPr>
          <w:i/>
          <w:iCs/>
          <w:lang w:val="bg-BG"/>
        </w:rPr>
        <w:t>опр. № 4124 от</w:t>
      </w:r>
      <w:r w:rsidRPr="002358A2">
        <w:rPr>
          <w:i/>
          <w:iCs/>
        </w:rPr>
        <w:t xml:space="preserve"> </w:t>
      </w:r>
      <w:r w:rsidRPr="002358A2">
        <w:rPr>
          <w:i/>
          <w:iCs/>
          <w:lang w:val="bg-BG"/>
        </w:rPr>
        <w:t>14.04.2015 г. по адм. д.</w:t>
      </w:r>
      <w:r w:rsidRPr="002358A2">
        <w:rPr>
          <w:i/>
          <w:iCs/>
        </w:rPr>
        <w:t xml:space="preserve"> </w:t>
      </w:r>
      <w:r w:rsidRPr="002358A2">
        <w:rPr>
          <w:i/>
          <w:iCs/>
          <w:lang w:val="bg-BG"/>
        </w:rPr>
        <w:t>№</w:t>
      </w:r>
      <w:r w:rsidRPr="002358A2">
        <w:rPr>
          <w:i/>
          <w:iCs/>
        </w:rPr>
        <w:t xml:space="preserve"> </w:t>
      </w:r>
      <w:r w:rsidRPr="002358A2">
        <w:rPr>
          <w:i/>
          <w:iCs/>
          <w:lang w:val="bg-BG"/>
        </w:rPr>
        <w:t>3732/2015 г., ВАС, петчл.</w:t>
      </w:r>
      <w:r w:rsidRPr="002358A2">
        <w:rPr>
          <w:i/>
          <w:iCs/>
        </w:rPr>
        <w:t> </w:t>
      </w:r>
      <w:r w:rsidRPr="002358A2">
        <w:rPr>
          <w:i/>
          <w:iCs/>
          <w:lang w:val="bg-BG"/>
        </w:rPr>
        <w:t>с-в</w:t>
      </w:r>
      <w:r w:rsidRPr="002358A2">
        <w:t>) a five-member panel of the Supreme Administrative Court upheld that ruling, adding that Mr Vasilev had no standing to seek judicial review of the BNB</w:t>
      </w:r>
      <w:r w:rsidRPr="002358A2" w:rsidR="002358A2">
        <w:t>’</w:t>
      </w:r>
      <w:r w:rsidRPr="002358A2">
        <w:t>s decision as he had not been directly affected by it. The panel noted, in particular, that, as was apparent from the wording of the power of attorney given to his lawyer, Mr Vasilev had brought the claim in his personal capacity. The panel added that neither the claim for judicial review nor the appeal against the three-member panel</w:t>
      </w:r>
      <w:r w:rsidRPr="002358A2" w:rsidR="002358A2">
        <w:t>’</w:t>
      </w:r>
      <w:r w:rsidRPr="002358A2">
        <w:t>s decision contained arguments that Mr Vasilev was acting in a capacity other than his own.</w:t>
      </w:r>
    </w:p>
    <w:p w:rsidRPr="002358A2" w:rsidR="00BF0CAC" w:rsidP="002358A2" w:rsidRDefault="00BF0CAC" w14:paraId="4630E3FD" w14:textId="77777777">
      <w:pPr>
        <w:pStyle w:val="JuHIRoman"/>
      </w:pPr>
      <w:bookmarkStart w:name="_Toc107950839" w:id="57"/>
      <w:r w:rsidRPr="002358A2">
        <w:rPr>
          <w:caps w:val="0"/>
        </w:rPr>
        <w:t>ATTEMPTS BY DEPOSITORS, CLIENTS AND BONDHOLDERS OF KTB TO SEEK JUDICIAL REVIEW OF THE WITHDRAWAL OF ITS LICENCE</w:t>
      </w:r>
      <w:bookmarkEnd w:id="57"/>
    </w:p>
    <w:bookmarkStart w:name="F_SAC_depositors_etc" w:id="58"/>
    <w:p w:rsidRPr="002358A2" w:rsidR="00BF0CAC" w:rsidP="002358A2" w:rsidRDefault="00BF0CAC" w14:paraId="5CA747DC" w14:textId="1AF99A66">
      <w:pPr>
        <w:pStyle w:val="JuPara"/>
        <w:rPr>
          <w:lang w:val="ru-RU"/>
        </w:rPr>
      </w:pPr>
      <w:r w:rsidRPr="002358A2">
        <w:fldChar w:fldCharType="begin"/>
      </w:r>
      <w:r w:rsidRPr="002358A2">
        <w:instrText xml:space="preserve"> SEQ level0 \*arabic </w:instrText>
      </w:r>
      <w:r w:rsidRPr="002358A2">
        <w:fldChar w:fldCharType="separate"/>
      </w:r>
      <w:r w:rsidRPr="002358A2" w:rsidR="002358A2">
        <w:rPr>
          <w:noProof/>
        </w:rPr>
        <w:t>49</w:t>
      </w:r>
      <w:r w:rsidRPr="002358A2">
        <w:fldChar w:fldCharType="end"/>
      </w:r>
      <w:bookmarkEnd w:id="58"/>
      <w:r w:rsidRPr="002358A2">
        <w:t>.  Many depositors and other clients of KTB likewise sought judicial review of the BNB</w:t>
      </w:r>
      <w:r w:rsidRPr="002358A2" w:rsidR="002358A2">
        <w:t>’</w:t>
      </w:r>
      <w:r w:rsidRPr="002358A2">
        <w:t>s decision to withdraw its licence. In a series of decisions given between December 2014 and March 2015, three-member panels of the Supreme Administrative Court held none of them had standing to do so as the BNB</w:t>
      </w:r>
      <w:r w:rsidRPr="002358A2" w:rsidR="002358A2">
        <w:t>’</w:t>
      </w:r>
      <w:r w:rsidRPr="002358A2">
        <w:t xml:space="preserve">s decision had not affected them directly (see, among many other authorities, </w:t>
      </w:r>
      <w:r w:rsidRPr="002358A2">
        <w:rPr>
          <w:i/>
          <w:iCs/>
          <w:lang w:val="bg-BG"/>
        </w:rPr>
        <w:t>опр.</w:t>
      </w:r>
      <w:r w:rsidRPr="002358A2">
        <w:rPr>
          <w:i/>
          <w:iCs/>
        </w:rPr>
        <w:t xml:space="preserve"> </w:t>
      </w:r>
      <w:r w:rsidRPr="002358A2">
        <w:rPr>
          <w:i/>
          <w:iCs/>
          <w:lang w:val="bg-BG"/>
        </w:rPr>
        <w:t>№ 14618 от 04.12.2014 г. по адм.</w:t>
      </w:r>
      <w:r w:rsidRPr="002358A2">
        <w:rPr>
          <w:i/>
          <w:iCs/>
          <w:lang w:val="ru-RU"/>
        </w:rPr>
        <w:t xml:space="preserve"> </w:t>
      </w:r>
      <w:r w:rsidRPr="002358A2">
        <w:rPr>
          <w:i/>
          <w:iCs/>
          <w:lang w:val="bg-BG"/>
        </w:rPr>
        <w:t>д.</w:t>
      </w:r>
      <w:r w:rsidRPr="002358A2">
        <w:rPr>
          <w:i/>
          <w:iCs/>
          <w:lang w:val="ru-RU"/>
        </w:rPr>
        <w:t xml:space="preserve"> </w:t>
      </w:r>
      <w:r w:rsidRPr="002358A2">
        <w:rPr>
          <w:i/>
          <w:iCs/>
          <w:lang w:val="bg-BG"/>
        </w:rPr>
        <w:t>№</w:t>
      </w:r>
      <w:r w:rsidRPr="002358A2">
        <w:rPr>
          <w:i/>
          <w:iCs/>
          <w:lang w:val="ru-RU"/>
        </w:rPr>
        <w:t xml:space="preserve"> </w:t>
      </w:r>
      <w:r w:rsidRPr="002358A2">
        <w:rPr>
          <w:i/>
          <w:iCs/>
          <w:lang w:val="bg-BG"/>
        </w:rPr>
        <w:t>14792/2014 г., ВАС, VII о.</w:t>
      </w:r>
      <w:r w:rsidRPr="002358A2">
        <w:rPr>
          <w:lang w:val="bg-BG"/>
        </w:rPr>
        <w:t>;</w:t>
      </w:r>
      <w:r w:rsidRPr="002358A2">
        <w:rPr>
          <w:lang w:val="ru-RU"/>
        </w:rPr>
        <w:t xml:space="preserve"> </w:t>
      </w:r>
      <w:r w:rsidRPr="002358A2">
        <w:rPr>
          <w:i/>
          <w:iCs/>
          <w:lang w:val="bg-BG"/>
        </w:rPr>
        <w:t>опр. № 14765 от 09.12.2014 г. по адм. д. № 14794/2014 г., ВАС, VII о.</w:t>
      </w:r>
      <w:r w:rsidRPr="002358A2">
        <w:rPr>
          <w:lang w:val="bg-BG"/>
        </w:rPr>
        <w:t>;</w:t>
      </w:r>
      <w:r w:rsidRPr="002358A2">
        <w:rPr>
          <w:lang w:val="ru-RU"/>
        </w:rPr>
        <w:t xml:space="preserve"> </w:t>
      </w:r>
      <w:r w:rsidRPr="002358A2">
        <w:rPr>
          <w:i/>
          <w:iCs/>
          <w:lang w:val="bg-BG"/>
        </w:rPr>
        <w:t>опр. № 14825 от 10.12.2014 г. по адм. д. № 14788/2014 г., ВАС, VII о.</w:t>
      </w:r>
      <w:r w:rsidRPr="002358A2">
        <w:rPr>
          <w:lang w:val="bg-BG"/>
        </w:rPr>
        <w:t>;</w:t>
      </w:r>
      <w:r w:rsidRPr="002358A2">
        <w:rPr>
          <w:lang w:val="ru-RU"/>
        </w:rPr>
        <w:t xml:space="preserve"> </w:t>
      </w:r>
      <w:r w:rsidRPr="002358A2">
        <w:rPr>
          <w:i/>
          <w:iCs/>
          <w:lang w:val="bg-BG"/>
        </w:rPr>
        <w:t>опр. № 14834 от 10.12.2014 г. по адм. д. № 14799/2014 г., ВАС, VII о.</w:t>
      </w:r>
      <w:r w:rsidRPr="002358A2">
        <w:rPr>
          <w:lang w:val="bg-BG"/>
        </w:rPr>
        <w:t>;</w:t>
      </w:r>
      <w:r w:rsidRPr="002358A2">
        <w:rPr>
          <w:lang w:val="ru-RU"/>
        </w:rPr>
        <w:t xml:space="preserve"> </w:t>
      </w:r>
      <w:r w:rsidRPr="002358A2">
        <w:rPr>
          <w:i/>
          <w:iCs/>
          <w:lang w:val="bg-BG"/>
        </w:rPr>
        <w:t>опр. № 14853 от 10.12.2014 г. по адм. д. № 14805/2014 г., ВАС, VII о.</w:t>
      </w:r>
      <w:r w:rsidRPr="002358A2">
        <w:rPr>
          <w:lang w:val="bg-BG"/>
        </w:rPr>
        <w:t>;</w:t>
      </w:r>
      <w:r w:rsidRPr="002358A2">
        <w:rPr>
          <w:lang w:val="ru-RU"/>
        </w:rPr>
        <w:t xml:space="preserve"> </w:t>
      </w:r>
      <w:r w:rsidRPr="002358A2">
        <w:rPr>
          <w:i/>
          <w:iCs/>
          <w:lang w:val="bg-BG"/>
        </w:rPr>
        <w:t>опр. № 14859 от 10.12.2014 г. по адм. д. № 14866/2014 г., ВАС, VII о.</w:t>
      </w:r>
      <w:r w:rsidRPr="002358A2">
        <w:rPr>
          <w:lang w:val="bg-BG"/>
        </w:rPr>
        <w:t xml:space="preserve">; </w:t>
      </w:r>
      <w:r w:rsidRPr="002358A2">
        <w:rPr>
          <w:i/>
          <w:iCs/>
          <w:lang w:val="bg-BG"/>
        </w:rPr>
        <w:t>опр. № 14877 от 10.12.2014 г. по адм. д. № 14793/2014 г., ВАС, VII о.</w:t>
      </w:r>
      <w:r w:rsidRPr="002358A2">
        <w:rPr>
          <w:lang w:val="bg-BG"/>
        </w:rPr>
        <w:t xml:space="preserve">; </w:t>
      </w:r>
      <w:r w:rsidRPr="002358A2">
        <w:rPr>
          <w:i/>
          <w:iCs/>
          <w:lang w:val="bg-BG"/>
        </w:rPr>
        <w:t>опр. № 1336 от 05.02.2015 г. по адм.</w:t>
      </w:r>
      <w:r w:rsidRPr="002358A2">
        <w:rPr>
          <w:i/>
          <w:iCs/>
          <w:lang w:val="ru-RU"/>
        </w:rPr>
        <w:t xml:space="preserve"> </w:t>
      </w:r>
      <w:r w:rsidRPr="002358A2">
        <w:rPr>
          <w:i/>
          <w:iCs/>
          <w:lang w:val="bg-BG"/>
        </w:rPr>
        <w:t>д. №</w:t>
      </w:r>
      <w:r w:rsidRPr="002358A2">
        <w:rPr>
          <w:i/>
          <w:iCs/>
          <w:lang w:val="ru-RU"/>
        </w:rPr>
        <w:t xml:space="preserve"> </w:t>
      </w:r>
      <w:r w:rsidRPr="002358A2">
        <w:rPr>
          <w:i/>
          <w:iCs/>
          <w:lang w:val="bg-BG"/>
        </w:rPr>
        <w:t>14790/2014 г., ВАС, VII о.</w:t>
      </w:r>
      <w:r w:rsidRPr="002358A2">
        <w:rPr>
          <w:lang w:val="bg-BG"/>
        </w:rPr>
        <w:t>;</w:t>
      </w:r>
      <w:r w:rsidRPr="002358A2">
        <w:rPr>
          <w:lang w:val="ru-RU"/>
        </w:rPr>
        <w:t xml:space="preserve"> </w:t>
      </w:r>
      <w:r w:rsidRPr="002358A2">
        <w:t>and</w:t>
      </w:r>
      <w:r w:rsidRPr="002358A2">
        <w:rPr>
          <w:lang w:val="ru-RU"/>
        </w:rPr>
        <w:t xml:space="preserve"> </w:t>
      </w:r>
      <w:r w:rsidRPr="002358A2">
        <w:rPr>
          <w:i/>
          <w:iCs/>
          <w:lang w:val="bg-BG"/>
        </w:rPr>
        <w:t>опр. № 2467 от 09.03.2015 г. по адм.</w:t>
      </w:r>
      <w:r w:rsidRPr="002358A2">
        <w:rPr>
          <w:i/>
          <w:iCs/>
        </w:rPr>
        <w:t xml:space="preserve"> </w:t>
      </w:r>
      <w:r w:rsidRPr="002358A2">
        <w:rPr>
          <w:i/>
          <w:iCs/>
          <w:lang w:val="bg-BG"/>
        </w:rPr>
        <w:t>д. № 928/2015 г., ВАС, VII о.</w:t>
      </w:r>
      <w:r w:rsidRPr="002358A2">
        <w:t xml:space="preserve">). Some of those rulings were appealed against, and in all cases five-member panels of the same court upheld them (see </w:t>
      </w:r>
      <w:r w:rsidRPr="002358A2">
        <w:rPr>
          <w:i/>
          <w:iCs/>
          <w:lang w:val="bg-BG"/>
        </w:rPr>
        <w:t>опр. № 1378 от</w:t>
      </w:r>
      <w:r w:rsidRPr="002358A2">
        <w:rPr>
          <w:i/>
          <w:iCs/>
        </w:rPr>
        <w:t> </w:t>
      </w:r>
      <w:r w:rsidRPr="002358A2">
        <w:rPr>
          <w:i/>
          <w:iCs/>
          <w:lang w:val="bg-BG"/>
        </w:rPr>
        <w:t>09.02.2015 г. по адм.</w:t>
      </w:r>
      <w:r w:rsidRPr="002358A2">
        <w:rPr>
          <w:i/>
          <w:iCs/>
          <w:lang w:val="ru-RU"/>
        </w:rPr>
        <w:t xml:space="preserve"> </w:t>
      </w:r>
      <w:r w:rsidRPr="002358A2">
        <w:rPr>
          <w:i/>
          <w:iCs/>
          <w:lang w:val="bg-BG"/>
        </w:rPr>
        <w:t>д.</w:t>
      </w:r>
      <w:r w:rsidRPr="002358A2">
        <w:rPr>
          <w:i/>
          <w:iCs/>
          <w:lang w:val="ru-RU"/>
        </w:rPr>
        <w:t xml:space="preserve"> </w:t>
      </w:r>
      <w:r w:rsidRPr="002358A2">
        <w:rPr>
          <w:i/>
          <w:iCs/>
          <w:lang w:val="bg-BG"/>
        </w:rPr>
        <w:t>№ 863/2015 г., ВАС, петчл. с-в</w:t>
      </w:r>
      <w:r w:rsidRPr="002358A2">
        <w:rPr>
          <w:lang w:val="bg-BG"/>
        </w:rPr>
        <w:t xml:space="preserve">; </w:t>
      </w:r>
      <w:r w:rsidRPr="002358A2">
        <w:rPr>
          <w:i/>
          <w:iCs/>
          <w:lang w:val="bg-BG"/>
        </w:rPr>
        <w:t>опр. № 1621 от 16.02.2015 г. по адм. д. № 1220/2015 г., ВАС, петчл. с-в</w:t>
      </w:r>
      <w:r w:rsidRPr="002358A2">
        <w:rPr>
          <w:lang w:val="bg-BG"/>
        </w:rPr>
        <w:t xml:space="preserve">; </w:t>
      </w:r>
      <w:r w:rsidRPr="002358A2">
        <w:rPr>
          <w:i/>
          <w:iCs/>
          <w:lang w:val="bg-BG"/>
        </w:rPr>
        <w:t>опр. № 2067 от 25.02.2015 г. по адм. д. № 1217/2015 г., ВАС, петчл. с-в</w:t>
      </w:r>
      <w:r w:rsidRPr="002358A2">
        <w:rPr>
          <w:lang w:val="bg-BG"/>
        </w:rPr>
        <w:t xml:space="preserve">; </w:t>
      </w:r>
      <w:r w:rsidRPr="002358A2">
        <w:rPr>
          <w:i/>
          <w:iCs/>
          <w:lang w:val="bg-BG"/>
        </w:rPr>
        <w:t>опр. № 2101 от 25.02.2015 г. по адм. д. № 1216/2015 г., ВАС, петчл. с-в</w:t>
      </w:r>
      <w:r w:rsidRPr="002358A2">
        <w:rPr>
          <w:lang w:val="bg-BG"/>
        </w:rPr>
        <w:t xml:space="preserve">; </w:t>
      </w:r>
      <w:r w:rsidRPr="002358A2">
        <w:rPr>
          <w:i/>
          <w:iCs/>
          <w:lang w:val="bg-BG"/>
        </w:rPr>
        <w:t>опр. № 2229 от 27.02.2015 г. по адм. д. № 1219/2015 г., ВАС, петчл. с-в</w:t>
      </w:r>
      <w:r w:rsidRPr="002358A2">
        <w:rPr>
          <w:lang w:val="bg-BG"/>
        </w:rPr>
        <w:t xml:space="preserve">; </w:t>
      </w:r>
      <w:r w:rsidRPr="002358A2">
        <w:rPr>
          <w:i/>
          <w:iCs/>
          <w:lang w:val="bg-BG"/>
        </w:rPr>
        <w:t>опр. № 2832 от 16.03.2015 г. по адм. д. № 2492/2015 г., ВАС, петчл. с-в</w:t>
      </w:r>
      <w:r w:rsidRPr="002358A2">
        <w:rPr>
          <w:lang w:val="bg-BG"/>
        </w:rPr>
        <w:t xml:space="preserve">; </w:t>
      </w:r>
      <w:r w:rsidRPr="002358A2">
        <w:rPr>
          <w:i/>
          <w:iCs/>
          <w:lang w:val="bg-BG"/>
        </w:rPr>
        <w:t>опр. № 2937 от 18.03.2015 г. по адм. д. № 2494/2015 г., ВАС, петчл. с-в</w:t>
      </w:r>
      <w:r w:rsidRPr="002358A2">
        <w:rPr>
          <w:lang w:val="bg-BG"/>
        </w:rPr>
        <w:t xml:space="preserve">; </w:t>
      </w:r>
      <w:r w:rsidRPr="002358A2">
        <w:rPr>
          <w:i/>
          <w:iCs/>
          <w:lang w:val="bg-BG"/>
        </w:rPr>
        <w:t>опр. № 3082 от 19.03.2015 г. по адм. д. № 1312/2015 г., ВАС, петчл. с-в</w:t>
      </w:r>
      <w:r w:rsidRPr="002358A2">
        <w:rPr>
          <w:lang w:val="bg-BG"/>
        </w:rPr>
        <w:t xml:space="preserve">; </w:t>
      </w:r>
      <w:r w:rsidRPr="002358A2">
        <w:rPr>
          <w:i/>
          <w:iCs/>
          <w:lang w:val="bg-BG"/>
        </w:rPr>
        <w:t>опр. № 3347 от 25.03.2015 г. по адм. д. № 2274/2015 г., ВАС, петчл. с-в</w:t>
      </w:r>
      <w:r w:rsidRPr="002358A2">
        <w:rPr>
          <w:lang w:val="bg-BG"/>
        </w:rPr>
        <w:t xml:space="preserve">; </w:t>
      </w:r>
      <w:r w:rsidRPr="002358A2">
        <w:rPr>
          <w:i/>
          <w:iCs/>
          <w:lang w:val="bg-BG"/>
        </w:rPr>
        <w:t>опр. № 3676 от 01.04.2015 г. по адм. д. № 1812/2015 г., ВАС, петчл. с-в</w:t>
      </w:r>
      <w:r w:rsidRPr="002358A2">
        <w:rPr>
          <w:lang w:val="bg-BG"/>
        </w:rPr>
        <w:t xml:space="preserve">; </w:t>
      </w:r>
      <w:r w:rsidRPr="002358A2">
        <w:t>and</w:t>
      </w:r>
      <w:r w:rsidRPr="002358A2" w:rsidR="00E91771">
        <w:rPr>
          <w:lang w:val="ru-RU"/>
        </w:rPr>
        <w:t xml:space="preserve"> </w:t>
      </w:r>
      <w:r w:rsidRPr="002358A2">
        <w:rPr>
          <w:i/>
          <w:iCs/>
          <w:lang w:val="bg-BG"/>
        </w:rPr>
        <w:t>опр.</w:t>
      </w:r>
      <w:r w:rsidRPr="002358A2">
        <w:rPr>
          <w:i/>
          <w:iCs/>
        </w:rPr>
        <w:t> </w:t>
      </w:r>
      <w:r w:rsidRPr="002358A2">
        <w:rPr>
          <w:i/>
          <w:iCs/>
          <w:lang w:val="bg-BG"/>
        </w:rPr>
        <w:t>№</w:t>
      </w:r>
      <w:r w:rsidRPr="002358A2">
        <w:rPr>
          <w:i/>
          <w:iCs/>
        </w:rPr>
        <w:t> </w:t>
      </w:r>
      <w:r w:rsidRPr="002358A2">
        <w:rPr>
          <w:i/>
          <w:iCs/>
          <w:lang w:val="bg-BG"/>
        </w:rPr>
        <w:t>4053 от 09.04.2015</w:t>
      </w:r>
      <w:r w:rsidRPr="002358A2">
        <w:rPr>
          <w:i/>
          <w:iCs/>
          <w:lang w:val="ru-RU"/>
        </w:rPr>
        <w:t xml:space="preserve"> </w:t>
      </w:r>
      <w:r w:rsidRPr="002358A2">
        <w:rPr>
          <w:i/>
          <w:iCs/>
          <w:lang w:val="bg-BG"/>
        </w:rPr>
        <w:t>г. по адм. д. № 3395/2015 г., ВАС, петчл.</w:t>
      </w:r>
      <w:r w:rsidRPr="002358A2">
        <w:rPr>
          <w:i/>
          <w:iCs/>
        </w:rPr>
        <w:t> </w:t>
      </w:r>
      <w:r w:rsidRPr="002358A2">
        <w:rPr>
          <w:i/>
          <w:iCs/>
          <w:lang w:val="bg-BG"/>
        </w:rPr>
        <w:t>с-в</w:t>
      </w:r>
      <w:r w:rsidRPr="002358A2">
        <w:rPr>
          <w:lang w:val="ru-RU"/>
        </w:rPr>
        <w:t>).</w:t>
      </w:r>
    </w:p>
    <w:bookmarkStart w:name="F_SAC_bondholders" w:id="59"/>
    <w:p w:rsidRPr="002358A2" w:rsidR="00BF0CAC" w:rsidP="002358A2" w:rsidRDefault="00BF0CAC" w14:paraId="187CB2CB" w14:textId="3B655E03">
      <w:pPr>
        <w:pStyle w:val="JuPara"/>
        <w:rPr>
          <w:lang w:val="ru-RU"/>
        </w:rPr>
      </w:pPr>
      <w:r w:rsidRPr="002358A2">
        <w:fldChar w:fldCharType="begin"/>
      </w:r>
      <w:r w:rsidRPr="002358A2">
        <w:instrText xml:space="preserve"> SEQ level0 \*arabic </w:instrText>
      </w:r>
      <w:r w:rsidRPr="002358A2">
        <w:fldChar w:fldCharType="separate"/>
      </w:r>
      <w:r w:rsidRPr="002358A2" w:rsidR="002358A2">
        <w:rPr>
          <w:noProof/>
        </w:rPr>
        <w:t>50</w:t>
      </w:r>
      <w:r w:rsidRPr="002358A2">
        <w:fldChar w:fldCharType="end"/>
      </w:r>
      <w:bookmarkEnd w:id="59"/>
      <w:r w:rsidRPr="002358A2">
        <w:t xml:space="preserve">.  The Supreme Administrative Court reiterated the same position with respect to the holders of bonds issued by KTB (see </w:t>
      </w:r>
      <w:r w:rsidRPr="002358A2">
        <w:rPr>
          <w:i/>
          <w:iCs/>
          <w:lang w:val="bg-BG"/>
        </w:rPr>
        <w:t>опр. № 15523 от</w:t>
      </w:r>
      <w:r w:rsidRPr="002358A2" w:rsidR="00E91771">
        <w:rPr>
          <w:i/>
          <w:iCs/>
          <w:lang w:val="ru-RU"/>
        </w:rPr>
        <w:t xml:space="preserve"> </w:t>
      </w:r>
      <w:r w:rsidRPr="002358A2">
        <w:rPr>
          <w:i/>
          <w:iCs/>
          <w:lang w:val="bg-BG"/>
        </w:rPr>
        <w:t>18.12.2014 г. по адм.</w:t>
      </w:r>
      <w:r w:rsidRPr="002358A2">
        <w:rPr>
          <w:i/>
          <w:iCs/>
          <w:lang w:val="ru-RU"/>
        </w:rPr>
        <w:t xml:space="preserve"> </w:t>
      </w:r>
      <w:r w:rsidRPr="002358A2">
        <w:rPr>
          <w:i/>
          <w:iCs/>
          <w:lang w:val="bg-BG"/>
        </w:rPr>
        <w:t>д. № 15482/2014 г., ВАС, VII о.</w:t>
      </w:r>
      <w:r w:rsidRPr="002358A2">
        <w:rPr>
          <w:lang w:val="ru-RU"/>
        </w:rPr>
        <w:t xml:space="preserve">, </w:t>
      </w:r>
      <w:r w:rsidRPr="002358A2">
        <w:t>upheld</w:t>
      </w:r>
      <w:r w:rsidRPr="002358A2" w:rsidR="00E91771">
        <w:rPr>
          <w:lang w:val="ru-RU"/>
        </w:rPr>
        <w:t xml:space="preserve"> </w:t>
      </w:r>
      <w:r w:rsidRPr="002358A2">
        <w:t>by</w:t>
      </w:r>
      <w:r w:rsidRPr="002358A2" w:rsidR="00E91771">
        <w:rPr>
          <w:lang w:val="ru-RU"/>
        </w:rPr>
        <w:t xml:space="preserve"> </w:t>
      </w:r>
      <w:r w:rsidRPr="002358A2">
        <w:rPr>
          <w:i/>
          <w:iCs/>
          <w:lang w:val="bg-BG"/>
        </w:rPr>
        <w:t>опр.</w:t>
      </w:r>
      <w:r w:rsidRPr="002358A2">
        <w:rPr>
          <w:i/>
          <w:iCs/>
        </w:rPr>
        <w:t> </w:t>
      </w:r>
      <w:r w:rsidRPr="002358A2">
        <w:rPr>
          <w:i/>
          <w:iCs/>
          <w:lang w:val="bg-BG"/>
        </w:rPr>
        <w:t>№</w:t>
      </w:r>
      <w:r w:rsidRPr="002358A2">
        <w:rPr>
          <w:i/>
          <w:iCs/>
        </w:rPr>
        <w:t> </w:t>
      </w:r>
      <w:r w:rsidRPr="002358A2">
        <w:rPr>
          <w:i/>
          <w:iCs/>
          <w:lang w:val="bg-BG"/>
        </w:rPr>
        <w:t>1693 от</w:t>
      </w:r>
      <w:r w:rsidRPr="002358A2">
        <w:rPr>
          <w:i/>
          <w:iCs/>
          <w:lang w:val="ru-RU"/>
        </w:rPr>
        <w:t xml:space="preserve"> </w:t>
      </w:r>
      <w:r w:rsidRPr="002358A2">
        <w:rPr>
          <w:i/>
          <w:iCs/>
          <w:lang w:val="bg-BG"/>
        </w:rPr>
        <w:t>17.02.2015</w:t>
      </w:r>
      <w:r w:rsidRPr="002358A2">
        <w:rPr>
          <w:i/>
          <w:iCs/>
          <w:lang w:val="ru-RU"/>
        </w:rPr>
        <w:t xml:space="preserve"> </w:t>
      </w:r>
      <w:r w:rsidRPr="002358A2">
        <w:rPr>
          <w:i/>
          <w:iCs/>
          <w:lang w:val="bg-BG"/>
        </w:rPr>
        <w:t>г. по адм. д. №</w:t>
      </w:r>
      <w:r w:rsidRPr="002358A2">
        <w:rPr>
          <w:i/>
          <w:iCs/>
          <w:lang w:val="ru-RU"/>
        </w:rPr>
        <w:t xml:space="preserve"> </w:t>
      </w:r>
      <w:r w:rsidRPr="002358A2">
        <w:rPr>
          <w:i/>
          <w:iCs/>
          <w:lang w:val="bg-BG"/>
        </w:rPr>
        <w:t>1552/2015 г., ВАС, петчл.</w:t>
      </w:r>
      <w:r w:rsidRPr="002358A2">
        <w:rPr>
          <w:i/>
          <w:iCs/>
          <w:lang w:val="ru-RU"/>
        </w:rPr>
        <w:t xml:space="preserve"> </w:t>
      </w:r>
      <w:r w:rsidRPr="002358A2">
        <w:rPr>
          <w:i/>
          <w:iCs/>
          <w:lang w:val="bg-BG"/>
        </w:rPr>
        <w:t>с-в</w:t>
      </w:r>
      <w:r w:rsidRPr="002358A2">
        <w:rPr>
          <w:lang w:val="ru-RU"/>
        </w:rPr>
        <w:t>).</w:t>
      </w:r>
    </w:p>
    <w:p w:rsidRPr="002358A2" w:rsidR="00BF0CAC" w:rsidP="002358A2" w:rsidRDefault="00BF0CAC" w14:paraId="02E3D07E" w14:textId="7A959894">
      <w:pPr>
        <w:pStyle w:val="JuHIRoman"/>
      </w:pPr>
      <w:bookmarkStart w:name="_Toc107950840" w:id="60"/>
      <w:r w:rsidRPr="002358A2">
        <w:rPr>
          <w:caps w:val="0"/>
        </w:rPr>
        <w:t>THE BNB</w:t>
      </w:r>
      <w:r w:rsidRPr="002358A2" w:rsidR="002358A2">
        <w:rPr>
          <w:caps w:val="0"/>
        </w:rPr>
        <w:t>’</w:t>
      </w:r>
      <w:r w:rsidRPr="002358A2">
        <w:rPr>
          <w:caps w:val="0"/>
        </w:rPr>
        <w:t>S APPLICATION FOR KTB TO BE WOUND UP</w:t>
      </w:r>
      <w:bookmarkEnd w:id="60"/>
    </w:p>
    <w:p w:rsidRPr="002358A2" w:rsidR="00BF0CAC" w:rsidP="002358A2" w:rsidRDefault="00BF0CAC" w14:paraId="78C234D5" w14:textId="77777777">
      <w:pPr>
        <w:pStyle w:val="JuHA"/>
      </w:pPr>
      <w:bookmarkStart w:name="_Toc107950841" w:id="61"/>
      <w:r w:rsidRPr="002358A2">
        <w:t>Proceedings before the Sofia City Court</w:t>
      </w:r>
      <w:bookmarkEnd w:id="61"/>
    </w:p>
    <w:bookmarkStart w:name="F_winding_up_SofCC_BNB_application" w:id="62"/>
    <w:p w:rsidRPr="002358A2" w:rsidR="00BF0CAC" w:rsidP="002358A2" w:rsidRDefault="00BF0CAC" w14:paraId="4D71BF06" w14:textId="4BDF2934">
      <w:pPr>
        <w:pStyle w:val="JuPara"/>
      </w:pPr>
      <w:r w:rsidRPr="002358A2">
        <w:fldChar w:fldCharType="begin"/>
      </w:r>
      <w:r w:rsidRPr="002358A2">
        <w:instrText xml:space="preserve"> SEQ level0 \*arabic </w:instrText>
      </w:r>
      <w:r w:rsidRPr="002358A2">
        <w:fldChar w:fldCharType="separate"/>
      </w:r>
      <w:r w:rsidRPr="002358A2" w:rsidR="002358A2">
        <w:rPr>
          <w:noProof/>
        </w:rPr>
        <w:t>51</w:t>
      </w:r>
      <w:r w:rsidRPr="002358A2">
        <w:fldChar w:fldCharType="end"/>
      </w:r>
      <w:bookmarkEnd w:id="62"/>
      <w:r w:rsidRPr="002358A2">
        <w:t>.  Meanwhile, following its decision to withdraw KTB</w:t>
      </w:r>
      <w:r w:rsidRPr="002358A2" w:rsidR="002358A2">
        <w:t>’</w:t>
      </w:r>
      <w:r w:rsidRPr="002358A2">
        <w:t xml:space="preserve">s licence (see paragraph </w:t>
      </w:r>
      <w:r w:rsidRPr="002358A2">
        <w:fldChar w:fldCharType="begin"/>
      </w:r>
      <w:r w:rsidRPr="002358A2">
        <w:instrText xml:space="preserve"> REF F_BNB_revoke_licence \h </w:instrText>
      </w:r>
      <w:r w:rsidRPr="002358A2">
        <w:fldChar w:fldCharType="separate"/>
      </w:r>
      <w:r w:rsidRPr="002358A2" w:rsidR="002358A2">
        <w:rPr>
          <w:noProof/>
        </w:rPr>
        <w:t>20</w:t>
      </w:r>
      <w:r w:rsidRPr="002358A2">
        <w:fldChar w:fldCharType="end"/>
      </w:r>
      <w:r w:rsidRPr="002358A2">
        <w:t xml:space="preserve"> above), on 7 November 2014 the BNB applied to the Sofia City Court to have KTB declared insolvent and wound up.</w:t>
      </w:r>
    </w:p>
    <w:bookmarkStart w:name="F_winding_up_SofCC_Bromak_BACII_interv" w:id="63"/>
    <w:p w:rsidRPr="002358A2" w:rsidR="00BF0CAC" w:rsidP="002358A2" w:rsidRDefault="00BF0CAC" w14:paraId="1FBA2C76" w14:textId="7DB76A59">
      <w:pPr>
        <w:pStyle w:val="JuPara"/>
      </w:pPr>
      <w:r w:rsidRPr="002358A2">
        <w:fldChar w:fldCharType="begin"/>
      </w:r>
      <w:r w:rsidRPr="002358A2">
        <w:instrText xml:space="preserve"> SEQ level0 \*arabic </w:instrText>
      </w:r>
      <w:r w:rsidRPr="002358A2">
        <w:fldChar w:fldCharType="separate"/>
      </w:r>
      <w:r w:rsidRPr="002358A2" w:rsidR="002358A2">
        <w:rPr>
          <w:noProof/>
        </w:rPr>
        <w:t>52</w:t>
      </w:r>
      <w:r w:rsidRPr="002358A2">
        <w:fldChar w:fldCharType="end"/>
      </w:r>
      <w:bookmarkEnd w:id="63"/>
      <w:r w:rsidRPr="002358A2">
        <w:t xml:space="preserve">.  On 13 November 2014 Bromak sought permission to intervene in the proceedings under section 11(4) of the Bank Insolvency Act 2002 (see paragraph </w:t>
      </w:r>
      <w:r w:rsidRPr="002358A2">
        <w:fldChar w:fldCharType="begin"/>
      </w:r>
      <w:r w:rsidRPr="002358A2">
        <w:instrText xml:space="preserve"> REF RLF_winding_up_hearing_representation \h </w:instrText>
      </w:r>
      <w:r w:rsidRPr="002358A2">
        <w:fldChar w:fldCharType="separate"/>
      </w:r>
      <w:r w:rsidRPr="002358A2" w:rsidR="002358A2">
        <w:rPr>
          <w:noProof/>
        </w:rPr>
        <w:t>96</w:t>
      </w:r>
      <w:r w:rsidRPr="002358A2">
        <w:fldChar w:fldCharType="end"/>
      </w:r>
      <w:r w:rsidRPr="002358A2">
        <w:t xml:space="preserve"> </w:t>
      </w:r>
      <w:r w:rsidRPr="002358A2">
        <w:rPr>
          <w:i/>
          <w:iCs/>
        </w:rPr>
        <w:t>in fine</w:t>
      </w:r>
      <w:r w:rsidRPr="002358A2">
        <w:t xml:space="preserve"> below), as did the other major shareholder in KTB, Bulgarian Acquisition Company II Sarl (see paragraph </w:t>
      </w:r>
      <w:r w:rsidRPr="002358A2">
        <w:fldChar w:fldCharType="begin"/>
      </w:r>
      <w:r w:rsidRPr="002358A2">
        <w:instrText xml:space="preserve"> REF F_KTB_shareholders \h </w:instrText>
      </w:r>
      <w:r w:rsidRPr="002358A2">
        <w:fldChar w:fldCharType="separate"/>
      </w:r>
      <w:r w:rsidRPr="002358A2" w:rsidR="002358A2">
        <w:rPr>
          <w:noProof/>
        </w:rPr>
        <w:t>8</w:t>
      </w:r>
      <w:r w:rsidRPr="002358A2">
        <w:fldChar w:fldCharType="end"/>
      </w:r>
      <w:r w:rsidRPr="002358A2">
        <w:t xml:space="preserve"> above).</w:t>
      </w:r>
    </w:p>
    <w:bookmarkStart w:name="F_winding_up_SofCC_set_down_hearing" w:id="64"/>
    <w:p w:rsidRPr="002358A2" w:rsidR="00BF0CAC" w:rsidP="002358A2" w:rsidRDefault="00BF0CAC" w14:paraId="44487831" w14:textId="5D21C5DE">
      <w:pPr>
        <w:pStyle w:val="JuPara"/>
      </w:pPr>
      <w:r w:rsidRPr="002358A2">
        <w:fldChar w:fldCharType="begin"/>
      </w:r>
      <w:r w:rsidRPr="002358A2">
        <w:instrText xml:space="preserve"> SEQ level0 \*arabic </w:instrText>
      </w:r>
      <w:r w:rsidRPr="002358A2">
        <w:fldChar w:fldCharType="separate"/>
      </w:r>
      <w:r w:rsidRPr="002358A2" w:rsidR="002358A2">
        <w:rPr>
          <w:noProof/>
        </w:rPr>
        <w:t>53</w:t>
      </w:r>
      <w:r w:rsidRPr="002358A2">
        <w:fldChar w:fldCharType="end"/>
      </w:r>
      <w:bookmarkEnd w:id="64"/>
      <w:r w:rsidRPr="002358A2">
        <w:t xml:space="preserve">.  On 17 November 2014 the court scheduled a hearing for24 November 2014 and directed that KTB be summoned via the special administrators previously appointed by the BNB, who were, under section 11(3) of the Bank Insolvency Act 2002, the persons empowered to represent it in the proceedings (see paragraphs </w:t>
      </w:r>
      <w:r w:rsidRPr="002358A2">
        <w:fldChar w:fldCharType="begin"/>
      </w:r>
      <w:r w:rsidRPr="002358A2">
        <w:instrText xml:space="preserve"> REF F_BNB_special_administration \h </w:instrText>
      </w:r>
      <w:r w:rsidRPr="002358A2">
        <w:fldChar w:fldCharType="separate"/>
      </w:r>
      <w:r w:rsidRPr="002358A2" w:rsidR="002358A2">
        <w:rPr>
          <w:noProof/>
        </w:rPr>
        <w:t>12</w:t>
      </w:r>
      <w:r w:rsidRPr="002358A2">
        <w:fldChar w:fldCharType="end"/>
      </w:r>
      <w:r w:rsidRPr="002358A2">
        <w:t xml:space="preserve"> (b), </w:t>
      </w:r>
      <w:r w:rsidRPr="002358A2">
        <w:fldChar w:fldCharType="begin"/>
      </w:r>
      <w:r w:rsidRPr="002358A2">
        <w:instrText xml:space="preserve"> REF F_BNB_new_special_administrators \h </w:instrText>
      </w:r>
      <w:r w:rsidRPr="002358A2">
        <w:fldChar w:fldCharType="separate"/>
      </w:r>
      <w:r w:rsidRPr="002358A2" w:rsidR="002358A2">
        <w:rPr>
          <w:noProof/>
        </w:rPr>
        <w:t>15</w:t>
      </w:r>
      <w:r w:rsidRPr="002358A2">
        <w:fldChar w:fldCharType="end"/>
      </w:r>
      <w:r w:rsidRPr="002358A2">
        <w:t xml:space="preserve"> and </w:t>
      </w:r>
      <w:r w:rsidRPr="002358A2">
        <w:fldChar w:fldCharType="begin"/>
      </w:r>
      <w:r w:rsidRPr="002358A2">
        <w:instrText xml:space="preserve"> REF F_BNB_revoke_licence_extent_special_adms \h </w:instrText>
      </w:r>
      <w:r w:rsidRPr="002358A2">
        <w:fldChar w:fldCharType="separate"/>
      </w:r>
      <w:r w:rsidRPr="002358A2" w:rsidR="002358A2">
        <w:rPr>
          <w:noProof/>
        </w:rPr>
        <w:t>21</w:t>
      </w:r>
      <w:r w:rsidRPr="002358A2">
        <w:fldChar w:fldCharType="end"/>
      </w:r>
      <w:r w:rsidRPr="002358A2">
        <w:t xml:space="preserve"> above and paragraph </w:t>
      </w:r>
      <w:r w:rsidRPr="002358A2">
        <w:fldChar w:fldCharType="begin"/>
      </w:r>
      <w:r w:rsidRPr="002358A2">
        <w:instrText xml:space="preserve"> REF RLF_winding_up_hearing_representation \h </w:instrText>
      </w:r>
      <w:r w:rsidRPr="002358A2">
        <w:fldChar w:fldCharType="separate"/>
      </w:r>
      <w:r w:rsidRPr="002358A2" w:rsidR="002358A2">
        <w:rPr>
          <w:noProof/>
        </w:rPr>
        <w:t>96</w:t>
      </w:r>
      <w:r w:rsidRPr="002358A2">
        <w:fldChar w:fldCharType="end"/>
      </w:r>
      <w:r w:rsidRPr="002358A2">
        <w:t xml:space="preserve"> below).</w:t>
      </w:r>
    </w:p>
    <w:bookmarkStart w:name="F_winding_up_SofCC_Bromak_rep_ad_litem" w:id="65"/>
    <w:p w:rsidRPr="002358A2" w:rsidR="00BF0CAC" w:rsidP="002358A2" w:rsidRDefault="00BF0CAC" w14:paraId="2B37DB06" w14:textId="6B182CA4">
      <w:pPr>
        <w:pStyle w:val="JuPara"/>
      </w:pPr>
      <w:r w:rsidRPr="002358A2">
        <w:fldChar w:fldCharType="begin"/>
      </w:r>
      <w:r w:rsidRPr="002358A2">
        <w:instrText xml:space="preserve"> SEQ level0 \*arabic </w:instrText>
      </w:r>
      <w:r w:rsidRPr="002358A2">
        <w:fldChar w:fldCharType="separate"/>
      </w:r>
      <w:r w:rsidRPr="002358A2" w:rsidR="002358A2">
        <w:rPr>
          <w:noProof/>
        </w:rPr>
        <w:t>54</w:t>
      </w:r>
      <w:r w:rsidRPr="002358A2">
        <w:fldChar w:fldCharType="end"/>
      </w:r>
      <w:bookmarkEnd w:id="65"/>
      <w:r w:rsidRPr="002358A2">
        <w:t xml:space="preserve">.  On 20 November 2014 Bromak, as it had done in the proceedings before the Supreme Administrative Court (see paragraph </w:t>
      </w:r>
      <w:r w:rsidRPr="002358A2">
        <w:fldChar w:fldCharType="begin"/>
      </w:r>
      <w:r w:rsidRPr="002358A2">
        <w:instrText xml:space="preserve"> REF F_SAC_5MP_Bromask_req_rep_ad_litem \h </w:instrText>
      </w:r>
      <w:r w:rsidRPr="002358A2">
        <w:fldChar w:fldCharType="separate"/>
      </w:r>
      <w:r w:rsidRPr="002358A2" w:rsidR="002358A2">
        <w:rPr>
          <w:noProof/>
        </w:rPr>
        <w:t>36</w:t>
      </w:r>
      <w:r w:rsidRPr="002358A2">
        <w:fldChar w:fldCharType="end"/>
      </w:r>
      <w:r w:rsidRPr="002358A2">
        <w:t xml:space="preserve"> above), requested the court to appoint a special representative </w:t>
      </w:r>
      <w:r w:rsidRPr="002358A2">
        <w:rPr>
          <w:i/>
          <w:iCs/>
        </w:rPr>
        <w:t>ad litem</w:t>
      </w:r>
      <w:r w:rsidRPr="002358A2">
        <w:t xml:space="preserve"> for KTB under Article 29 </w:t>
      </w:r>
      <w:r w:rsidRPr="002358A2">
        <w:rPr>
          <w:rFonts w:cstheme="minorHAnsi"/>
        </w:rPr>
        <w:t>§</w:t>
      </w:r>
      <w:r w:rsidRPr="002358A2">
        <w:t xml:space="preserve"> 4 of the Code of Civil Procedure (paragraph </w:t>
      </w:r>
      <w:r w:rsidRPr="002358A2">
        <w:fldChar w:fldCharType="begin"/>
      </w:r>
      <w:r w:rsidRPr="002358A2">
        <w:instrText xml:space="preserve"> REF RLF_CCP_A_29_4 \h </w:instrText>
      </w:r>
      <w:r w:rsidRPr="002358A2">
        <w:fldChar w:fldCharType="separate"/>
      </w:r>
      <w:r w:rsidRPr="002358A2" w:rsidR="002358A2">
        <w:rPr>
          <w:noProof/>
        </w:rPr>
        <w:t>105</w:t>
      </w:r>
      <w:r w:rsidRPr="002358A2">
        <w:fldChar w:fldCharType="end"/>
      </w:r>
      <w:r w:rsidRPr="002358A2">
        <w:t xml:space="preserve"> below). It pointed out that the applicant in the proceedings was the BNB, and that KTB was being represented by special administrators appointed by, and accountable to, the BNB. The BNB had, moreover, fixed their remuneration and withdrawn KTB</w:t>
      </w:r>
      <w:r w:rsidRPr="002358A2" w:rsidR="002358A2">
        <w:t>’</w:t>
      </w:r>
      <w:r w:rsidRPr="002358A2">
        <w:t xml:space="preserve">s licence on the basis of their reports. The special administrators and the BNB had a common interest: to have winding-up proceedings opened against KTB. This went against the interests of both KTB and its shareholders, which wanted to preserve the bank. There was thus a conflict of interests justifying the appointment of a special representative </w:t>
      </w:r>
      <w:r w:rsidRPr="002358A2">
        <w:rPr>
          <w:i/>
          <w:iCs/>
        </w:rPr>
        <w:t>ad</w:t>
      </w:r>
      <w:r w:rsidRPr="002358A2" w:rsidR="00764FA7">
        <w:rPr>
          <w:i/>
          <w:iCs/>
        </w:rPr>
        <w:t> </w:t>
      </w:r>
      <w:r w:rsidRPr="002358A2">
        <w:rPr>
          <w:i/>
          <w:iCs/>
        </w:rPr>
        <w:t>litem</w:t>
      </w:r>
      <w:r w:rsidRPr="002358A2">
        <w:t xml:space="preserve"> for KTB.</w:t>
      </w:r>
    </w:p>
    <w:bookmarkStart w:name="F_winding_up_SofCC_stay" w:id="66"/>
    <w:p w:rsidRPr="002358A2" w:rsidR="00BF0CAC" w:rsidP="002358A2" w:rsidRDefault="00BF0CAC" w14:paraId="18DA4C40" w14:textId="6E64CC9D">
      <w:pPr>
        <w:pStyle w:val="JuPara"/>
      </w:pPr>
      <w:r w:rsidRPr="002358A2">
        <w:fldChar w:fldCharType="begin"/>
      </w:r>
      <w:r w:rsidRPr="002358A2">
        <w:instrText xml:space="preserve"> SEQ level0 \*arabic </w:instrText>
      </w:r>
      <w:r w:rsidRPr="002358A2">
        <w:fldChar w:fldCharType="separate"/>
      </w:r>
      <w:r w:rsidRPr="002358A2" w:rsidR="002358A2">
        <w:rPr>
          <w:noProof/>
        </w:rPr>
        <w:t>55</w:t>
      </w:r>
      <w:r w:rsidRPr="002358A2">
        <w:fldChar w:fldCharType="end"/>
      </w:r>
      <w:bookmarkEnd w:id="66"/>
      <w:r w:rsidRPr="002358A2">
        <w:t>.  At the hearing on 24 November 2014 the court allowed the intervention requests by Bromak and Bulgarian Acquisition Company II Sarl and stayed the proceedings pending the determination of their claims for judicial review of the BNB</w:t>
      </w:r>
      <w:r w:rsidRPr="002358A2" w:rsidR="002358A2">
        <w:t>’</w:t>
      </w:r>
      <w:r w:rsidRPr="002358A2">
        <w:t>s decision to withdraw KTB</w:t>
      </w:r>
      <w:r w:rsidRPr="002358A2" w:rsidR="002358A2">
        <w:t>’</w:t>
      </w:r>
      <w:r w:rsidRPr="002358A2">
        <w:t>s licence (see paragraphs </w:t>
      </w:r>
      <w:r w:rsidRPr="002358A2">
        <w:fldChar w:fldCharType="begin"/>
      </w:r>
      <w:r w:rsidRPr="002358A2">
        <w:instrText xml:space="preserve"> REF F_SAC_3MP_jud_rev_claim_Bromak \h </w:instrText>
      </w:r>
      <w:r w:rsidRPr="002358A2">
        <w:fldChar w:fldCharType="separate"/>
      </w:r>
      <w:r w:rsidRPr="002358A2" w:rsidR="002358A2">
        <w:rPr>
          <w:noProof/>
        </w:rPr>
        <w:t>22</w:t>
      </w:r>
      <w:r w:rsidRPr="002358A2">
        <w:fldChar w:fldCharType="end"/>
      </w:r>
      <w:r w:rsidRPr="002358A2">
        <w:t>-</w:t>
      </w:r>
      <w:r w:rsidRPr="002358A2">
        <w:fldChar w:fldCharType="begin"/>
      </w:r>
      <w:r w:rsidRPr="002358A2">
        <w:instrText xml:space="preserve"> REF F_SAC_3MP_joinder_other_shareholders \h </w:instrText>
      </w:r>
      <w:r w:rsidRPr="002358A2">
        <w:fldChar w:fldCharType="separate"/>
      </w:r>
      <w:r w:rsidRPr="002358A2" w:rsidR="002358A2">
        <w:rPr>
          <w:noProof/>
        </w:rPr>
        <w:t>23</w:t>
      </w:r>
      <w:r w:rsidRPr="002358A2">
        <w:fldChar w:fldCharType="end"/>
      </w:r>
      <w:r w:rsidRPr="002358A2">
        <w:t xml:space="preserve"> above).</w:t>
      </w:r>
    </w:p>
    <w:bookmarkStart w:name="F_winding_up_SofCC_prov_liquid" w:id="67"/>
    <w:p w:rsidRPr="002358A2" w:rsidR="00BF0CAC" w:rsidP="002358A2" w:rsidRDefault="00BF0CAC" w14:paraId="09ABE947" w14:textId="3FE05126">
      <w:pPr>
        <w:pStyle w:val="JuPara"/>
      </w:pPr>
      <w:r w:rsidRPr="002358A2">
        <w:fldChar w:fldCharType="begin"/>
      </w:r>
      <w:r w:rsidRPr="002358A2">
        <w:instrText xml:space="preserve"> SEQ level0 \*arabic </w:instrText>
      </w:r>
      <w:r w:rsidRPr="002358A2">
        <w:fldChar w:fldCharType="separate"/>
      </w:r>
      <w:r w:rsidRPr="002358A2" w:rsidR="002358A2">
        <w:rPr>
          <w:noProof/>
        </w:rPr>
        <w:t>56</w:t>
      </w:r>
      <w:r w:rsidRPr="002358A2">
        <w:fldChar w:fldCharType="end"/>
      </w:r>
      <w:bookmarkEnd w:id="67"/>
      <w:r w:rsidRPr="002358A2">
        <w:t xml:space="preserve">.  On 25 March 2015 the Deposit Insurance Fund, which was taking part in the proceedings pursuant to section 11(2) of the Bank Insolvency Act 2002, asked the court to appoint two provisional liquidators for KTB (see paragraphs </w:t>
      </w:r>
      <w:r w:rsidRPr="002358A2">
        <w:fldChar w:fldCharType="begin"/>
      </w:r>
      <w:r w:rsidRPr="002358A2">
        <w:instrText xml:space="preserve"> REF RLF_winding_up_hearing_representation \h </w:instrText>
      </w:r>
      <w:r w:rsidRPr="002358A2">
        <w:fldChar w:fldCharType="separate"/>
      </w:r>
      <w:r w:rsidRPr="002358A2" w:rsidR="002358A2">
        <w:rPr>
          <w:noProof/>
        </w:rPr>
        <w:t>96</w:t>
      </w:r>
      <w:r w:rsidRPr="002358A2">
        <w:fldChar w:fldCharType="end"/>
      </w:r>
      <w:r w:rsidRPr="002358A2">
        <w:t xml:space="preserve"> and </w:t>
      </w:r>
      <w:r w:rsidRPr="002358A2">
        <w:fldChar w:fldCharType="begin"/>
      </w:r>
      <w:r w:rsidRPr="002358A2">
        <w:instrText xml:space="preserve"> REF RLF_winding_up_provisional_liquidator \h </w:instrText>
      </w:r>
      <w:r w:rsidRPr="002358A2">
        <w:fldChar w:fldCharType="separate"/>
      </w:r>
      <w:r w:rsidRPr="002358A2" w:rsidR="002358A2">
        <w:rPr>
          <w:noProof/>
        </w:rPr>
        <w:t>100</w:t>
      </w:r>
      <w:r w:rsidRPr="002358A2">
        <w:fldChar w:fldCharType="end"/>
      </w:r>
      <w:r w:rsidRPr="002358A2">
        <w:t xml:space="preserve"> below). The court allowed the request the same day. It noted, </w:t>
      </w:r>
      <w:r w:rsidRPr="002358A2">
        <w:rPr>
          <w:i/>
          <w:iCs/>
        </w:rPr>
        <w:t>inter alia</w:t>
      </w:r>
      <w:r w:rsidRPr="002358A2">
        <w:t>, that whereas the special administrators were officers assisting the BNB, the provisional liquidators were officers assisting the insolvency court.</w:t>
      </w:r>
    </w:p>
    <w:bookmarkStart w:name="F_winding_up_SofCC_prov_liquid_appeals" w:id="68"/>
    <w:p w:rsidRPr="002358A2" w:rsidR="00BF0CAC" w:rsidP="002358A2" w:rsidRDefault="00BF0CAC" w14:paraId="2320FAD9" w14:textId="2FF143CD">
      <w:pPr>
        <w:pStyle w:val="JuPara"/>
        <w:keepNext/>
      </w:pPr>
      <w:r w:rsidRPr="002358A2">
        <w:fldChar w:fldCharType="begin"/>
      </w:r>
      <w:r w:rsidRPr="002358A2">
        <w:instrText xml:space="preserve"> SEQ level0 \*arabic </w:instrText>
      </w:r>
      <w:r w:rsidRPr="002358A2">
        <w:fldChar w:fldCharType="separate"/>
      </w:r>
      <w:r w:rsidRPr="002358A2" w:rsidR="002358A2">
        <w:rPr>
          <w:noProof/>
        </w:rPr>
        <w:t>57</w:t>
      </w:r>
      <w:r w:rsidRPr="002358A2">
        <w:fldChar w:fldCharType="end"/>
      </w:r>
      <w:bookmarkEnd w:id="68"/>
      <w:r w:rsidRPr="002358A2">
        <w:t>.  On 2 April 2015 Bromak appealed to the Sofia Court of Appeal against the appointment of the provisional liquidators. On 7 May 2015 the Sofia Court of Appeal held that the Sofia City Court</w:t>
      </w:r>
      <w:r w:rsidRPr="002358A2" w:rsidR="002358A2">
        <w:t>’</w:t>
      </w:r>
      <w:r w:rsidRPr="002358A2">
        <w:t xml:space="preserve">s decision to do so was not amenable to appeal. Bromak appealed against that decision to the Supreme Court of Cassation, which on 30 September 2015 upheld it (see </w:t>
      </w:r>
      <w:r w:rsidRPr="002358A2">
        <w:rPr>
          <w:i/>
          <w:iCs/>
          <w:lang w:val="bg-BG"/>
        </w:rPr>
        <w:t>опр.</w:t>
      </w:r>
      <w:r w:rsidRPr="002358A2">
        <w:rPr>
          <w:i/>
          <w:iCs/>
        </w:rPr>
        <w:t> </w:t>
      </w:r>
      <w:r w:rsidRPr="002358A2">
        <w:rPr>
          <w:i/>
          <w:iCs/>
          <w:lang w:val="bg-BG"/>
        </w:rPr>
        <w:t xml:space="preserve">№ 539 от 30.09.2015 г. по ч. т. д. № 2099/2015 г., ВКС, </w:t>
      </w:r>
      <w:r w:rsidRPr="002358A2">
        <w:rPr>
          <w:i/>
          <w:iCs/>
        </w:rPr>
        <w:t xml:space="preserve">II </w:t>
      </w:r>
      <w:r w:rsidRPr="002358A2">
        <w:rPr>
          <w:i/>
          <w:iCs/>
          <w:lang w:val="bg-BG"/>
        </w:rPr>
        <w:t>т. о.</w:t>
      </w:r>
      <w:r w:rsidRPr="002358A2">
        <w:t>).</w:t>
      </w:r>
    </w:p>
    <w:bookmarkStart w:name="F_winding_up_SofCC_resume" w:id="69"/>
    <w:p w:rsidRPr="002358A2" w:rsidR="00BF0CAC" w:rsidP="002358A2" w:rsidRDefault="00BF0CAC" w14:paraId="43441732" w14:textId="052A1D94">
      <w:pPr>
        <w:pStyle w:val="JuPara"/>
      </w:pPr>
      <w:r w:rsidRPr="002358A2">
        <w:fldChar w:fldCharType="begin"/>
      </w:r>
      <w:r w:rsidRPr="002358A2">
        <w:instrText xml:space="preserve"> SEQ level0 \*arabic </w:instrText>
      </w:r>
      <w:r w:rsidRPr="002358A2">
        <w:fldChar w:fldCharType="separate"/>
      </w:r>
      <w:r w:rsidRPr="002358A2" w:rsidR="002358A2">
        <w:rPr>
          <w:noProof/>
        </w:rPr>
        <w:t>58</w:t>
      </w:r>
      <w:r w:rsidRPr="002358A2">
        <w:fldChar w:fldCharType="end"/>
      </w:r>
      <w:bookmarkEnd w:id="69"/>
      <w:r w:rsidRPr="002358A2">
        <w:t>.  Meanwhile, on 3 April 2015, after all claims for judicial review of the BNB</w:t>
      </w:r>
      <w:r w:rsidRPr="002358A2" w:rsidR="002358A2">
        <w:t>’</w:t>
      </w:r>
      <w:r w:rsidRPr="002358A2">
        <w:t>s decision to withdraw KTB</w:t>
      </w:r>
      <w:r w:rsidRPr="002358A2" w:rsidR="002358A2">
        <w:t>’</w:t>
      </w:r>
      <w:r w:rsidRPr="002358A2">
        <w:t xml:space="preserve">s licence had been dismissed with final effect (see paragraphs </w:t>
      </w:r>
      <w:r w:rsidRPr="002358A2">
        <w:fldChar w:fldCharType="begin"/>
      </w:r>
      <w:r w:rsidRPr="002358A2">
        <w:instrText xml:space="preserve"> REF F_SAC_5MP_dec_2_4_2015 \h  \* MERGEFORMAT </w:instrText>
      </w:r>
      <w:r w:rsidRPr="002358A2">
        <w:fldChar w:fldCharType="separate"/>
      </w:r>
      <w:r w:rsidRPr="002358A2" w:rsidR="002358A2">
        <w:rPr>
          <w:noProof/>
        </w:rPr>
        <w:t>41</w:t>
      </w:r>
      <w:r w:rsidRPr="002358A2">
        <w:fldChar w:fldCharType="end"/>
      </w:r>
      <w:r w:rsidRPr="002358A2">
        <w:t xml:space="preserve"> and </w:t>
      </w:r>
      <w:r w:rsidRPr="002358A2">
        <w:fldChar w:fldCharType="begin"/>
      </w:r>
      <w:r w:rsidRPr="002358A2">
        <w:instrText xml:space="preserve"> REF F_SAC_ex_dir_5MP_dec \h </w:instrText>
      </w:r>
      <w:r w:rsidRPr="002358A2">
        <w:fldChar w:fldCharType="separate"/>
      </w:r>
      <w:r w:rsidRPr="002358A2" w:rsidR="002358A2">
        <w:rPr>
          <w:noProof/>
        </w:rPr>
        <w:t>47</w:t>
      </w:r>
      <w:r w:rsidRPr="002358A2">
        <w:fldChar w:fldCharType="end"/>
      </w:r>
      <w:r w:rsidRPr="002358A2">
        <w:t>-</w:t>
      </w:r>
      <w:r w:rsidRPr="002358A2">
        <w:fldChar w:fldCharType="begin"/>
      </w:r>
      <w:r w:rsidRPr="002358A2">
        <w:instrText xml:space="preserve"> REF F_SAC_bondholders \h </w:instrText>
      </w:r>
      <w:r w:rsidRPr="002358A2">
        <w:fldChar w:fldCharType="separate"/>
      </w:r>
      <w:r w:rsidRPr="002358A2" w:rsidR="002358A2">
        <w:rPr>
          <w:noProof/>
        </w:rPr>
        <w:t>50</w:t>
      </w:r>
      <w:r w:rsidRPr="002358A2">
        <w:fldChar w:fldCharType="end"/>
      </w:r>
      <w:r w:rsidRPr="002358A2">
        <w:t xml:space="preserve"> above), the Sofia City Court resumed the main proceedings.</w:t>
      </w:r>
    </w:p>
    <w:bookmarkStart w:name="F_winding_up_SofCC_hearing_15_04_2015" w:id="70"/>
    <w:p w:rsidRPr="002358A2" w:rsidR="00BF0CAC" w:rsidP="002358A2" w:rsidRDefault="00BF0CAC" w14:paraId="263AB421" w14:textId="6A34BA21">
      <w:pPr>
        <w:pStyle w:val="JuPara"/>
      </w:pPr>
      <w:r w:rsidRPr="002358A2">
        <w:fldChar w:fldCharType="begin"/>
      </w:r>
      <w:r w:rsidRPr="002358A2">
        <w:instrText xml:space="preserve"> SEQ level0 \*arabic </w:instrText>
      </w:r>
      <w:r w:rsidRPr="002358A2">
        <w:fldChar w:fldCharType="separate"/>
      </w:r>
      <w:r w:rsidRPr="002358A2" w:rsidR="002358A2">
        <w:rPr>
          <w:noProof/>
        </w:rPr>
        <w:t>59</w:t>
      </w:r>
      <w:r w:rsidRPr="002358A2">
        <w:fldChar w:fldCharType="end"/>
      </w:r>
      <w:bookmarkEnd w:id="70"/>
      <w:r w:rsidRPr="002358A2">
        <w:t>.  The court heard the case in private on 15 April 2015. It rejected Bromak</w:t>
      </w:r>
      <w:r w:rsidRPr="002358A2" w:rsidR="002358A2">
        <w:t>’</w:t>
      </w:r>
      <w:r w:rsidRPr="002358A2">
        <w:t xml:space="preserve">s request to appoint a special representative </w:t>
      </w:r>
      <w:r w:rsidRPr="002358A2">
        <w:rPr>
          <w:i/>
          <w:iCs/>
        </w:rPr>
        <w:t>ad litem</w:t>
      </w:r>
      <w:r w:rsidRPr="002358A2">
        <w:t xml:space="preserve"> for KTB (see paragraph </w:t>
      </w:r>
      <w:r w:rsidRPr="002358A2">
        <w:fldChar w:fldCharType="begin"/>
      </w:r>
      <w:r w:rsidRPr="002358A2">
        <w:instrText xml:space="preserve"> REF F_winding_up_SofCC_Bromak_rep_ad_litem \h </w:instrText>
      </w:r>
      <w:r w:rsidRPr="002358A2">
        <w:fldChar w:fldCharType="separate"/>
      </w:r>
      <w:r w:rsidRPr="002358A2" w:rsidR="002358A2">
        <w:rPr>
          <w:noProof/>
        </w:rPr>
        <w:t>54</w:t>
      </w:r>
      <w:r w:rsidRPr="002358A2">
        <w:fldChar w:fldCharType="end"/>
      </w:r>
      <w:r w:rsidRPr="002358A2">
        <w:t xml:space="preserve"> above), noting that by law the bank had to be represented by its provisional liquidators. Those liquidators defended no interests of their own in the proceedings, and it was hence impossible for there to be a conflict of interests between them and KTB.</w:t>
      </w:r>
    </w:p>
    <w:bookmarkStart w:name="F_winding_up_SofCC_dec_22_04_2015" w:id="71"/>
    <w:p w:rsidRPr="002358A2" w:rsidR="00BF0CAC" w:rsidP="002358A2" w:rsidRDefault="00BF0CAC" w14:paraId="351D1D19" w14:textId="2C971304">
      <w:pPr>
        <w:pStyle w:val="JuPara"/>
      </w:pPr>
      <w:r w:rsidRPr="002358A2">
        <w:fldChar w:fldCharType="begin"/>
      </w:r>
      <w:r w:rsidRPr="002358A2">
        <w:instrText xml:space="preserve"> SEQ level0 \*arabic </w:instrText>
      </w:r>
      <w:r w:rsidRPr="002358A2">
        <w:fldChar w:fldCharType="separate"/>
      </w:r>
      <w:r w:rsidRPr="002358A2" w:rsidR="002358A2">
        <w:rPr>
          <w:noProof/>
        </w:rPr>
        <w:t>60</w:t>
      </w:r>
      <w:r w:rsidRPr="002358A2">
        <w:fldChar w:fldCharType="end"/>
      </w:r>
      <w:bookmarkEnd w:id="71"/>
      <w:r w:rsidRPr="002358A2">
        <w:t>.  On 22 April 2015 the Sofia City Court allowed the BNB</w:t>
      </w:r>
      <w:r w:rsidRPr="002358A2" w:rsidR="002358A2">
        <w:t>’</w:t>
      </w:r>
      <w:r w:rsidRPr="002358A2">
        <w:t>s application and:</w:t>
      </w:r>
    </w:p>
    <w:p w:rsidRPr="002358A2" w:rsidR="00BF0CAC" w:rsidP="002358A2" w:rsidRDefault="00BF0CAC" w14:paraId="38F20A05" w14:textId="77777777">
      <w:pPr>
        <w:pStyle w:val="JuPara"/>
      </w:pPr>
      <w:r w:rsidRPr="002358A2">
        <w:t>(a)  declared KTB insolvent and fixed the date on which it had, in its view, become insolvent (6 November 2014);</w:t>
      </w:r>
    </w:p>
    <w:p w:rsidRPr="002358A2" w:rsidR="00BF0CAC" w:rsidP="002358A2" w:rsidRDefault="00BF0CAC" w14:paraId="387735A9" w14:textId="77777777">
      <w:pPr>
        <w:pStyle w:val="JuPara"/>
      </w:pPr>
      <w:r w:rsidRPr="002358A2">
        <w:t>(b)  opened winding-up proceedings in respect of KTB;</w:t>
      </w:r>
    </w:p>
    <w:p w:rsidRPr="002358A2" w:rsidR="00BF0CAC" w:rsidP="002358A2" w:rsidRDefault="00BF0CAC" w14:paraId="5052780C" w14:textId="2398649D">
      <w:pPr>
        <w:pStyle w:val="JuPara"/>
      </w:pPr>
      <w:r w:rsidRPr="002358A2">
        <w:t>(c)  terminated the powers of KTB</w:t>
      </w:r>
      <w:r w:rsidRPr="002358A2" w:rsidR="002358A2">
        <w:t>’</w:t>
      </w:r>
      <w:r w:rsidRPr="002358A2">
        <w:t>s bodies;</w:t>
      </w:r>
    </w:p>
    <w:p w:rsidRPr="002358A2" w:rsidR="00BF0CAC" w:rsidP="002358A2" w:rsidRDefault="00BF0CAC" w14:paraId="06D45488" w14:textId="77777777">
      <w:pPr>
        <w:pStyle w:val="JuPara"/>
      </w:pPr>
      <w:r w:rsidRPr="002358A2">
        <w:t>(d)  divested KTB of the right to administer its property; and</w:t>
      </w:r>
    </w:p>
    <w:p w:rsidRPr="002358A2" w:rsidR="00BF0CAC" w:rsidP="002358A2" w:rsidRDefault="00BF0CAC" w14:paraId="1ABB95AA" w14:textId="6C091F19">
      <w:pPr>
        <w:pStyle w:val="JuPara"/>
      </w:pPr>
      <w:r w:rsidRPr="002358A2">
        <w:t>(e)  ordered the sale of KTB</w:t>
      </w:r>
      <w:r w:rsidRPr="002358A2" w:rsidR="002358A2">
        <w:t>’</w:t>
      </w:r>
      <w:r w:rsidRPr="002358A2">
        <w:t>s assets.</w:t>
      </w:r>
    </w:p>
    <w:bookmarkStart w:name="F_winding_up_SofCC_dec_22_04_2015_bis" w:id="72"/>
    <w:p w:rsidRPr="002358A2" w:rsidR="00BF0CAC" w:rsidP="002358A2" w:rsidRDefault="00BF0CAC" w14:paraId="29694D56" w14:textId="56483753">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61</w:t>
      </w:r>
      <w:r w:rsidRPr="002358A2">
        <w:fldChar w:fldCharType="end"/>
      </w:r>
      <w:bookmarkEnd w:id="72"/>
      <w:r w:rsidRPr="002358A2">
        <w:t>.  The court held that the BNB</w:t>
      </w:r>
      <w:r w:rsidRPr="002358A2" w:rsidR="002358A2">
        <w:t>’</w:t>
      </w:r>
      <w:r w:rsidRPr="002358A2">
        <w:t>s decision to withdraw KTB</w:t>
      </w:r>
      <w:r w:rsidRPr="002358A2" w:rsidR="002358A2">
        <w:t>’</w:t>
      </w:r>
      <w:r w:rsidRPr="002358A2">
        <w:t xml:space="preserve">s licence appeared to be valid, and that it was not competent to check whether that decision was correct. The only court which could do so was the Supreme Administrative Court, in proceedings under section 151(3) of the Credit Institutions Act 2006 (see paragraph </w:t>
      </w:r>
      <w:r w:rsidRPr="002358A2">
        <w:fldChar w:fldCharType="begin"/>
      </w:r>
      <w:r w:rsidRPr="002358A2">
        <w:instrText xml:space="preserve"> REF RLF_BNB_revoke_licence_jud_rev \h </w:instrText>
      </w:r>
      <w:r w:rsidRPr="002358A2">
        <w:fldChar w:fldCharType="separate"/>
      </w:r>
      <w:r w:rsidRPr="002358A2" w:rsidR="002358A2">
        <w:rPr>
          <w:noProof/>
          <w:lang w:val="bg-BG"/>
        </w:rPr>
        <w:t>94</w:t>
      </w:r>
      <w:r w:rsidRPr="002358A2">
        <w:fldChar w:fldCharType="end"/>
      </w:r>
      <w:r w:rsidRPr="002358A2">
        <w:t xml:space="preserve"> below). For the Sofia City Court, the only material consideration was whether the BNB</w:t>
      </w:r>
      <w:r w:rsidRPr="002358A2" w:rsidR="002358A2">
        <w:t>’</w:t>
      </w:r>
      <w:r w:rsidRPr="002358A2">
        <w:t>s decision had become final, which was indeed the case (see</w:t>
      </w:r>
      <w:r w:rsidRPr="002358A2">
        <w:rPr>
          <w:lang w:val="bg-BG"/>
        </w:rPr>
        <w:t xml:space="preserve"> </w:t>
      </w:r>
      <w:r w:rsidRPr="002358A2">
        <w:rPr>
          <w:i/>
          <w:iCs/>
          <w:lang w:val="bg-BG"/>
        </w:rPr>
        <w:t>реш.</w:t>
      </w:r>
      <w:r w:rsidRPr="002358A2">
        <w:rPr>
          <w:i/>
          <w:iCs/>
        </w:rPr>
        <w:t xml:space="preserve"> </w:t>
      </w:r>
      <w:r w:rsidRPr="002358A2">
        <w:rPr>
          <w:i/>
          <w:iCs/>
          <w:lang w:val="bg-BG"/>
        </w:rPr>
        <w:t>№</w:t>
      </w:r>
      <w:r w:rsidRPr="002358A2">
        <w:rPr>
          <w:i/>
          <w:iCs/>
        </w:rPr>
        <w:t xml:space="preserve"> </w:t>
      </w:r>
      <w:r w:rsidRPr="002358A2">
        <w:rPr>
          <w:i/>
          <w:iCs/>
          <w:lang w:val="bg-BG"/>
        </w:rPr>
        <w:t>664 от 22.04.2015 г. по т.</w:t>
      </w:r>
      <w:r w:rsidRPr="002358A2">
        <w:rPr>
          <w:i/>
          <w:iCs/>
        </w:rPr>
        <w:t> </w:t>
      </w:r>
      <w:r w:rsidRPr="002358A2">
        <w:rPr>
          <w:i/>
          <w:iCs/>
          <w:lang w:val="bg-BG"/>
        </w:rPr>
        <w:t>д.</w:t>
      </w:r>
      <w:r w:rsidRPr="002358A2">
        <w:rPr>
          <w:i/>
          <w:iCs/>
        </w:rPr>
        <w:t> </w:t>
      </w:r>
      <w:r w:rsidRPr="002358A2">
        <w:rPr>
          <w:i/>
          <w:iCs/>
          <w:lang w:val="bg-BG"/>
        </w:rPr>
        <w:t>н.</w:t>
      </w:r>
      <w:r w:rsidRPr="002358A2">
        <w:rPr>
          <w:i/>
          <w:iCs/>
        </w:rPr>
        <w:t> </w:t>
      </w:r>
      <w:r w:rsidRPr="002358A2">
        <w:rPr>
          <w:i/>
          <w:iCs/>
          <w:lang w:val="bg-BG"/>
        </w:rPr>
        <w:t>№</w:t>
      </w:r>
      <w:r w:rsidRPr="002358A2">
        <w:rPr>
          <w:i/>
          <w:iCs/>
        </w:rPr>
        <w:t xml:space="preserve"> </w:t>
      </w:r>
      <w:r w:rsidRPr="002358A2">
        <w:rPr>
          <w:i/>
          <w:iCs/>
          <w:lang w:val="bg-BG"/>
        </w:rPr>
        <w:t>7549/2014</w:t>
      </w:r>
      <w:r w:rsidRPr="002358A2">
        <w:rPr>
          <w:i/>
          <w:iCs/>
        </w:rPr>
        <w:t xml:space="preserve"> </w:t>
      </w:r>
      <w:r w:rsidRPr="002358A2">
        <w:rPr>
          <w:i/>
          <w:iCs/>
          <w:lang w:val="bg-BG"/>
        </w:rPr>
        <w:t>г., СГС</w:t>
      </w:r>
      <w:r w:rsidRPr="002358A2">
        <w:t>).</w:t>
      </w:r>
    </w:p>
    <w:bookmarkStart w:name="F_winding_up_SofCC_DIF_appoint_liquid" w:id="73"/>
    <w:p w:rsidRPr="002358A2" w:rsidR="00BF0CAC" w:rsidP="002358A2" w:rsidRDefault="00BF0CAC" w14:paraId="47C8A705" w14:textId="09E50BCB">
      <w:pPr>
        <w:pStyle w:val="JuPara"/>
      </w:pPr>
      <w:r w:rsidRPr="002358A2">
        <w:fldChar w:fldCharType="begin"/>
      </w:r>
      <w:r w:rsidRPr="002358A2">
        <w:instrText xml:space="preserve"> SEQ level0 \*arabic </w:instrText>
      </w:r>
      <w:r w:rsidRPr="002358A2">
        <w:fldChar w:fldCharType="separate"/>
      </w:r>
      <w:r w:rsidRPr="002358A2" w:rsidR="002358A2">
        <w:rPr>
          <w:noProof/>
        </w:rPr>
        <w:t>62</w:t>
      </w:r>
      <w:r w:rsidRPr="002358A2">
        <w:fldChar w:fldCharType="end"/>
      </w:r>
      <w:bookmarkEnd w:id="73"/>
      <w:r w:rsidRPr="002358A2">
        <w:t xml:space="preserve">.  The following day, 23 April 2015, the Deposit Insurance Fund appointed the provisional liquidators as permanent ones (see paragraph </w:t>
      </w:r>
      <w:r w:rsidRPr="002358A2">
        <w:fldChar w:fldCharType="begin"/>
      </w:r>
      <w:r w:rsidRPr="002358A2">
        <w:instrText xml:space="preserve"> REF RLF_winding_up_permanent_liquidator \h </w:instrText>
      </w:r>
      <w:r w:rsidRPr="002358A2">
        <w:fldChar w:fldCharType="separate"/>
      </w:r>
      <w:r w:rsidRPr="002358A2" w:rsidR="002358A2">
        <w:rPr>
          <w:noProof/>
        </w:rPr>
        <w:t>101</w:t>
      </w:r>
      <w:r w:rsidRPr="002358A2">
        <w:fldChar w:fldCharType="end"/>
      </w:r>
      <w:r w:rsidRPr="002358A2">
        <w:t xml:space="preserve"> below).</w:t>
      </w:r>
    </w:p>
    <w:p w:rsidRPr="002358A2" w:rsidR="00BF0CAC" w:rsidP="002358A2" w:rsidRDefault="00BF0CAC" w14:paraId="77BC4F4B" w14:textId="77777777">
      <w:pPr>
        <w:pStyle w:val="JuHA"/>
      </w:pPr>
      <w:bookmarkStart w:name="_Toc107950842" w:id="74"/>
      <w:r w:rsidRPr="002358A2">
        <w:t>Proceedings before the Sofia Court of Appeal</w:t>
      </w:r>
      <w:bookmarkEnd w:id="74"/>
    </w:p>
    <w:bookmarkStart w:name="F_winding_up_SAC_Bromak_appeal" w:id="75"/>
    <w:p w:rsidRPr="002358A2" w:rsidR="00BF0CAC" w:rsidP="002358A2" w:rsidRDefault="00BF0CAC" w14:paraId="0E3AE058" w14:textId="243E5AD2">
      <w:pPr>
        <w:pStyle w:val="JuPara"/>
      </w:pPr>
      <w:r w:rsidRPr="002358A2">
        <w:fldChar w:fldCharType="begin"/>
      </w:r>
      <w:r w:rsidRPr="002358A2">
        <w:instrText xml:space="preserve"> SEQ level0 \*arabic </w:instrText>
      </w:r>
      <w:r w:rsidRPr="002358A2">
        <w:fldChar w:fldCharType="separate"/>
      </w:r>
      <w:r w:rsidRPr="002358A2" w:rsidR="002358A2">
        <w:rPr>
          <w:noProof/>
        </w:rPr>
        <w:t>63</w:t>
      </w:r>
      <w:r w:rsidRPr="002358A2">
        <w:fldChar w:fldCharType="end"/>
      </w:r>
      <w:bookmarkEnd w:id="75"/>
      <w:r w:rsidRPr="002358A2">
        <w:t>.  Bromak and the other shareholder in KTB, Bulgarian Acquisition Company II Sarl, appealed against the Sofia City Court</w:t>
      </w:r>
      <w:r w:rsidRPr="002358A2" w:rsidR="002358A2">
        <w:t>’</w:t>
      </w:r>
      <w:r w:rsidRPr="002358A2">
        <w:t>s judgment to the Sofia Court of Appeal. Bromak argued that it had standing to appeal in its own right since KTB</w:t>
      </w:r>
      <w:r w:rsidRPr="002358A2" w:rsidR="002358A2">
        <w:t>’</w:t>
      </w:r>
      <w:r w:rsidRPr="002358A2">
        <w:t>s special administrators were unable and unwilling to do so, because their mandate had been brought to an end with the appointment of provisional liquidators and because they were dependent on the BNB. The liquidators would not appeal either, because they were dependent on the BNB and the Deposit Insurance Fund, a creditor of KTB, and because their job depended on there being winding-up proceedings in respect of KTB. This conflict of interests meant that only a shareholder of KTB could vindicate its interests in the proceedings. That was the only way of obtaining judicial review of the BNB</w:t>
      </w:r>
      <w:r w:rsidRPr="002358A2" w:rsidR="002358A2">
        <w:t>’</w:t>
      </w:r>
      <w:r w:rsidRPr="002358A2">
        <w:t>s decision to withdraw KTB</w:t>
      </w:r>
      <w:r w:rsidRPr="002358A2" w:rsidR="002358A2">
        <w:t>’</w:t>
      </w:r>
      <w:r w:rsidRPr="002358A2">
        <w:t>s licence. Bulgarian Acquisition Company II Sarl also asked the Sofia Court of Appeal to seek a preliminary ruling from the CJEU on whether the Sofia City Court</w:t>
      </w:r>
      <w:r w:rsidRPr="002358A2" w:rsidR="002358A2">
        <w:t>’</w:t>
      </w:r>
      <w:r w:rsidRPr="002358A2">
        <w:t>s refusal to examine the BNB</w:t>
      </w:r>
      <w:r w:rsidRPr="002358A2" w:rsidR="002358A2">
        <w:t>’</w:t>
      </w:r>
      <w:r w:rsidRPr="002358A2">
        <w:t>s decision to withdraw KTB</w:t>
      </w:r>
      <w:r w:rsidRPr="002358A2" w:rsidR="002358A2">
        <w:t>’</w:t>
      </w:r>
      <w:r w:rsidRPr="002358A2">
        <w:t xml:space="preserve">s licence (see paragraph </w:t>
      </w:r>
      <w:r w:rsidRPr="002358A2">
        <w:fldChar w:fldCharType="begin"/>
      </w:r>
      <w:r w:rsidRPr="002358A2">
        <w:instrText xml:space="preserve"> REF F_winding_up_SofCC_dec_22_04_2015 \h </w:instrText>
      </w:r>
      <w:r w:rsidRPr="002358A2">
        <w:fldChar w:fldCharType="separate"/>
      </w:r>
      <w:r w:rsidRPr="002358A2" w:rsidR="002358A2">
        <w:rPr>
          <w:noProof/>
        </w:rPr>
        <w:t>60</w:t>
      </w:r>
      <w:r w:rsidRPr="002358A2">
        <w:fldChar w:fldCharType="end"/>
      </w:r>
      <w:r w:rsidRPr="002358A2">
        <w:t xml:space="preserve"> above) was contrary to EU law.</w:t>
      </w:r>
    </w:p>
    <w:bookmarkStart w:name="F_winding_up_SAC_KTB_appeal" w:id="76"/>
    <w:p w:rsidRPr="002358A2" w:rsidR="00BF0CAC" w:rsidP="002358A2" w:rsidRDefault="00BF0CAC" w14:paraId="03BD3942" w14:textId="1C7C5E6A">
      <w:pPr>
        <w:pStyle w:val="JuPara"/>
      </w:pPr>
      <w:r w:rsidRPr="002358A2">
        <w:fldChar w:fldCharType="begin"/>
      </w:r>
      <w:r w:rsidRPr="002358A2">
        <w:instrText xml:space="preserve"> SEQ level0 \*arabic </w:instrText>
      </w:r>
      <w:r w:rsidRPr="002358A2">
        <w:fldChar w:fldCharType="separate"/>
      </w:r>
      <w:r w:rsidRPr="002358A2" w:rsidR="002358A2">
        <w:rPr>
          <w:noProof/>
        </w:rPr>
        <w:t>64</w:t>
      </w:r>
      <w:r w:rsidRPr="002358A2">
        <w:fldChar w:fldCharType="end"/>
      </w:r>
      <w:bookmarkEnd w:id="76"/>
      <w:r w:rsidRPr="002358A2">
        <w:t>.  Bromak and KTB</w:t>
      </w:r>
      <w:r w:rsidRPr="002358A2" w:rsidR="002358A2">
        <w:t>’</w:t>
      </w:r>
      <w:r w:rsidRPr="002358A2">
        <w:t>s former executive directors also appealed against the Sofia City Court</w:t>
      </w:r>
      <w:r w:rsidRPr="002358A2" w:rsidR="002358A2">
        <w:t>’</w:t>
      </w:r>
      <w:r w:rsidRPr="002358A2">
        <w:t>s judgment on behalf of KTB itself. In support of their contention that they had standing to do so, they raised arguments similar to those made in Bromak</w:t>
      </w:r>
      <w:r w:rsidRPr="002358A2" w:rsidR="002358A2">
        <w:t>’</w:t>
      </w:r>
      <w:r w:rsidRPr="002358A2">
        <w:t xml:space="preserve">s own appeal (see paragraph </w:t>
      </w:r>
      <w:r w:rsidRPr="002358A2">
        <w:fldChar w:fldCharType="begin"/>
      </w:r>
      <w:r w:rsidRPr="002358A2">
        <w:instrText xml:space="preserve"> REF F_winding_up_SAC_Bromak_appeal \h </w:instrText>
      </w:r>
      <w:r w:rsidRPr="002358A2">
        <w:fldChar w:fldCharType="separate"/>
      </w:r>
      <w:r w:rsidRPr="002358A2" w:rsidR="002358A2">
        <w:rPr>
          <w:noProof/>
        </w:rPr>
        <w:t>63</w:t>
      </w:r>
      <w:r w:rsidRPr="002358A2">
        <w:fldChar w:fldCharType="end"/>
      </w:r>
      <w:r w:rsidRPr="002358A2">
        <w:t xml:space="preserve"> above).</w:t>
      </w:r>
    </w:p>
    <w:bookmarkStart w:name="F_winding_up_SAC_other_appeals" w:id="77"/>
    <w:p w:rsidRPr="002358A2" w:rsidR="00BF0CAC" w:rsidP="002358A2" w:rsidRDefault="00BF0CAC" w14:paraId="0D4A4FAD" w14:textId="62F7521F">
      <w:pPr>
        <w:pStyle w:val="JuPara"/>
      </w:pPr>
      <w:r w:rsidRPr="002358A2">
        <w:fldChar w:fldCharType="begin"/>
      </w:r>
      <w:r w:rsidRPr="002358A2">
        <w:instrText xml:space="preserve"> SEQ level0 \*arabic </w:instrText>
      </w:r>
      <w:r w:rsidRPr="002358A2">
        <w:fldChar w:fldCharType="separate"/>
      </w:r>
      <w:r w:rsidRPr="002358A2" w:rsidR="002358A2">
        <w:rPr>
          <w:noProof/>
        </w:rPr>
        <w:t>65</w:t>
      </w:r>
      <w:r w:rsidRPr="002358A2">
        <w:fldChar w:fldCharType="end"/>
      </w:r>
      <w:bookmarkEnd w:id="77"/>
      <w:r w:rsidRPr="002358A2">
        <w:t>.  KTB</w:t>
      </w:r>
      <w:r w:rsidRPr="002358A2" w:rsidR="002358A2">
        <w:t>’</w:t>
      </w:r>
      <w:r w:rsidRPr="002358A2">
        <w:t>s liquidators (acting on behalf of KTB), the BNB and the Prosecutor</w:t>
      </w:r>
      <w:r w:rsidRPr="002358A2" w:rsidR="002358A2">
        <w:t>’</w:t>
      </w:r>
      <w:r w:rsidRPr="002358A2">
        <w:t xml:space="preserve">s Office (which was taking part in the proceedings </w:t>
      </w:r>
      <w:r w:rsidRPr="002358A2">
        <w:rPr>
          <w:i/>
          <w:iCs/>
        </w:rPr>
        <w:t>ex officio</w:t>
      </w:r>
      <w:r w:rsidRPr="002358A2">
        <w:t>) also appealed, but only against the Sofia City Court</w:t>
      </w:r>
      <w:r w:rsidRPr="002358A2" w:rsidR="002358A2">
        <w:t>’</w:t>
      </w:r>
      <w:r w:rsidRPr="002358A2">
        <w:t xml:space="preserve">s ruling about the date on which KTB had become insolvent (see paragraph </w:t>
      </w:r>
      <w:r w:rsidRPr="002358A2">
        <w:fldChar w:fldCharType="begin"/>
      </w:r>
      <w:r w:rsidRPr="002358A2">
        <w:instrText xml:space="preserve"> REF F_winding_up_SofCC_dec_22_04_2015 \h </w:instrText>
      </w:r>
      <w:r w:rsidRPr="002358A2">
        <w:fldChar w:fldCharType="separate"/>
      </w:r>
      <w:r w:rsidRPr="002358A2" w:rsidR="002358A2">
        <w:rPr>
          <w:noProof/>
        </w:rPr>
        <w:t>60</w:t>
      </w:r>
      <w:r w:rsidRPr="002358A2">
        <w:fldChar w:fldCharType="end"/>
      </w:r>
      <w:r w:rsidRPr="002358A2">
        <w:t xml:space="preserve"> (a) above). In their view, that was not 6 November but 20 June 2014.</w:t>
      </w:r>
    </w:p>
    <w:p w:rsidRPr="002358A2" w:rsidR="00BF0CAC" w:rsidP="002358A2" w:rsidRDefault="00BF0CAC" w14:paraId="76DF6A40" w14:textId="0C75C74B">
      <w:pPr>
        <w:pStyle w:val="JuPara"/>
      </w:pPr>
      <w:r w:rsidRPr="002358A2">
        <w:fldChar w:fldCharType="begin"/>
      </w:r>
      <w:r w:rsidRPr="002358A2">
        <w:instrText xml:space="preserve"> SEQ level0 \*arabic </w:instrText>
      </w:r>
      <w:r w:rsidRPr="002358A2">
        <w:fldChar w:fldCharType="separate"/>
      </w:r>
      <w:r w:rsidRPr="002358A2" w:rsidR="002358A2">
        <w:rPr>
          <w:noProof/>
        </w:rPr>
        <w:t>66</w:t>
      </w:r>
      <w:r w:rsidRPr="002358A2">
        <w:fldChar w:fldCharType="end"/>
      </w:r>
      <w:r w:rsidRPr="002358A2">
        <w:t xml:space="preserve">.  Bromak also appealed to the Sofia City Court against the decision of the Deposit Insurance Fund to appoint permanent liquidators for KTB (see paragraph </w:t>
      </w:r>
      <w:r w:rsidRPr="002358A2">
        <w:fldChar w:fldCharType="begin"/>
      </w:r>
      <w:r w:rsidRPr="002358A2">
        <w:instrText xml:space="preserve"> REF F_winding_up_SofCC_DIF_appoint_liquid \h </w:instrText>
      </w:r>
      <w:r w:rsidRPr="002358A2">
        <w:fldChar w:fldCharType="separate"/>
      </w:r>
      <w:r w:rsidRPr="002358A2" w:rsidR="002358A2">
        <w:rPr>
          <w:noProof/>
        </w:rPr>
        <w:t>62</w:t>
      </w:r>
      <w:r w:rsidRPr="002358A2">
        <w:fldChar w:fldCharType="end"/>
      </w:r>
      <w:r w:rsidRPr="002358A2">
        <w:t xml:space="preserve"> above).</w:t>
      </w:r>
    </w:p>
    <w:bookmarkStart w:name="F_winding_up_SAC_hearing" w:id="78"/>
    <w:p w:rsidRPr="002358A2" w:rsidR="00BF0CAC" w:rsidP="002358A2" w:rsidRDefault="00BF0CAC" w14:paraId="73FC013F" w14:textId="1F6D1B7D">
      <w:pPr>
        <w:pStyle w:val="JuPara"/>
      </w:pPr>
      <w:r w:rsidRPr="002358A2">
        <w:fldChar w:fldCharType="begin"/>
      </w:r>
      <w:r w:rsidRPr="002358A2">
        <w:instrText xml:space="preserve"> SEQ level0 \*arabic </w:instrText>
      </w:r>
      <w:r w:rsidRPr="002358A2">
        <w:fldChar w:fldCharType="separate"/>
      </w:r>
      <w:r w:rsidRPr="002358A2" w:rsidR="002358A2">
        <w:rPr>
          <w:noProof/>
        </w:rPr>
        <w:t>67</w:t>
      </w:r>
      <w:r w:rsidRPr="002358A2">
        <w:fldChar w:fldCharType="end"/>
      </w:r>
      <w:bookmarkEnd w:id="78"/>
      <w:r w:rsidRPr="002358A2">
        <w:t>.  The Sofia Court of Appeal heard the appeals against the Sofia City Court</w:t>
      </w:r>
      <w:r w:rsidRPr="002358A2" w:rsidR="002358A2">
        <w:t>’</w:t>
      </w:r>
      <w:r w:rsidRPr="002358A2">
        <w:t xml:space="preserve">s judgment on 19 June 2015. It held, </w:t>
      </w:r>
      <w:r w:rsidRPr="002358A2">
        <w:rPr>
          <w:i/>
          <w:iCs/>
        </w:rPr>
        <w:t>inter alia</w:t>
      </w:r>
      <w:r w:rsidRPr="002358A2">
        <w:t>, that the BNB</w:t>
      </w:r>
      <w:r w:rsidRPr="002358A2" w:rsidR="002358A2">
        <w:t>’</w:t>
      </w:r>
      <w:r w:rsidRPr="002358A2">
        <w:t>s decision to withdraw KTB</w:t>
      </w:r>
      <w:r w:rsidRPr="002358A2" w:rsidR="002358A2">
        <w:t>’</w:t>
      </w:r>
      <w:r w:rsidRPr="002358A2">
        <w:t>s licence had not directly affected KTB</w:t>
      </w:r>
      <w:r w:rsidRPr="002358A2" w:rsidR="002358A2">
        <w:t>’</w:t>
      </w:r>
      <w:r w:rsidRPr="002358A2">
        <w:t>s shareholders such as Bromak. Moreover, that decision had been amenable to judicial review by the Supreme Administrative Court and could not therefore be examined by the civil courts in the proceedings relating to the BNB</w:t>
      </w:r>
      <w:r w:rsidRPr="002358A2" w:rsidR="002358A2">
        <w:t>’</w:t>
      </w:r>
      <w:r w:rsidRPr="002358A2">
        <w:t>s application for KTB to be wound up.</w:t>
      </w:r>
    </w:p>
    <w:bookmarkStart w:name="F_winding_up_SAC_dec_03_07_2015" w:id="79"/>
    <w:p w:rsidRPr="002358A2" w:rsidR="00BF0CAC" w:rsidP="002358A2" w:rsidRDefault="00BF0CAC" w14:paraId="25C8D296" w14:textId="334FC87D">
      <w:pPr>
        <w:pStyle w:val="JuPara"/>
      </w:pPr>
      <w:r w:rsidRPr="002358A2">
        <w:fldChar w:fldCharType="begin"/>
      </w:r>
      <w:r w:rsidRPr="002358A2">
        <w:instrText xml:space="preserve"> SEQ level0 \*arabic </w:instrText>
      </w:r>
      <w:r w:rsidRPr="002358A2">
        <w:fldChar w:fldCharType="separate"/>
      </w:r>
      <w:r w:rsidRPr="002358A2" w:rsidR="002358A2">
        <w:rPr>
          <w:noProof/>
        </w:rPr>
        <w:t>68</w:t>
      </w:r>
      <w:r w:rsidRPr="002358A2">
        <w:fldChar w:fldCharType="end"/>
      </w:r>
      <w:bookmarkEnd w:id="79"/>
      <w:r w:rsidRPr="002358A2">
        <w:t xml:space="preserve">.  On 3 July 2015 the Sofia Court of Appeal found the appeals by Bromak and Bulgarian Acquisition Company II Sarl in their capacity as shareholders in KTB inadmissible, on the basis that shareholders were not among the persons empowered to appeal under section 16(1) </w:t>
      </w:r>
      <w:r w:rsidRPr="002358A2">
        <w:rPr>
          <w:i/>
          <w:iCs/>
        </w:rPr>
        <w:t>in fine</w:t>
      </w:r>
      <w:r w:rsidRPr="002358A2">
        <w:t xml:space="preserve"> of the Bank Insolvency Act 2002 (see paragraph </w:t>
      </w:r>
      <w:r w:rsidRPr="002358A2">
        <w:fldChar w:fldCharType="begin"/>
      </w:r>
      <w:r w:rsidRPr="002358A2">
        <w:instrText xml:space="preserve"> REF RLF_winding_up_appeal_standing \h  \* MERGEFORMAT </w:instrText>
      </w:r>
      <w:r w:rsidRPr="002358A2">
        <w:fldChar w:fldCharType="separate"/>
      </w:r>
      <w:r w:rsidRPr="002358A2" w:rsidR="002358A2">
        <w:rPr>
          <w:noProof/>
        </w:rPr>
        <w:t>99</w:t>
      </w:r>
      <w:r w:rsidRPr="002358A2">
        <w:fldChar w:fldCharType="end"/>
      </w:r>
      <w:r w:rsidRPr="002358A2">
        <w:t xml:space="preserve"> below). The list of persons with standing to appeal set out in that provision was exhaustive and could not be construed expansively, given the specific nature of the proceedings in which the BNB was seeking the winding-up of a bank. For the same reason, the appeal by Bromak and KTB</w:t>
      </w:r>
      <w:r w:rsidRPr="002358A2" w:rsidR="002358A2">
        <w:t>’</w:t>
      </w:r>
      <w:r w:rsidRPr="002358A2">
        <w:t>s former executive directors on behalf of KTB was likewise inadmissible. KTB</w:t>
      </w:r>
      <w:r w:rsidRPr="002358A2" w:rsidR="002358A2">
        <w:t>’</w:t>
      </w:r>
      <w:r w:rsidRPr="002358A2">
        <w:t>s executive directors had, moreover, been removed from office and could not act on its behalf. As for Bromak, the2002</w:t>
      </w:r>
      <w:r w:rsidRPr="002358A2" w:rsidR="00CE5489">
        <w:t> </w:t>
      </w:r>
      <w:r w:rsidRPr="002358A2">
        <w:t>Act did not provide for an exception to the general rule of civil procedure that the parties to a case were the claimant and the defendant, and that a person could vindicate another</w:t>
      </w:r>
      <w:r w:rsidRPr="002358A2" w:rsidR="002358A2">
        <w:t>’</w:t>
      </w:r>
      <w:r w:rsidRPr="002358A2">
        <w:t>s rights before a court only when enabled to do so by a special rule. By contrast, the appeals by the BNB, the Prosecutor</w:t>
      </w:r>
      <w:r w:rsidRPr="002358A2" w:rsidR="002358A2">
        <w:t>’</w:t>
      </w:r>
      <w:r w:rsidRPr="002358A2">
        <w:t>s Office and KTB</w:t>
      </w:r>
      <w:r w:rsidRPr="002358A2" w:rsidR="002358A2">
        <w:t>’</w:t>
      </w:r>
      <w:r w:rsidRPr="002358A2">
        <w:t>s liquidators were admissible and well-founded (see</w:t>
      </w:r>
      <w:r w:rsidRPr="002358A2">
        <w:rPr>
          <w:lang w:val="bg-BG"/>
        </w:rPr>
        <w:t xml:space="preserve"> </w:t>
      </w:r>
      <w:r w:rsidRPr="002358A2">
        <w:rPr>
          <w:i/>
          <w:iCs/>
          <w:lang w:val="bg-BG"/>
        </w:rPr>
        <w:t>реш.</w:t>
      </w:r>
      <w:r w:rsidRPr="002358A2">
        <w:rPr>
          <w:i/>
          <w:iCs/>
        </w:rPr>
        <w:t xml:space="preserve"> </w:t>
      </w:r>
      <w:r w:rsidRPr="002358A2">
        <w:rPr>
          <w:i/>
          <w:iCs/>
          <w:lang w:val="bg-BG"/>
        </w:rPr>
        <w:t>№</w:t>
      </w:r>
      <w:r w:rsidRPr="002358A2">
        <w:rPr>
          <w:i/>
          <w:iCs/>
        </w:rPr>
        <w:t xml:space="preserve"> </w:t>
      </w:r>
      <w:r w:rsidRPr="002358A2">
        <w:rPr>
          <w:i/>
          <w:iCs/>
          <w:lang w:val="bg-BG"/>
        </w:rPr>
        <w:t>1443 от 03.07.2015 г. по т.</w:t>
      </w:r>
      <w:r w:rsidRPr="002358A2">
        <w:rPr>
          <w:i/>
          <w:iCs/>
        </w:rPr>
        <w:t xml:space="preserve"> </w:t>
      </w:r>
      <w:r w:rsidRPr="002358A2">
        <w:rPr>
          <w:i/>
          <w:iCs/>
          <w:lang w:val="bg-BG"/>
        </w:rPr>
        <w:t>д. н. № 2216/2015 г., САС</w:t>
      </w:r>
      <w:r w:rsidRPr="002358A2">
        <w:t>).</w:t>
      </w:r>
    </w:p>
    <w:p w:rsidRPr="002358A2" w:rsidR="00BF0CAC" w:rsidP="002358A2" w:rsidRDefault="00BF0CAC" w14:paraId="24439258" w14:textId="77777777">
      <w:pPr>
        <w:pStyle w:val="JuHA"/>
      </w:pPr>
      <w:bookmarkStart w:name="_Toc107950843" w:id="80"/>
      <w:r w:rsidRPr="002358A2">
        <w:t>Proceedings before the Supreme Court of Cassation</w:t>
      </w:r>
      <w:bookmarkEnd w:id="80"/>
    </w:p>
    <w:p w:rsidRPr="002358A2" w:rsidR="00BF0CAC" w:rsidP="002358A2" w:rsidRDefault="00BF0CAC" w14:paraId="4F52093E" w14:textId="77777777">
      <w:pPr>
        <w:pStyle w:val="JuH1"/>
      </w:pPr>
      <w:bookmarkStart w:name="_Toc107950844" w:id="81"/>
      <w:r w:rsidRPr="002358A2">
        <w:t>First phase of the proceedings before the Supreme Court of Cassation</w:t>
      </w:r>
      <w:bookmarkEnd w:id="81"/>
    </w:p>
    <w:bookmarkStart w:name="F_winding_up_SCC_1_Bromak_appeal" w:id="82"/>
    <w:p w:rsidRPr="002358A2" w:rsidR="00BF0CAC" w:rsidP="002358A2" w:rsidRDefault="00BF0CAC" w14:paraId="1939701C" w14:textId="0DFC71CC">
      <w:pPr>
        <w:pStyle w:val="JuPara"/>
      </w:pPr>
      <w:r w:rsidRPr="002358A2">
        <w:fldChar w:fldCharType="begin"/>
      </w:r>
      <w:r w:rsidRPr="002358A2">
        <w:instrText xml:space="preserve"> SEQ level0 \*arabic </w:instrText>
      </w:r>
      <w:r w:rsidRPr="002358A2">
        <w:fldChar w:fldCharType="separate"/>
      </w:r>
      <w:r w:rsidRPr="002358A2" w:rsidR="002358A2">
        <w:rPr>
          <w:noProof/>
        </w:rPr>
        <w:t>69</w:t>
      </w:r>
      <w:r w:rsidRPr="002358A2">
        <w:fldChar w:fldCharType="end"/>
      </w:r>
      <w:bookmarkEnd w:id="82"/>
      <w:r w:rsidRPr="002358A2">
        <w:t>.  Bromak appealed to the Supreme Court of Cassation against the Sofia Court of Appeal</w:t>
      </w:r>
      <w:r w:rsidRPr="002358A2" w:rsidR="002358A2">
        <w:t>’</w:t>
      </w:r>
      <w:r w:rsidRPr="002358A2">
        <w:t>s ruling that it had no standing. It also asked the Supreme Court of Cassation to seek a preliminary ruling from the CJEU.</w:t>
      </w:r>
    </w:p>
    <w:bookmarkStart w:name="F_winding_up_SCC_1_KTB_appeal" w:id="83"/>
    <w:p w:rsidRPr="002358A2" w:rsidR="00BF0CAC" w:rsidP="002358A2" w:rsidRDefault="00BF0CAC" w14:paraId="4B8E9AD1" w14:textId="1B92A095">
      <w:pPr>
        <w:pStyle w:val="JuPara"/>
      </w:pPr>
      <w:r w:rsidRPr="002358A2">
        <w:fldChar w:fldCharType="begin"/>
      </w:r>
      <w:r w:rsidRPr="002358A2">
        <w:instrText xml:space="preserve"> SEQ level0 \*arabic </w:instrText>
      </w:r>
      <w:r w:rsidRPr="002358A2">
        <w:fldChar w:fldCharType="separate"/>
      </w:r>
      <w:r w:rsidRPr="002358A2" w:rsidR="002358A2">
        <w:rPr>
          <w:noProof/>
        </w:rPr>
        <w:t>70</w:t>
      </w:r>
      <w:r w:rsidRPr="002358A2">
        <w:fldChar w:fldCharType="end"/>
      </w:r>
      <w:bookmarkEnd w:id="83"/>
      <w:r w:rsidRPr="002358A2">
        <w:t>.  Bromak and KTB</w:t>
      </w:r>
      <w:r w:rsidRPr="002358A2" w:rsidR="002358A2">
        <w:t>’</w:t>
      </w:r>
      <w:r w:rsidRPr="002358A2">
        <w:t>s former executive directors, acting on behalf of KTB, also appealed against the Sofia Court of Appeal</w:t>
      </w:r>
      <w:r w:rsidRPr="002358A2" w:rsidR="002358A2">
        <w:t>’</w:t>
      </w:r>
      <w:r w:rsidRPr="002358A2">
        <w:t>s ruling that they had no standing to appeal against the Sofia City Court</w:t>
      </w:r>
      <w:r w:rsidRPr="002358A2" w:rsidR="002358A2">
        <w:t>’</w:t>
      </w:r>
      <w:r w:rsidRPr="002358A2">
        <w:t>s decision on behalf of KTB itself. In that appeal, they also asked the Supreme Court of Cassation to seek a preliminary ruling from the CJEU.</w:t>
      </w:r>
    </w:p>
    <w:bookmarkStart w:name="F_winding_up_SCC_1_KTB_Bromak_appeal_pl" w:id="84"/>
    <w:p w:rsidRPr="002358A2" w:rsidR="00BF0CAC" w:rsidP="002358A2" w:rsidRDefault="00BF0CAC" w14:paraId="38D62A0E" w14:textId="3E89B875">
      <w:pPr>
        <w:pStyle w:val="JuPara"/>
      </w:pPr>
      <w:r w:rsidRPr="002358A2">
        <w:fldChar w:fldCharType="begin"/>
      </w:r>
      <w:r w:rsidRPr="002358A2">
        <w:instrText xml:space="preserve"> SEQ level0 \*arabic </w:instrText>
      </w:r>
      <w:r w:rsidRPr="002358A2">
        <w:fldChar w:fldCharType="separate"/>
      </w:r>
      <w:r w:rsidRPr="002358A2" w:rsidR="002358A2">
        <w:rPr>
          <w:noProof/>
        </w:rPr>
        <w:t>71</w:t>
      </w:r>
      <w:r w:rsidRPr="002358A2">
        <w:fldChar w:fldCharType="end"/>
      </w:r>
      <w:bookmarkEnd w:id="84"/>
      <w:r w:rsidRPr="002358A2">
        <w:t>.  KTB</w:t>
      </w:r>
      <w:r w:rsidRPr="002358A2" w:rsidR="002358A2">
        <w:t>’</w:t>
      </w:r>
      <w:r w:rsidRPr="002358A2">
        <w:t>s former executive directors and Bromak, acting both in its own name and on behalf of KTB, also appealed on points of law against the Sofia Court of Appeal</w:t>
      </w:r>
      <w:r w:rsidRPr="002358A2" w:rsidR="002358A2">
        <w:t>’</w:t>
      </w:r>
      <w:r w:rsidRPr="002358A2">
        <w:t>s decision reversing the Sofia City Court</w:t>
      </w:r>
      <w:r w:rsidRPr="002358A2" w:rsidR="002358A2">
        <w:t>’</w:t>
      </w:r>
      <w:r w:rsidRPr="002358A2">
        <w:t>s ruling about the date on which KTB had become insolvent.</w:t>
      </w:r>
    </w:p>
    <w:bookmarkStart w:name="F_winding_up_SCC_1_BACII_Sarl_appeals" w:id="85"/>
    <w:p w:rsidRPr="002358A2" w:rsidR="00BF0CAC" w:rsidP="002358A2" w:rsidRDefault="00BF0CAC" w14:paraId="0B1824AB" w14:textId="26DC0A65">
      <w:pPr>
        <w:pStyle w:val="JuPara"/>
      </w:pPr>
      <w:r w:rsidRPr="002358A2">
        <w:fldChar w:fldCharType="begin"/>
      </w:r>
      <w:r w:rsidRPr="002358A2">
        <w:instrText xml:space="preserve"> SEQ level0 \*arabic </w:instrText>
      </w:r>
      <w:r w:rsidRPr="002358A2">
        <w:fldChar w:fldCharType="separate"/>
      </w:r>
      <w:r w:rsidRPr="002358A2" w:rsidR="002358A2">
        <w:rPr>
          <w:noProof/>
        </w:rPr>
        <w:t>72</w:t>
      </w:r>
      <w:r w:rsidRPr="002358A2">
        <w:fldChar w:fldCharType="end"/>
      </w:r>
      <w:bookmarkEnd w:id="85"/>
      <w:r w:rsidRPr="002358A2">
        <w:t>.  Bulgarian Acquisition Company II Sarl lodged similar appeals and likewise asked the court to submit a preliminary reference to the CJEU.</w:t>
      </w:r>
    </w:p>
    <w:bookmarkStart w:name="F_winding_up_SCC_dec_11_01_2016" w:id="86"/>
    <w:p w:rsidRPr="002358A2" w:rsidR="00BF0CAC" w:rsidP="002358A2" w:rsidRDefault="00BF0CAC" w14:paraId="384375D6" w14:textId="01551E26">
      <w:pPr>
        <w:pStyle w:val="JuPara"/>
      </w:pPr>
      <w:r w:rsidRPr="002358A2">
        <w:fldChar w:fldCharType="begin"/>
      </w:r>
      <w:r w:rsidRPr="002358A2">
        <w:instrText xml:space="preserve"> SEQ level0 \*arabic </w:instrText>
      </w:r>
      <w:r w:rsidRPr="002358A2">
        <w:fldChar w:fldCharType="separate"/>
      </w:r>
      <w:r w:rsidRPr="002358A2" w:rsidR="002358A2">
        <w:rPr>
          <w:noProof/>
        </w:rPr>
        <w:t>73</w:t>
      </w:r>
      <w:r w:rsidRPr="002358A2">
        <w:fldChar w:fldCharType="end"/>
      </w:r>
      <w:bookmarkEnd w:id="86"/>
      <w:r w:rsidRPr="002358A2">
        <w:t xml:space="preserve">.  On 11 January 2016 the Supreme Court of Cassation refused to seek a preliminary ruling from the CJEU. It did, however, invite the Constitutional Court to declare sections 11(3) and 16(1) </w:t>
      </w:r>
      <w:r w:rsidRPr="002358A2">
        <w:rPr>
          <w:i/>
          <w:iCs/>
        </w:rPr>
        <w:t>in fine</w:t>
      </w:r>
      <w:r w:rsidRPr="002358A2">
        <w:t xml:space="preserve"> of the Bank Insolvency Act</w:t>
      </w:r>
      <w:r w:rsidRPr="002358A2" w:rsidR="003F5E19">
        <w:t> </w:t>
      </w:r>
      <w:r w:rsidRPr="002358A2">
        <w:t xml:space="preserve">2002 (see paragraphs </w:t>
      </w:r>
      <w:r w:rsidRPr="002358A2">
        <w:fldChar w:fldCharType="begin"/>
      </w:r>
      <w:r w:rsidRPr="002358A2">
        <w:instrText xml:space="preserve"> REF RLF_winding_up_hearing_representation \h </w:instrText>
      </w:r>
      <w:r w:rsidRPr="002358A2">
        <w:fldChar w:fldCharType="separate"/>
      </w:r>
      <w:r w:rsidRPr="002358A2" w:rsidR="002358A2">
        <w:rPr>
          <w:noProof/>
        </w:rPr>
        <w:t>96</w:t>
      </w:r>
      <w:r w:rsidRPr="002358A2">
        <w:fldChar w:fldCharType="end"/>
      </w:r>
      <w:r w:rsidRPr="002358A2">
        <w:t xml:space="preserve"> and </w:t>
      </w:r>
      <w:r w:rsidRPr="002358A2">
        <w:fldChar w:fldCharType="begin"/>
      </w:r>
      <w:r w:rsidRPr="002358A2">
        <w:instrText xml:space="preserve"> REF RLF_winding_up_appeal_standing \h </w:instrText>
      </w:r>
      <w:r w:rsidRPr="002358A2">
        <w:fldChar w:fldCharType="separate"/>
      </w:r>
      <w:r w:rsidRPr="002358A2" w:rsidR="002358A2">
        <w:rPr>
          <w:noProof/>
        </w:rPr>
        <w:t>99</w:t>
      </w:r>
      <w:r w:rsidRPr="002358A2">
        <w:fldChar w:fldCharType="end"/>
      </w:r>
      <w:r w:rsidRPr="002358A2">
        <w:t xml:space="preserve"> below) unconstitutional and contrary to Article 6 § 1 of the Convention (see </w:t>
      </w:r>
      <w:r w:rsidRPr="002358A2">
        <w:rPr>
          <w:i/>
          <w:iCs/>
          <w:lang w:val="bg-BG"/>
        </w:rPr>
        <w:t>опр. №</w:t>
      </w:r>
      <w:r w:rsidRPr="002358A2">
        <w:rPr>
          <w:i/>
          <w:iCs/>
        </w:rPr>
        <w:t xml:space="preserve"> </w:t>
      </w:r>
      <w:r w:rsidRPr="002358A2">
        <w:rPr>
          <w:i/>
          <w:iCs/>
          <w:lang w:val="bg-BG"/>
        </w:rPr>
        <w:t>4 от</w:t>
      </w:r>
      <w:r w:rsidRPr="002358A2">
        <w:rPr>
          <w:i/>
          <w:iCs/>
        </w:rPr>
        <w:t xml:space="preserve"> </w:t>
      </w:r>
      <w:r w:rsidRPr="002358A2">
        <w:rPr>
          <w:i/>
          <w:iCs/>
          <w:lang w:val="bg-BG"/>
        </w:rPr>
        <w:t>11.01.2016 г. по т.</w:t>
      </w:r>
      <w:r w:rsidRPr="002358A2">
        <w:rPr>
          <w:i/>
          <w:iCs/>
        </w:rPr>
        <w:t> </w:t>
      </w:r>
      <w:r w:rsidRPr="002358A2">
        <w:rPr>
          <w:i/>
          <w:iCs/>
          <w:lang w:val="bg-BG"/>
        </w:rPr>
        <w:t>д.</w:t>
      </w:r>
      <w:r w:rsidRPr="002358A2">
        <w:rPr>
          <w:i/>
          <w:iCs/>
        </w:rPr>
        <w:t> </w:t>
      </w:r>
      <w:r w:rsidRPr="002358A2">
        <w:rPr>
          <w:i/>
          <w:iCs/>
          <w:lang w:val="bg-BG"/>
        </w:rPr>
        <w:t>№</w:t>
      </w:r>
      <w:r w:rsidRPr="002358A2">
        <w:rPr>
          <w:i/>
          <w:iCs/>
        </w:rPr>
        <w:t> </w:t>
      </w:r>
      <w:r w:rsidRPr="002358A2">
        <w:rPr>
          <w:i/>
          <w:iCs/>
          <w:lang w:val="bg-BG"/>
        </w:rPr>
        <w:t xml:space="preserve">3343/2015 г., ВКС, </w:t>
      </w:r>
      <w:r w:rsidRPr="002358A2">
        <w:rPr>
          <w:i/>
          <w:iCs/>
        </w:rPr>
        <w:t xml:space="preserve">I </w:t>
      </w:r>
      <w:r w:rsidRPr="002358A2">
        <w:rPr>
          <w:i/>
          <w:iCs/>
          <w:lang w:val="bg-BG"/>
        </w:rPr>
        <w:t>т. о.</w:t>
      </w:r>
      <w:r w:rsidRPr="002358A2">
        <w:t>).</w:t>
      </w:r>
    </w:p>
    <w:p w:rsidRPr="002358A2" w:rsidR="00BF0CAC" w:rsidP="002358A2" w:rsidRDefault="00BF0CAC" w14:paraId="0F0C51AF" w14:textId="77777777">
      <w:pPr>
        <w:pStyle w:val="JuH1"/>
      </w:pPr>
      <w:bookmarkStart w:name="_Toc107950845" w:id="87"/>
      <w:r w:rsidRPr="002358A2">
        <w:t>Proceedings before the Constitutional Court</w:t>
      </w:r>
      <w:bookmarkEnd w:id="87"/>
    </w:p>
    <w:p w:rsidRPr="002358A2" w:rsidR="00BF0CAC" w:rsidP="002358A2" w:rsidRDefault="00BF0CAC" w14:paraId="66A6703A" w14:textId="088EDDCA">
      <w:pPr>
        <w:pStyle w:val="JuPara"/>
      </w:pPr>
      <w:r w:rsidRPr="002358A2">
        <w:fldChar w:fldCharType="begin"/>
      </w:r>
      <w:r w:rsidRPr="002358A2">
        <w:instrText xml:space="preserve"> SEQ level0 \*arabic </w:instrText>
      </w:r>
      <w:r w:rsidRPr="002358A2">
        <w:fldChar w:fldCharType="separate"/>
      </w:r>
      <w:r w:rsidRPr="002358A2" w:rsidR="002358A2">
        <w:rPr>
          <w:noProof/>
        </w:rPr>
        <w:t>74</w:t>
      </w:r>
      <w:r w:rsidRPr="002358A2">
        <w:fldChar w:fldCharType="end"/>
      </w:r>
      <w:r w:rsidRPr="002358A2">
        <w:t>.  On 4 February 2016 the Constitutional Court found the Supreme Court of Cassation</w:t>
      </w:r>
      <w:r w:rsidRPr="002358A2" w:rsidR="002358A2">
        <w:t>’</w:t>
      </w:r>
      <w:r w:rsidRPr="002358A2">
        <w:t xml:space="preserve">s request to declare sections 11(3) and 16(1) </w:t>
      </w:r>
      <w:r w:rsidRPr="002358A2">
        <w:rPr>
          <w:i/>
          <w:iCs/>
        </w:rPr>
        <w:t>in fine</w:t>
      </w:r>
      <w:r w:rsidRPr="002358A2">
        <w:t xml:space="preserve"> of the Bank Insolvency Act 2002 unconstitutional admissible, but the concurrent request to find them contrary to Article 6 § 1 of the Convention inadmissible.</w:t>
      </w:r>
    </w:p>
    <w:bookmarkStart w:name="F_winding_up_CC_jud_14_06_2016" w:id="88"/>
    <w:p w:rsidRPr="002358A2" w:rsidR="00BF0CAC" w:rsidP="002358A2" w:rsidRDefault="00BF0CAC" w14:paraId="1A2C501E" w14:textId="0E245E9B">
      <w:pPr>
        <w:pStyle w:val="JuPara"/>
      </w:pPr>
      <w:r w:rsidRPr="002358A2">
        <w:fldChar w:fldCharType="begin"/>
      </w:r>
      <w:r w:rsidRPr="002358A2">
        <w:instrText xml:space="preserve"> SEQ level0 \*arabic </w:instrText>
      </w:r>
      <w:r w:rsidRPr="002358A2">
        <w:fldChar w:fldCharType="separate"/>
      </w:r>
      <w:r w:rsidRPr="002358A2" w:rsidR="002358A2">
        <w:rPr>
          <w:noProof/>
        </w:rPr>
        <w:t>75</w:t>
      </w:r>
      <w:r w:rsidRPr="002358A2">
        <w:fldChar w:fldCharType="end"/>
      </w:r>
      <w:bookmarkEnd w:id="88"/>
      <w:r w:rsidRPr="002358A2">
        <w:t xml:space="preserve">.  On 14 June 2016 the Constitutional Court rejected the request to declare sections 11(3) and 16(1) </w:t>
      </w:r>
      <w:r w:rsidRPr="002358A2">
        <w:rPr>
          <w:i/>
          <w:iCs/>
        </w:rPr>
        <w:t>in fine</w:t>
      </w:r>
      <w:r w:rsidRPr="002358A2">
        <w:t xml:space="preserve"> of the 2002 Act unconstitutional. It pointed to the specific nature of bank insolvency, holding that misgivings that a bank</w:t>
      </w:r>
      <w:r w:rsidRPr="002358A2" w:rsidR="002358A2">
        <w:t>’</w:t>
      </w:r>
      <w:r w:rsidRPr="002358A2">
        <w:t xml:space="preserve">s special administrators and liquidators would not effectively protect its interests was not sufficient reason to declare section 11(3) of the 2002 Act (see paragraph </w:t>
      </w:r>
      <w:r w:rsidRPr="002358A2">
        <w:fldChar w:fldCharType="begin"/>
      </w:r>
      <w:r w:rsidRPr="002358A2">
        <w:instrText xml:space="preserve"> REF RLF_winding_up_hearing_representation \h </w:instrText>
      </w:r>
      <w:r w:rsidRPr="002358A2">
        <w:fldChar w:fldCharType="separate"/>
      </w:r>
      <w:r w:rsidRPr="002358A2" w:rsidR="002358A2">
        <w:rPr>
          <w:noProof/>
        </w:rPr>
        <w:t>96</w:t>
      </w:r>
      <w:r w:rsidRPr="002358A2">
        <w:fldChar w:fldCharType="end"/>
      </w:r>
      <w:r w:rsidRPr="002358A2">
        <w:t xml:space="preserve"> below) unconstitutional. It noted in that connection that </w:t>
      </w:r>
      <w:bookmarkStart w:name="_Hlk103847685" w:id="89"/>
      <w:r w:rsidRPr="002358A2">
        <w:t xml:space="preserve">in case of doubt about a conflict of interests </w:t>
      </w:r>
      <w:bookmarkEnd w:id="89"/>
      <w:r w:rsidRPr="002358A2">
        <w:t xml:space="preserve">between a bank and those representing it in given proceedings, it was possible to appoint a special representative </w:t>
      </w:r>
      <w:r w:rsidRPr="002358A2">
        <w:rPr>
          <w:i/>
          <w:iCs/>
        </w:rPr>
        <w:t>ad litem</w:t>
      </w:r>
      <w:r w:rsidRPr="002358A2">
        <w:t xml:space="preserve"> under Article 29 </w:t>
      </w:r>
      <w:r w:rsidRPr="002358A2">
        <w:rPr>
          <w:rFonts w:cstheme="minorHAnsi"/>
        </w:rPr>
        <w:t>§</w:t>
      </w:r>
      <w:r w:rsidRPr="002358A2">
        <w:t xml:space="preserve"> 4 of the Code of Civil Procedure (see paragraph </w:t>
      </w:r>
      <w:r w:rsidRPr="002358A2">
        <w:fldChar w:fldCharType="begin"/>
      </w:r>
      <w:r w:rsidRPr="002358A2">
        <w:instrText xml:space="preserve"> REF RLF_CCP_A_29_4 \h </w:instrText>
      </w:r>
      <w:r w:rsidRPr="002358A2">
        <w:fldChar w:fldCharType="separate"/>
      </w:r>
      <w:r w:rsidRPr="002358A2" w:rsidR="002358A2">
        <w:rPr>
          <w:noProof/>
        </w:rPr>
        <w:t>105</w:t>
      </w:r>
      <w:r w:rsidRPr="002358A2">
        <w:fldChar w:fldCharType="end"/>
      </w:r>
      <w:r w:rsidRPr="002358A2">
        <w:t xml:space="preserve"> below). The court added that the question whether a bank was insolvent had to be decided in proceedings for judicial review of the BNB</w:t>
      </w:r>
      <w:r w:rsidRPr="002358A2" w:rsidR="002358A2">
        <w:t>’</w:t>
      </w:r>
      <w:r w:rsidRPr="002358A2">
        <w:t>s decision to withdraw its licence on that ground, not in the ensuing proceedings relating to the BNB</w:t>
      </w:r>
      <w:r w:rsidRPr="002358A2" w:rsidR="002358A2">
        <w:t>’</w:t>
      </w:r>
      <w:r w:rsidRPr="002358A2">
        <w:t>s application for the bank to be wound up. It was thus not unconstitutional to bar the bank</w:t>
      </w:r>
      <w:r w:rsidRPr="002358A2" w:rsidR="002358A2">
        <w:t>’</w:t>
      </w:r>
      <w:r w:rsidRPr="002358A2">
        <w:t>s shareholders from appealing against the insolvency court</w:t>
      </w:r>
      <w:r w:rsidRPr="002358A2" w:rsidR="002358A2">
        <w:t>’</w:t>
      </w:r>
      <w:r w:rsidRPr="002358A2">
        <w:t>s decision on the BNB</w:t>
      </w:r>
      <w:r w:rsidRPr="002358A2" w:rsidR="002358A2">
        <w:t>’</w:t>
      </w:r>
      <w:r w:rsidRPr="002358A2">
        <w:t xml:space="preserve">s winding-up application against the bank. Section 16(1) </w:t>
      </w:r>
      <w:r w:rsidRPr="002358A2">
        <w:rPr>
          <w:i/>
          <w:iCs/>
        </w:rPr>
        <w:t>in fine</w:t>
      </w:r>
      <w:r w:rsidRPr="002358A2">
        <w:t xml:space="preserve"> of the 2002 Act (see paragraph </w:t>
      </w:r>
      <w:r w:rsidRPr="002358A2">
        <w:fldChar w:fldCharType="begin"/>
      </w:r>
      <w:r w:rsidRPr="002358A2">
        <w:instrText xml:space="preserve"> REF RLF_winding_up_appeal_standing \h </w:instrText>
      </w:r>
      <w:r w:rsidRPr="002358A2">
        <w:fldChar w:fldCharType="separate"/>
      </w:r>
      <w:r w:rsidRPr="002358A2" w:rsidR="002358A2">
        <w:rPr>
          <w:noProof/>
        </w:rPr>
        <w:t>99</w:t>
      </w:r>
      <w:r w:rsidRPr="002358A2">
        <w:fldChar w:fldCharType="end"/>
      </w:r>
      <w:r w:rsidRPr="002358A2">
        <w:t xml:space="preserve"> below) was hence not unconstitutional either (see </w:t>
      </w:r>
      <w:r w:rsidRPr="002358A2">
        <w:rPr>
          <w:i/>
          <w:iCs/>
          <w:lang w:val="bg-BG"/>
        </w:rPr>
        <w:t>реш. № 6 от</w:t>
      </w:r>
      <w:r w:rsidRPr="002358A2">
        <w:rPr>
          <w:i/>
          <w:iCs/>
        </w:rPr>
        <w:t xml:space="preserve"> </w:t>
      </w:r>
      <w:r w:rsidRPr="002358A2">
        <w:rPr>
          <w:i/>
          <w:iCs/>
          <w:lang w:val="bg-BG"/>
        </w:rPr>
        <w:t>14.06.2016г. по к.</w:t>
      </w:r>
      <w:r w:rsidRPr="002358A2">
        <w:rPr>
          <w:i/>
          <w:iCs/>
        </w:rPr>
        <w:t xml:space="preserve"> </w:t>
      </w:r>
      <w:r w:rsidRPr="002358A2">
        <w:rPr>
          <w:i/>
          <w:iCs/>
          <w:lang w:val="bg-BG"/>
        </w:rPr>
        <w:t>д. №</w:t>
      </w:r>
      <w:r w:rsidRPr="002358A2">
        <w:rPr>
          <w:i/>
          <w:iCs/>
        </w:rPr>
        <w:t xml:space="preserve"> </w:t>
      </w:r>
      <w:r w:rsidRPr="002358A2">
        <w:rPr>
          <w:i/>
          <w:iCs/>
          <w:lang w:val="bg-BG"/>
        </w:rPr>
        <w:t>1/2016</w:t>
      </w:r>
      <w:r w:rsidRPr="002358A2">
        <w:rPr>
          <w:i/>
          <w:iCs/>
        </w:rPr>
        <w:t xml:space="preserve"> </w:t>
      </w:r>
      <w:r w:rsidRPr="002358A2">
        <w:rPr>
          <w:i/>
          <w:iCs/>
          <w:lang w:val="bg-BG"/>
        </w:rPr>
        <w:t>г., КС, обн., ДВ, бр.</w:t>
      </w:r>
      <w:r w:rsidRPr="002358A2">
        <w:rPr>
          <w:i/>
          <w:iCs/>
        </w:rPr>
        <w:t xml:space="preserve"> </w:t>
      </w:r>
      <w:r w:rsidRPr="002358A2">
        <w:rPr>
          <w:i/>
          <w:iCs/>
          <w:lang w:val="bg-BG"/>
        </w:rPr>
        <w:t>47/2016 г.</w:t>
      </w:r>
      <w:r w:rsidRPr="002358A2">
        <w:t>).</w:t>
      </w:r>
    </w:p>
    <w:bookmarkStart w:name="F_winding_up_CC_jud_14_06_2016_dissent" w:id="90"/>
    <w:p w:rsidRPr="002358A2" w:rsidR="00BF0CAC" w:rsidP="002358A2" w:rsidRDefault="00BF0CAC" w14:paraId="310A49B8" w14:textId="6439E218">
      <w:pPr>
        <w:pStyle w:val="JuPara"/>
      </w:pPr>
      <w:r w:rsidRPr="002358A2">
        <w:fldChar w:fldCharType="begin"/>
      </w:r>
      <w:r w:rsidRPr="002358A2">
        <w:instrText xml:space="preserve"> SEQ level0 \*arabic </w:instrText>
      </w:r>
      <w:r w:rsidRPr="002358A2">
        <w:fldChar w:fldCharType="separate"/>
      </w:r>
      <w:r w:rsidRPr="002358A2" w:rsidR="002358A2">
        <w:rPr>
          <w:noProof/>
        </w:rPr>
        <w:t>76</w:t>
      </w:r>
      <w:r w:rsidRPr="002358A2">
        <w:fldChar w:fldCharType="end"/>
      </w:r>
      <w:bookmarkEnd w:id="90"/>
      <w:r w:rsidRPr="002358A2">
        <w:t xml:space="preserve">.  Three constitutional judges dissented in respect of the ruling on section 16(1) </w:t>
      </w:r>
      <w:r w:rsidRPr="002358A2">
        <w:rPr>
          <w:i/>
          <w:iCs/>
        </w:rPr>
        <w:t>in fine</w:t>
      </w:r>
      <w:r w:rsidRPr="002358A2">
        <w:t xml:space="preserve"> of the 2002 Act. In their view, the limitation on standing to appeal set out in that provision unjustifiably deprived bank shareholders of effective access to a court and of equality of arms in the proceedings relating to the BNB</w:t>
      </w:r>
      <w:r w:rsidRPr="002358A2" w:rsidR="002358A2">
        <w:t>’</w:t>
      </w:r>
      <w:r w:rsidRPr="002358A2">
        <w:t>s application for the bank to be wound up.</w:t>
      </w:r>
    </w:p>
    <w:p w:rsidRPr="002358A2" w:rsidR="00BF0CAC" w:rsidP="002358A2" w:rsidRDefault="00BF0CAC" w14:paraId="72BAE1DF" w14:textId="77777777">
      <w:pPr>
        <w:pStyle w:val="JuH1"/>
      </w:pPr>
      <w:bookmarkStart w:name="_Toc107950846" w:id="91"/>
      <w:r w:rsidRPr="002358A2">
        <w:t>Second phase of the proceedings before the Supreme Court of Cassation</w:t>
      </w:r>
      <w:bookmarkEnd w:id="91"/>
    </w:p>
    <w:p w:rsidRPr="002358A2" w:rsidR="00BF0CAC" w:rsidP="002358A2" w:rsidRDefault="00BF0CAC" w14:paraId="0678138A" w14:textId="6C9BF863">
      <w:pPr>
        <w:pStyle w:val="JuPara"/>
      </w:pPr>
      <w:r w:rsidRPr="002358A2">
        <w:fldChar w:fldCharType="begin"/>
      </w:r>
      <w:r w:rsidRPr="002358A2">
        <w:instrText xml:space="preserve"> SEQ level0 \*arabic </w:instrText>
      </w:r>
      <w:r w:rsidRPr="002358A2">
        <w:fldChar w:fldCharType="separate"/>
      </w:r>
      <w:r w:rsidRPr="002358A2" w:rsidR="002358A2">
        <w:rPr>
          <w:noProof/>
        </w:rPr>
        <w:t>77</w:t>
      </w:r>
      <w:r w:rsidRPr="002358A2">
        <w:fldChar w:fldCharType="end"/>
      </w:r>
      <w:r w:rsidRPr="002358A2">
        <w:t>.  After the Constitutional Court</w:t>
      </w:r>
      <w:r w:rsidRPr="002358A2" w:rsidR="002358A2">
        <w:t>’</w:t>
      </w:r>
      <w:r w:rsidRPr="002358A2">
        <w:t>s decision, the proceedings before the Supreme Court of Cassation were resumed.</w:t>
      </w:r>
    </w:p>
    <w:p w:rsidRPr="002358A2" w:rsidR="00BF0CAC" w:rsidP="002358A2" w:rsidRDefault="00BF0CAC" w14:paraId="47923B6C" w14:textId="77777777">
      <w:pPr>
        <w:pStyle w:val="JuHa0"/>
      </w:pPr>
      <w:bookmarkStart w:name="_Toc107950847" w:id="92"/>
      <w:r w:rsidRPr="002358A2">
        <w:t>Decision of the three-member panel</w:t>
      </w:r>
      <w:bookmarkEnd w:id="92"/>
    </w:p>
    <w:bookmarkStart w:name="F_winding_up_SCC_dec_06_07_2016" w:id="93"/>
    <w:p w:rsidRPr="002358A2" w:rsidR="00BF0CAC" w:rsidP="002358A2" w:rsidRDefault="00BF0CAC" w14:paraId="4FFE711B" w14:textId="65285CD4">
      <w:pPr>
        <w:pStyle w:val="JuPara"/>
      </w:pPr>
      <w:r w:rsidRPr="002358A2">
        <w:fldChar w:fldCharType="begin"/>
      </w:r>
      <w:r w:rsidRPr="002358A2">
        <w:instrText xml:space="preserve"> SEQ level0 \*arabic </w:instrText>
      </w:r>
      <w:r w:rsidRPr="002358A2">
        <w:fldChar w:fldCharType="separate"/>
      </w:r>
      <w:r w:rsidRPr="002358A2" w:rsidR="002358A2">
        <w:rPr>
          <w:noProof/>
        </w:rPr>
        <w:t>78</w:t>
      </w:r>
      <w:r w:rsidRPr="002358A2">
        <w:fldChar w:fldCharType="end"/>
      </w:r>
      <w:bookmarkEnd w:id="93"/>
      <w:r w:rsidRPr="002358A2">
        <w:t>.  On 6 July 2016 a three-member panel of the Supreme Court of Cassation (a) upheld the Sofia Court of Appeal</w:t>
      </w:r>
      <w:r w:rsidRPr="002358A2" w:rsidR="002358A2">
        <w:t>’</w:t>
      </w:r>
      <w:r w:rsidRPr="002358A2">
        <w:t>s decision not to examine the appeals lodged by Bromak and Bulgarian Acquisition Company II Sarl in their own name and that lodged by Bromak and KTB</w:t>
      </w:r>
      <w:r w:rsidRPr="002358A2" w:rsidR="002358A2">
        <w:t>’</w:t>
      </w:r>
      <w:r w:rsidRPr="002358A2">
        <w:t>s former executive directors on KTB</w:t>
      </w:r>
      <w:r w:rsidRPr="002358A2" w:rsidR="002358A2">
        <w:t>’</w:t>
      </w:r>
      <w:r w:rsidRPr="002358A2">
        <w:t xml:space="preserve">s behalf (see paragraphs </w:t>
      </w:r>
      <w:r w:rsidRPr="002358A2">
        <w:fldChar w:fldCharType="begin"/>
      </w:r>
      <w:r w:rsidRPr="002358A2">
        <w:instrText xml:space="preserve"> REF F_winding_up_SCC_1_Bromak_appeal \h </w:instrText>
      </w:r>
      <w:r w:rsidRPr="002358A2">
        <w:fldChar w:fldCharType="separate"/>
      </w:r>
      <w:r w:rsidRPr="002358A2" w:rsidR="002358A2">
        <w:rPr>
          <w:noProof/>
        </w:rPr>
        <w:t>69</w:t>
      </w:r>
      <w:r w:rsidRPr="002358A2">
        <w:fldChar w:fldCharType="end"/>
      </w:r>
      <w:r w:rsidRPr="002358A2">
        <w:t>-</w:t>
      </w:r>
      <w:r w:rsidRPr="002358A2">
        <w:fldChar w:fldCharType="begin"/>
      </w:r>
      <w:r w:rsidRPr="002358A2">
        <w:instrText xml:space="preserve"> REF F_winding_up_SCC_1_KTB_appeal \h </w:instrText>
      </w:r>
      <w:r w:rsidRPr="002358A2">
        <w:fldChar w:fldCharType="separate"/>
      </w:r>
      <w:r w:rsidRPr="002358A2" w:rsidR="002358A2">
        <w:rPr>
          <w:noProof/>
        </w:rPr>
        <w:t>70</w:t>
      </w:r>
      <w:r w:rsidRPr="002358A2">
        <w:fldChar w:fldCharType="end"/>
      </w:r>
      <w:r w:rsidRPr="002358A2">
        <w:t xml:space="preserve"> and </w:t>
      </w:r>
      <w:r w:rsidRPr="002358A2">
        <w:fldChar w:fldCharType="begin"/>
      </w:r>
      <w:r w:rsidRPr="002358A2">
        <w:instrText xml:space="preserve"> REF F_winding_up_SCC_1_BACII_Sarl_appeals \h </w:instrText>
      </w:r>
      <w:r w:rsidRPr="002358A2">
        <w:fldChar w:fldCharType="separate"/>
      </w:r>
      <w:r w:rsidRPr="002358A2" w:rsidR="002358A2">
        <w:rPr>
          <w:noProof/>
        </w:rPr>
        <w:t>72</w:t>
      </w:r>
      <w:r w:rsidRPr="002358A2">
        <w:fldChar w:fldCharType="end"/>
      </w:r>
      <w:r w:rsidRPr="002358A2">
        <w:t xml:space="preserve"> above), and</w:t>
      </w:r>
      <w:r w:rsidRPr="002358A2" w:rsidR="00E91771">
        <w:t xml:space="preserve"> </w:t>
      </w:r>
      <w:r w:rsidRPr="002358A2">
        <w:t>(b) refused to examine their appeals on points of law against the Sofia Court of Appeal</w:t>
      </w:r>
      <w:r w:rsidRPr="002358A2" w:rsidR="002358A2">
        <w:t>’</w:t>
      </w:r>
      <w:r w:rsidRPr="002358A2">
        <w:t>s ruling on the starting point of KTB</w:t>
      </w:r>
      <w:r w:rsidRPr="002358A2" w:rsidR="002358A2">
        <w:t>’</w:t>
      </w:r>
      <w:r w:rsidRPr="002358A2">
        <w:t>s insolvency (see paragraphs</w:t>
      </w:r>
      <w:r w:rsidRPr="002358A2" w:rsidR="00E91771">
        <w:t> </w:t>
      </w:r>
      <w:r w:rsidRPr="002358A2">
        <w:fldChar w:fldCharType="begin"/>
      </w:r>
      <w:r w:rsidRPr="002358A2">
        <w:instrText xml:space="preserve"> REF F_winding_up_SCC_1_KTB_Bromak_appeal_pl \h </w:instrText>
      </w:r>
      <w:r w:rsidRPr="002358A2">
        <w:fldChar w:fldCharType="separate"/>
      </w:r>
      <w:r w:rsidRPr="002358A2" w:rsidR="002358A2">
        <w:rPr>
          <w:noProof/>
        </w:rPr>
        <w:t>71</w:t>
      </w:r>
      <w:r w:rsidRPr="002358A2">
        <w:fldChar w:fldCharType="end"/>
      </w:r>
      <w:r w:rsidRPr="002358A2">
        <w:t>-</w:t>
      </w:r>
      <w:r w:rsidRPr="002358A2">
        <w:fldChar w:fldCharType="begin"/>
      </w:r>
      <w:r w:rsidRPr="002358A2">
        <w:instrText xml:space="preserve"> REF F_winding_up_SCC_1_BACII_Sarl_appeals \h </w:instrText>
      </w:r>
      <w:r w:rsidRPr="002358A2">
        <w:fldChar w:fldCharType="separate"/>
      </w:r>
      <w:r w:rsidRPr="002358A2" w:rsidR="002358A2">
        <w:rPr>
          <w:noProof/>
        </w:rPr>
        <w:t>72</w:t>
      </w:r>
      <w:r w:rsidRPr="002358A2">
        <w:fldChar w:fldCharType="end"/>
      </w:r>
      <w:r w:rsidRPr="002358A2">
        <w:t xml:space="preserve"> above). The court noted that the Constitutional Court had rejected its request to declare sections 11(3) and 16(1) </w:t>
      </w:r>
      <w:r w:rsidRPr="002358A2">
        <w:rPr>
          <w:i/>
          <w:iCs/>
        </w:rPr>
        <w:t>in fine</w:t>
      </w:r>
      <w:r w:rsidRPr="002358A2">
        <w:t xml:space="preserve"> of the Bank Insolvency Act 2002 unconstitutional (see paragraph </w:t>
      </w:r>
      <w:r w:rsidRPr="002358A2">
        <w:fldChar w:fldCharType="begin"/>
      </w:r>
      <w:r w:rsidRPr="002358A2">
        <w:instrText xml:space="preserve"> REF F_winding_up_CC_jud_14_06_2016 \h </w:instrText>
      </w:r>
      <w:r w:rsidRPr="002358A2">
        <w:fldChar w:fldCharType="separate"/>
      </w:r>
      <w:r w:rsidRPr="002358A2" w:rsidR="002358A2">
        <w:rPr>
          <w:noProof/>
        </w:rPr>
        <w:t>75</w:t>
      </w:r>
      <w:r w:rsidRPr="002358A2">
        <w:fldChar w:fldCharType="end"/>
      </w:r>
      <w:r w:rsidRPr="002358A2">
        <w:t xml:space="preserve"> above), and held that it was bound by that decision and had to apply those provisions as they stood. It further held that the appeal against the Sofia City Court</w:t>
      </w:r>
      <w:r w:rsidRPr="002358A2" w:rsidR="002358A2">
        <w:t>’</w:t>
      </w:r>
      <w:r w:rsidRPr="002358A2">
        <w:t>s judgment lodged by KTB</w:t>
      </w:r>
      <w:r w:rsidRPr="002358A2" w:rsidR="002358A2">
        <w:t>’</w:t>
      </w:r>
      <w:r w:rsidRPr="002358A2">
        <w:t>s former executive directors and Bromak on behalf of KTB was inadmissible because it had been lodged by persons who, under section 11(3) of the 2002 Act, had no power to act on KTB</w:t>
      </w:r>
      <w:r w:rsidRPr="002358A2" w:rsidR="002358A2">
        <w:t>’</w:t>
      </w:r>
      <w:r w:rsidRPr="002358A2">
        <w:t>s behalf, and that the Sofia Court of Appeal had been right not to examine it. The appeals against the Sofia City Court</w:t>
      </w:r>
      <w:r w:rsidRPr="002358A2" w:rsidR="002358A2">
        <w:t>’</w:t>
      </w:r>
      <w:r w:rsidRPr="002358A2">
        <w:t xml:space="preserve">s judgment lodged by Bromak and Bulgarian Acquisition Company II Sarl in their capacity as shareholders in KTB were also inadmissible because, under section 16(1) </w:t>
      </w:r>
      <w:r w:rsidRPr="002358A2">
        <w:rPr>
          <w:i/>
          <w:iCs/>
        </w:rPr>
        <w:t>in fine</w:t>
      </w:r>
      <w:r w:rsidRPr="002358A2">
        <w:t xml:space="preserve"> of the 2002 Act, a bank</w:t>
      </w:r>
      <w:r w:rsidRPr="002358A2" w:rsidR="002358A2">
        <w:t>’</w:t>
      </w:r>
      <w:r w:rsidRPr="002358A2">
        <w:t>s shareholders had no standing to appeal against the decision opening winding</w:t>
      </w:r>
      <w:r w:rsidRPr="002358A2" w:rsidR="00CE5489">
        <w:noBreakHyphen/>
      </w:r>
      <w:r w:rsidRPr="002358A2">
        <w:t>up proceedings against the bank. The Sofia Court of Appeal had thus been correct not to examine those appeals. The appeals on points of law by KTB</w:t>
      </w:r>
      <w:r w:rsidRPr="002358A2" w:rsidR="002358A2">
        <w:t>’</w:t>
      </w:r>
      <w:r w:rsidRPr="002358A2">
        <w:t>s former executive directors and by Bromak and Bulgarian Acquisition Company II Sarl against the Sofia Court of Appeal</w:t>
      </w:r>
      <w:r w:rsidRPr="002358A2" w:rsidR="002358A2">
        <w:t>’</w:t>
      </w:r>
      <w:r w:rsidRPr="002358A2">
        <w:t>s decision reversing the Sofia City Court</w:t>
      </w:r>
      <w:r w:rsidRPr="002358A2" w:rsidR="002358A2">
        <w:t>’</w:t>
      </w:r>
      <w:r w:rsidRPr="002358A2">
        <w:t>s ruling about the date on which KTB had become insolvent were likewise inadmissible, for the same reasons (see</w:t>
      </w:r>
      <w:r w:rsidRPr="002358A2">
        <w:rPr>
          <w:lang w:val="bg-BG"/>
        </w:rPr>
        <w:t xml:space="preserve"> </w:t>
      </w:r>
      <w:r w:rsidRPr="002358A2">
        <w:rPr>
          <w:i/>
          <w:iCs/>
          <w:lang w:val="bg-BG"/>
        </w:rPr>
        <w:t>опр.</w:t>
      </w:r>
      <w:r w:rsidRPr="002358A2">
        <w:rPr>
          <w:i/>
          <w:iCs/>
        </w:rPr>
        <w:t xml:space="preserve"> </w:t>
      </w:r>
      <w:r w:rsidRPr="002358A2">
        <w:rPr>
          <w:i/>
          <w:iCs/>
          <w:lang w:val="bg-BG"/>
        </w:rPr>
        <w:t>№ 172 от</w:t>
      </w:r>
      <w:r w:rsidRPr="002358A2">
        <w:rPr>
          <w:i/>
          <w:iCs/>
        </w:rPr>
        <w:t> </w:t>
      </w:r>
      <w:r w:rsidRPr="002358A2">
        <w:rPr>
          <w:i/>
          <w:iCs/>
          <w:lang w:val="bg-BG"/>
        </w:rPr>
        <w:t>06.07.2016</w:t>
      </w:r>
      <w:r w:rsidRPr="002358A2">
        <w:rPr>
          <w:i/>
          <w:iCs/>
        </w:rPr>
        <w:t xml:space="preserve"> </w:t>
      </w:r>
      <w:r w:rsidRPr="002358A2">
        <w:rPr>
          <w:i/>
          <w:iCs/>
          <w:lang w:val="bg-BG"/>
        </w:rPr>
        <w:t>г. по т.</w:t>
      </w:r>
      <w:r w:rsidRPr="002358A2">
        <w:rPr>
          <w:i/>
          <w:iCs/>
        </w:rPr>
        <w:t xml:space="preserve"> </w:t>
      </w:r>
      <w:r w:rsidRPr="002358A2">
        <w:rPr>
          <w:i/>
          <w:iCs/>
          <w:lang w:val="bg-BG"/>
        </w:rPr>
        <w:t>д.</w:t>
      </w:r>
      <w:r w:rsidRPr="002358A2">
        <w:rPr>
          <w:i/>
          <w:iCs/>
        </w:rPr>
        <w:t xml:space="preserve"> </w:t>
      </w:r>
      <w:r w:rsidRPr="002358A2">
        <w:rPr>
          <w:i/>
          <w:iCs/>
          <w:lang w:val="bg-BG"/>
        </w:rPr>
        <w:t>№</w:t>
      </w:r>
      <w:r w:rsidRPr="002358A2">
        <w:rPr>
          <w:i/>
          <w:iCs/>
        </w:rPr>
        <w:t xml:space="preserve"> </w:t>
      </w:r>
      <w:r w:rsidRPr="002358A2">
        <w:rPr>
          <w:i/>
          <w:iCs/>
          <w:lang w:val="bg-BG"/>
        </w:rPr>
        <w:t>3343/2015 г., ВКС, I</w:t>
      </w:r>
      <w:r w:rsidRPr="002358A2" w:rsidR="003F5E19">
        <w:rPr>
          <w:i/>
          <w:iCs/>
        </w:rPr>
        <w:t xml:space="preserve"> </w:t>
      </w:r>
      <w:r w:rsidRPr="002358A2">
        <w:rPr>
          <w:i/>
          <w:iCs/>
          <w:lang w:val="bg-BG"/>
        </w:rPr>
        <w:t>т.</w:t>
      </w:r>
      <w:r w:rsidRPr="002358A2">
        <w:rPr>
          <w:i/>
          <w:iCs/>
        </w:rPr>
        <w:t xml:space="preserve"> </w:t>
      </w:r>
      <w:r w:rsidRPr="002358A2">
        <w:rPr>
          <w:i/>
          <w:iCs/>
          <w:lang w:val="bg-BG"/>
        </w:rPr>
        <w:t>о.</w:t>
      </w:r>
      <w:r w:rsidRPr="002358A2">
        <w:t>).</w:t>
      </w:r>
    </w:p>
    <w:p w:rsidRPr="002358A2" w:rsidR="00BF0CAC" w:rsidP="002358A2" w:rsidRDefault="00BF0CAC" w14:paraId="6F45EE99" w14:textId="77777777">
      <w:pPr>
        <w:pStyle w:val="JuHa0"/>
      </w:pPr>
      <w:bookmarkStart w:name="_Toc107950848" w:id="94"/>
      <w:r w:rsidRPr="002358A2">
        <w:t>Appeals against part of that decision</w:t>
      </w:r>
      <w:bookmarkEnd w:id="94"/>
    </w:p>
    <w:p w:rsidRPr="002358A2" w:rsidR="00BF0CAC" w:rsidP="002358A2" w:rsidRDefault="00BF0CAC" w14:paraId="68DF62F5" w14:textId="0C892475">
      <w:pPr>
        <w:pStyle w:val="JuPara"/>
      </w:pPr>
      <w:r w:rsidRPr="002358A2">
        <w:fldChar w:fldCharType="begin"/>
      </w:r>
      <w:r w:rsidRPr="002358A2">
        <w:instrText xml:space="preserve"> SEQ level0 \*arabic </w:instrText>
      </w:r>
      <w:r w:rsidRPr="002358A2">
        <w:fldChar w:fldCharType="separate"/>
      </w:r>
      <w:r w:rsidRPr="002358A2" w:rsidR="002358A2">
        <w:rPr>
          <w:noProof/>
        </w:rPr>
        <w:t>79</w:t>
      </w:r>
      <w:r w:rsidRPr="002358A2">
        <w:fldChar w:fldCharType="end"/>
      </w:r>
      <w:r w:rsidRPr="002358A2">
        <w:t>.  As permitted by the rules of procedure, KTB</w:t>
      </w:r>
      <w:r w:rsidRPr="002358A2" w:rsidR="002358A2">
        <w:t>’</w:t>
      </w:r>
      <w:r w:rsidRPr="002358A2">
        <w:t>s former executive directors and Bromak (acting both in its capacity as a shareholder in KTB and on behalf of KTB itself) appealed against the three-member panel</w:t>
      </w:r>
      <w:r w:rsidRPr="002358A2" w:rsidR="002358A2">
        <w:t>’</w:t>
      </w:r>
      <w:r w:rsidRPr="002358A2">
        <w:t>s refusal to examine their appeals on points of law against the Sofia Court of Appeal</w:t>
      </w:r>
      <w:r w:rsidRPr="002358A2" w:rsidR="002358A2">
        <w:t>’</w:t>
      </w:r>
      <w:r w:rsidRPr="002358A2">
        <w:t>s ruling on the starting point of the insolvency to another three-member panel of the Supreme Court of Cassation. They argued that they had standing to appeal against the Sofia Court of Appeal</w:t>
      </w:r>
      <w:r w:rsidRPr="002358A2" w:rsidR="002358A2">
        <w:t>’</w:t>
      </w:r>
      <w:r w:rsidRPr="002358A2">
        <w:t>s decision on that point under EU</w:t>
      </w:r>
      <w:r w:rsidRPr="002358A2" w:rsidR="00CE5489">
        <w:t> </w:t>
      </w:r>
      <w:r w:rsidRPr="002358A2">
        <w:t>law, and that the original three-member panel had failed to analyse that point. In their view, the refusal to grant them standing, coupled with the Supreme Administrative Court</w:t>
      </w:r>
      <w:r w:rsidRPr="002358A2" w:rsidR="002358A2">
        <w:t>’</w:t>
      </w:r>
      <w:r w:rsidRPr="002358A2">
        <w:t xml:space="preserve">s earlier refusals to do so (see paragraphs </w:t>
      </w:r>
      <w:r w:rsidRPr="002358A2">
        <w:fldChar w:fldCharType="begin"/>
      </w:r>
      <w:r w:rsidRPr="002358A2">
        <w:instrText xml:space="preserve"> REF F_SAC_3MP_dec_13_01_2015 \h </w:instrText>
      </w:r>
      <w:r w:rsidRPr="002358A2">
        <w:fldChar w:fldCharType="separate"/>
      </w:r>
      <w:r w:rsidRPr="002358A2" w:rsidR="002358A2">
        <w:rPr>
          <w:noProof/>
        </w:rPr>
        <w:t>31</w:t>
      </w:r>
      <w:r w:rsidRPr="002358A2">
        <w:fldChar w:fldCharType="end"/>
      </w:r>
      <w:r w:rsidRPr="002358A2">
        <w:t xml:space="preserve">, </w:t>
      </w:r>
      <w:r w:rsidRPr="002358A2">
        <w:fldChar w:fldCharType="begin"/>
      </w:r>
      <w:r w:rsidRPr="002358A2">
        <w:instrText xml:space="preserve"> REF F_SAC_5MP_dec_2_4_2015 \h </w:instrText>
      </w:r>
      <w:r w:rsidRPr="002358A2">
        <w:fldChar w:fldCharType="separate"/>
      </w:r>
      <w:r w:rsidRPr="002358A2" w:rsidR="002358A2">
        <w:rPr>
          <w:noProof/>
        </w:rPr>
        <w:t>41</w:t>
      </w:r>
      <w:r w:rsidRPr="002358A2">
        <w:fldChar w:fldCharType="end"/>
      </w:r>
      <w:r w:rsidRPr="002358A2">
        <w:t xml:space="preserve"> and</w:t>
      </w:r>
      <w:r w:rsidRPr="002358A2" w:rsidR="00CE5489">
        <w:t xml:space="preserve"> </w:t>
      </w:r>
      <w:r w:rsidRPr="002358A2">
        <w:fldChar w:fldCharType="begin"/>
      </w:r>
      <w:r w:rsidRPr="002358A2">
        <w:instrText xml:space="preserve"> REF F_SAC_ex_dir_3MP_claim \h </w:instrText>
      </w:r>
      <w:r w:rsidRPr="002358A2">
        <w:fldChar w:fldCharType="separate"/>
      </w:r>
      <w:r w:rsidRPr="002358A2" w:rsidR="002358A2">
        <w:rPr>
          <w:noProof/>
        </w:rPr>
        <w:t>44</w:t>
      </w:r>
      <w:r w:rsidRPr="002358A2">
        <w:fldChar w:fldCharType="end"/>
      </w:r>
      <w:r w:rsidRPr="002358A2">
        <w:t>-</w:t>
      </w:r>
      <w:r w:rsidRPr="002358A2">
        <w:fldChar w:fldCharType="begin"/>
      </w:r>
      <w:r w:rsidRPr="002358A2">
        <w:instrText xml:space="preserve"> REF F_SAC_ex_dir_5MP_dec \h </w:instrText>
      </w:r>
      <w:r w:rsidRPr="002358A2">
        <w:fldChar w:fldCharType="separate"/>
      </w:r>
      <w:r w:rsidRPr="002358A2" w:rsidR="002358A2">
        <w:rPr>
          <w:noProof/>
        </w:rPr>
        <w:t>47</w:t>
      </w:r>
      <w:r w:rsidRPr="002358A2">
        <w:fldChar w:fldCharType="end"/>
      </w:r>
      <w:r w:rsidRPr="002358A2">
        <w:t xml:space="preserve"> above), meant that the BNB</w:t>
      </w:r>
      <w:r w:rsidRPr="002358A2" w:rsidR="002358A2">
        <w:t>’</w:t>
      </w:r>
      <w:r w:rsidRPr="002358A2">
        <w:t>s decision to withdraw KTB</w:t>
      </w:r>
      <w:r w:rsidRPr="002358A2" w:rsidR="002358A2">
        <w:t>’</w:t>
      </w:r>
      <w:r w:rsidRPr="002358A2">
        <w:t>s licence would remain without any judicial scrutiny.</w:t>
      </w:r>
    </w:p>
    <w:p w:rsidRPr="002358A2" w:rsidR="00BF0CAC" w:rsidP="002358A2" w:rsidRDefault="00BF0CAC" w14:paraId="5CE4491D" w14:textId="7C522F1B">
      <w:pPr>
        <w:pStyle w:val="JuPara"/>
      </w:pPr>
      <w:r w:rsidRPr="002358A2">
        <w:fldChar w:fldCharType="begin"/>
      </w:r>
      <w:r w:rsidRPr="002358A2">
        <w:instrText xml:space="preserve"> SEQ level0 \*arabic </w:instrText>
      </w:r>
      <w:r w:rsidRPr="002358A2">
        <w:fldChar w:fldCharType="separate"/>
      </w:r>
      <w:r w:rsidRPr="002358A2" w:rsidR="002358A2">
        <w:rPr>
          <w:noProof/>
        </w:rPr>
        <w:t>80</w:t>
      </w:r>
      <w:r w:rsidRPr="002358A2">
        <w:fldChar w:fldCharType="end"/>
      </w:r>
      <w:r w:rsidRPr="002358A2">
        <w:t>.  Bulgarian Acquisition Company II Sarl lodged a similar appeal. It likewise argued that it had standing to appeal under EU law, Article 6 § 1 and Article 14 of the Convention, and Article 1 of Protocol No. 1. It also asked the three-member panel to seek a preliminary ruling from the CJEU.</w:t>
      </w:r>
    </w:p>
    <w:bookmarkStart w:name="F_winding_up_SCC_dec_09_11_2016" w:id="95"/>
    <w:p w:rsidRPr="002358A2" w:rsidR="00BF0CAC" w:rsidP="002358A2" w:rsidRDefault="00BF0CAC" w14:paraId="3CD5BDE5" w14:textId="03FA1DFB">
      <w:pPr>
        <w:pStyle w:val="JuPara"/>
      </w:pPr>
      <w:r w:rsidRPr="002358A2">
        <w:fldChar w:fldCharType="begin"/>
      </w:r>
      <w:r w:rsidRPr="002358A2">
        <w:instrText xml:space="preserve"> SEQ level0 \*arabic </w:instrText>
      </w:r>
      <w:r w:rsidRPr="002358A2">
        <w:fldChar w:fldCharType="separate"/>
      </w:r>
      <w:r w:rsidRPr="002358A2" w:rsidR="002358A2">
        <w:rPr>
          <w:noProof/>
        </w:rPr>
        <w:t>81</w:t>
      </w:r>
      <w:r w:rsidRPr="002358A2">
        <w:fldChar w:fldCharType="end"/>
      </w:r>
      <w:bookmarkEnd w:id="95"/>
      <w:r w:rsidRPr="002358A2">
        <w:t>.  On 9 November 2016 the other three-member panel of the Supreme Court of Cassation (a) refused to seek a preliminary ruling from the CJEU and (b) upheld the original three-member panel</w:t>
      </w:r>
      <w:r w:rsidRPr="002358A2" w:rsidR="002358A2">
        <w:t>’</w:t>
      </w:r>
      <w:r w:rsidRPr="002358A2">
        <w:t>s refusal to examine the appeals on points of law (see</w:t>
      </w:r>
      <w:r w:rsidRPr="002358A2">
        <w:rPr>
          <w:lang w:val="bg-BG"/>
        </w:rPr>
        <w:t xml:space="preserve"> </w:t>
      </w:r>
      <w:r w:rsidRPr="002358A2">
        <w:rPr>
          <w:i/>
          <w:iCs/>
          <w:lang w:val="bg-BG"/>
        </w:rPr>
        <w:t>опр.</w:t>
      </w:r>
      <w:r w:rsidRPr="002358A2">
        <w:rPr>
          <w:i/>
          <w:iCs/>
        </w:rPr>
        <w:t xml:space="preserve"> </w:t>
      </w:r>
      <w:r w:rsidRPr="002358A2">
        <w:rPr>
          <w:i/>
          <w:iCs/>
          <w:lang w:val="bg-BG"/>
        </w:rPr>
        <w:t>№</w:t>
      </w:r>
      <w:r w:rsidRPr="002358A2">
        <w:rPr>
          <w:i/>
          <w:iCs/>
        </w:rPr>
        <w:t xml:space="preserve"> </w:t>
      </w:r>
      <w:r w:rsidRPr="002358A2">
        <w:rPr>
          <w:i/>
          <w:iCs/>
          <w:lang w:val="bg-BG"/>
        </w:rPr>
        <w:t>583 от</w:t>
      </w:r>
      <w:r w:rsidRPr="002358A2">
        <w:rPr>
          <w:i/>
          <w:iCs/>
        </w:rPr>
        <w:t xml:space="preserve"> </w:t>
      </w:r>
      <w:r w:rsidRPr="002358A2">
        <w:rPr>
          <w:i/>
          <w:iCs/>
          <w:lang w:val="bg-BG"/>
        </w:rPr>
        <w:t>09.11.2016 г. по ч.</w:t>
      </w:r>
      <w:r w:rsidRPr="002358A2">
        <w:rPr>
          <w:i/>
          <w:iCs/>
        </w:rPr>
        <w:t> </w:t>
      </w:r>
      <w:r w:rsidRPr="002358A2">
        <w:rPr>
          <w:i/>
          <w:iCs/>
          <w:lang w:val="bg-BG"/>
        </w:rPr>
        <w:t>т.</w:t>
      </w:r>
      <w:r w:rsidRPr="002358A2">
        <w:rPr>
          <w:i/>
          <w:iCs/>
        </w:rPr>
        <w:t> </w:t>
      </w:r>
      <w:r w:rsidRPr="002358A2">
        <w:rPr>
          <w:i/>
          <w:iCs/>
          <w:lang w:val="bg-BG"/>
        </w:rPr>
        <w:t>д.</w:t>
      </w:r>
      <w:r w:rsidRPr="002358A2">
        <w:rPr>
          <w:i/>
          <w:iCs/>
        </w:rPr>
        <w:t> </w:t>
      </w:r>
      <w:r w:rsidRPr="002358A2">
        <w:rPr>
          <w:i/>
          <w:iCs/>
          <w:lang w:val="bg-BG"/>
        </w:rPr>
        <w:t>№</w:t>
      </w:r>
      <w:r w:rsidRPr="002358A2">
        <w:rPr>
          <w:i/>
          <w:iCs/>
        </w:rPr>
        <w:t> </w:t>
      </w:r>
      <w:r w:rsidRPr="002358A2">
        <w:rPr>
          <w:i/>
          <w:iCs/>
          <w:lang w:val="bg-BG"/>
        </w:rPr>
        <w:t>1875/2016 г., ВКС, II т. о.</w:t>
      </w:r>
      <w:r w:rsidRPr="002358A2">
        <w:t>). That decision was not amenable to further appeal. The panel pointed out that the subject matter of the proceedings before it was limited to the question of standing to appeal, which meant that the issues relating to the possibility of reviewing the BNB</w:t>
      </w:r>
      <w:r w:rsidRPr="002358A2" w:rsidR="002358A2">
        <w:t>’</w:t>
      </w:r>
      <w:r w:rsidRPr="002358A2">
        <w:t>s decision to withdraw KTB</w:t>
      </w:r>
      <w:r w:rsidRPr="002358A2" w:rsidR="002358A2">
        <w:t>’</w:t>
      </w:r>
      <w:r w:rsidRPr="002358A2">
        <w:t>s licence were irrelevant. The arguments based on</w:t>
      </w:r>
      <w:r w:rsidRPr="002358A2" w:rsidR="00E91771">
        <w:t xml:space="preserve"> </w:t>
      </w:r>
      <w:r w:rsidRPr="002358A2">
        <w:t>EU law could not alter that conclusion. The panel added that the original three-member panel had fully followed the Constitutional Court</w:t>
      </w:r>
      <w:r w:rsidRPr="002358A2" w:rsidR="002358A2">
        <w:t>’</w:t>
      </w:r>
      <w:r w:rsidRPr="002358A2">
        <w:t>s decision, and held that it had not erred by not directly applying EU law. The panel also found that all points relating to the question whether it had been appropriate to withdraw KTB</w:t>
      </w:r>
      <w:r w:rsidRPr="002358A2" w:rsidR="002358A2">
        <w:t>’</w:t>
      </w:r>
      <w:r w:rsidRPr="002358A2">
        <w:t>s licence were irrelevant in the proceedings before it.</w:t>
      </w:r>
    </w:p>
    <w:p w:rsidRPr="002358A2" w:rsidR="00BF0CAC" w:rsidP="002358A2" w:rsidRDefault="00BF0CAC" w14:paraId="6EE2C44B" w14:textId="5086EEE3">
      <w:pPr>
        <w:pStyle w:val="JuHIRoman"/>
        <w:rPr>
          <w:caps w:val="0"/>
        </w:rPr>
      </w:pPr>
      <w:bookmarkStart w:name="_Toc107950849" w:id="96"/>
      <w:r w:rsidRPr="002358A2">
        <w:rPr>
          <w:caps w:val="0"/>
        </w:rPr>
        <w:t>ATTEMPT BY KTB</w:t>
      </w:r>
      <w:r w:rsidRPr="002358A2" w:rsidR="002358A2">
        <w:rPr>
          <w:caps w:val="0"/>
        </w:rPr>
        <w:t>’</w:t>
      </w:r>
      <w:r w:rsidRPr="002358A2">
        <w:rPr>
          <w:caps w:val="0"/>
        </w:rPr>
        <w:t>S DIRECTORS TO SEEK A JUDICIAL DECLARATION THAT THE BNB</w:t>
      </w:r>
      <w:r w:rsidRPr="002358A2" w:rsidR="002358A2">
        <w:rPr>
          <w:caps w:val="0"/>
        </w:rPr>
        <w:t>’</w:t>
      </w:r>
      <w:r w:rsidRPr="002358A2">
        <w:rPr>
          <w:caps w:val="0"/>
        </w:rPr>
        <w:t>S DECISION TO APPOINT SPECIAL ADMINISTRATORS WAS NULL AND VOID</w:t>
      </w:r>
      <w:bookmarkEnd w:id="96"/>
    </w:p>
    <w:p w:rsidRPr="002358A2" w:rsidR="00BF0CAC" w:rsidP="002358A2" w:rsidRDefault="00BF0CAC" w14:paraId="0C9163BD" w14:textId="77777777">
      <w:pPr>
        <w:pStyle w:val="JuHA"/>
      </w:pPr>
      <w:bookmarkStart w:name="_Toc107950850" w:id="97"/>
      <w:r w:rsidRPr="002358A2">
        <w:t>Proceedings at first instance</w:t>
      </w:r>
      <w:bookmarkEnd w:id="97"/>
    </w:p>
    <w:bookmarkStart w:name="F_spec_adm_appoint_jud_rev_claim" w:id="98"/>
    <w:p w:rsidRPr="002358A2" w:rsidR="00BF0CAC" w:rsidP="002358A2" w:rsidRDefault="00BF0CAC" w14:paraId="40AC121E" w14:textId="565597B0">
      <w:pPr>
        <w:pStyle w:val="JuPara"/>
      </w:pPr>
      <w:r w:rsidRPr="002358A2">
        <w:fldChar w:fldCharType="begin"/>
      </w:r>
      <w:r w:rsidRPr="002358A2">
        <w:instrText xml:space="preserve"> SEQ level0 \*arabic </w:instrText>
      </w:r>
      <w:r w:rsidRPr="002358A2">
        <w:fldChar w:fldCharType="separate"/>
      </w:r>
      <w:r w:rsidRPr="002358A2" w:rsidR="002358A2">
        <w:rPr>
          <w:noProof/>
        </w:rPr>
        <w:t>82</w:t>
      </w:r>
      <w:r w:rsidRPr="002358A2">
        <w:fldChar w:fldCharType="end"/>
      </w:r>
      <w:bookmarkEnd w:id="98"/>
      <w:r w:rsidRPr="002358A2">
        <w:t>.  In the meantime, on 16 January 2015, KTB</w:t>
      </w:r>
      <w:r w:rsidRPr="002358A2" w:rsidR="002358A2">
        <w:t>’</w:t>
      </w:r>
      <w:r w:rsidRPr="002358A2">
        <w:t xml:space="preserve">s former executive directors (see paragraph </w:t>
      </w:r>
      <w:r w:rsidRPr="002358A2">
        <w:fldChar w:fldCharType="begin"/>
      </w:r>
      <w:r w:rsidRPr="002358A2">
        <w:instrText xml:space="preserve"> REF F_A_KTB_exec_directors \h </w:instrText>
      </w:r>
      <w:r w:rsidRPr="002358A2">
        <w:fldChar w:fldCharType="separate"/>
      </w:r>
      <w:r w:rsidRPr="002358A2" w:rsidR="002358A2">
        <w:rPr>
          <w:noProof/>
        </w:rPr>
        <w:t>5</w:t>
      </w:r>
      <w:r w:rsidRPr="002358A2">
        <w:fldChar w:fldCharType="end"/>
      </w:r>
      <w:r w:rsidRPr="002358A2">
        <w:t xml:space="preserve"> above), purporting to act both in their personal capacity and on behalf of KTB, sought a judicial declaration that the BNB</w:t>
      </w:r>
      <w:r w:rsidRPr="002358A2" w:rsidR="002358A2">
        <w:t>’</w:t>
      </w:r>
      <w:r w:rsidRPr="002358A2">
        <w:t xml:space="preserve">s decision to appoint special administrators and remove them from office (see paragraph </w:t>
      </w:r>
      <w:r w:rsidRPr="002358A2">
        <w:fldChar w:fldCharType="begin"/>
      </w:r>
      <w:r w:rsidRPr="002358A2">
        <w:instrText xml:space="preserve"> REF F_BNB_special_administration \h </w:instrText>
      </w:r>
      <w:r w:rsidRPr="002358A2">
        <w:fldChar w:fldCharType="separate"/>
      </w:r>
      <w:r w:rsidRPr="002358A2" w:rsidR="002358A2">
        <w:rPr>
          <w:noProof/>
        </w:rPr>
        <w:t>12</w:t>
      </w:r>
      <w:r w:rsidRPr="002358A2">
        <w:fldChar w:fldCharType="end"/>
      </w:r>
      <w:r w:rsidRPr="002358A2">
        <w:t xml:space="preserve"> (b) and (e) above) was null and void. Unlike a claim for judicial review, a claim for an administrative decision to be declared null and void is not subject to any time-limit (Article 149 </w:t>
      </w:r>
      <w:r w:rsidRPr="002358A2">
        <w:rPr>
          <w:rFonts w:cstheme="minorHAnsi"/>
        </w:rPr>
        <w:t>§</w:t>
      </w:r>
      <w:r w:rsidRPr="002358A2">
        <w:t xml:space="preserve"> 5 of the Code of Administrative Procedure).</w:t>
      </w:r>
    </w:p>
    <w:bookmarkStart w:name="F_spec_adm_appoint_jud_rev_claim_3MP" w:id="99"/>
    <w:p w:rsidRPr="002358A2" w:rsidR="00BF0CAC" w:rsidP="002358A2" w:rsidRDefault="00BF0CAC" w14:paraId="243FD52D" w14:textId="67D7BDCE">
      <w:pPr>
        <w:pStyle w:val="JuPara"/>
      </w:pPr>
      <w:r w:rsidRPr="002358A2">
        <w:fldChar w:fldCharType="begin"/>
      </w:r>
      <w:r w:rsidRPr="002358A2">
        <w:instrText xml:space="preserve"> SEQ level0 \*arabic </w:instrText>
      </w:r>
      <w:r w:rsidRPr="002358A2">
        <w:fldChar w:fldCharType="separate"/>
      </w:r>
      <w:r w:rsidRPr="002358A2" w:rsidR="002358A2">
        <w:rPr>
          <w:noProof/>
        </w:rPr>
        <w:t>83</w:t>
      </w:r>
      <w:r w:rsidRPr="002358A2">
        <w:fldChar w:fldCharType="end"/>
      </w:r>
      <w:bookmarkEnd w:id="99"/>
      <w:r w:rsidRPr="002358A2">
        <w:t xml:space="preserve">.  On 8 July 2015 a three-member panel of the Supreme Administrative Court refused to examine the two parallel claims (see </w:t>
      </w:r>
      <w:r w:rsidRPr="002358A2">
        <w:rPr>
          <w:i/>
          <w:iCs/>
          <w:lang w:val="bg-BG"/>
        </w:rPr>
        <w:t>опр. № 8440 от</w:t>
      </w:r>
      <w:r w:rsidRPr="002358A2">
        <w:rPr>
          <w:i/>
          <w:iCs/>
        </w:rPr>
        <w:t> </w:t>
      </w:r>
      <w:r w:rsidRPr="002358A2">
        <w:rPr>
          <w:i/>
          <w:iCs/>
          <w:lang w:val="bg-BG"/>
        </w:rPr>
        <w:t>08.07.2015</w:t>
      </w:r>
      <w:r w:rsidRPr="002358A2">
        <w:rPr>
          <w:i/>
          <w:iCs/>
        </w:rPr>
        <w:t xml:space="preserve"> </w:t>
      </w:r>
      <w:r w:rsidRPr="002358A2">
        <w:rPr>
          <w:i/>
          <w:iCs/>
          <w:lang w:val="bg-BG"/>
        </w:rPr>
        <w:t xml:space="preserve">г. по адм. д. № </w:t>
      </w:r>
      <w:r w:rsidRPr="002358A2">
        <w:rPr>
          <w:i/>
          <w:iCs/>
        </w:rPr>
        <w:t>1807/2015</w:t>
      </w:r>
      <w:r w:rsidRPr="002358A2">
        <w:rPr>
          <w:i/>
          <w:iCs/>
          <w:lang w:val="bg-BG"/>
        </w:rPr>
        <w:t xml:space="preserve"> г., ВАС, </w:t>
      </w:r>
      <w:r w:rsidRPr="002358A2">
        <w:rPr>
          <w:i/>
          <w:iCs/>
        </w:rPr>
        <w:t xml:space="preserve">VIII </w:t>
      </w:r>
      <w:r w:rsidRPr="002358A2">
        <w:rPr>
          <w:i/>
          <w:iCs/>
          <w:lang w:val="bg-BG"/>
        </w:rPr>
        <w:t>о.</w:t>
      </w:r>
      <w:r w:rsidRPr="002358A2">
        <w:t>). It held, with reference to the earlier decisions on the judicial review claim by KTB</w:t>
      </w:r>
      <w:r w:rsidRPr="002358A2" w:rsidR="002358A2">
        <w:t>’</w:t>
      </w:r>
      <w:r w:rsidRPr="002358A2">
        <w:t>s former executive directors against the withdrawal of KTB</w:t>
      </w:r>
      <w:r w:rsidRPr="002358A2" w:rsidR="002358A2">
        <w:t>’</w:t>
      </w:r>
      <w:r w:rsidRPr="002358A2">
        <w:t xml:space="preserve">s licence (see paragraphs </w:t>
      </w:r>
      <w:r w:rsidRPr="002358A2">
        <w:fldChar w:fldCharType="begin"/>
      </w:r>
      <w:r w:rsidRPr="002358A2">
        <w:instrText xml:space="preserve"> REF F_SAC_ex_dir_3MP_dec \h </w:instrText>
      </w:r>
      <w:r w:rsidRPr="002358A2">
        <w:fldChar w:fldCharType="separate"/>
      </w:r>
      <w:r w:rsidRPr="002358A2" w:rsidR="002358A2">
        <w:rPr>
          <w:noProof/>
        </w:rPr>
        <w:t>45</w:t>
      </w:r>
      <w:r w:rsidRPr="002358A2">
        <w:fldChar w:fldCharType="end"/>
      </w:r>
      <w:r w:rsidRPr="002358A2">
        <w:t xml:space="preserve"> and </w:t>
      </w:r>
      <w:r w:rsidRPr="002358A2">
        <w:fldChar w:fldCharType="begin"/>
      </w:r>
      <w:r w:rsidRPr="002358A2">
        <w:instrText xml:space="preserve"> REF F_SAC_ex_dir_5MP_dec \h </w:instrText>
      </w:r>
      <w:r w:rsidRPr="002358A2">
        <w:fldChar w:fldCharType="separate"/>
      </w:r>
      <w:r w:rsidRPr="002358A2" w:rsidR="002358A2">
        <w:rPr>
          <w:noProof/>
        </w:rPr>
        <w:t>47</w:t>
      </w:r>
      <w:r w:rsidRPr="002358A2">
        <w:fldChar w:fldCharType="end"/>
      </w:r>
      <w:r w:rsidRPr="002358A2">
        <w:t xml:space="preserve"> above), that, in so far as the former executive directors were acting in their personal capacity, they had no standing to challenge the BNB</w:t>
      </w:r>
      <w:r w:rsidRPr="002358A2" w:rsidR="002358A2">
        <w:t>’</w:t>
      </w:r>
      <w:r w:rsidRPr="002358A2">
        <w:t>s decision, as they were not its addressees and had no legal interest in contesting it.</w:t>
      </w:r>
      <w:bookmarkStart w:name="F_spec_adm_appoint_jud_rev_claim_3MP_ter" w:id="100"/>
      <w:r w:rsidRPr="002358A2">
        <w:t xml:space="preserve"> </w:t>
      </w:r>
      <w:bookmarkEnd w:id="100"/>
      <w:r w:rsidRPr="002358A2">
        <w:t>The panel added that the former executive directors could not validly claim to act on KTB</w:t>
      </w:r>
      <w:r w:rsidRPr="002358A2" w:rsidR="002358A2">
        <w:t>’</w:t>
      </w:r>
      <w:r w:rsidRPr="002358A2">
        <w:t>s behalf:</w:t>
      </w:r>
    </w:p>
    <w:p w:rsidRPr="002358A2" w:rsidR="00BF0CAC" w:rsidP="002358A2" w:rsidRDefault="00BF0CAC" w14:paraId="3FE1F5BE" w14:textId="7880A161">
      <w:pPr>
        <w:pStyle w:val="JuQuot"/>
      </w:pPr>
      <w:r w:rsidRPr="002358A2">
        <w:t>“... In contrast to the current records in the register of companies about [KTB]</w:t>
      </w:r>
      <w:r w:rsidRPr="002358A2" w:rsidR="002358A2">
        <w:t>’</w:t>
      </w:r>
      <w:r w:rsidRPr="002358A2">
        <w:t>s manner of representation, the claim says that it has been lodged through the bank</w:t>
      </w:r>
      <w:r w:rsidRPr="002358A2" w:rsidR="002358A2">
        <w:t>’</w:t>
      </w:r>
      <w:r w:rsidRPr="002358A2">
        <w:t xml:space="preserve">s executive directors ... who have been removed from office. By [its] decision of 20 June 2014 [see paragraph </w:t>
      </w:r>
      <w:r w:rsidRPr="002358A2">
        <w:fldChar w:fldCharType="begin"/>
      </w:r>
      <w:r w:rsidRPr="002358A2">
        <w:instrText xml:space="preserve"> REF F_BNB_special_administration \h </w:instrText>
      </w:r>
      <w:r w:rsidRPr="002358A2">
        <w:fldChar w:fldCharType="separate"/>
      </w:r>
      <w:r w:rsidRPr="002358A2" w:rsidR="002358A2">
        <w:rPr>
          <w:noProof/>
        </w:rPr>
        <w:t>12</w:t>
      </w:r>
      <w:r w:rsidRPr="002358A2">
        <w:fldChar w:fldCharType="end"/>
      </w:r>
      <w:r w:rsidRPr="002358A2">
        <w:t xml:space="preserve"> above], [the BNB] ... appointed special administrators [and] removed the members of the bank</w:t>
      </w:r>
      <w:r w:rsidRPr="002358A2" w:rsidR="002358A2">
        <w:t>’</w:t>
      </w:r>
      <w:r w:rsidRPr="002358A2">
        <w:t xml:space="preserve">s management and supervisory boards from office ... By [its] decision of 16 September 2014 [see paragraph </w:t>
      </w:r>
      <w:r w:rsidRPr="002358A2">
        <w:fldChar w:fldCharType="begin"/>
      </w:r>
      <w:r w:rsidRPr="002358A2">
        <w:instrText xml:space="preserve"> REF F_BNB_special_administration_prolonged \h </w:instrText>
      </w:r>
      <w:r w:rsidRPr="002358A2">
        <w:fldChar w:fldCharType="separate"/>
      </w:r>
      <w:r w:rsidRPr="002358A2" w:rsidR="002358A2">
        <w:rPr>
          <w:noProof/>
        </w:rPr>
        <w:t>16</w:t>
      </w:r>
      <w:r w:rsidRPr="002358A2">
        <w:fldChar w:fldCharType="end"/>
      </w:r>
      <w:r w:rsidRPr="002358A2">
        <w:t xml:space="preserve"> above], [the BNB] extended ... [KTB</w:t>
      </w:r>
      <w:r w:rsidRPr="002358A2" w:rsidR="002358A2">
        <w:t>’</w:t>
      </w:r>
      <w:r w:rsidRPr="002358A2">
        <w:t>s] special administration until 20 November 2014 ... The measures prescribed by the decision [of] 20 June 2014 ... (including the ... removal of the members of KTB</w:t>
      </w:r>
      <w:r w:rsidRPr="002358A2" w:rsidR="002358A2">
        <w:t>’</w:t>
      </w:r>
      <w:r w:rsidRPr="002358A2">
        <w:t>s management board from office) were to remain in effect until 20 November 2014. The court [also] takes judicial notice of the fact that [on 6 November 2014 the BNB] withdrew [KTB]</w:t>
      </w:r>
      <w:r w:rsidRPr="002358A2" w:rsidR="002358A2">
        <w:t>’</w:t>
      </w:r>
      <w:r w:rsidRPr="002358A2">
        <w:t>s licence and extended the mandate of the special administrators ... pending the appointment of a liquidator. Moreover, [on 22 April 2015] the Sofia City Court ... terminated the powers of [KTB]</w:t>
      </w:r>
      <w:r w:rsidRPr="002358A2" w:rsidR="002358A2">
        <w:t>’</w:t>
      </w:r>
      <w:r w:rsidRPr="002358A2">
        <w:t xml:space="preserve">s bodies and opened winding-up proceedings [against it – see paragraph </w:t>
      </w:r>
      <w:r w:rsidRPr="002358A2">
        <w:fldChar w:fldCharType="begin"/>
      </w:r>
      <w:r w:rsidRPr="002358A2">
        <w:instrText xml:space="preserve"> REF F_winding_up_SofCC_dec_22_04_2015 \h </w:instrText>
      </w:r>
      <w:r w:rsidRPr="002358A2">
        <w:fldChar w:fldCharType="separate"/>
      </w:r>
      <w:r w:rsidRPr="002358A2" w:rsidR="002358A2">
        <w:rPr>
          <w:noProof/>
        </w:rPr>
        <w:t>60</w:t>
      </w:r>
      <w:r w:rsidRPr="002358A2">
        <w:fldChar w:fldCharType="end"/>
      </w:r>
      <w:r w:rsidRPr="002358A2">
        <w:t xml:space="preserve"> above], and, at the date of this decision, the bank is represented by [its] liquidators ...”</w:t>
      </w:r>
    </w:p>
    <w:p w:rsidRPr="002358A2" w:rsidR="00BF0CAC" w:rsidP="002358A2" w:rsidRDefault="00BF0CAC" w14:paraId="5A9D3E0F" w14:textId="77777777">
      <w:pPr>
        <w:pStyle w:val="JuHA"/>
      </w:pPr>
      <w:bookmarkStart w:name="_Toc107950851" w:id="101"/>
      <w:r w:rsidRPr="002358A2">
        <w:t>Proceedings on appeal</w:t>
      </w:r>
      <w:bookmarkEnd w:id="101"/>
    </w:p>
    <w:bookmarkStart w:name="F_spec_adm_appoint_jud_rev_claim_appeal" w:id="102"/>
    <w:p w:rsidRPr="002358A2" w:rsidR="00BF0CAC" w:rsidP="002358A2" w:rsidRDefault="00BF0CAC" w14:paraId="5D629C97" w14:textId="3E63E262">
      <w:pPr>
        <w:pStyle w:val="JuPara"/>
      </w:pPr>
      <w:r w:rsidRPr="002358A2">
        <w:fldChar w:fldCharType="begin"/>
      </w:r>
      <w:r w:rsidRPr="002358A2">
        <w:instrText xml:space="preserve"> SEQ level0 \*arabic </w:instrText>
      </w:r>
      <w:r w:rsidRPr="002358A2">
        <w:fldChar w:fldCharType="separate"/>
      </w:r>
      <w:r w:rsidRPr="002358A2" w:rsidR="002358A2">
        <w:rPr>
          <w:noProof/>
        </w:rPr>
        <w:t>84</w:t>
      </w:r>
      <w:r w:rsidRPr="002358A2">
        <w:fldChar w:fldCharType="end"/>
      </w:r>
      <w:bookmarkEnd w:id="102"/>
      <w:r w:rsidRPr="002358A2">
        <w:t>.  KTB</w:t>
      </w:r>
      <w:r w:rsidRPr="002358A2" w:rsidR="002358A2">
        <w:t>’</w:t>
      </w:r>
      <w:r w:rsidRPr="002358A2">
        <w:t>s former executive directors appealed to a five-member panel of the Supreme Administrative Court, again purporting to act both in their personal capacity and on behalf of KTB.</w:t>
      </w:r>
    </w:p>
    <w:bookmarkStart w:name="F_spec_adm_appoint_jud_rev_claim_app_pr" w:id="103"/>
    <w:p w:rsidRPr="002358A2" w:rsidR="00BF0CAC" w:rsidP="002358A2" w:rsidRDefault="00BF0CAC" w14:paraId="2B1E3036" w14:textId="673D2635">
      <w:pPr>
        <w:pStyle w:val="JuPara"/>
      </w:pPr>
      <w:r w:rsidRPr="002358A2">
        <w:fldChar w:fldCharType="begin"/>
      </w:r>
      <w:r w:rsidRPr="002358A2">
        <w:instrText xml:space="preserve"> SEQ level0 \*arabic </w:instrText>
      </w:r>
      <w:r w:rsidRPr="002358A2">
        <w:fldChar w:fldCharType="separate"/>
      </w:r>
      <w:r w:rsidRPr="002358A2" w:rsidR="002358A2">
        <w:rPr>
          <w:noProof/>
        </w:rPr>
        <w:t>85</w:t>
      </w:r>
      <w:r w:rsidRPr="002358A2">
        <w:fldChar w:fldCharType="end"/>
      </w:r>
      <w:bookmarkEnd w:id="103"/>
      <w:r w:rsidRPr="002358A2">
        <w:t>.  On 3 December 2015 the five-member panel stayed the proceedings pending the interpretative decision by the plenary of the court on who had standing to seek judicial review of a decision by the BNB to withdraw a bank</w:t>
      </w:r>
      <w:r w:rsidRPr="002358A2" w:rsidR="002358A2">
        <w:t>’</w:t>
      </w:r>
      <w:r w:rsidRPr="002358A2">
        <w:t xml:space="preserve">s licence (see paragraph </w:t>
      </w:r>
      <w:r w:rsidRPr="002358A2">
        <w:fldChar w:fldCharType="begin"/>
      </w:r>
      <w:r w:rsidRPr="002358A2">
        <w:instrText xml:space="preserve"> REF F_SAC_int_case_opening \h </w:instrText>
      </w:r>
      <w:r w:rsidRPr="002358A2">
        <w:fldChar w:fldCharType="separate"/>
      </w:r>
      <w:r w:rsidRPr="002358A2" w:rsidR="002358A2">
        <w:rPr>
          <w:noProof/>
        </w:rPr>
        <w:t>42</w:t>
      </w:r>
      <w:r w:rsidRPr="002358A2">
        <w:fldChar w:fldCharType="end"/>
      </w:r>
      <w:r w:rsidRPr="002358A2">
        <w:t xml:space="preserve"> above). On 18 July 2016, shortly after it became clear that no such decision would be given (see paragraph </w:t>
      </w:r>
      <w:r w:rsidRPr="002358A2">
        <w:fldChar w:fldCharType="begin"/>
      </w:r>
      <w:r w:rsidRPr="002358A2">
        <w:instrText xml:space="preserve"> REF F_SAC_int_case_decision \h </w:instrText>
      </w:r>
      <w:r w:rsidRPr="002358A2">
        <w:fldChar w:fldCharType="separate"/>
      </w:r>
      <w:r w:rsidRPr="002358A2" w:rsidR="002358A2">
        <w:rPr>
          <w:noProof/>
        </w:rPr>
        <w:t>43</w:t>
      </w:r>
      <w:r w:rsidRPr="002358A2">
        <w:fldChar w:fldCharType="end"/>
      </w:r>
      <w:r w:rsidRPr="002358A2">
        <w:t xml:space="preserve"> above), the appeal proceedings were resumed. When doing so, the five-member panel noted, </w:t>
      </w:r>
      <w:r w:rsidRPr="002358A2">
        <w:rPr>
          <w:i/>
          <w:iCs/>
        </w:rPr>
        <w:t>inter alia</w:t>
      </w:r>
      <w:r w:rsidRPr="002358A2">
        <w:t>, that (a) the appeal had been lodged on behalf of KTB by its former executive directors, even though according to the register of companies KTB was represented by its liquidators, and that (b) the lawyer purportedly acting on KTB</w:t>
      </w:r>
      <w:r w:rsidRPr="002358A2" w:rsidR="002358A2">
        <w:t>’</w:t>
      </w:r>
      <w:r w:rsidRPr="002358A2">
        <w:t>s behalf in the appeal proceedings had not produced a power of attorney from the bank. The panel accordingly instructed the appellants to submit proof that the lawyer had authority to lodge the appeal on behalf of KTB, or, failing that, have the appeal co-signed by persons entitled to represent KTB.</w:t>
      </w:r>
    </w:p>
    <w:bookmarkStart w:name="F_spec_adm_appoint_jud_rev_claim_app_pr2" w:id="104"/>
    <w:p w:rsidRPr="002358A2" w:rsidR="00BF0CAC" w:rsidP="002358A2" w:rsidRDefault="00BF0CAC" w14:paraId="402C5BE9" w14:textId="17356F5B">
      <w:pPr>
        <w:pStyle w:val="JuPara"/>
        <w:rPr>
          <w:lang w:val="bg-BG"/>
        </w:rPr>
      </w:pPr>
      <w:r w:rsidRPr="002358A2">
        <w:fldChar w:fldCharType="begin"/>
      </w:r>
      <w:r w:rsidRPr="002358A2">
        <w:instrText xml:space="preserve"> SEQ level0 \*arabic \* MERGEFORMAT </w:instrText>
      </w:r>
      <w:r w:rsidRPr="002358A2">
        <w:fldChar w:fldCharType="separate"/>
      </w:r>
      <w:r w:rsidRPr="002358A2" w:rsidR="002358A2">
        <w:rPr>
          <w:noProof/>
        </w:rPr>
        <w:t>86</w:t>
      </w:r>
      <w:r w:rsidRPr="002358A2">
        <w:fldChar w:fldCharType="end"/>
      </w:r>
      <w:bookmarkEnd w:id="104"/>
      <w:r w:rsidRPr="002358A2">
        <w:t xml:space="preserve">.  In response to those instructions, the lawyer who had lodged the appeal filed, </w:t>
      </w:r>
      <w:r w:rsidRPr="002358A2">
        <w:rPr>
          <w:i/>
          <w:iCs/>
        </w:rPr>
        <w:t>inter alia</w:t>
      </w:r>
      <w:r w:rsidRPr="002358A2">
        <w:t>, declarations by KTB</w:t>
      </w:r>
      <w:r w:rsidRPr="002358A2" w:rsidR="002358A2">
        <w:t>’</w:t>
      </w:r>
      <w:r w:rsidRPr="002358A2">
        <w:t>s former executive directors that they agreed with all procedural steps taken by him, both in their personal capacity and in their capacity as representatives of KTB.</w:t>
      </w:r>
    </w:p>
    <w:bookmarkStart w:name="F_spec_adm_appoint_jud_rev_claim_5MP" w:id="105"/>
    <w:p w:rsidRPr="002358A2" w:rsidR="00BF0CAC" w:rsidP="002358A2" w:rsidRDefault="00BF0CAC" w14:paraId="00CEE0C0" w14:textId="6A72B89F">
      <w:pPr>
        <w:pStyle w:val="JuPara"/>
      </w:pPr>
      <w:r w:rsidRPr="002358A2">
        <w:fldChar w:fldCharType="begin"/>
      </w:r>
      <w:r w:rsidRPr="002358A2">
        <w:instrText xml:space="preserve"> SEQ level0 \*arabic </w:instrText>
      </w:r>
      <w:r w:rsidRPr="002358A2">
        <w:fldChar w:fldCharType="separate"/>
      </w:r>
      <w:r w:rsidRPr="002358A2" w:rsidR="002358A2">
        <w:rPr>
          <w:noProof/>
        </w:rPr>
        <w:t>87</w:t>
      </w:r>
      <w:r w:rsidRPr="002358A2">
        <w:fldChar w:fldCharType="end"/>
      </w:r>
      <w:bookmarkEnd w:id="105"/>
      <w:r w:rsidRPr="002358A2">
        <w:t>.  In a decision of 6 October 2016 (</w:t>
      </w:r>
      <w:r w:rsidRPr="002358A2">
        <w:rPr>
          <w:i/>
          <w:iCs/>
          <w:lang w:val="bg-BG"/>
        </w:rPr>
        <w:t>опр.</w:t>
      </w:r>
      <w:r w:rsidRPr="002358A2">
        <w:rPr>
          <w:i/>
          <w:iCs/>
        </w:rPr>
        <w:t xml:space="preserve"> </w:t>
      </w:r>
      <w:r w:rsidRPr="002358A2">
        <w:rPr>
          <w:i/>
          <w:iCs/>
          <w:lang w:val="bg-BG"/>
        </w:rPr>
        <w:t>№</w:t>
      </w:r>
      <w:r w:rsidRPr="002358A2">
        <w:rPr>
          <w:i/>
          <w:iCs/>
        </w:rPr>
        <w:t xml:space="preserve"> </w:t>
      </w:r>
      <w:r w:rsidRPr="002358A2">
        <w:rPr>
          <w:i/>
          <w:iCs/>
          <w:lang w:val="bg-BG"/>
        </w:rPr>
        <w:t>10401</w:t>
      </w:r>
      <w:r w:rsidRPr="002358A2">
        <w:rPr>
          <w:i/>
          <w:iCs/>
        </w:rPr>
        <w:t xml:space="preserve"> </w:t>
      </w:r>
      <w:r w:rsidRPr="002358A2">
        <w:rPr>
          <w:i/>
          <w:iCs/>
          <w:lang w:val="bg-BG"/>
        </w:rPr>
        <w:t>от</w:t>
      </w:r>
      <w:r w:rsidRPr="002358A2">
        <w:rPr>
          <w:i/>
          <w:iCs/>
        </w:rPr>
        <w:t xml:space="preserve"> </w:t>
      </w:r>
      <w:r w:rsidRPr="002358A2">
        <w:rPr>
          <w:i/>
          <w:iCs/>
          <w:lang w:val="bg-BG"/>
        </w:rPr>
        <w:t>06.10.2016</w:t>
      </w:r>
      <w:r w:rsidRPr="002358A2">
        <w:rPr>
          <w:i/>
          <w:iCs/>
        </w:rPr>
        <w:t xml:space="preserve"> </w:t>
      </w:r>
      <w:r w:rsidRPr="002358A2">
        <w:rPr>
          <w:i/>
          <w:iCs/>
          <w:lang w:val="bg-BG"/>
        </w:rPr>
        <w:t>г. по адм. д. №</w:t>
      </w:r>
      <w:r w:rsidRPr="002358A2">
        <w:rPr>
          <w:i/>
          <w:iCs/>
        </w:rPr>
        <w:t xml:space="preserve"> </w:t>
      </w:r>
      <w:r w:rsidRPr="002358A2">
        <w:rPr>
          <w:i/>
          <w:iCs/>
          <w:lang w:val="bg-BG"/>
        </w:rPr>
        <w:t>9467/2015 г., ВАС, петчл. с-в</w:t>
      </w:r>
      <w:r w:rsidRPr="002358A2">
        <w:t>), the five-member panel dismissed the appeal in so far as it had been lodged by KTB</w:t>
      </w:r>
      <w:r w:rsidRPr="002358A2" w:rsidR="002358A2">
        <w:t>’</w:t>
      </w:r>
      <w:r w:rsidRPr="002358A2">
        <w:t>s former executive directors in their personal capacity. It agreed with the three-member panel that they personally had no standing to seek judicial review of the BNB</w:t>
      </w:r>
      <w:r w:rsidRPr="002358A2" w:rsidR="002358A2">
        <w:t>’</w:t>
      </w:r>
      <w:r w:rsidRPr="002358A2">
        <w:t>s decision. The five-member panel also refused to examine the appeal in so far as it had been lodged by the former executive directors on behalf of KTB, giving the following reasons:</w:t>
      </w:r>
    </w:p>
    <w:p w:rsidRPr="002358A2" w:rsidR="00BF0CAC" w:rsidP="002358A2" w:rsidRDefault="00BF0CAC" w14:paraId="1B90D6D5" w14:textId="3A939CAE">
      <w:pPr>
        <w:pStyle w:val="JuQuot"/>
      </w:pPr>
      <w:r w:rsidRPr="002358A2">
        <w:t>“The appeal ... on behalf of [KTB] ... says that it has been lodged through [the executive directors and members of KTB</w:t>
      </w:r>
      <w:r w:rsidRPr="002358A2" w:rsidR="002358A2">
        <w:t>’</w:t>
      </w:r>
      <w:r w:rsidRPr="002358A2">
        <w:t xml:space="preserve">s management board], and has been signed by [a] lawyer ... When he lodged the appeal and when he [later] filed [papers] seeking to rectify the irregularities in it, that lawyer undoubtedly had no authority to represent [KTB]. As can be seen from the register of companies, [KTB] ... is represented by the permanent liquidators ... appointed by the Deposit Insurance Fund [see paragraph </w:t>
      </w:r>
      <w:r w:rsidRPr="002358A2">
        <w:fldChar w:fldCharType="begin"/>
      </w:r>
      <w:r w:rsidRPr="002358A2">
        <w:instrText xml:space="preserve"> REF F_winding_up_SofCC_DIF_appoint_liquid \h </w:instrText>
      </w:r>
      <w:r w:rsidRPr="002358A2">
        <w:fldChar w:fldCharType="separate"/>
      </w:r>
      <w:r w:rsidRPr="002358A2" w:rsidR="002358A2">
        <w:rPr>
          <w:noProof/>
        </w:rPr>
        <w:t>62</w:t>
      </w:r>
      <w:r w:rsidRPr="002358A2">
        <w:fldChar w:fldCharType="end"/>
      </w:r>
      <w:r w:rsidRPr="002358A2">
        <w:t xml:space="preserve"> above]. This is not being disputed by the lawyer who lodged the appeal; he ... acknowledges that both when he lodged the appeal and now [KTB] was and is represented by its liquidators, and that [the Sofia City Court] ... has terminated the powers of its bodies, including its executive directors. That decision [of the Sofia City Court] was immediately enforceable, which means that from the moment it was handed down the termination of the powers of the bank</w:t>
      </w:r>
      <w:r w:rsidRPr="002358A2" w:rsidR="002358A2">
        <w:t>’</w:t>
      </w:r>
      <w:r w:rsidRPr="002358A2">
        <w:t>s bodies, including its executive directors and the members of its management board, stemmed not from [the BNB</w:t>
      </w:r>
      <w:r w:rsidRPr="002358A2" w:rsidR="002358A2">
        <w:t>’</w:t>
      </w:r>
      <w:r w:rsidRPr="002358A2">
        <w:t>s] contested decision ... but from the [ensuing judicial] decision to declare [KTB] insolvent. In view of this, and since this court</w:t>
      </w:r>
      <w:r w:rsidRPr="002358A2" w:rsidR="002358A2">
        <w:t>’</w:t>
      </w:r>
      <w:r w:rsidRPr="002358A2">
        <w:t>s instructions to rectify the fact that the appeal on behalf of [KTB] was not lodged by a duly authorised lawyer have not been complied with, the appeal must be left without examination.</w:t>
      </w:r>
    </w:p>
    <w:p w:rsidRPr="002358A2" w:rsidR="00BF0CAC" w:rsidP="002358A2" w:rsidRDefault="00BF0CAC" w14:paraId="1E8E5BE2" w14:textId="33ADEAAF">
      <w:pPr>
        <w:pStyle w:val="JuQuot"/>
      </w:pPr>
      <w:r w:rsidRPr="002358A2">
        <w:t>For completeness, and in connection with the arguments that the removed ... members of [KTB]</w:t>
      </w:r>
      <w:r w:rsidRPr="002358A2" w:rsidR="002358A2">
        <w:t>’</w:t>
      </w:r>
      <w:r w:rsidRPr="002358A2">
        <w:t>s management board ... should be granted standing to challenge the BNB</w:t>
      </w:r>
      <w:r w:rsidRPr="002358A2" w:rsidR="002358A2">
        <w:t>’</w:t>
      </w:r>
      <w:r w:rsidRPr="002358A2">
        <w:t>s decision to remove them, it should be noted that the present appeal proceedings concern a challenge against the [three-member panel</w:t>
      </w:r>
      <w:r w:rsidRPr="002358A2" w:rsidR="002358A2">
        <w:t>’</w:t>
      </w:r>
      <w:r w:rsidRPr="002358A2">
        <w:t>s] decision [not to examine the claim to have the BNB</w:t>
      </w:r>
      <w:r w:rsidRPr="002358A2" w:rsidR="002358A2">
        <w:t>’</w:t>
      </w:r>
      <w:r w:rsidRPr="002358A2">
        <w:t>s decision to appoint special administrators declared null and void]. [That claim] was only lodged on 16 January 2015 – after [the expiry of the time-limit to seek judicial review of that decision] ... The fact that [that decision] has become final does not preclude the possibility of seeking a judicial declaration that it is null and void, but it does prevent [KTB] from lodging such a claim through its already removed legal representatives. Moreover, by 16 January 2015 the bank</w:t>
      </w:r>
      <w:r w:rsidRPr="002358A2" w:rsidR="002358A2">
        <w:t>’</w:t>
      </w:r>
      <w:r w:rsidRPr="002358A2">
        <w:t xml:space="preserve">s representatives had already changed several times. After the opening of the winding-up proceedings against [KTB], the legal grounds to remove its executive directors were the provisions of the Bank Insolvency Act [2002 – see paragraph </w:t>
      </w:r>
      <w:r w:rsidRPr="002358A2">
        <w:fldChar w:fldCharType="begin"/>
      </w:r>
      <w:r w:rsidRPr="002358A2">
        <w:instrText xml:space="preserve"> REF RLF_winding_up_permanent_liquidator \h </w:instrText>
      </w:r>
      <w:r w:rsidRPr="002358A2">
        <w:fldChar w:fldCharType="separate"/>
      </w:r>
      <w:r w:rsidRPr="002358A2" w:rsidR="002358A2">
        <w:rPr>
          <w:noProof/>
        </w:rPr>
        <w:t>101</w:t>
      </w:r>
      <w:r w:rsidRPr="002358A2">
        <w:fldChar w:fldCharType="end"/>
      </w:r>
      <w:r w:rsidRPr="002358A2">
        <w:t xml:space="preserve"> below], and those are distinct from the legal grounds for [the BNB</w:t>
      </w:r>
      <w:r w:rsidRPr="002358A2" w:rsidR="002358A2">
        <w:t>’</w:t>
      </w:r>
      <w:r w:rsidRPr="002358A2">
        <w:t>s] decision under challenge. It is hence impossible to accept that a challenge against that decision ... in itself bestows standing on those persons to act on [KTB</w:t>
      </w:r>
      <w:r w:rsidRPr="002358A2" w:rsidR="002358A2">
        <w:t>’</w:t>
      </w:r>
      <w:r w:rsidRPr="002358A2">
        <w:t>s] behalf. The legislature has not made provision for that in proceedings for placing a bank under special administration ... It is even harder to accept that those individuals could lodge an appeal on behalf of [KTB] after the [insolvency court] has given its immediately enforceable decision to declare the bank insolvent, which has [moreover] now become final ... The proceedings under the Bank Insolvency Act [2002] are distinct from the proceedings relating to the decision of [the BNB to place KTB under special administration], and this court must take into account the effects of those insolvency proceedings on ... the powers of [KTB</w:t>
      </w:r>
      <w:r w:rsidRPr="002358A2" w:rsidR="002358A2">
        <w:t>’</w:t>
      </w:r>
      <w:r w:rsidRPr="002358A2">
        <w:t>s] bodies.”</w:t>
      </w:r>
    </w:p>
    <w:p w:rsidRPr="002358A2" w:rsidR="00BF0CAC" w:rsidP="002358A2" w:rsidRDefault="00BF0CAC" w14:paraId="5667BC6A" w14:textId="77777777">
      <w:pPr>
        <w:pStyle w:val="JuHHead"/>
      </w:pPr>
      <w:bookmarkStart w:name="_Toc107950852" w:id="106"/>
      <w:r w:rsidRPr="002358A2">
        <w:t>RELEVANT LEGAL FRAMEWORK</w:t>
      </w:r>
      <w:bookmarkEnd w:id="106"/>
    </w:p>
    <w:p w:rsidRPr="002358A2" w:rsidR="00BF0CAC" w:rsidP="002358A2" w:rsidRDefault="00BF0CAC" w14:paraId="64B3FF64" w14:textId="5202711D">
      <w:pPr>
        <w:pStyle w:val="JuHIRoman"/>
      </w:pPr>
      <w:bookmarkStart w:name="_Toc107950853" w:id="107"/>
      <w:r w:rsidRPr="002358A2">
        <w:rPr>
          <w:caps w:val="0"/>
        </w:rPr>
        <w:t xml:space="preserve">THE </w:t>
      </w:r>
      <w:bookmarkStart w:name="_Hlk103850575" w:id="108"/>
      <w:r w:rsidRPr="002358A2">
        <w:rPr>
          <w:caps w:val="0"/>
        </w:rPr>
        <w:t>BNB</w:t>
      </w:r>
      <w:r w:rsidRPr="002358A2" w:rsidR="002358A2">
        <w:rPr>
          <w:caps w:val="0"/>
        </w:rPr>
        <w:t>’</w:t>
      </w:r>
      <w:r w:rsidRPr="002358A2">
        <w:rPr>
          <w:caps w:val="0"/>
        </w:rPr>
        <w:t>S SUPERVISORY POWERS WITH RESPECT TO BANKS</w:t>
      </w:r>
      <w:bookmarkEnd w:id="108"/>
      <w:bookmarkEnd w:id="107"/>
    </w:p>
    <w:p w:rsidRPr="002358A2" w:rsidR="00BF0CAC" w:rsidP="002358A2" w:rsidRDefault="00BF0CAC" w14:paraId="68598F6B" w14:textId="77777777">
      <w:pPr>
        <w:pStyle w:val="JuHA"/>
      </w:pPr>
      <w:bookmarkStart w:name="_Toc107950854" w:id="109"/>
      <w:r w:rsidRPr="002358A2">
        <w:t>To place a bank under special administration</w:t>
      </w:r>
      <w:bookmarkEnd w:id="109"/>
    </w:p>
    <w:bookmarkStart w:name="RLF_BNB_special_administration" w:id="110"/>
    <w:p w:rsidRPr="002358A2" w:rsidR="00BF0CAC" w:rsidP="002358A2" w:rsidRDefault="00BF0CAC" w14:paraId="4EDFF1E2" w14:textId="4EFBF1E5">
      <w:pPr>
        <w:pStyle w:val="JuPara"/>
      </w:pPr>
      <w:r w:rsidRPr="002358A2">
        <w:fldChar w:fldCharType="begin"/>
      </w:r>
      <w:r w:rsidRPr="002358A2">
        <w:instrText xml:space="preserve"> SEQ level0 \*arabic </w:instrText>
      </w:r>
      <w:r w:rsidRPr="002358A2">
        <w:fldChar w:fldCharType="separate"/>
      </w:r>
      <w:r w:rsidRPr="002358A2" w:rsidR="002358A2">
        <w:rPr>
          <w:noProof/>
        </w:rPr>
        <w:t>88</w:t>
      </w:r>
      <w:r w:rsidRPr="002358A2">
        <w:fldChar w:fldCharType="end"/>
      </w:r>
      <w:bookmarkEnd w:id="110"/>
      <w:r w:rsidRPr="002358A2">
        <w:t xml:space="preserve">.  Under section 115(1) of the Credit Institutions Act 2006, as worded at the material time, the BNB could place a bank under special administration if that bank was at risk of insolvency. When doing so, the BNB had to appoint special administrators and define their powers (section 116(1), as in force at the material time). The BNB could also, </w:t>
      </w:r>
      <w:r w:rsidRPr="002358A2">
        <w:rPr>
          <w:i/>
          <w:iCs/>
        </w:rPr>
        <w:t>inter alia</w:t>
      </w:r>
      <w:r w:rsidRPr="002358A2">
        <w:t>, remove the bank</w:t>
      </w:r>
      <w:r w:rsidRPr="002358A2" w:rsidR="002358A2">
        <w:t>’</w:t>
      </w:r>
      <w:r w:rsidRPr="002358A2">
        <w:t>s management and supervisory boards from office (section 116(2)(6), as in force at the material time), and provisionally deprive the shareholders in the bank holding more than 10% of the voting shares of the right to vote, if it considered that by their actions or influence on the running of the bank they had imperilled its stability (section 116(2)(7), as in force at the material time). In any event, the special administrators take over all powers of the bank</w:t>
      </w:r>
      <w:r w:rsidRPr="002358A2" w:rsidR="002358A2">
        <w:t>’</w:t>
      </w:r>
      <w:r w:rsidRPr="002358A2">
        <w:t>s management and supervisory boards, unless the BNB expressly prescribes otherwise in its decision to appoint them (section 107(1)).</w:t>
      </w:r>
    </w:p>
    <w:bookmarkStart w:name="RLF_BNB_special_administrators" w:id="111"/>
    <w:p w:rsidRPr="002358A2" w:rsidR="00BF0CAC" w:rsidP="002358A2" w:rsidRDefault="00BF0CAC" w14:paraId="004F482B" w14:textId="02B7C573">
      <w:pPr>
        <w:pStyle w:val="JuPara"/>
      </w:pPr>
      <w:r w:rsidRPr="002358A2">
        <w:fldChar w:fldCharType="begin"/>
      </w:r>
      <w:r w:rsidRPr="002358A2">
        <w:instrText xml:space="preserve"> SEQ level0 \*arabic </w:instrText>
      </w:r>
      <w:r w:rsidRPr="002358A2">
        <w:fldChar w:fldCharType="separate"/>
      </w:r>
      <w:r w:rsidRPr="002358A2" w:rsidR="002358A2">
        <w:rPr>
          <w:noProof/>
        </w:rPr>
        <w:t>89</w:t>
      </w:r>
      <w:r w:rsidRPr="002358A2">
        <w:fldChar w:fldCharType="end"/>
      </w:r>
      <w:bookmarkEnd w:id="111"/>
      <w:r w:rsidRPr="002358A2">
        <w:t>.  The BNB may at any point dismiss or replace the special administrators, and its decisions in that regard are not amenable to judicial review (section 106(4)). The BNB may also give them instructions (section 107(3)). They are accountable solely to the BNB and must, upon request, immediately report to it about their activities (section 107(5)). Any actions taken on behalf of the bank without authority from the special administrators are null and void (section 107(6)).</w:t>
      </w:r>
    </w:p>
    <w:p w:rsidRPr="002358A2" w:rsidR="00BF0CAC" w:rsidP="002358A2" w:rsidRDefault="00BF0CAC" w14:paraId="7C903DA9" w14:textId="5158252B">
      <w:pPr>
        <w:pStyle w:val="JuHA"/>
      </w:pPr>
      <w:bookmarkStart w:name="_Toc107950855" w:id="112"/>
      <w:r w:rsidRPr="002358A2">
        <w:t>To withdraw a bank</w:t>
      </w:r>
      <w:r w:rsidRPr="002358A2" w:rsidR="002358A2">
        <w:t>’</w:t>
      </w:r>
      <w:r w:rsidRPr="002358A2">
        <w:t>s licence</w:t>
      </w:r>
      <w:bookmarkEnd w:id="112"/>
    </w:p>
    <w:bookmarkStart w:name="RLF_BNB_revoke_licence_conditions" w:id="113"/>
    <w:p w:rsidRPr="002358A2" w:rsidR="00BF0CAC" w:rsidP="002358A2" w:rsidRDefault="00BF0CAC" w14:paraId="449A6466" w14:textId="63C831FC">
      <w:pPr>
        <w:pStyle w:val="JuPara"/>
      </w:pPr>
      <w:r w:rsidRPr="002358A2">
        <w:fldChar w:fldCharType="begin"/>
      </w:r>
      <w:r w:rsidRPr="002358A2">
        <w:instrText xml:space="preserve"> SEQ level0 \*arabic </w:instrText>
      </w:r>
      <w:r w:rsidRPr="002358A2">
        <w:fldChar w:fldCharType="separate"/>
      </w:r>
      <w:r w:rsidRPr="002358A2" w:rsidR="002358A2">
        <w:rPr>
          <w:noProof/>
        </w:rPr>
        <w:t>90</w:t>
      </w:r>
      <w:r w:rsidRPr="002358A2">
        <w:fldChar w:fldCharType="end"/>
      </w:r>
      <w:bookmarkEnd w:id="113"/>
      <w:r w:rsidRPr="002358A2">
        <w:t>.  Under section 36(2)(2) of the Credit Institutions Act 2006, as worded at the material time, the BNB had to withdraw a bank</w:t>
      </w:r>
      <w:r w:rsidRPr="002358A2" w:rsidR="002358A2">
        <w:t>’</w:t>
      </w:r>
      <w:r w:rsidRPr="002358A2">
        <w:t>s licence if the bank</w:t>
      </w:r>
      <w:r w:rsidRPr="002358A2" w:rsidR="002358A2">
        <w:t>’</w:t>
      </w:r>
      <w:r w:rsidRPr="002358A2">
        <w:t>s own funds were a negative value. Under section 36(4), the bank</w:t>
      </w:r>
      <w:r w:rsidRPr="002358A2" w:rsidR="002358A2">
        <w:t>’</w:t>
      </w:r>
      <w:r w:rsidRPr="002358A2">
        <w:t xml:space="preserve">s own funds are to be assessed in the manner laid down out in the </w:t>
      </w:r>
      <w:r w:rsidRPr="002358A2">
        <w:rPr>
          <w:lang w:val="en"/>
        </w:rPr>
        <w:t>Capital Requirements Regulation</w:t>
      </w:r>
      <w:r w:rsidRPr="002358A2">
        <w:t>. The BNB</w:t>
      </w:r>
      <w:r w:rsidRPr="002358A2" w:rsidR="002358A2">
        <w:t>’</w:t>
      </w:r>
      <w:r w:rsidRPr="002358A2">
        <w:t>s decision (as indeed any decision which it makes under the 2006 Act) is immediately enforceable (section 151(2)) and cannot be stayed by a court pending the determination of any claim for judicial review (section 151(3)).</w:t>
      </w:r>
    </w:p>
    <w:bookmarkStart w:name="RLF_BNB_revoke_licence_special_adms" w:id="114"/>
    <w:p w:rsidRPr="002358A2" w:rsidR="00BF0CAC" w:rsidP="002358A2" w:rsidRDefault="00BF0CAC" w14:paraId="720A6369" w14:textId="34E89576">
      <w:pPr>
        <w:pStyle w:val="JuPara"/>
      </w:pPr>
      <w:r w:rsidRPr="002358A2">
        <w:fldChar w:fldCharType="begin"/>
      </w:r>
      <w:r w:rsidRPr="002358A2">
        <w:instrText xml:space="preserve"> SEQ level0 \*arabic </w:instrText>
      </w:r>
      <w:r w:rsidRPr="002358A2">
        <w:fldChar w:fldCharType="separate"/>
      </w:r>
      <w:r w:rsidRPr="002358A2" w:rsidR="002358A2">
        <w:rPr>
          <w:noProof/>
        </w:rPr>
        <w:t>91</w:t>
      </w:r>
      <w:r w:rsidRPr="002358A2">
        <w:fldChar w:fldCharType="end"/>
      </w:r>
      <w:bookmarkEnd w:id="114"/>
      <w:r w:rsidRPr="002358A2">
        <w:t>.  When withdrawing a bank</w:t>
      </w:r>
      <w:r w:rsidRPr="002358A2" w:rsidR="002358A2">
        <w:t>’</w:t>
      </w:r>
      <w:r w:rsidRPr="002358A2">
        <w:t>s licence, the BNB must appoint special administrators if it has not already done so (section 36(5)). They continue in office until the competent court appoints a liquidator (section 106(3)).</w:t>
      </w:r>
    </w:p>
    <w:bookmarkStart w:name="RLF_BNB_revoke_licence_procedure" w:id="115"/>
    <w:p w:rsidRPr="002358A2" w:rsidR="00BF0CAC" w:rsidP="002358A2" w:rsidRDefault="00BF0CAC" w14:paraId="1394A27E" w14:textId="6A60872A">
      <w:pPr>
        <w:pStyle w:val="JuPara"/>
      </w:pPr>
      <w:r w:rsidRPr="002358A2">
        <w:fldChar w:fldCharType="begin"/>
      </w:r>
      <w:r w:rsidRPr="002358A2">
        <w:instrText xml:space="preserve"> SEQ level0 \*arabic </w:instrText>
      </w:r>
      <w:r w:rsidRPr="002358A2">
        <w:fldChar w:fldCharType="separate"/>
      </w:r>
      <w:r w:rsidRPr="002358A2" w:rsidR="002358A2">
        <w:rPr>
          <w:noProof/>
        </w:rPr>
        <w:t>92</w:t>
      </w:r>
      <w:r w:rsidRPr="002358A2">
        <w:fldChar w:fldCharType="end"/>
      </w:r>
      <w:bookmarkEnd w:id="115"/>
      <w:r w:rsidRPr="002358A2">
        <w:t>.  Under section 36(6) of the 2006 Act, as in force at the material time, the provisions of the Code of Administrative Procedure which lay down the general rules of administrative procedure that an administrative authority which intends to make a decision must inform all persons concerned by it and give them an opportunity to make objections or representations did not apply in proceedings for the withdrawal of a bank</w:t>
      </w:r>
      <w:r w:rsidRPr="002358A2" w:rsidR="002358A2">
        <w:t>’</w:t>
      </w:r>
      <w:r w:rsidRPr="002358A2">
        <w:t xml:space="preserve">s licence. That rule was nearly identical to that featuring in the previous banking legislation (see </w:t>
      </w:r>
      <w:bookmarkStart w:name="File0" w:id="116"/>
      <w:r w:rsidRPr="002358A2">
        <w:rPr>
          <w:i/>
        </w:rPr>
        <w:t>CapitalBank AD</w:t>
      </w:r>
      <w:bookmarkEnd w:id="116"/>
      <w:r w:rsidRPr="002358A2">
        <w:rPr>
          <w:i/>
        </w:rPr>
        <w:t xml:space="preserve"> v. Bulgaria</w:t>
      </w:r>
      <w:r w:rsidRPr="002358A2">
        <w:t>, no. 49429/99, § 53, ECHR 2005-XII (extracts)).</w:t>
      </w:r>
    </w:p>
    <w:bookmarkStart w:name="RLF_BNB_revoke_licence_procedure_repeal" w:id="117"/>
    <w:p w:rsidRPr="002358A2" w:rsidR="00BF0CAC" w:rsidP="002358A2" w:rsidRDefault="00BF0CAC" w14:paraId="482A6C40" w14:textId="6524D088">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93</w:t>
      </w:r>
      <w:r w:rsidRPr="002358A2">
        <w:rPr>
          <w:noProof/>
        </w:rPr>
        <w:fldChar w:fldCharType="end"/>
      </w:r>
      <w:bookmarkEnd w:id="117"/>
      <w:r w:rsidRPr="002358A2">
        <w:t xml:space="preserve">.  In February 2021 section 36(6) of the 2006 Act was repealed. The explanatory notes to the bill which led to that (no. 002-01-56) said that the repeal and several related amendments were necessary to give effect to the right to be heard under Article 22 of Council Regulation (EU) No 1024/2013 conferring specific tasks on the European Central Bank concerning policies relating to the prudential supervision of credit institutions, Article 31 of Regulation (EU) No 468/2014 of the European Central Bank establishing the framework for cooperation within the Single Supervisory Mechanism between the European Central Bank and national competent authorities and with national designated authorities, and Article 41 </w:t>
      </w:r>
      <w:r w:rsidRPr="002358A2">
        <w:rPr>
          <w:rFonts w:cstheme="minorHAnsi"/>
        </w:rPr>
        <w:t>§</w:t>
      </w:r>
      <w:r w:rsidRPr="002358A2">
        <w:t xml:space="preserve"> 2 of the Charter.</w:t>
      </w:r>
    </w:p>
    <w:p w:rsidRPr="002358A2" w:rsidR="00BF0CAC" w:rsidP="002358A2" w:rsidRDefault="00BF0CAC" w14:paraId="1E87C119" w14:textId="4CC3EC10">
      <w:pPr>
        <w:pStyle w:val="JuHIRoman"/>
      </w:pPr>
      <w:bookmarkStart w:name="_Toc107950856" w:id="118"/>
      <w:r w:rsidRPr="002358A2">
        <w:rPr>
          <w:caps w:val="0"/>
        </w:rPr>
        <w:t>JUDICIAL REVIEW OF A DECISION BY THE BNB TO WITHDRAW A BANK</w:t>
      </w:r>
      <w:r w:rsidRPr="002358A2" w:rsidR="002358A2">
        <w:rPr>
          <w:caps w:val="0"/>
        </w:rPr>
        <w:t>’</w:t>
      </w:r>
      <w:r w:rsidRPr="002358A2">
        <w:rPr>
          <w:caps w:val="0"/>
        </w:rPr>
        <w:t>S LICENCE</w:t>
      </w:r>
      <w:bookmarkEnd w:id="118"/>
    </w:p>
    <w:bookmarkStart w:name="RLF_BNB_revoke_licence_jud_rev" w:id="119"/>
    <w:p w:rsidRPr="002358A2" w:rsidR="00BF0CAC" w:rsidP="002358A2" w:rsidRDefault="00BF0CAC" w14:paraId="59079A7F" w14:textId="71B37FCD">
      <w:pPr>
        <w:pStyle w:val="JuPara"/>
      </w:pPr>
      <w:r w:rsidRPr="002358A2">
        <w:rPr>
          <w:lang w:val="bg-BG"/>
        </w:rPr>
        <w:fldChar w:fldCharType="begin"/>
      </w:r>
      <w:r w:rsidRPr="002358A2">
        <w:rPr>
          <w:lang w:val="bg-BG"/>
        </w:rPr>
        <w:instrText xml:space="preserve"> SEQ level0 \*arabic </w:instrText>
      </w:r>
      <w:r w:rsidRPr="002358A2">
        <w:rPr>
          <w:lang w:val="bg-BG"/>
        </w:rPr>
        <w:fldChar w:fldCharType="separate"/>
      </w:r>
      <w:r w:rsidRPr="002358A2" w:rsidR="002358A2">
        <w:rPr>
          <w:noProof/>
          <w:lang w:val="bg-BG"/>
        </w:rPr>
        <w:t>94</w:t>
      </w:r>
      <w:r w:rsidRPr="002358A2">
        <w:rPr>
          <w:lang w:val="bg-BG"/>
        </w:rPr>
        <w:fldChar w:fldCharType="end"/>
      </w:r>
      <w:bookmarkEnd w:id="119"/>
      <w:r w:rsidRPr="002358A2">
        <w:rPr>
          <w:lang w:val="bg-BG"/>
        </w:rPr>
        <w:t>.  </w:t>
      </w:r>
      <w:r w:rsidRPr="002358A2">
        <w:t>In contrast to the earlier banking legislation, which expressly excluded a decision by the BNB to withdraw a bank</w:t>
      </w:r>
      <w:r w:rsidRPr="002358A2" w:rsidR="002358A2">
        <w:t>’</w:t>
      </w:r>
      <w:r w:rsidRPr="002358A2">
        <w:t xml:space="preserve">s licence from judicial review (see </w:t>
      </w:r>
      <w:r w:rsidRPr="002358A2">
        <w:rPr>
          <w:i/>
          <w:iCs/>
        </w:rPr>
        <w:t>Capital Bank AD</w:t>
      </w:r>
      <w:r w:rsidRPr="002358A2">
        <w:t xml:space="preserve">, cited above, </w:t>
      </w:r>
      <w:r w:rsidRPr="002358A2">
        <w:rPr>
          <w:rFonts w:cstheme="minorHAnsi"/>
        </w:rPr>
        <w:t>§</w:t>
      </w:r>
      <w:r w:rsidRPr="002358A2">
        <w:t xml:space="preserve"> 56), section 151(3) of the Credit Institutions Act 2006, in force since 1 January 2007, provides that all decisions made by the BNB under the Act are amenable to review by the Supreme Administrative Court. According to the explanatory notes to the bill which</w:t>
      </w:r>
      <w:r w:rsidRPr="002358A2" w:rsidR="00E91771">
        <w:t xml:space="preserve"> </w:t>
      </w:r>
      <w:r w:rsidRPr="002358A2">
        <w:t>led to the enactment of the 2006 Act (no. 602-01-30), one of the most</w:t>
      </w:r>
      <w:r w:rsidRPr="002358A2" w:rsidR="00E91771">
        <w:t xml:space="preserve"> </w:t>
      </w:r>
      <w:r w:rsidRPr="002358A2">
        <w:t>important changes it brought about was the possibility of seeking judicial</w:t>
      </w:r>
      <w:r w:rsidRPr="002358A2" w:rsidR="00E91771">
        <w:t xml:space="preserve"> </w:t>
      </w:r>
      <w:r w:rsidRPr="002358A2">
        <w:t>review of all decisions issued by the BNB, as required under Directive 2000/12/EC relating to the taking up and pursuit of the business of credit institutions.</w:t>
      </w:r>
      <w:r w:rsidRPr="002358A2">
        <w:rPr>
          <w:rStyle w:val="FootnoteReference"/>
        </w:rPr>
        <w:footnoteReference w:id="1"/>
      </w:r>
      <w:r w:rsidRPr="002358A2">
        <w:t xml:space="preserve"> Section 151(3) of the Act is, however, silent on who has standing to seek such a review. Until 2014, there had been no cases under it in relation to the withdrawal of a bank</w:t>
      </w:r>
      <w:r w:rsidRPr="002358A2" w:rsidR="002358A2">
        <w:t>’</w:t>
      </w:r>
      <w:r w:rsidRPr="002358A2">
        <w:t xml:space="preserve">s licence. Since after 2014 no other bank in Bulgaria has had its licence withdrawn, after the cases relating to KTB (see paragraphs </w:t>
      </w:r>
      <w:r w:rsidRPr="002358A2">
        <w:fldChar w:fldCharType="begin"/>
      </w:r>
      <w:r w:rsidRPr="002358A2">
        <w:instrText xml:space="preserve"> REF F_SAC_3MP_jud_rev_claim_Bromak \h </w:instrText>
      </w:r>
      <w:r w:rsidRPr="002358A2">
        <w:fldChar w:fldCharType="separate"/>
      </w:r>
      <w:r w:rsidRPr="002358A2" w:rsidR="002358A2">
        <w:rPr>
          <w:noProof/>
        </w:rPr>
        <w:t>22</w:t>
      </w:r>
      <w:r w:rsidRPr="002358A2">
        <w:fldChar w:fldCharType="end"/>
      </w:r>
      <w:r w:rsidRPr="002358A2">
        <w:t>-</w:t>
      </w:r>
      <w:r w:rsidRPr="002358A2">
        <w:fldChar w:fldCharType="begin"/>
      </w:r>
      <w:r w:rsidRPr="002358A2">
        <w:instrText xml:space="preserve"> REF F_SAC_bondholders \h </w:instrText>
      </w:r>
      <w:r w:rsidRPr="002358A2">
        <w:fldChar w:fldCharType="separate"/>
      </w:r>
      <w:r w:rsidRPr="002358A2" w:rsidR="002358A2">
        <w:rPr>
          <w:noProof/>
        </w:rPr>
        <w:t>50</w:t>
      </w:r>
      <w:r w:rsidRPr="002358A2">
        <w:fldChar w:fldCharType="end"/>
      </w:r>
      <w:r w:rsidRPr="002358A2">
        <w:t xml:space="preserve"> above) there have been no other judicial decisions under that provision relating to the withdrawal of a bank</w:t>
      </w:r>
      <w:r w:rsidRPr="002358A2" w:rsidR="002358A2">
        <w:t>’</w:t>
      </w:r>
      <w:r w:rsidRPr="002358A2">
        <w:t>s licence.</w:t>
      </w:r>
    </w:p>
    <w:p w:rsidRPr="002358A2" w:rsidR="00BF0CAC" w:rsidP="002358A2" w:rsidRDefault="00BF0CAC" w14:paraId="13BEDFBE" w14:textId="77777777">
      <w:pPr>
        <w:pStyle w:val="JuHIRoman"/>
      </w:pPr>
      <w:bookmarkStart w:name="_Toc107950857" w:id="120"/>
      <w:r w:rsidRPr="002358A2">
        <w:rPr>
          <w:caps w:val="0"/>
        </w:rPr>
        <w:t>BANK INSOLVENCY</w:t>
      </w:r>
      <w:bookmarkEnd w:id="120"/>
    </w:p>
    <w:p w:rsidRPr="002358A2" w:rsidR="00BF0CAC" w:rsidP="002358A2" w:rsidRDefault="00BF0CAC" w14:paraId="1C9A3B31" w14:textId="77777777">
      <w:pPr>
        <w:pStyle w:val="JuHA"/>
      </w:pPr>
      <w:bookmarkStart w:name="_Toc107950858" w:id="121"/>
      <w:r w:rsidRPr="002358A2">
        <w:t>Opening of the proceedings</w:t>
      </w:r>
      <w:bookmarkEnd w:id="121"/>
    </w:p>
    <w:bookmarkStart w:name="RLF_winding_up_opening_petition" w:id="122"/>
    <w:p w:rsidRPr="002358A2" w:rsidR="00BF0CAC" w:rsidP="002358A2" w:rsidRDefault="00BF0CAC" w14:paraId="63DD7EFF" w14:textId="36B83543">
      <w:pPr>
        <w:pStyle w:val="JuPara"/>
      </w:pPr>
      <w:r w:rsidRPr="002358A2">
        <w:fldChar w:fldCharType="begin"/>
      </w:r>
      <w:r w:rsidRPr="002358A2">
        <w:instrText xml:space="preserve"> SEQ level0 \*arabic </w:instrText>
      </w:r>
      <w:r w:rsidRPr="002358A2">
        <w:fldChar w:fldCharType="separate"/>
      </w:r>
      <w:r w:rsidRPr="002358A2" w:rsidR="002358A2">
        <w:rPr>
          <w:noProof/>
        </w:rPr>
        <w:t>95</w:t>
      </w:r>
      <w:r w:rsidRPr="002358A2">
        <w:fldChar w:fldCharType="end"/>
      </w:r>
      <w:bookmarkEnd w:id="122"/>
      <w:r w:rsidRPr="002358A2">
        <w:t>.  The regime of bank insolvency laid down in the Bank Insolvency Act</w:t>
      </w:r>
      <w:r w:rsidRPr="002358A2" w:rsidR="00CE5489">
        <w:t> </w:t>
      </w:r>
      <w:r w:rsidRPr="002358A2">
        <w:t>2002 has several special characteristics. One of them is that only the</w:t>
      </w:r>
      <w:r w:rsidRPr="002358A2" w:rsidR="00E91771">
        <w:t xml:space="preserve"> </w:t>
      </w:r>
      <w:r w:rsidRPr="002358A2">
        <w:t>BNB, rather than the bank</w:t>
      </w:r>
      <w:r w:rsidRPr="002358A2" w:rsidR="002358A2">
        <w:t>’</w:t>
      </w:r>
      <w:r w:rsidRPr="002358A2">
        <w:t>s creditors, may apply to the competent court to open insolvency proceedings against a bank (section 8(3)). Under section</w:t>
      </w:r>
      <w:r w:rsidRPr="002358A2" w:rsidR="00CE5489">
        <w:t> </w:t>
      </w:r>
      <w:r w:rsidRPr="002358A2">
        <w:t>8(1), as amended, such proceedings must be opened if the BNB has withdrawn a bank</w:t>
      </w:r>
      <w:r w:rsidRPr="002358A2" w:rsidR="002358A2">
        <w:t>’</w:t>
      </w:r>
      <w:r w:rsidRPr="002358A2">
        <w:t xml:space="preserve">s licence pursuant to section 36(2) of the Credit Institutions Act 2006 (see paragraph </w:t>
      </w:r>
      <w:r w:rsidRPr="002358A2">
        <w:fldChar w:fldCharType="begin"/>
      </w:r>
      <w:r w:rsidRPr="002358A2">
        <w:instrText xml:space="preserve"> REF RLF_BNB_revoke_licence_conditions \h </w:instrText>
      </w:r>
      <w:r w:rsidRPr="002358A2">
        <w:fldChar w:fldCharType="separate"/>
      </w:r>
      <w:r w:rsidRPr="002358A2" w:rsidR="002358A2">
        <w:rPr>
          <w:noProof/>
        </w:rPr>
        <w:t>90</w:t>
      </w:r>
      <w:r w:rsidRPr="002358A2">
        <w:fldChar w:fldCharType="end"/>
      </w:r>
      <w:r w:rsidRPr="002358A2">
        <w:t xml:space="preserve"> above). In its application, the BNB need only set out the legal ground(s) under section 36(2) of the 2006 Act for which it has withdrawn the licence rather than all considerations underpinning its decision (section 9(2) of the 2002 Act).</w:t>
      </w:r>
    </w:p>
    <w:bookmarkStart w:name="RLF_winding_up_hearing_representation" w:id="123"/>
    <w:p w:rsidRPr="002358A2" w:rsidR="00BF0CAC" w:rsidP="002358A2" w:rsidRDefault="00BF0CAC" w14:paraId="435DDF51" w14:textId="12F0B828">
      <w:pPr>
        <w:pStyle w:val="JuPara"/>
      </w:pPr>
      <w:r w:rsidRPr="002358A2">
        <w:fldChar w:fldCharType="begin"/>
      </w:r>
      <w:r w:rsidRPr="002358A2">
        <w:instrText xml:space="preserve"> SEQ level0 \*arabic </w:instrText>
      </w:r>
      <w:r w:rsidRPr="002358A2">
        <w:fldChar w:fldCharType="separate"/>
      </w:r>
      <w:r w:rsidRPr="002358A2" w:rsidR="002358A2">
        <w:rPr>
          <w:noProof/>
        </w:rPr>
        <w:t>96</w:t>
      </w:r>
      <w:r w:rsidRPr="002358A2">
        <w:fldChar w:fldCharType="end"/>
      </w:r>
      <w:bookmarkEnd w:id="123"/>
      <w:r w:rsidRPr="002358A2">
        <w:t>.  Under section 11(2) of the 2002 Act, the insolvency court examines the BNB</w:t>
      </w:r>
      <w:r w:rsidRPr="002358A2" w:rsidR="002358A2">
        <w:t>’</w:t>
      </w:r>
      <w:r w:rsidRPr="002358A2">
        <w:t xml:space="preserve">s application at a closed hearing to which it must summon a public prosecutor, the BNB, the bank whose winding-up is being sought and the Deposit Insurance Fund. The bank is represented by the special administrators previously appointed by the BNB (see paragraphs </w:t>
      </w:r>
      <w:r w:rsidRPr="002358A2">
        <w:fldChar w:fldCharType="begin"/>
      </w:r>
      <w:r w:rsidRPr="002358A2">
        <w:instrText xml:space="preserve"> REF RLF_BNB_special_administration \h </w:instrText>
      </w:r>
      <w:r w:rsidRPr="002358A2">
        <w:fldChar w:fldCharType="separate"/>
      </w:r>
      <w:r w:rsidRPr="002358A2" w:rsidR="002358A2">
        <w:rPr>
          <w:noProof/>
        </w:rPr>
        <w:t>88</w:t>
      </w:r>
      <w:r w:rsidRPr="002358A2">
        <w:fldChar w:fldCharType="end"/>
      </w:r>
      <w:r w:rsidRPr="002358A2">
        <w:t>-</w:t>
      </w:r>
      <w:r w:rsidRPr="002358A2">
        <w:fldChar w:fldCharType="begin"/>
      </w:r>
      <w:r w:rsidRPr="002358A2">
        <w:instrText xml:space="preserve"> REF RLF_BNB_special_administrators \h </w:instrText>
      </w:r>
      <w:r w:rsidRPr="002358A2">
        <w:fldChar w:fldCharType="separate"/>
      </w:r>
      <w:r w:rsidRPr="002358A2" w:rsidR="002358A2">
        <w:rPr>
          <w:noProof/>
        </w:rPr>
        <w:t>89</w:t>
      </w:r>
      <w:r w:rsidRPr="002358A2">
        <w:fldChar w:fldCharType="end"/>
      </w:r>
      <w:r w:rsidRPr="002358A2">
        <w:t xml:space="preserve"> above), or by persons authorised by them (section 11(3)). With effect from</w:t>
      </w:r>
      <w:r w:rsidRPr="002358A2" w:rsidR="00E91771">
        <w:t xml:space="preserve"> </w:t>
      </w:r>
      <w:r w:rsidRPr="002358A2">
        <w:t>14 August 2015, court-appointed provisional liquidators (see paragraph </w:t>
      </w:r>
      <w:r w:rsidRPr="002358A2">
        <w:fldChar w:fldCharType="begin"/>
      </w:r>
      <w:r w:rsidRPr="002358A2">
        <w:instrText xml:space="preserve"> REF RLF_winding_up_provisional_liquidator \h </w:instrText>
      </w:r>
      <w:r w:rsidRPr="002358A2">
        <w:fldChar w:fldCharType="separate"/>
      </w:r>
      <w:r w:rsidRPr="002358A2" w:rsidR="002358A2">
        <w:rPr>
          <w:noProof/>
        </w:rPr>
        <w:t>100</w:t>
      </w:r>
      <w:r w:rsidRPr="002358A2">
        <w:fldChar w:fldCharType="end"/>
      </w:r>
      <w:r w:rsidRPr="002358A2">
        <w:t xml:space="preserve"> below) were added to that list (section 11(3), as worded since</w:t>
      </w:r>
      <w:r w:rsidRPr="002358A2" w:rsidR="00E91771">
        <w:t xml:space="preserve"> </w:t>
      </w:r>
      <w:r w:rsidRPr="002358A2">
        <w:t>14 August 2015). Shareholders holding more than 5% of the bank</w:t>
      </w:r>
      <w:r w:rsidRPr="002358A2" w:rsidR="002358A2">
        <w:t>’</w:t>
      </w:r>
      <w:r w:rsidRPr="002358A2">
        <w:t>s shares at the time its licence is withdrawn may intervene in the proceedings (section 11(4), as amended with effect from 1 January 2007).</w:t>
      </w:r>
    </w:p>
    <w:bookmarkStart w:name="RLF_winding_up_stay_pending_jud_rev" w:id="124"/>
    <w:p w:rsidRPr="002358A2" w:rsidR="00BF0CAC" w:rsidP="002358A2" w:rsidRDefault="00BF0CAC" w14:paraId="034D08BC" w14:textId="556E911B">
      <w:pPr>
        <w:pStyle w:val="JuPara"/>
      </w:pPr>
      <w:r w:rsidRPr="002358A2">
        <w:fldChar w:fldCharType="begin"/>
      </w:r>
      <w:r w:rsidRPr="002358A2">
        <w:instrText xml:space="preserve"> SEQ level0 \*arabic </w:instrText>
      </w:r>
      <w:r w:rsidRPr="002358A2">
        <w:fldChar w:fldCharType="separate"/>
      </w:r>
      <w:r w:rsidRPr="002358A2" w:rsidR="002358A2">
        <w:rPr>
          <w:noProof/>
        </w:rPr>
        <w:t>97</w:t>
      </w:r>
      <w:r w:rsidRPr="002358A2">
        <w:fldChar w:fldCharType="end"/>
      </w:r>
      <w:bookmarkEnd w:id="124"/>
      <w:r w:rsidRPr="002358A2">
        <w:t>.  By section 11(6), the insolvency court must stay the proceedings until the determination of any claim for judicial review of the BNB</w:t>
      </w:r>
      <w:r w:rsidRPr="002358A2" w:rsidR="002358A2">
        <w:t>’</w:t>
      </w:r>
      <w:r w:rsidRPr="002358A2">
        <w:t>s decision to withdraw the bank</w:t>
      </w:r>
      <w:r w:rsidRPr="002358A2" w:rsidR="002358A2">
        <w:t>’</w:t>
      </w:r>
      <w:r w:rsidRPr="002358A2">
        <w:t xml:space="preserve">s licence (see paragraph </w:t>
      </w:r>
      <w:r w:rsidRPr="002358A2">
        <w:fldChar w:fldCharType="begin"/>
      </w:r>
      <w:r w:rsidRPr="002358A2">
        <w:instrText xml:space="preserve"> REF RLF_BNB_revoke_licence_jud_rev \h </w:instrText>
      </w:r>
      <w:r w:rsidRPr="002358A2">
        <w:fldChar w:fldCharType="separate"/>
      </w:r>
      <w:r w:rsidRPr="002358A2" w:rsidR="002358A2">
        <w:rPr>
          <w:noProof/>
          <w:lang w:val="bg-BG"/>
        </w:rPr>
        <w:t>94</w:t>
      </w:r>
      <w:r w:rsidRPr="002358A2">
        <w:fldChar w:fldCharType="end"/>
      </w:r>
      <w:r w:rsidRPr="002358A2">
        <w:t xml:space="preserve"> above). When that decision becomes final, the insolvency court must open winding-up proceedings in respect of the bank (section 11(5)).</w:t>
      </w:r>
    </w:p>
    <w:p w:rsidRPr="002358A2" w:rsidR="00BF0CAC" w:rsidP="002358A2" w:rsidRDefault="00BF0CAC" w14:paraId="3D54D3C3" w14:textId="4CEBF630">
      <w:pPr>
        <w:pStyle w:val="JuPara"/>
      </w:pPr>
      <w:r w:rsidRPr="002358A2">
        <w:fldChar w:fldCharType="begin"/>
      </w:r>
      <w:r w:rsidRPr="002358A2">
        <w:instrText xml:space="preserve"> SEQ level0 \*arabic </w:instrText>
      </w:r>
      <w:r w:rsidRPr="002358A2">
        <w:fldChar w:fldCharType="separate"/>
      </w:r>
      <w:r w:rsidRPr="002358A2" w:rsidR="002358A2">
        <w:rPr>
          <w:noProof/>
        </w:rPr>
        <w:t>98</w:t>
      </w:r>
      <w:r w:rsidRPr="002358A2">
        <w:fldChar w:fldCharType="end"/>
      </w:r>
      <w:r w:rsidRPr="002358A2">
        <w:t>.  If the insolvency court allows the BNB</w:t>
      </w:r>
      <w:r w:rsidRPr="002358A2" w:rsidR="002358A2">
        <w:t>’</w:t>
      </w:r>
      <w:r w:rsidRPr="002358A2">
        <w:t xml:space="preserve">s application for the bank to be wound up, it, </w:t>
      </w:r>
      <w:r w:rsidRPr="002358A2">
        <w:rPr>
          <w:i/>
          <w:iCs/>
        </w:rPr>
        <w:t>inter alia</w:t>
      </w:r>
      <w:r w:rsidRPr="002358A2">
        <w:t>, terminates the powers of the bank</w:t>
      </w:r>
      <w:r w:rsidRPr="002358A2" w:rsidR="002358A2">
        <w:t>’</w:t>
      </w:r>
      <w:r w:rsidRPr="002358A2">
        <w:t>s bodies (section 13(1)(4)).</w:t>
      </w:r>
    </w:p>
    <w:bookmarkStart w:name="RLF_winding_up_appeal_standing" w:id="125"/>
    <w:p w:rsidRPr="002358A2" w:rsidR="00BF0CAC" w:rsidP="002358A2" w:rsidRDefault="00BF0CAC" w14:paraId="7A4CB3E9" w14:textId="315A03FE">
      <w:pPr>
        <w:pStyle w:val="JuPara"/>
      </w:pPr>
      <w:r w:rsidRPr="002358A2">
        <w:fldChar w:fldCharType="begin"/>
      </w:r>
      <w:r w:rsidRPr="002358A2">
        <w:instrText xml:space="preserve"> SEQ level0 \*arabic </w:instrText>
      </w:r>
      <w:r w:rsidRPr="002358A2">
        <w:fldChar w:fldCharType="separate"/>
      </w:r>
      <w:r w:rsidRPr="002358A2" w:rsidR="002358A2">
        <w:rPr>
          <w:noProof/>
        </w:rPr>
        <w:t>99</w:t>
      </w:r>
      <w:r w:rsidRPr="002358A2">
        <w:fldChar w:fldCharType="end"/>
      </w:r>
      <w:bookmarkEnd w:id="125"/>
      <w:r w:rsidRPr="002358A2">
        <w:t xml:space="preserve">.  Under section 16(1) </w:t>
      </w:r>
      <w:r w:rsidRPr="002358A2">
        <w:rPr>
          <w:i/>
          <w:iCs/>
        </w:rPr>
        <w:t>in fine</w:t>
      </w:r>
      <w:r w:rsidRPr="002358A2">
        <w:t>, as in force until August 2015, only the</w:t>
      </w:r>
      <w:r w:rsidRPr="002358A2" w:rsidR="00E91771">
        <w:t xml:space="preserve"> </w:t>
      </w:r>
      <w:r w:rsidRPr="002358A2">
        <w:t>BNB, the special administrators appointed by it and the public prosecutor</w:t>
      </w:r>
      <w:r w:rsidRPr="002358A2" w:rsidR="00E91771">
        <w:t xml:space="preserve"> </w:t>
      </w:r>
      <w:r w:rsidRPr="002358A2">
        <w:t>could appeal against the insolvency court</w:t>
      </w:r>
      <w:r w:rsidRPr="002358A2" w:rsidR="002358A2">
        <w:t>’</w:t>
      </w:r>
      <w:r w:rsidRPr="002358A2">
        <w:t>s decision on the BNB</w:t>
      </w:r>
      <w:r w:rsidRPr="002358A2" w:rsidR="002358A2">
        <w:t>’</w:t>
      </w:r>
      <w:r w:rsidRPr="002358A2">
        <w:t>s winding-up application against the bank. In August 2015 the bank</w:t>
      </w:r>
      <w:r w:rsidRPr="002358A2" w:rsidR="002358A2">
        <w:t>’</w:t>
      </w:r>
      <w:r w:rsidRPr="002358A2">
        <w:t xml:space="preserve">s provisional liquidators (see paragraph </w:t>
      </w:r>
      <w:r w:rsidRPr="002358A2">
        <w:fldChar w:fldCharType="begin"/>
      </w:r>
      <w:r w:rsidRPr="002358A2">
        <w:instrText xml:space="preserve"> REF RLF_winding_up_provisional_liquidator \h </w:instrText>
      </w:r>
      <w:r w:rsidRPr="002358A2">
        <w:fldChar w:fldCharType="separate"/>
      </w:r>
      <w:r w:rsidRPr="002358A2" w:rsidR="002358A2">
        <w:rPr>
          <w:noProof/>
        </w:rPr>
        <w:t>100</w:t>
      </w:r>
      <w:r w:rsidRPr="002358A2">
        <w:fldChar w:fldCharType="end"/>
      </w:r>
      <w:r w:rsidRPr="002358A2">
        <w:t xml:space="preserve"> below) were added to that list.</w:t>
      </w:r>
    </w:p>
    <w:p w:rsidRPr="002358A2" w:rsidR="00BF0CAC" w:rsidP="002358A2" w:rsidRDefault="00BF0CAC" w14:paraId="6B9EDAD7" w14:textId="77777777">
      <w:pPr>
        <w:pStyle w:val="JuHA"/>
      </w:pPr>
      <w:bookmarkStart w:name="_Toc107950859" w:id="126"/>
      <w:r w:rsidRPr="002358A2">
        <w:t>Provisional and permanent liquidators</w:t>
      </w:r>
      <w:bookmarkEnd w:id="126"/>
    </w:p>
    <w:bookmarkStart w:name="RLF_winding_up_provisional_liquidator" w:id="127"/>
    <w:p w:rsidRPr="002358A2" w:rsidR="00BF0CAC" w:rsidP="002358A2" w:rsidRDefault="00BF0CAC" w14:paraId="483E6B35" w14:textId="299BDE11">
      <w:pPr>
        <w:pStyle w:val="JuPara"/>
      </w:pPr>
      <w:r w:rsidRPr="002358A2">
        <w:fldChar w:fldCharType="begin"/>
      </w:r>
      <w:r w:rsidRPr="002358A2">
        <w:instrText xml:space="preserve"> SEQ level0 \*arabic </w:instrText>
      </w:r>
      <w:r w:rsidRPr="002358A2">
        <w:fldChar w:fldCharType="separate"/>
      </w:r>
      <w:r w:rsidRPr="002358A2" w:rsidR="002358A2">
        <w:rPr>
          <w:noProof/>
        </w:rPr>
        <w:t>100</w:t>
      </w:r>
      <w:r w:rsidRPr="002358A2">
        <w:fldChar w:fldCharType="end"/>
      </w:r>
      <w:bookmarkEnd w:id="127"/>
      <w:r w:rsidRPr="002358A2">
        <w:t>.  Under section 12(1)(2) of the Bank Insolvency Act 2002, as worded between 24 March and August 2015, if the BNB had appointed special administrators before withdrawing a bank</w:t>
      </w:r>
      <w:r w:rsidRPr="002358A2" w:rsidR="002358A2">
        <w:t>’</w:t>
      </w:r>
      <w:r w:rsidRPr="002358A2">
        <w:t xml:space="preserve">s licence (see paragraph </w:t>
      </w:r>
      <w:r w:rsidRPr="002358A2">
        <w:fldChar w:fldCharType="begin"/>
      </w:r>
      <w:r w:rsidRPr="002358A2">
        <w:instrText xml:space="preserve"> REF RLF_BNB_special_administration \h </w:instrText>
      </w:r>
      <w:r w:rsidRPr="002358A2">
        <w:fldChar w:fldCharType="separate"/>
      </w:r>
      <w:r w:rsidRPr="002358A2" w:rsidR="002358A2">
        <w:rPr>
          <w:noProof/>
        </w:rPr>
        <w:t>88</w:t>
      </w:r>
      <w:r w:rsidRPr="002358A2">
        <w:fldChar w:fldCharType="end"/>
      </w:r>
      <w:r w:rsidRPr="002358A2">
        <w:t xml:space="preserve"> above), the insolvency court could appoint a provisional liquidator for the bank at the request of the Deposit Insurance Fund. Since August 2015 that possibility is no longer premised on the prior appointment of special administrators (section 12(1)(2), as worded since August 2015). The court</w:t>
      </w:r>
      <w:r w:rsidRPr="002358A2" w:rsidR="002358A2">
        <w:t>’</w:t>
      </w:r>
      <w:r w:rsidRPr="002358A2">
        <w:t>s decision is immediately enforceable and is not amenable to appeal (section 12(4)). The provisional liquidator takes over the powers of the special administrators (section 12(6)). He or she must be someone featuring on a list of qualified persons drawn up by the BNB (section 25(1)(12)). If the provisional liquidator is struck off that list by the BNB, the court must dismiss him or her, at the Fund</w:t>
      </w:r>
      <w:r w:rsidRPr="002358A2" w:rsidR="002358A2">
        <w:t>’</w:t>
      </w:r>
      <w:r w:rsidRPr="002358A2">
        <w:t>s proposal (section 12a(3) taken together with section 29(1)(6)). He or she continues in office until a permanent liquidator is appointed, and his or her remuneration is fixed by the Fund (section 12a(1), effective as from</w:t>
      </w:r>
      <w:r w:rsidRPr="002358A2" w:rsidR="00E91771">
        <w:t xml:space="preserve"> </w:t>
      </w:r>
      <w:r w:rsidRPr="002358A2">
        <w:t>24 March 2015). He or she represents the bank, takes part in any proceedings to which the bank is party and brings proceedings on its behalf (section</w:t>
      </w:r>
      <w:r w:rsidRPr="002358A2" w:rsidR="00E91771">
        <w:t> </w:t>
      </w:r>
      <w:r w:rsidRPr="002358A2">
        <w:t>12a(2)(1) and (2)(7), added with effect from 24 March 2015).</w:t>
      </w:r>
    </w:p>
    <w:bookmarkStart w:name="RLF_winding_up_permanent_liquidator" w:id="128"/>
    <w:p w:rsidRPr="002358A2" w:rsidR="00BF0CAC" w:rsidP="002358A2" w:rsidRDefault="00BF0CAC" w14:paraId="1DA3A8E6" w14:textId="5A2F2849">
      <w:pPr>
        <w:pStyle w:val="JuPara"/>
      </w:pPr>
      <w:r w:rsidRPr="002358A2">
        <w:fldChar w:fldCharType="begin"/>
      </w:r>
      <w:r w:rsidRPr="002358A2">
        <w:instrText xml:space="preserve"> SEQ level0 \*arabic </w:instrText>
      </w:r>
      <w:r w:rsidRPr="002358A2">
        <w:fldChar w:fldCharType="separate"/>
      </w:r>
      <w:r w:rsidRPr="002358A2" w:rsidR="002358A2">
        <w:rPr>
          <w:noProof/>
        </w:rPr>
        <w:t>101</w:t>
      </w:r>
      <w:r w:rsidRPr="002358A2">
        <w:fldChar w:fldCharType="end"/>
      </w:r>
      <w:bookmarkEnd w:id="128"/>
      <w:r w:rsidRPr="002358A2">
        <w:t>.  Permanent liquidators must be appointed by the Deposit Insurance Fund as soon as possible after the insolvency court opens winding-up proceedings against the bank (sections 13(4) and 26(1)). The Fund must choose from among the people featuring on the above-mentioned list of qualified persons drawn up by the BNB (sections 25(1)(12) and 26(1)). If a liquidator is struck off that list by the BNB, the Fund must dismiss him or her (section 29(1)(6)). The Fund</w:t>
      </w:r>
      <w:r w:rsidRPr="002358A2" w:rsidR="002358A2">
        <w:t>’</w:t>
      </w:r>
      <w:r w:rsidRPr="002358A2">
        <w:t>s decision to appoint a liquidator is immediately enforceable (sections 26(4)). Neither the decision to appoint a liquidator nor the decision to dismiss one is amenable to judicial review (section 39(4)). The liquidator</w:t>
      </w:r>
      <w:r w:rsidRPr="002358A2" w:rsidR="002358A2">
        <w:t>’</w:t>
      </w:r>
      <w:r w:rsidRPr="002358A2">
        <w:t>s powers include taking part in any proceedings to which the bank is party and bringing proceedings on the bank</w:t>
      </w:r>
      <w:r w:rsidRPr="002358A2" w:rsidR="002358A2">
        <w:t>’</w:t>
      </w:r>
      <w:r w:rsidRPr="002358A2">
        <w:t>s behalf (section 31(1)(7)).</w:t>
      </w:r>
    </w:p>
    <w:bookmarkStart w:name="RLF_winding_up_liquidator_duties" w:id="129"/>
    <w:p w:rsidRPr="002358A2" w:rsidR="00BF0CAC" w:rsidP="002358A2" w:rsidRDefault="00BF0CAC" w14:paraId="2A932E76" w14:textId="71972D1C">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102</w:t>
      </w:r>
      <w:r w:rsidRPr="002358A2">
        <w:fldChar w:fldCharType="end"/>
      </w:r>
      <w:bookmarkEnd w:id="129"/>
      <w:r w:rsidRPr="002358A2">
        <w:t>.  A liquidator must carry out his or her duties with due care and must put the interests of the bank</w:t>
      </w:r>
      <w:r w:rsidRPr="002358A2" w:rsidR="002358A2">
        <w:t>’</w:t>
      </w:r>
      <w:r w:rsidRPr="002358A2">
        <w:t>s creditors above his or her own (section 33(1)).</w:t>
      </w:r>
    </w:p>
    <w:bookmarkStart w:name="RLF_winding_up_liquidator_Fund_powers" w:id="130"/>
    <w:p w:rsidRPr="002358A2" w:rsidR="00BF0CAC" w:rsidP="002358A2" w:rsidRDefault="00BF0CAC" w14:paraId="6B6A3377" w14:textId="16934918">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103</w:t>
      </w:r>
      <w:r w:rsidRPr="002358A2">
        <w:fldChar w:fldCharType="end"/>
      </w:r>
      <w:bookmarkEnd w:id="130"/>
      <w:r w:rsidRPr="002358A2">
        <w:t>.  If the Deposit Insurance Fund finds, whether on its own initiative or following a report by the BNB or a creditor of the bank, that the liquidators are carrying out their duties unlawfully or without due care, are harming the interests of the bank</w:t>
      </w:r>
      <w:r w:rsidRPr="002358A2" w:rsidR="002358A2">
        <w:t>’</w:t>
      </w:r>
      <w:r w:rsidRPr="002358A2">
        <w:t>s creditors or are unduly protracting the insolvency proceedings, the Fund may (a) require the liquidators to take corrective action; (b) order them to take immediate steps to preserve the interests of the bank</w:t>
      </w:r>
      <w:r w:rsidRPr="002358A2" w:rsidR="002358A2">
        <w:t>’</w:t>
      </w:r>
      <w:r w:rsidRPr="002358A2">
        <w:t>s creditors; (c) require them to cease any breaches of their duties and remedy any past breaches; (d) bar them from taking steps or making transactions which can harm the interests of the bank</w:t>
      </w:r>
      <w:r w:rsidRPr="002358A2" w:rsidR="002358A2">
        <w:t>’</w:t>
      </w:r>
      <w:r w:rsidRPr="002358A2">
        <w:t>s creditors; (e) reduce their remuneration; or (f) dismiss them (section 41(1) and (2)).</w:t>
      </w:r>
    </w:p>
    <w:bookmarkStart w:name="RLF_winding_up_liquidator_liability" w:id="131"/>
    <w:p w:rsidRPr="002358A2" w:rsidR="00BF0CAC" w:rsidP="002358A2" w:rsidRDefault="00BF0CAC" w14:paraId="64454AD3" w14:textId="1E1682C7">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104</w:t>
      </w:r>
      <w:r w:rsidRPr="002358A2">
        <w:fldChar w:fldCharType="end"/>
      </w:r>
      <w:bookmarkEnd w:id="131"/>
      <w:r w:rsidRPr="002358A2">
        <w:t>.  A bank</w:t>
      </w:r>
      <w:r w:rsidRPr="002358A2" w:rsidR="002358A2">
        <w:t>’</w:t>
      </w:r>
      <w:r w:rsidRPr="002358A2">
        <w:t>s liquidators are liable to compensate any damage caused through their fault. The compensation is paid into the bank</w:t>
      </w:r>
      <w:r w:rsidRPr="002358A2" w:rsidR="002358A2">
        <w:t>’</w:t>
      </w:r>
      <w:r w:rsidRPr="002358A2">
        <w:t>s insolvency estate (section 35(4)).</w:t>
      </w:r>
    </w:p>
    <w:p w:rsidRPr="002358A2" w:rsidR="00BF0CAC" w:rsidP="002358A2" w:rsidRDefault="00BF0CAC" w14:paraId="51545E63" w14:textId="77777777">
      <w:pPr>
        <w:pStyle w:val="JuHIRoman"/>
      </w:pPr>
      <w:bookmarkStart w:name="_Toc107950860" w:id="132"/>
      <w:r w:rsidRPr="002358A2">
        <w:rPr>
          <w:caps w:val="0"/>
        </w:rPr>
        <w:t xml:space="preserve">REPRESENTATIVE </w:t>
      </w:r>
      <w:r w:rsidRPr="002358A2">
        <w:rPr>
          <w:i/>
          <w:iCs/>
          <w:caps w:val="0"/>
        </w:rPr>
        <w:t>AD LITEM</w:t>
      </w:r>
      <w:r w:rsidRPr="002358A2">
        <w:rPr>
          <w:caps w:val="0"/>
        </w:rPr>
        <w:t xml:space="preserve"> IN THE EVENT OF A CONFLICT OF INTERESTS BETWEEN A PARTY AND ITS REPRESENTATIVE</w:t>
      </w:r>
      <w:bookmarkEnd w:id="132"/>
    </w:p>
    <w:bookmarkStart w:name="RLF_CCP_A_29_4" w:id="133"/>
    <w:p w:rsidRPr="002358A2" w:rsidR="00BF0CAC" w:rsidP="002358A2" w:rsidRDefault="00BF0CAC" w14:paraId="2CB5DEB9" w14:textId="69610CDB">
      <w:pPr>
        <w:pStyle w:val="JuPara"/>
      </w:pPr>
      <w:r w:rsidRPr="002358A2">
        <w:fldChar w:fldCharType="begin"/>
      </w:r>
      <w:r w:rsidRPr="002358A2">
        <w:instrText xml:space="preserve"> SEQ level0 \*arabic </w:instrText>
      </w:r>
      <w:r w:rsidRPr="002358A2">
        <w:fldChar w:fldCharType="separate"/>
      </w:r>
      <w:r w:rsidRPr="002358A2" w:rsidR="002358A2">
        <w:rPr>
          <w:noProof/>
        </w:rPr>
        <w:t>105</w:t>
      </w:r>
      <w:r w:rsidRPr="002358A2">
        <w:fldChar w:fldCharType="end"/>
      </w:r>
      <w:bookmarkEnd w:id="133"/>
      <w:r w:rsidRPr="002358A2">
        <w:t xml:space="preserve">.  Article 29 </w:t>
      </w:r>
      <w:r w:rsidRPr="002358A2">
        <w:rPr>
          <w:rFonts w:cstheme="minorHAnsi"/>
        </w:rPr>
        <w:t>§</w:t>
      </w:r>
      <w:r w:rsidRPr="002358A2">
        <w:t xml:space="preserve"> 4 of the Code of Civil Procedure provides that if there is a conflict of interests between a party and its representative, the court appoints a special representative </w:t>
      </w:r>
      <w:r w:rsidRPr="002358A2">
        <w:rPr>
          <w:i/>
          <w:iCs/>
        </w:rPr>
        <w:t>ad litem</w:t>
      </w:r>
      <w:r w:rsidRPr="002358A2">
        <w:t>. Under Article 144 of the Code of Administrative Procedure, this provision also applies in proceedings before the administrative courts.</w:t>
      </w:r>
    </w:p>
    <w:p w:rsidRPr="002358A2" w:rsidR="00BF0CAC" w:rsidP="002358A2" w:rsidRDefault="00BF0CAC" w14:paraId="582E221E" w14:textId="77777777">
      <w:pPr>
        <w:pStyle w:val="JuHHead"/>
      </w:pPr>
      <w:bookmarkStart w:name="_Toc107950861" w:id="134"/>
      <w:r w:rsidRPr="002358A2">
        <w:t>RELEVANT COUNCIL OF EUROPE MATERIAL</w:t>
      </w:r>
      <w:bookmarkEnd w:id="134"/>
    </w:p>
    <w:bookmarkStart w:name="RCoEM_Capital_Bank" w:id="135"/>
    <w:p w:rsidRPr="002358A2" w:rsidR="00BF0CAC" w:rsidP="002358A2" w:rsidRDefault="00BF0CAC" w14:paraId="7CDFBA9A" w14:textId="06EC4421">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106</w:t>
      </w:r>
      <w:r w:rsidRPr="002358A2">
        <w:rPr>
          <w:noProof/>
        </w:rPr>
        <w:fldChar w:fldCharType="end"/>
      </w:r>
      <w:bookmarkEnd w:id="135"/>
      <w:r w:rsidRPr="002358A2">
        <w:t xml:space="preserve">.  In its Resolution </w:t>
      </w:r>
      <w:hyperlink w:history="1" r:id="rId17">
        <w:r w:rsidRPr="002358A2">
          <w:rPr>
            <w:rStyle w:val="Hyperlink"/>
          </w:rPr>
          <w:t>CM/ResDH(2017)334</w:t>
        </w:r>
      </w:hyperlink>
      <w:r w:rsidRPr="002358A2">
        <w:t xml:space="preserve">, relating to the execution of the judgment in </w:t>
      </w:r>
      <w:r w:rsidRPr="002358A2">
        <w:rPr>
          <w:i/>
          <w:iCs/>
        </w:rPr>
        <w:t>Capital Bank AD</w:t>
      </w:r>
      <w:r w:rsidRPr="002358A2">
        <w:t xml:space="preserve"> (cited above), the Committee of Ministers</w:t>
      </w:r>
      <w:r w:rsidRPr="002358A2" w:rsidR="00E91771">
        <w:t xml:space="preserve"> </w:t>
      </w:r>
      <w:r w:rsidRPr="002358A2">
        <w:t xml:space="preserve">(a) took note of the legislative reforms adopted since, “introducing, </w:t>
      </w:r>
      <w:r w:rsidRPr="002358A2">
        <w:rPr>
          <w:i/>
          <w:iCs/>
        </w:rPr>
        <w:t>inter alia</w:t>
      </w:r>
      <w:r w:rsidRPr="002358A2">
        <w:t>, a direct judicial review of decisions to withdraw the licence of a bank”, and (b) observed that, in view of the recent case-law of the Bulgarian courts (which consisted of the Supreme Administrative Court</w:t>
      </w:r>
      <w:r w:rsidRPr="002358A2" w:rsidR="002358A2">
        <w:t>’</w:t>
      </w:r>
      <w:r w:rsidRPr="002358A2">
        <w:t xml:space="preserve">s decisions relating to KTB – see paragraphs </w:t>
      </w:r>
      <w:r w:rsidRPr="002358A2">
        <w:fldChar w:fldCharType="begin"/>
      </w:r>
      <w:r w:rsidRPr="002358A2">
        <w:instrText xml:space="preserve"> REF F_SAC_3MP_dec_13_01_2015 \h </w:instrText>
      </w:r>
      <w:r w:rsidRPr="002358A2">
        <w:fldChar w:fldCharType="separate"/>
      </w:r>
      <w:r w:rsidRPr="002358A2" w:rsidR="002358A2">
        <w:rPr>
          <w:noProof/>
        </w:rPr>
        <w:t>31</w:t>
      </w:r>
      <w:r w:rsidRPr="002358A2">
        <w:fldChar w:fldCharType="end"/>
      </w:r>
      <w:r w:rsidRPr="002358A2">
        <w:t xml:space="preserve">, </w:t>
      </w:r>
      <w:r w:rsidRPr="002358A2">
        <w:fldChar w:fldCharType="begin"/>
      </w:r>
      <w:r w:rsidRPr="002358A2">
        <w:instrText xml:space="preserve"> REF F_SAC_5MP_dec_2_4_2015 \h </w:instrText>
      </w:r>
      <w:r w:rsidRPr="002358A2">
        <w:fldChar w:fldCharType="separate"/>
      </w:r>
      <w:r w:rsidRPr="002358A2" w:rsidR="002358A2">
        <w:rPr>
          <w:noProof/>
        </w:rPr>
        <w:t>41</w:t>
      </w:r>
      <w:r w:rsidRPr="002358A2">
        <w:fldChar w:fldCharType="end"/>
      </w:r>
      <w:r w:rsidRPr="002358A2">
        <w:t xml:space="preserve">, </w:t>
      </w:r>
      <w:r w:rsidRPr="002358A2">
        <w:fldChar w:fldCharType="begin"/>
      </w:r>
      <w:r w:rsidRPr="002358A2">
        <w:instrText xml:space="preserve"> REF F_SAC_ex_dir_3MP_dec \h </w:instrText>
      </w:r>
      <w:r w:rsidRPr="002358A2">
        <w:fldChar w:fldCharType="separate"/>
      </w:r>
      <w:r w:rsidRPr="002358A2" w:rsidR="002358A2">
        <w:rPr>
          <w:noProof/>
        </w:rPr>
        <w:t>45</w:t>
      </w:r>
      <w:r w:rsidRPr="002358A2">
        <w:fldChar w:fldCharType="end"/>
      </w:r>
      <w:r w:rsidRPr="002358A2">
        <w:t xml:space="preserve"> and </w:t>
      </w:r>
      <w:r w:rsidRPr="002358A2">
        <w:fldChar w:fldCharType="begin"/>
      </w:r>
      <w:r w:rsidRPr="002358A2">
        <w:instrText xml:space="preserve"> REF F_SAC_ex_dir_5MP_dec \h </w:instrText>
      </w:r>
      <w:r w:rsidRPr="002358A2">
        <w:fldChar w:fldCharType="separate"/>
      </w:r>
      <w:r w:rsidRPr="002358A2" w:rsidR="002358A2">
        <w:rPr>
          <w:noProof/>
        </w:rPr>
        <w:t>47</w:t>
      </w:r>
      <w:r w:rsidRPr="002358A2">
        <w:fldChar w:fldCharType="end"/>
      </w:r>
      <w:r w:rsidRPr="002358A2">
        <w:t xml:space="preserve"> above), the question of what additional general measures had to be taken to prevent similar breaches had been entirely taken up by the execution of the judgment in </w:t>
      </w:r>
      <w:r w:rsidRPr="002358A2">
        <w:rPr>
          <w:i/>
        </w:rPr>
        <w:t>International Bank for Commerce and Development AD and Others v. Bulgaria</w:t>
      </w:r>
      <w:r w:rsidRPr="002358A2">
        <w:t xml:space="preserve"> (no. 7031/05, 2 June 2016), and on that basis closed the examination of the execution of the judgment in </w:t>
      </w:r>
      <w:r w:rsidRPr="002358A2">
        <w:rPr>
          <w:i/>
          <w:iCs/>
        </w:rPr>
        <w:t>Capital Bank AD</w:t>
      </w:r>
      <w:r w:rsidRPr="002358A2">
        <w:t xml:space="preserve"> (cited above).</w:t>
      </w:r>
    </w:p>
    <w:bookmarkStart w:name="RCoEM_Int_Bank_for_Com_and_Dev_1" w:id="136"/>
    <w:p w:rsidRPr="002358A2" w:rsidR="00BF0CAC" w:rsidP="002358A2" w:rsidRDefault="00BF0CAC" w14:paraId="2E06A0C1" w14:textId="05DC78B5">
      <w:pPr>
        <w:pStyle w:val="JuPara"/>
        <w:rPr>
          <w:iCs/>
        </w:rPr>
      </w:pPr>
      <w:r w:rsidRPr="002358A2">
        <w:fldChar w:fldCharType="begin"/>
      </w:r>
      <w:r w:rsidRPr="002358A2">
        <w:instrText xml:space="preserve"> SEQ level0 \*arabic \* MERGEFORMAT </w:instrText>
      </w:r>
      <w:r w:rsidRPr="002358A2">
        <w:fldChar w:fldCharType="separate"/>
      </w:r>
      <w:r w:rsidRPr="002358A2" w:rsidR="002358A2">
        <w:rPr>
          <w:noProof/>
        </w:rPr>
        <w:t>107</w:t>
      </w:r>
      <w:r w:rsidRPr="002358A2">
        <w:rPr>
          <w:noProof/>
        </w:rPr>
        <w:fldChar w:fldCharType="end"/>
      </w:r>
      <w:bookmarkEnd w:id="136"/>
      <w:r w:rsidRPr="002358A2">
        <w:t xml:space="preserve">.  In point 3 of its decision </w:t>
      </w:r>
      <w:hyperlink w:history="1" r:id="rId18">
        <w:r w:rsidRPr="002358A2">
          <w:rPr>
            <w:rStyle w:val="Hyperlink"/>
          </w:rPr>
          <w:t>CM/Del/Dec(2018)1318/H46-6</w:t>
        </w:r>
      </w:hyperlink>
      <w:r w:rsidRPr="002358A2">
        <w:t xml:space="preserve">, relating to the execution of the judgment in </w:t>
      </w:r>
      <w:r w:rsidRPr="002358A2">
        <w:rPr>
          <w:i/>
        </w:rPr>
        <w:t>International Bank for Commerce and Development AD and Others</w:t>
      </w:r>
      <w:r w:rsidRPr="002358A2">
        <w:rPr>
          <w:iCs/>
        </w:rPr>
        <w:t xml:space="preserve"> (cited above), the Committee of Ministers invited the Bulgarian authorities to “adopt legislative measures in order to provide for an independent representation of the affected bank, in line with the requirements of Article 6 of the Convention, to ensure the effectiveness of its right to obtain judicial review of the decision of the [BNB] to revoke its licence, as well as to ensure its participation in the insolvency proceedings”.</w:t>
      </w:r>
    </w:p>
    <w:bookmarkStart w:name="RCoEM_Int_Bank_for_Com_and_Dev_2" w:id="137"/>
    <w:p w:rsidRPr="002358A2" w:rsidR="00BF0CAC" w:rsidP="002358A2" w:rsidRDefault="00BF0CAC" w14:paraId="4F51DADD" w14:textId="4EFDDB62">
      <w:pPr>
        <w:pStyle w:val="JuPara"/>
        <w:rPr>
          <w:iCs/>
        </w:rPr>
      </w:pPr>
      <w:r w:rsidRPr="002358A2">
        <w:rPr>
          <w:iCs/>
        </w:rPr>
        <w:fldChar w:fldCharType="begin"/>
      </w:r>
      <w:r w:rsidRPr="002358A2">
        <w:rPr>
          <w:iCs/>
        </w:rPr>
        <w:instrText xml:space="preserve"> SEQ level0 \*arabic \* MERGEFORMAT </w:instrText>
      </w:r>
      <w:r w:rsidRPr="002358A2">
        <w:rPr>
          <w:iCs/>
        </w:rPr>
        <w:fldChar w:fldCharType="separate"/>
      </w:r>
      <w:r w:rsidRPr="002358A2" w:rsidR="002358A2">
        <w:rPr>
          <w:iCs/>
          <w:noProof/>
        </w:rPr>
        <w:t>108</w:t>
      </w:r>
      <w:r w:rsidRPr="002358A2">
        <w:rPr>
          <w:iCs/>
        </w:rPr>
        <w:fldChar w:fldCharType="end"/>
      </w:r>
      <w:bookmarkEnd w:id="137"/>
      <w:r w:rsidRPr="002358A2">
        <w:rPr>
          <w:iCs/>
        </w:rPr>
        <w:t>.  That decision was based on the observation that when KTB</w:t>
      </w:r>
      <w:r w:rsidRPr="002358A2" w:rsidR="002358A2">
        <w:rPr>
          <w:iCs/>
        </w:rPr>
        <w:t>’</w:t>
      </w:r>
      <w:r w:rsidRPr="002358A2">
        <w:rPr>
          <w:iCs/>
        </w:rPr>
        <w:t xml:space="preserve">s shareholders and former executive directors had challenged the withdrawal of its licence (see paragraphs </w:t>
      </w:r>
      <w:r w:rsidRPr="002358A2">
        <w:rPr>
          <w:iCs/>
        </w:rPr>
        <w:fldChar w:fldCharType="begin"/>
      </w:r>
      <w:r w:rsidRPr="002358A2">
        <w:rPr>
          <w:iCs/>
        </w:rPr>
        <w:instrText xml:space="preserve"> REF F_SAC_3MP_jud_rev_claim_Bromak \h </w:instrText>
      </w:r>
      <w:r w:rsidRPr="002358A2">
        <w:rPr>
          <w:iCs/>
        </w:rPr>
      </w:r>
      <w:r w:rsidRPr="002358A2">
        <w:rPr>
          <w:iCs/>
        </w:rPr>
        <w:fldChar w:fldCharType="separate"/>
      </w:r>
      <w:r w:rsidRPr="002358A2" w:rsidR="002358A2">
        <w:rPr>
          <w:noProof/>
        </w:rPr>
        <w:t>22</w:t>
      </w:r>
      <w:r w:rsidRPr="002358A2">
        <w:rPr>
          <w:iCs/>
        </w:rPr>
        <w:fldChar w:fldCharType="end"/>
      </w:r>
      <w:r w:rsidRPr="002358A2">
        <w:rPr>
          <w:iCs/>
        </w:rPr>
        <w:t>-</w:t>
      </w:r>
      <w:r w:rsidRPr="002358A2">
        <w:rPr>
          <w:iCs/>
        </w:rPr>
        <w:fldChar w:fldCharType="begin"/>
      </w:r>
      <w:r w:rsidRPr="002358A2">
        <w:rPr>
          <w:iCs/>
        </w:rPr>
        <w:instrText xml:space="preserve"> REF F_SAC_5MP_dec_2_4_2015 \h </w:instrText>
      </w:r>
      <w:r w:rsidRPr="002358A2">
        <w:rPr>
          <w:iCs/>
        </w:rPr>
      </w:r>
      <w:r w:rsidRPr="002358A2">
        <w:rPr>
          <w:iCs/>
        </w:rPr>
        <w:fldChar w:fldCharType="separate"/>
      </w:r>
      <w:r w:rsidRPr="002358A2" w:rsidR="002358A2">
        <w:rPr>
          <w:noProof/>
        </w:rPr>
        <w:t>41</w:t>
      </w:r>
      <w:r w:rsidRPr="002358A2">
        <w:rPr>
          <w:iCs/>
        </w:rPr>
        <w:fldChar w:fldCharType="end"/>
      </w:r>
      <w:r w:rsidRPr="002358A2">
        <w:rPr>
          <w:iCs/>
        </w:rPr>
        <w:t xml:space="preserve"> and </w:t>
      </w:r>
      <w:r w:rsidRPr="002358A2">
        <w:rPr>
          <w:iCs/>
        </w:rPr>
        <w:fldChar w:fldCharType="begin"/>
      </w:r>
      <w:r w:rsidRPr="002358A2">
        <w:rPr>
          <w:iCs/>
        </w:rPr>
        <w:instrText xml:space="preserve"> REF F_SAC_ex_dir_3MP_claim \h </w:instrText>
      </w:r>
      <w:r w:rsidRPr="002358A2">
        <w:rPr>
          <w:iCs/>
        </w:rPr>
      </w:r>
      <w:r w:rsidRPr="002358A2">
        <w:rPr>
          <w:iCs/>
        </w:rPr>
        <w:fldChar w:fldCharType="separate"/>
      </w:r>
      <w:r w:rsidRPr="002358A2" w:rsidR="002358A2">
        <w:rPr>
          <w:noProof/>
        </w:rPr>
        <w:t>44</w:t>
      </w:r>
      <w:r w:rsidRPr="002358A2">
        <w:rPr>
          <w:iCs/>
        </w:rPr>
        <w:fldChar w:fldCharType="end"/>
      </w:r>
      <w:r w:rsidRPr="002358A2">
        <w:rPr>
          <w:iCs/>
        </w:rPr>
        <w:t>-</w:t>
      </w:r>
      <w:r w:rsidRPr="002358A2">
        <w:rPr>
          <w:iCs/>
        </w:rPr>
        <w:fldChar w:fldCharType="begin"/>
      </w:r>
      <w:r w:rsidRPr="002358A2">
        <w:rPr>
          <w:iCs/>
        </w:rPr>
        <w:instrText xml:space="preserve"> REF F_SAC_ex_dir_5MP_dec \h </w:instrText>
      </w:r>
      <w:r w:rsidRPr="002358A2">
        <w:rPr>
          <w:iCs/>
        </w:rPr>
      </w:r>
      <w:r w:rsidRPr="002358A2">
        <w:rPr>
          <w:iCs/>
        </w:rPr>
        <w:fldChar w:fldCharType="separate"/>
      </w:r>
      <w:r w:rsidRPr="002358A2" w:rsidR="002358A2">
        <w:rPr>
          <w:noProof/>
        </w:rPr>
        <w:t>47</w:t>
      </w:r>
      <w:r w:rsidRPr="002358A2">
        <w:rPr>
          <w:iCs/>
        </w:rPr>
        <w:fldChar w:fldCharType="end"/>
      </w:r>
      <w:r w:rsidRPr="002358A2">
        <w:rPr>
          <w:iCs/>
        </w:rPr>
        <w:t xml:space="preserve"> above), the Supreme Administrative Court “[had] considered that neither the shareholders acting on their own account, nor the bank</w:t>
      </w:r>
      <w:r w:rsidRPr="002358A2" w:rsidR="002358A2">
        <w:rPr>
          <w:iCs/>
        </w:rPr>
        <w:t>’</w:t>
      </w:r>
      <w:r w:rsidRPr="002358A2">
        <w:rPr>
          <w:iCs/>
        </w:rPr>
        <w:t>s managers (deprived of their powers) had standing to bring claims”, and the resultant conclusion that “[n]o other option for the independent representation of a bank for the purpose of initiating judicial review of the decision to revoke its licence emerged with</w:t>
      </w:r>
      <w:r w:rsidRPr="002358A2" w:rsidR="003F5E19">
        <w:rPr>
          <w:iCs/>
        </w:rPr>
        <w:t xml:space="preserve"> </w:t>
      </w:r>
      <w:r w:rsidRPr="002358A2">
        <w:rPr>
          <w:iCs/>
        </w:rPr>
        <w:t>certainty</w:t>
      </w:r>
      <w:r w:rsidRPr="002358A2" w:rsidR="00E91771">
        <w:rPr>
          <w:iCs/>
        </w:rPr>
        <w:t xml:space="preserve"> </w:t>
      </w:r>
      <w:r w:rsidRPr="002358A2">
        <w:rPr>
          <w:iCs/>
        </w:rPr>
        <w:t xml:space="preserve">from the recent developments in domestic practice” (see </w:t>
      </w:r>
      <w:hyperlink w:history="1" r:id="rId19">
        <w:r w:rsidRPr="002358A2">
          <w:rPr>
            <w:rStyle w:val="Hyperlink"/>
            <w:iCs/>
          </w:rPr>
          <w:t>CM/Notes/1318/H46-6</w:t>
        </w:r>
      </w:hyperlink>
      <w:r w:rsidRPr="002358A2">
        <w:rPr>
          <w:iCs/>
        </w:rPr>
        <w:t>).</w:t>
      </w:r>
    </w:p>
    <w:p w:rsidRPr="002358A2" w:rsidR="00BF0CAC" w:rsidP="002358A2" w:rsidRDefault="00BF0CAC" w14:paraId="12462675" w14:textId="77777777">
      <w:pPr>
        <w:pStyle w:val="JuHHead"/>
        <w:numPr>
          <w:ilvl w:val="0"/>
          <w:numId w:val="1"/>
        </w:numPr>
        <w:tabs>
          <w:tab w:val="num" w:pos="340"/>
        </w:tabs>
        <w:ind w:left="340" w:hanging="340"/>
      </w:pPr>
      <w:bookmarkStart w:name="_Toc107950862" w:id="138"/>
      <w:r w:rsidRPr="002358A2">
        <w:t>THE LAW</w:t>
      </w:r>
      <w:bookmarkEnd w:id="138"/>
    </w:p>
    <w:p w:rsidRPr="002358A2" w:rsidR="00BF0CAC" w:rsidP="002358A2" w:rsidRDefault="00BF0CAC" w14:paraId="283E05A3" w14:textId="77777777">
      <w:pPr>
        <w:pStyle w:val="JuHIRoman"/>
        <w:numPr>
          <w:ilvl w:val="1"/>
          <w:numId w:val="3"/>
        </w:numPr>
        <w:tabs>
          <w:tab w:val="left" w:pos="567"/>
          <w:tab w:val="left" w:pos="680"/>
        </w:tabs>
      </w:pPr>
      <w:bookmarkStart w:name="_Toc107950863" w:id="139"/>
      <w:r w:rsidRPr="002358A2">
        <w:rPr>
          <w:caps w:val="0"/>
        </w:rPr>
        <w:t>JOINDER OF THE TWO APPLICATIONS</w:t>
      </w:r>
      <w:bookmarkEnd w:id="139"/>
    </w:p>
    <w:p w:rsidRPr="002358A2" w:rsidR="00BF0CAC" w:rsidP="002358A2" w:rsidRDefault="0048368E" w14:paraId="6E6AFB5B" w14:textId="22EF2970">
      <w:pPr>
        <w:pStyle w:val="JuPara"/>
      </w:pPr>
      <w:r>
        <w:rPr>
          <w:noProof/>
        </w:rPr>
        <w:fldChar w:fldCharType="begin"/>
      </w:r>
      <w:r>
        <w:rPr>
          <w:noProof/>
        </w:rPr>
        <w:instrText xml:space="preserve"> SEQ level0 \*arabic \* MERGEFORMAT </w:instrText>
      </w:r>
      <w:r>
        <w:rPr>
          <w:noProof/>
        </w:rPr>
        <w:fldChar w:fldCharType="separate"/>
      </w:r>
      <w:r w:rsidRPr="002358A2" w:rsidR="002358A2">
        <w:rPr>
          <w:noProof/>
        </w:rPr>
        <w:t>109</w:t>
      </w:r>
      <w:r>
        <w:rPr>
          <w:noProof/>
        </w:rPr>
        <w:fldChar w:fldCharType="end"/>
      </w:r>
      <w:r w:rsidRPr="002358A2" w:rsidR="00BF0CAC">
        <w:t xml:space="preserve">.  The two applications raise closely intertwined issues. It is hence appropriate to join them (Rule 42 </w:t>
      </w:r>
      <w:r w:rsidRPr="002358A2" w:rsidR="00BF0CAC">
        <w:rPr>
          <w:rFonts w:cstheme="minorHAnsi"/>
        </w:rPr>
        <w:t>§</w:t>
      </w:r>
      <w:r w:rsidRPr="002358A2" w:rsidR="00BF0CAC">
        <w:t xml:space="preserve"> 1 of the Rules of Court).</w:t>
      </w:r>
    </w:p>
    <w:p w:rsidRPr="002358A2" w:rsidR="00BF0CAC" w:rsidP="002358A2" w:rsidRDefault="00BF0CAC" w14:paraId="1939B44B" w14:textId="6285356A">
      <w:pPr>
        <w:pStyle w:val="JuHIRoman"/>
        <w:numPr>
          <w:ilvl w:val="1"/>
          <w:numId w:val="3"/>
        </w:numPr>
        <w:tabs>
          <w:tab w:val="left" w:pos="567"/>
          <w:tab w:val="left" w:pos="680"/>
        </w:tabs>
      </w:pPr>
      <w:bookmarkStart w:name="_Toc107950864" w:id="140"/>
      <w:r w:rsidRPr="002358A2">
        <w:t>STANDING TO COMPLAIN ON KTB</w:t>
      </w:r>
      <w:r w:rsidRPr="002358A2" w:rsidR="002358A2">
        <w:t>’</w:t>
      </w:r>
      <w:r w:rsidRPr="002358A2">
        <w:t>S BEHALF</w:t>
      </w:r>
      <w:bookmarkEnd w:id="140"/>
    </w:p>
    <w:bookmarkStart w:name="L_standing_G_subms" w:id="141"/>
    <w:p w:rsidRPr="002358A2" w:rsidR="00BF0CAC" w:rsidP="002358A2" w:rsidRDefault="00BF0CAC" w14:paraId="55C659D1" w14:textId="471DB9E6">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110</w:t>
      </w:r>
      <w:r w:rsidRPr="002358A2">
        <w:rPr>
          <w:noProof/>
        </w:rPr>
        <w:fldChar w:fldCharType="end"/>
      </w:r>
      <w:bookmarkEnd w:id="141"/>
      <w:r w:rsidRPr="002358A2">
        <w:t>.  The Government argued that KTB</w:t>
      </w:r>
      <w:r w:rsidRPr="002358A2" w:rsidR="002358A2">
        <w:t>’</w:t>
      </w:r>
      <w:r w:rsidRPr="002358A2">
        <w:t>s former executive directors had no standing to act on its behalf before the Court since they had not tried to do so when seeking judicial review of the BNB</w:t>
      </w:r>
      <w:r w:rsidRPr="002358A2" w:rsidR="002358A2">
        <w:t>’</w:t>
      </w:r>
      <w:r w:rsidRPr="002358A2">
        <w:t>s decision to withdraw KTB</w:t>
      </w:r>
      <w:r w:rsidRPr="002358A2" w:rsidR="002358A2">
        <w:t>’</w:t>
      </w:r>
      <w:r w:rsidRPr="002358A2">
        <w:t>s licence, having instead referred to the effects of that decision on them personally.</w:t>
      </w:r>
    </w:p>
    <w:bookmarkStart w:name="L_standing_C_1" w:id="142"/>
    <w:p w:rsidRPr="002358A2" w:rsidR="00BF0CAC" w:rsidP="002358A2" w:rsidRDefault="00BF0CAC" w14:paraId="35708616" w14:textId="394834BA">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111</w:t>
      </w:r>
      <w:r w:rsidRPr="002358A2">
        <w:rPr>
          <w:noProof/>
        </w:rPr>
        <w:fldChar w:fldCharType="end"/>
      </w:r>
      <w:bookmarkEnd w:id="142"/>
      <w:r w:rsidRPr="002358A2">
        <w:t>.  The Court notes that both applications were lodged on KTB</w:t>
      </w:r>
      <w:r w:rsidRPr="002358A2" w:rsidR="002358A2">
        <w:t>’</w:t>
      </w:r>
      <w:r w:rsidRPr="002358A2">
        <w:t xml:space="preserve">s behalf by its former executive directors at times when they had already been removed from office (see paragraphs </w:t>
      </w:r>
      <w:r w:rsidRPr="002358A2">
        <w:fldChar w:fldCharType="begin"/>
      </w:r>
      <w:r w:rsidRPr="002358A2">
        <w:instrText xml:space="preserve"> REF F_A_KTB_status \h </w:instrText>
      </w:r>
      <w:r w:rsidRPr="002358A2">
        <w:fldChar w:fldCharType="separate"/>
      </w:r>
      <w:r w:rsidRPr="002358A2" w:rsidR="002358A2">
        <w:rPr>
          <w:noProof/>
        </w:rPr>
        <w:t>4</w:t>
      </w:r>
      <w:r w:rsidRPr="002358A2">
        <w:fldChar w:fldCharType="end"/>
      </w:r>
      <w:r w:rsidRPr="002358A2">
        <w:t xml:space="preserve"> and </w:t>
      </w:r>
      <w:r w:rsidRPr="002358A2">
        <w:fldChar w:fldCharType="begin"/>
      </w:r>
      <w:r w:rsidRPr="002358A2">
        <w:instrText xml:space="preserve"> REF F_A_KTB_exec_directors \h </w:instrText>
      </w:r>
      <w:r w:rsidRPr="002358A2">
        <w:fldChar w:fldCharType="separate"/>
      </w:r>
      <w:r w:rsidRPr="002358A2" w:rsidR="002358A2">
        <w:rPr>
          <w:noProof/>
        </w:rPr>
        <w:t>5</w:t>
      </w:r>
      <w:r w:rsidRPr="002358A2">
        <w:fldChar w:fldCharType="end"/>
      </w:r>
      <w:r w:rsidRPr="002358A2">
        <w:t xml:space="preserve"> above). When the applications were submitted to the Court on17 September 2015 and 18 November 2016 respectively, under Bulgarian law KTB had to be represented by the liquidators appointed in the course of the proceedings relating to the BNB</w:t>
      </w:r>
      <w:r w:rsidRPr="002358A2" w:rsidR="002358A2">
        <w:t>’</w:t>
      </w:r>
      <w:r w:rsidRPr="002358A2">
        <w:t xml:space="preserve">s winding-up application against it (see paragraph </w:t>
      </w:r>
      <w:r w:rsidRPr="002358A2">
        <w:fldChar w:fldCharType="begin"/>
      </w:r>
      <w:r w:rsidRPr="002358A2">
        <w:instrText xml:space="preserve"> REF RLF_winding_up_permanent_liquidator \h </w:instrText>
      </w:r>
      <w:r w:rsidRPr="002358A2">
        <w:fldChar w:fldCharType="separate"/>
      </w:r>
      <w:r w:rsidRPr="002358A2" w:rsidR="002358A2">
        <w:rPr>
          <w:noProof/>
        </w:rPr>
        <w:t>101</w:t>
      </w:r>
      <w:r w:rsidRPr="002358A2">
        <w:fldChar w:fldCharType="end"/>
      </w:r>
      <w:r w:rsidRPr="002358A2">
        <w:t xml:space="preserve"> above). Those liquidators had been appointed with immediate effect on 23 April 2015 (see paragraph </w:t>
      </w:r>
      <w:r w:rsidRPr="002358A2">
        <w:fldChar w:fldCharType="begin"/>
      </w:r>
      <w:r w:rsidRPr="002358A2">
        <w:instrText xml:space="preserve"> REF F_winding_up_SofCC_DIF_appoint_liquid \h </w:instrText>
      </w:r>
      <w:r w:rsidRPr="002358A2">
        <w:fldChar w:fldCharType="separate"/>
      </w:r>
      <w:r w:rsidRPr="002358A2" w:rsidR="002358A2">
        <w:rPr>
          <w:noProof/>
        </w:rPr>
        <w:t>62</w:t>
      </w:r>
      <w:r w:rsidRPr="002358A2">
        <w:fldChar w:fldCharType="end"/>
      </w:r>
      <w:r w:rsidRPr="002358A2">
        <w:t xml:space="preserve"> above). However, they (and indeed the special administrators appointed by the BNB earlier) had a disincentive to apply to the Court on behalf of KTB in relation to the matters under consideration in this case, as well as a potential conflict of interests in that regard. Both applications lodged on KTB</w:t>
      </w:r>
      <w:r w:rsidRPr="002358A2" w:rsidR="002358A2">
        <w:t>’</w:t>
      </w:r>
      <w:r w:rsidRPr="002358A2">
        <w:t>s behalf relate to the chain of events leading to their appointment, in particular the role of the BNB in those events, and the second application also concerns their role in the proceedings relating to the BNB</w:t>
      </w:r>
      <w:r w:rsidRPr="002358A2" w:rsidR="002358A2">
        <w:t>’</w:t>
      </w:r>
      <w:r w:rsidRPr="002358A2">
        <w:t xml:space="preserve">s winding-up application against KTB (see paragraphs </w:t>
      </w:r>
      <w:r w:rsidRPr="002358A2">
        <w:fldChar w:fldCharType="begin"/>
      </w:r>
      <w:r w:rsidRPr="002358A2">
        <w:instrText xml:space="preserve"> REF L_A6_1_repr_c \h </w:instrText>
      </w:r>
      <w:r w:rsidRPr="002358A2">
        <w:fldChar w:fldCharType="separate"/>
      </w:r>
      <w:r w:rsidRPr="002358A2" w:rsidR="002358A2">
        <w:rPr>
          <w:noProof/>
        </w:rPr>
        <w:t>147</w:t>
      </w:r>
      <w:r w:rsidRPr="002358A2">
        <w:fldChar w:fldCharType="end"/>
      </w:r>
      <w:r w:rsidRPr="002358A2">
        <w:t xml:space="preserve"> and </w:t>
      </w:r>
      <w:r w:rsidRPr="002358A2">
        <w:fldChar w:fldCharType="begin"/>
      </w:r>
      <w:r w:rsidRPr="002358A2">
        <w:instrText xml:space="preserve"> REF L_A1P1_c_1 \h </w:instrText>
      </w:r>
      <w:r w:rsidRPr="002358A2">
        <w:fldChar w:fldCharType="separate"/>
      </w:r>
      <w:r w:rsidRPr="002358A2" w:rsidR="002358A2">
        <w:rPr>
          <w:noProof/>
        </w:rPr>
        <w:t>169</w:t>
      </w:r>
      <w:r w:rsidRPr="002358A2">
        <w:fldChar w:fldCharType="end"/>
      </w:r>
      <w:r w:rsidRPr="002358A2">
        <w:t>-</w:t>
      </w:r>
      <w:r w:rsidRPr="002358A2">
        <w:fldChar w:fldCharType="begin"/>
      </w:r>
      <w:r w:rsidRPr="002358A2">
        <w:instrText xml:space="preserve"> REF L_A1P1_c_2 \h </w:instrText>
      </w:r>
      <w:r w:rsidRPr="002358A2">
        <w:fldChar w:fldCharType="separate"/>
      </w:r>
      <w:r w:rsidRPr="002358A2" w:rsidR="002358A2">
        <w:rPr>
          <w:noProof/>
        </w:rPr>
        <w:t>170</w:t>
      </w:r>
      <w:r w:rsidRPr="002358A2">
        <w:fldChar w:fldCharType="end"/>
      </w:r>
      <w:r w:rsidRPr="002358A2">
        <w:t xml:space="preserve"> below). Moreover, the liquidators</w:t>
      </w:r>
      <w:r w:rsidRPr="002358A2" w:rsidR="002358A2">
        <w:t>’</w:t>
      </w:r>
      <w:r w:rsidRPr="002358A2">
        <w:t xml:space="preserve"> ability to continue in office was fully dependent on the BNB, as to do so they had to remain on a list kept by it, and a decision by the BNB to strike them off that list was not amenable to any scrutiny (see paragraph </w:t>
      </w:r>
      <w:r w:rsidRPr="002358A2">
        <w:fldChar w:fldCharType="begin"/>
      </w:r>
      <w:r w:rsidRPr="002358A2">
        <w:instrText xml:space="preserve"> REF RLF_winding_up_permanent_liquidator \h </w:instrText>
      </w:r>
      <w:r w:rsidRPr="002358A2">
        <w:fldChar w:fldCharType="separate"/>
      </w:r>
      <w:r w:rsidRPr="002358A2" w:rsidR="002358A2">
        <w:rPr>
          <w:noProof/>
        </w:rPr>
        <w:t>101</w:t>
      </w:r>
      <w:r w:rsidRPr="002358A2">
        <w:fldChar w:fldCharType="end"/>
      </w:r>
      <w:r w:rsidRPr="002358A2">
        <w:t xml:space="preserve"> above). In view of that, KTB</w:t>
      </w:r>
      <w:r w:rsidRPr="002358A2" w:rsidR="002358A2">
        <w:t>’</w:t>
      </w:r>
      <w:r w:rsidRPr="002358A2">
        <w:t>s former executive directors were, exceptionally, entitled to apply to the Court on its behalf, even though when they did so they no longer represented the bank under Bulgarian law</w:t>
      </w:r>
      <w:r w:rsidRPr="002358A2" w:rsidR="00E91771">
        <w:t xml:space="preserve"> </w:t>
      </w:r>
      <w:r w:rsidRPr="002358A2">
        <w:t xml:space="preserve">(see </w:t>
      </w:r>
      <w:r w:rsidRPr="002358A2">
        <w:rPr>
          <w:i/>
        </w:rPr>
        <w:t>Credit and Industrial Bank v. the Czech Republic</w:t>
      </w:r>
      <w:r w:rsidRPr="002358A2">
        <w:t xml:space="preserve">, no. 29010/95, §§ 48-52, ECHR 2003-XI (extracts); </w:t>
      </w:r>
      <w:r w:rsidRPr="002358A2">
        <w:rPr>
          <w:i/>
          <w:iCs/>
        </w:rPr>
        <w:t>Roseltrans, Finlease and Myshkin v. Russia</w:t>
      </w:r>
      <w:r w:rsidRPr="002358A2">
        <w:t xml:space="preserve"> (dec.), no. 60974/00, 27 May 2004; </w:t>
      </w:r>
      <w:r w:rsidRPr="002358A2">
        <w:rPr>
          <w:i/>
          <w:iCs/>
        </w:rPr>
        <w:t>Capital Bank AD v. Bulgaria</w:t>
      </w:r>
      <w:r w:rsidRPr="002358A2">
        <w:t xml:space="preserve"> (dec.), no.</w:t>
      </w:r>
      <w:r w:rsidRPr="002358A2" w:rsidR="000F4FD7">
        <w:t> </w:t>
      </w:r>
      <w:r w:rsidRPr="002358A2">
        <w:t xml:space="preserve">49429/99, 9 September 2004; and </w:t>
      </w:r>
      <w:r w:rsidRPr="002358A2">
        <w:rPr>
          <w:i/>
          <w:iCs/>
        </w:rPr>
        <w:t>Feldman and Slovyanskyy Bank v. Ukraine</w:t>
      </w:r>
      <w:r w:rsidRPr="002358A2">
        <w:t>, no. 42758/05, §§ 25-28, 21 December 2017).</w:t>
      </w:r>
    </w:p>
    <w:bookmarkStart w:name="L_standing_C_2" w:id="143"/>
    <w:p w:rsidRPr="002358A2" w:rsidR="00BF0CAC" w:rsidP="002358A2" w:rsidRDefault="00BF0CAC" w14:paraId="38D4C7B2" w14:textId="3A7699A1">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112</w:t>
      </w:r>
      <w:r w:rsidRPr="002358A2">
        <w:rPr>
          <w:noProof/>
        </w:rPr>
        <w:fldChar w:fldCharType="end"/>
      </w:r>
      <w:bookmarkEnd w:id="143"/>
      <w:r w:rsidRPr="002358A2">
        <w:t>.  The question whether KTB</w:t>
      </w:r>
      <w:r w:rsidRPr="002358A2" w:rsidR="002358A2">
        <w:t>’</w:t>
      </w:r>
      <w:r w:rsidRPr="002358A2">
        <w:t>s former executive directors had attempted to act on its behalf in the proceedings in which they sought judicial review of the BNB</w:t>
      </w:r>
      <w:r w:rsidRPr="002358A2" w:rsidR="002358A2">
        <w:t>’</w:t>
      </w:r>
      <w:r w:rsidRPr="002358A2">
        <w:t>s decision to withdraw the bank</w:t>
      </w:r>
      <w:r w:rsidRPr="002358A2" w:rsidR="002358A2">
        <w:t>’</w:t>
      </w:r>
      <w:r w:rsidRPr="002358A2">
        <w:t xml:space="preserve">s licence is irrelevant in that context, since standing under Article 34 of the Convention and standing in domestic proceedings ought not to be conflated (see, among other authorities, </w:t>
      </w:r>
      <w:r w:rsidRPr="002358A2">
        <w:rPr>
          <w:i/>
        </w:rPr>
        <w:t>Norris v. Ireland</w:t>
      </w:r>
      <w:r w:rsidRPr="002358A2">
        <w:t xml:space="preserve">, 26 October 1988, § 31, Series A no. 142; </w:t>
      </w:r>
      <w:r w:rsidRPr="002358A2">
        <w:rPr>
          <w:i/>
        </w:rPr>
        <w:t>Scozzari and Giunta v. Italy</w:t>
      </w:r>
      <w:r w:rsidRPr="002358A2">
        <w:t xml:space="preserve"> [GC], nos. 39221/98 and 41963/98, § 139, ECHR 2000-VIII; and </w:t>
      </w:r>
      <w:r w:rsidRPr="002358A2">
        <w:rPr>
          <w:i/>
        </w:rPr>
        <w:t>Zehentner v. Austria</w:t>
      </w:r>
      <w:r w:rsidRPr="002358A2">
        <w:t>, no. 20082/02, § 39, 16 July 2009). That point pertains only to the questions whether domestic remedies have been exhausted and whether KTB was actually unable to seek judicial review of the withdrawal of its licence, which will be examined below.</w:t>
      </w:r>
    </w:p>
    <w:bookmarkStart w:name="L_standing_C_3" w:id="144"/>
    <w:p w:rsidRPr="002358A2" w:rsidR="00BF0CAC" w:rsidP="002358A2" w:rsidRDefault="00BF0CAC" w14:paraId="55FDB900" w14:textId="0F479741">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113</w:t>
      </w:r>
      <w:r w:rsidRPr="002358A2">
        <w:rPr>
          <w:noProof/>
        </w:rPr>
        <w:fldChar w:fldCharType="end"/>
      </w:r>
      <w:bookmarkEnd w:id="144"/>
      <w:r w:rsidRPr="002358A2">
        <w:t>.  The Government</w:t>
      </w:r>
      <w:r w:rsidRPr="002358A2" w:rsidR="002358A2">
        <w:t>’</w:t>
      </w:r>
      <w:r w:rsidRPr="002358A2">
        <w:t>s objection must therefore be rejected.</w:t>
      </w:r>
    </w:p>
    <w:p w:rsidRPr="002358A2" w:rsidR="00BF0CAC" w:rsidP="002358A2" w:rsidRDefault="00BF0CAC" w14:paraId="01AF1DD4" w14:textId="77777777">
      <w:pPr>
        <w:pStyle w:val="JuHIRoman"/>
      </w:pPr>
      <w:bookmarkStart w:name="_Toc107950865" w:id="145"/>
      <w:r w:rsidRPr="002358A2">
        <w:t>SCOPE OF THE CASE</w:t>
      </w:r>
      <w:bookmarkEnd w:id="145"/>
    </w:p>
    <w:bookmarkStart w:name="L_scope_KTB" w:id="146"/>
    <w:p w:rsidRPr="002358A2" w:rsidR="00BF0CAC" w:rsidP="002358A2" w:rsidRDefault="00BF0CAC" w14:paraId="361805EA" w14:textId="4A0389E4">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114</w:t>
      </w:r>
      <w:r w:rsidRPr="002358A2">
        <w:fldChar w:fldCharType="end"/>
      </w:r>
      <w:bookmarkEnd w:id="146"/>
      <w:r w:rsidRPr="002358A2">
        <w:t>.  In its observations, KTB stated that it maintained all complaints raised in the two applications, in particular the complaints (a) under Article 6 § 1 of the Convention that the panels of the Supreme Administrative Court which had dealt with Bromak</w:t>
      </w:r>
      <w:r w:rsidRPr="002358A2" w:rsidR="002358A2">
        <w:t>’</w:t>
      </w:r>
      <w:r w:rsidRPr="002358A2">
        <w:t>s claim for judicial review of the withdrawal of KTB</w:t>
      </w:r>
      <w:r w:rsidRPr="002358A2" w:rsidR="002358A2">
        <w:t>’</w:t>
      </w:r>
      <w:r w:rsidRPr="002358A2">
        <w:t>s licence had been dependent and partial; (b) under the same provision that in the same proceedings the Supreme Administrative Court had refused to submit a preliminary reference to the CJEU, as had the Supreme Court of Cassation in the proceedings relating to the BNB</w:t>
      </w:r>
      <w:r w:rsidRPr="002358A2" w:rsidR="002358A2">
        <w:t>’</w:t>
      </w:r>
      <w:r w:rsidRPr="002358A2">
        <w:t xml:space="preserve">s application for KTB to be wound up; and (c) under Article 46 </w:t>
      </w:r>
      <w:r w:rsidRPr="002358A2">
        <w:rPr>
          <w:rFonts w:cstheme="minorHAnsi"/>
        </w:rPr>
        <w:t>§</w:t>
      </w:r>
      <w:r w:rsidRPr="002358A2">
        <w:t xml:space="preserve"> 1 of the Convention that Bulgaria had not complied with the judgments in </w:t>
      </w:r>
      <w:r w:rsidRPr="002358A2">
        <w:rPr>
          <w:i/>
        </w:rPr>
        <w:t>Capital Bank AD v. Bulgaria</w:t>
      </w:r>
      <w:r w:rsidRPr="002358A2">
        <w:t xml:space="preserve"> (no. 49429/99, ECHR 2005-XII (extracts)) and </w:t>
      </w:r>
      <w:r w:rsidRPr="002358A2">
        <w:rPr>
          <w:i/>
        </w:rPr>
        <w:t>International Bank for Commerce and Development AD and Others v. Bulgaria</w:t>
      </w:r>
      <w:r w:rsidRPr="002358A2">
        <w:t xml:space="preserve"> (no. 7031/05, 2 June 2016).</w:t>
      </w:r>
    </w:p>
    <w:bookmarkStart w:name="L_scope_C" w:id="147"/>
    <w:p w:rsidRPr="002358A2" w:rsidR="00BF0CAC" w:rsidP="002358A2" w:rsidRDefault="00BF0CAC" w14:paraId="52A7A8D1" w14:textId="67A8AD59">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115</w:t>
      </w:r>
      <w:r w:rsidRPr="002358A2">
        <w:fldChar w:fldCharType="end"/>
      </w:r>
      <w:bookmarkEnd w:id="147"/>
      <w:r w:rsidRPr="002358A2">
        <w:t xml:space="preserve">.  The Court notes that on 8 December 2020 those complaints – as indeed all complaints by KTB of which the Government were not given notice, as well as all complaints by Bromak – were declared inadmissible by the (then) Vice-President of the Section, sitting as a single judge (Rules 27A </w:t>
      </w:r>
      <w:r w:rsidRPr="002358A2">
        <w:rPr>
          <w:rFonts w:cstheme="minorHAnsi"/>
        </w:rPr>
        <w:t>§</w:t>
      </w:r>
      <w:r w:rsidRPr="002358A2">
        <w:t xml:space="preserve"> 2 (a) and 54 </w:t>
      </w:r>
      <w:r w:rsidRPr="002358A2">
        <w:rPr>
          <w:rFonts w:cstheme="minorHAnsi"/>
        </w:rPr>
        <w:t>§</w:t>
      </w:r>
      <w:r w:rsidRPr="002358A2">
        <w:t xml:space="preserve"> 3 of the Rules of Court read in conjunction with Rule 12). That decision is final (Article 27 § 2 of the Convention and Rule 54 </w:t>
      </w:r>
      <w:r w:rsidRPr="002358A2">
        <w:rPr>
          <w:rFonts w:cstheme="minorHAnsi"/>
        </w:rPr>
        <w:t>§</w:t>
      </w:r>
      <w:r w:rsidRPr="002358A2">
        <w:t xml:space="preserve"> 3). The Court cannot therefore re-examine those complaints (see </w:t>
      </w:r>
      <w:r w:rsidRPr="002358A2">
        <w:rPr>
          <w:i/>
          <w:iCs/>
        </w:rPr>
        <w:t>Mazepa and Others v. Russia</w:t>
      </w:r>
      <w:r w:rsidRPr="002358A2">
        <w:t>, no. 15086/07</w:t>
      </w:r>
      <w:r w:rsidRPr="002358A2">
        <w:rPr>
          <w:lang w:eastAsia="en-GB"/>
        </w:rPr>
        <w:t xml:space="preserve">, </w:t>
      </w:r>
      <w:r w:rsidRPr="002358A2">
        <w:t>§</w:t>
      </w:r>
      <w:r w:rsidRPr="002358A2">
        <w:rPr>
          <w:rFonts w:cstheme="minorHAnsi"/>
        </w:rPr>
        <w:t>§</w:t>
      </w:r>
      <w:r w:rsidRPr="002358A2">
        <w:t xml:space="preserve"> 61-62, 17 July 2018).</w:t>
      </w:r>
    </w:p>
    <w:p w:rsidRPr="002358A2" w:rsidR="00BF0CAC" w:rsidP="002358A2" w:rsidRDefault="00BF0CAC" w14:paraId="05043D5C" w14:textId="77777777">
      <w:pPr>
        <w:pStyle w:val="JuHIRoman"/>
        <w:tabs>
          <w:tab w:val="left" w:pos="567"/>
          <w:tab w:val="left" w:pos="680"/>
        </w:tabs>
        <w:ind w:left="397" w:hanging="397"/>
      </w:pPr>
      <w:bookmarkStart w:name="_Toc107950866" w:id="148"/>
      <w:r w:rsidRPr="002358A2">
        <w:t>ALLEGED IMPOSSIBILITY FOR KTB TO OBTAIN JUDICIAL REVIEW OF THE WITHDRAWAL OF ITS LICENCE</w:t>
      </w:r>
      <w:bookmarkEnd w:id="148"/>
    </w:p>
    <w:bookmarkStart w:name="L_A6_1_access_c_1" w:id="149"/>
    <w:p w:rsidRPr="002358A2" w:rsidR="00BF0CAC" w:rsidP="002358A2" w:rsidRDefault="00BF0CAC" w14:paraId="0EB2A753" w14:textId="64098A73">
      <w:pPr>
        <w:pStyle w:val="JuPara"/>
      </w:pPr>
      <w:r w:rsidRPr="002358A2">
        <w:fldChar w:fldCharType="begin"/>
      </w:r>
      <w:r w:rsidRPr="002358A2">
        <w:instrText xml:space="preserve"> SEQ level0 \*arabic </w:instrText>
      </w:r>
      <w:r w:rsidRPr="002358A2">
        <w:fldChar w:fldCharType="separate"/>
      </w:r>
      <w:r w:rsidRPr="002358A2" w:rsidR="002358A2">
        <w:rPr>
          <w:noProof/>
        </w:rPr>
        <w:t>116</w:t>
      </w:r>
      <w:r w:rsidRPr="002358A2">
        <w:fldChar w:fldCharType="end"/>
      </w:r>
      <w:bookmarkEnd w:id="149"/>
      <w:r w:rsidRPr="002358A2">
        <w:t>.  In application no. 46564/15, a complaint was made on behalf of KTB under Article 6 § 1 of the Convention that it had been unable to obtain a review by the Supreme Administrative Court of the BNB</w:t>
      </w:r>
      <w:r w:rsidRPr="002358A2" w:rsidR="002358A2">
        <w:t>’</w:t>
      </w:r>
      <w:r w:rsidRPr="002358A2">
        <w:t>s decision to withdraw its licence.</w:t>
      </w:r>
    </w:p>
    <w:bookmarkStart w:name="L_A6_1_access_c_2" w:id="150"/>
    <w:p w:rsidRPr="002358A2" w:rsidR="00BF0CAC" w:rsidP="002358A2" w:rsidRDefault="00BF0CAC" w14:paraId="76C9D7C4" w14:textId="707B829B">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117</w:t>
      </w:r>
      <w:r w:rsidRPr="002358A2">
        <w:rPr>
          <w:noProof/>
        </w:rPr>
        <w:fldChar w:fldCharType="end"/>
      </w:r>
      <w:bookmarkEnd w:id="150"/>
      <w:r w:rsidRPr="002358A2">
        <w:t>.  In application no. 68140/16, a complaint was made on behalf of KTB under the same provision that the Sofia City Court had refused to examine the BNB</w:t>
      </w:r>
      <w:r w:rsidRPr="002358A2" w:rsidR="002358A2">
        <w:t>’</w:t>
      </w:r>
      <w:r w:rsidRPr="002358A2">
        <w:t>s decision to withdraw KTB</w:t>
      </w:r>
      <w:r w:rsidRPr="002358A2" w:rsidR="002358A2">
        <w:t>’</w:t>
      </w:r>
      <w:r w:rsidRPr="002358A2">
        <w:t>s licence, even though it had not been reviewed by the Supreme Administrative Court either.</w:t>
      </w:r>
    </w:p>
    <w:bookmarkStart w:name="L_A6_1_access_A6_1_text" w:id="151"/>
    <w:p w:rsidRPr="002358A2" w:rsidR="00BF0CAC" w:rsidP="002358A2" w:rsidRDefault="00BF0CAC" w14:paraId="38677862" w14:textId="57459973">
      <w:pPr>
        <w:pStyle w:val="JuPara"/>
        <w:keepNext/>
      </w:pPr>
      <w:r w:rsidRPr="002358A2">
        <w:fldChar w:fldCharType="begin"/>
      </w:r>
      <w:r w:rsidRPr="002358A2">
        <w:instrText xml:space="preserve"> SEQ level0 \*arabic \* MERGEFORMAT </w:instrText>
      </w:r>
      <w:r w:rsidRPr="002358A2">
        <w:fldChar w:fldCharType="separate"/>
      </w:r>
      <w:r w:rsidRPr="002358A2" w:rsidR="002358A2">
        <w:rPr>
          <w:noProof/>
        </w:rPr>
        <w:t>118</w:t>
      </w:r>
      <w:r w:rsidRPr="002358A2">
        <w:rPr>
          <w:noProof/>
        </w:rPr>
        <w:fldChar w:fldCharType="end"/>
      </w:r>
      <w:bookmarkEnd w:id="151"/>
      <w:r w:rsidRPr="002358A2">
        <w:t>.  Article 6 § 1 of the Convention provides, in so far as relevant:</w:t>
      </w:r>
      <w:bookmarkStart w:name="_Hlk34206479" w:id="152"/>
    </w:p>
    <w:bookmarkEnd w:id="152"/>
    <w:p w:rsidRPr="002358A2" w:rsidR="00BF0CAC" w:rsidP="002358A2" w:rsidRDefault="00BF0CAC" w14:paraId="74821CF1" w14:textId="77777777">
      <w:pPr>
        <w:pStyle w:val="JuQuot"/>
        <w:keepLines/>
      </w:pPr>
      <w:r w:rsidRPr="002358A2">
        <w:t>“In the determination of his civil rights and obligations ..., everyone is entitled to a fair and public hearing ... by an independent and impartial tribunal established by law.”</w:t>
      </w:r>
    </w:p>
    <w:p w:rsidRPr="002358A2" w:rsidR="00BF0CAC" w:rsidP="002358A2" w:rsidRDefault="00BF0CAC" w14:paraId="3E9D457C" w14:textId="77777777">
      <w:pPr>
        <w:pStyle w:val="JuHA"/>
      </w:pPr>
      <w:bookmarkStart w:name="_Toc107950867" w:id="153"/>
      <w:r w:rsidRPr="002358A2">
        <w:t>Admissibility</w:t>
      </w:r>
      <w:bookmarkEnd w:id="153"/>
    </w:p>
    <w:p w:rsidRPr="002358A2" w:rsidR="00BF0CAC" w:rsidP="002358A2" w:rsidRDefault="00BF0CAC" w14:paraId="327F6A4F" w14:textId="55881AF5">
      <w:pPr>
        <w:pStyle w:val="JuH1"/>
      </w:pPr>
      <w:bookmarkStart w:name="_Toc107950868" w:id="154"/>
      <w:r w:rsidRPr="002358A2">
        <w:t>The parties</w:t>
      </w:r>
      <w:r w:rsidRPr="002358A2" w:rsidR="002358A2">
        <w:t>’</w:t>
      </w:r>
      <w:r w:rsidRPr="002358A2">
        <w:t xml:space="preserve"> submissions</w:t>
      </w:r>
      <w:bookmarkEnd w:id="154"/>
    </w:p>
    <w:p w:rsidRPr="002358A2" w:rsidR="00BF0CAC" w:rsidP="002358A2" w:rsidRDefault="00BF0CAC" w14:paraId="5D1E1E62" w14:textId="77777777">
      <w:pPr>
        <w:pStyle w:val="JuHa0"/>
      </w:pPr>
      <w:bookmarkStart w:name="_Toc107950869" w:id="155"/>
      <w:r w:rsidRPr="002358A2">
        <w:t>The Government</w:t>
      </w:r>
      <w:bookmarkEnd w:id="155"/>
    </w:p>
    <w:bookmarkStart w:name="L_A6_1_access_adm_G_1" w:id="156"/>
    <w:p w:rsidRPr="002358A2" w:rsidR="00BF0CAC" w:rsidP="002358A2" w:rsidRDefault="00BF0CAC" w14:paraId="67806C97" w14:textId="301EE8BB">
      <w:pPr>
        <w:pStyle w:val="JuPara"/>
      </w:pPr>
      <w:r w:rsidRPr="002358A2">
        <w:fldChar w:fldCharType="begin"/>
      </w:r>
      <w:r w:rsidRPr="002358A2">
        <w:instrText xml:space="preserve"> SEQ level0 \*arabic </w:instrText>
      </w:r>
      <w:r w:rsidRPr="002358A2">
        <w:fldChar w:fldCharType="separate"/>
      </w:r>
      <w:r w:rsidRPr="002358A2" w:rsidR="002358A2">
        <w:rPr>
          <w:noProof/>
        </w:rPr>
        <w:t>119</w:t>
      </w:r>
      <w:r w:rsidRPr="002358A2">
        <w:fldChar w:fldCharType="end"/>
      </w:r>
      <w:bookmarkEnd w:id="156"/>
      <w:r w:rsidRPr="002358A2">
        <w:t>.  The Government argued that KTB had failed to exhaust domestic remedies. It had not duly sought judicial review of the BNB</w:t>
      </w:r>
      <w:r w:rsidRPr="002358A2" w:rsidR="002358A2">
        <w:t>’</w:t>
      </w:r>
      <w:r w:rsidRPr="002358A2">
        <w:t xml:space="preserve">s decision to place it under special administration (see paragraphs </w:t>
      </w:r>
      <w:r w:rsidRPr="002358A2">
        <w:fldChar w:fldCharType="begin"/>
      </w:r>
      <w:r w:rsidRPr="002358A2">
        <w:instrText xml:space="preserve"> REF F_BNB_special_administration \h </w:instrText>
      </w:r>
      <w:r w:rsidRPr="002358A2">
        <w:fldChar w:fldCharType="separate"/>
      </w:r>
      <w:r w:rsidRPr="002358A2" w:rsidR="002358A2">
        <w:rPr>
          <w:noProof/>
        </w:rPr>
        <w:t>12</w:t>
      </w:r>
      <w:r w:rsidRPr="002358A2">
        <w:fldChar w:fldCharType="end"/>
      </w:r>
      <w:r w:rsidRPr="002358A2">
        <w:t xml:space="preserve"> and </w:t>
      </w:r>
      <w:r w:rsidRPr="002358A2">
        <w:fldChar w:fldCharType="begin"/>
      </w:r>
      <w:r w:rsidRPr="002358A2">
        <w:instrText xml:space="preserve"> REF F_BNB_special_administration_bis \h </w:instrText>
      </w:r>
      <w:r w:rsidRPr="002358A2">
        <w:fldChar w:fldCharType="separate"/>
      </w:r>
      <w:r w:rsidRPr="002358A2" w:rsidR="002358A2">
        <w:rPr>
          <w:noProof/>
        </w:rPr>
        <w:t>13</w:t>
      </w:r>
      <w:r w:rsidRPr="002358A2">
        <w:fldChar w:fldCharType="end"/>
      </w:r>
      <w:r w:rsidRPr="002358A2">
        <w:t xml:space="preserve"> above), even though that decision had affected its capacity to conduct its affairs, in particular its ability to operate via its management. KTB</w:t>
      </w:r>
      <w:r w:rsidRPr="002358A2" w:rsidR="002358A2">
        <w:t>’</w:t>
      </w:r>
      <w:r w:rsidRPr="002358A2">
        <w:t>s former executive directors, purporting to act on its behalf, had only challenged that decision out of time, when KTB had already been declared insolvent and ordered to be wound up, and when it was already being run by liquidators (see paragraph </w:t>
      </w:r>
      <w:r w:rsidRPr="002358A2">
        <w:fldChar w:fldCharType="begin"/>
      </w:r>
      <w:r w:rsidRPr="002358A2">
        <w:instrText xml:space="preserve"> REF F_spec_adm_appoint_jud_rev_claim \h </w:instrText>
      </w:r>
      <w:r w:rsidRPr="002358A2">
        <w:fldChar w:fldCharType="separate"/>
      </w:r>
      <w:r w:rsidRPr="002358A2" w:rsidR="002358A2">
        <w:rPr>
          <w:noProof/>
        </w:rPr>
        <w:t>82</w:t>
      </w:r>
      <w:r w:rsidRPr="002358A2">
        <w:fldChar w:fldCharType="end"/>
      </w:r>
      <w:r w:rsidRPr="002358A2">
        <w:t xml:space="preserve"> above). Furthermore, KTB had not sought judicial review of the</w:t>
      </w:r>
      <w:r w:rsidRPr="002358A2" w:rsidR="000F4FD7">
        <w:t xml:space="preserve"> </w:t>
      </w:r>
      <w:r w:rsidRPr="002358A2">
        <w:t>BNB</w:t>
      </w:r>
      <w:r w:rsidRPr="002358A2" w:rsidR="002358A2">
        <w:t>’</w:t>
      </w:r>
      <w:r w:rsidRPr="002358A2">
        <w:t xml:space="preserve">s decisions to (a) extend the special administration and (b) instruct the special administrators to reflect the findings of the audit reports in its accounts and report on its financial situation (see paragraphs </w:t>
      </w:r>
      <w:r w:rsidRPr="002358A2">
        <w:fldChar w:fldCharType="begin"/>
      </w:r>
      <w:r w:rsidRPr="002358A2">
        <w:instrText xml:space="preserve"> REF F_BNB_special_administration_prolonged \h </w:instrText>
      </w:r>
      <w:r w:rsidRPr="002358A2">
        <w:fldChar w:fldCharType="separate"/>
      </w:r>
      <w:r w:rsidRPr="002358A2" w:rsidR="002358A2">
        <w:rPr>
          <w:noProof/>
        </w:rPr>
        <w:t>16</w:t>
      </w:r>
      <w:r w:rsidRPr="002358A2">
        <w:fldChar w:fldCharType="end"/>
      </w:r>
      <w:r w:rsidRPr="002358A2">
        <w:t xml:space="preserve"> and </w:t>
      </w:r>
      <w:r w:rsidRPr="002358A2">
        <w:fldChar w:fldCharType="begin"/>
      </w:r>
      <w:r w:rsidRPr="002358A2">
        <w:instrText xml:space="preserve"> REF F_BNB_new_spec_adms_instrcns_21_Oct_2014 \h </w:instrText>
      </w:r>
      <w:r w:rsidRPr="002358A2">
        <w:fldChar w:fldCharType="separate"/>
      </w:r>
      <w:r w:rsidRPr="002358A2" w:rsidR="002358A2">
        <w:rPr>
          <w:noProof/>
        </w:rPr>
        <w:t>18</w:t>
      </w:r>
      <w:r w:rsidRPr="002358A2">
        <w:fldChar w:fldCharType="end"/>
      </w:r>
      <w:r w:rsidRPr="002358A2">
        <w:t xml:space="preserve"> above)</w:t>
      </w:r>
      <w:r w:rsidRPr="002358A2" w:rsidR="002C0EA6">
        <w:t> </w:t>
      </w:r>
      <w:r w:rsidRPr="002358A2">
        <w:t>– indeed, it had not done so in respect of any of the decisions of the</w:t>
      </w:r>
      <w:r w:rsidRPr="002358A2" w:rsidR="000F4FD7">
        <w:t xml:space="preserve"> </w:t>
      </w:r>
      <w:r w:rsidRPr="002358A2">
        <w:t>BNB preceding that to withdraw its licence.</w:t>
      </w:r>
    </w:p>
    <w:bookmarkStart w:name="L_A6_1_access_adm_G_2" w:id="157"/>
    <w:p w:rsidRPr="002358A2" w:rsidR="00BF0CAC" w:rsidP="002358A2" w:rsidRDefault="00BF0CAC" w14:paraId="44D2D8A3" w14:textId="4F346169">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120</w:t>
      </w:r>
      <w:r w:rsidRPr="002358A2">
        <w:rPr>
          <w:noProof/>
        </w:rPr>
        <w:fldChar w:fldCharType="end"/>
      </w:r>
      <w:bookmarkEnd w:id="157"/>
      <w:r w:rsidRPr="002358A2">
        <w:t>.  The Government also pointed out that when seeking judicial review</w:t>
      </w:r>
      <w:r w:rsidRPr="002358A2" w:rsidR="000F4FD7">
        <w:t xml:space="preserve"> </w:t>
      </w:r>
      <w:r w:rsidRPr="002358A2">
        <w:t>of the BNB</w:t>
      </w:r>
      <w:r w:rsidRPr="002358A2" w:rsidR="002358A2">
        <w:t>’</w:t>
      </w:r>
      <w:r w:rsidRPr="002358A2">
        <w:t>s decision to withdraw KTB</w:t>
      </w:r>
      <w:r w:rsidRPr="002358A2" w:rsidR="002358A2">
        <w:t>’</w:t>
      </w:r>
      <w:r w:rsidRPr="002358A2">
        <w:t xml:space="preserve">s licence (see paragraphs </w:t>
      </w:r>
      <w:r w:rsidRPr="002358A2">
        <w:fldChar w:fldCharType="begin"/>
      </w:r>
      <w:r w:rsidRPr="002358A2">
        <w:instrText xml:space="preserve"> REF F_BNB_revoke_licence \h </w:instrText>
      </w:r>
      <w:r w:rsidRPr="002358A2">
        <w:fldChar w:fldCharType="separate"/>
      </w:r>
      <w:r w:rsidRPr="002358A2" w:rsidR="002358A2">
        <w:rPr>
          <w:noProof/>
        </w:rPr>
        <w:t>20</w:t>
      </w:r>
      <w:r w:rsidRPr="002358A2">
        <w:fldChar w:fldCharType="end"/>
      </w:r>
      <w:r w:rsidRPr="002358A2">
        <w:t xml:space="preserve"> and </w:t>
      </w:r>
      <w:r w:rsidRPr="002358A2">
        <w:fldChar w:fldCharType="begin"/>
      </w:r>
      <w:r w:rsidRPr="002358A2">
        <w:instrText xml:space="preserve"> REF F_SAC_ex_dir_3MP_claim \h </w:instrText>
      </w:r>
      <w:r w:rsidRPr="002358A2">
        <w:fldChar w:fldCharType="separate"/>
      </w:r>
      <w:r w:rsidRPr="002358A2" w:rsidR="002358A2">
        <w:rPr>
          <w:noProof/>
        </w:rPr>
        <w:t>44</w:t>
      </w:r>
      <w:r w:rsidRPr="002358A2">
        <w:fldChar w:fldCharType="end"/>
      </w:r>
      <w:r w:rsidRPr="002358A2">
        <w:t>-</w:t>
      </w:r>
      <w:r w:rsidRPr="002358A2">
        <w:fldChar w:fldCharType="begin"/>
      </w:r>
      <w:r w:rsidRPr="002358A2">
        <w:instrText xml:space="preserve"> REF F_SAC_ex_dir_5MP_dec \h </w:instrText>
      </w:r>
      <w:r w:rsidRPr="002358A2">
        <w:fldChar w:fldCharType="separate"/>
      </w:r>
      <w:r w:rsidRPr="002358A2" w:rsidR="002358A2">
        <w:rPr>
          <w:noProof/>
        </w:rPr>
        <w:t>47</w:t>
      </w:r>
      <w:r w:rsidRPr="002358A2">
        <w:fldChar w:fldCharType="end"/>
      </w:r>
      <w:r w:rsidRPr="002358A2">
        <w:t xml:space="preserve"> above), its former executive directors had not attempted to act on its behalf, seeking instead to justify their standing solely with reference to the effects of the BNB</w:t>
      </w:r>
      <w:r w:rsidRPr="002358A2" w:rsidR="002358A2">
        <w:t>’</w:t>
      </w:r>
      <w:r w:rsidRPr="002358A2">
        <w:t>s decision on them personally. KTB itself had thus not tried to seek judicial review of the BNB</w:t>
      </w:r>
      <w:r w:rsidRPr="002358A2" w:rsidR="002358A2">
        <w:t>’</w:t>
      </w:r>
      <w:r w:rsidRPr="002358A2">
        <w:t>s decision.</w:t>
      </w:r>
    </w:p>
    <w:bookmarkStart w:name="L_A6_1_access_adm_G_3" w:id="158"/>
    <w:p w:rsidRPr="002358A2" w:rsidR="00BF0CAC" w:rsidP="002358A2" w:rsidRDefault="00BF0CAC" w14:paraId="67CDC1C0" w14:textId="6CE025AF">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121</w:t>
      </w:r>
      <w:r w:rsidRPr="002358A2">
        <w:fldChar w:fldCharType="end"/>
      </w:r>
      <w:bookmarkEnd w:id="158"/>
      <w:r w:rsidRPr="002358A2">
        <w:t>.  Lastly, the Government submitted that KTB had not sought a judicial declaration that the BNB</w:t>
      </w:r>
      <w:r w:rsidRPr="002358A2" w:rsidR="002358A2">
        <w:t>’</w:t>
      </w:r>
      <w:r w:rsidRPr="002358A2">
        <w:t>s decision to withdraw its licence was null and void.</w:t>
      </w:r>
    </w:p>
    <w:p w:rsidRPr="002358A2" w:rsidR="00BF0CAC" w:rsidP="002358A2" w:rsidRDefault="00BF0CAC" w14:paraId="5B8EC91A" w14:textId="77777777">
      <w:pPr>
        <w:pStyle w:val="JuHa0"/>
      </w:pPr>
      <w:bookmarkStart w:name="_Toc107950870" w:id="159"/>
      <w:r w:rsidRPr="002358A2">
        <w:t>KTB</w:t>
      </w:r>
      <w:bookmarkEnd w:id="159"/>
    </w:p>
    <w:bookmarkStart w:name="L_A6_1_access_adm_KTB_1" w:id="160"/>
    <w:p w:rsidRPr="002358A2" w:rsidR="00BF0CAC" w:rsidP="002358A2" w:rsidRDefault="00BF0CAC" w14:paraId="0FC5C8EF" w14:textId="2F3D8518">
      <w:pPr>
        <w:pStyle w:val="JuPara"/>
      </w:pPr>
      <w:r w:rsidRPr="002358A2">
        <w:fldChar w:fldCharType="begin"/>
      </w:r>
      <w:r w:rsidRPr="002358A2">
        <w:instrText xml:space="preserve"> SEQ level0 \*arabic </w:instrText>
      </w:r>
      <w:r w:rsidRPr="002358A2">
        <w:fldChar w:fldCharType="separate"/>
      </w:r>
      <w:r w:rsidRPr="002358A2" w:rsidR="002358A2">
        <w:rPr>
          <w:noProof/>
        </w:rPr>
        <w:t>122</w:t>
      </w:r>
      <w:r w:rsidRPr="002358A2">
        <w:fldChar w:fldCharType="end"/>
      </w:r>
      <w:bookmarkEnd w:id="160"/>
      <w:r w:rsidRPr="002358A2">
        <w:t>.  KTB submitted that its shareholders, principally Bromak, had, acting both in their own capacity and on its behalf, tried to seek judicial review of the withdrawal of its licence. As for KTB</w:t>
      </w:r>
      <w:r w:rsidRPr="002358A2" w:rsidR="002358A2">
        <w:t>’</w:t>
      </w:r>
      <w:r w:rsidRPr="002358A2">
        <w:t>s former executive directors, they had been removed from office and thus unable to represent it in any such proceedings. They had tried to obtain a judicial declaration that the BNB</w:t>
      </w:r>
      <w:r w:rsidRPr="002358A2" w:rsidR="002358A2">
        <w:t>’</w:t>
      </w:r>
      <w:r w:rsidRPr="002358A2">
        <w:t>s earlier decision to place KTB under special administration was null and void. Their powers, including the capacity to bring proceedings on KTB</w:t>
      </w:r>
      <w:r w:rsidRPr="002358A2" w:rsidR="002358A2">
        <w:t>’</w:t>
      </w:r>
      <w:r w:rsidRPr="002358A2">
        <w:t>s behalf, had been vested in the special administrators, who had been subordinate to and dependent on the BNB. Those special administrators could not have been realistically expected to contest the BNB</w:t>
      </w:r>
      <w:r w:rsidRPr="002358A2" w:rsidR="002358A2">
        <w:t>’</w:t>
      </w:r>
      <w:r w:rsidRPr="002358A2">
        <w:t>s decision to withdraw KTB</w:t>
      </w:r>
      <w:r w:rsidRPr="002358A2" w:rsidR="002358A2">
        <w:t>’</w:t>
      </w:r>
      <w:r w:rsidRPr="002358A2">
        <w:t>s licence.</w:t>
      </w:r>
    </w:p>
    <w:bookmarkStart w:name="L_A6_1_access_adm_KTB_2" w:id="161"/>
    <w:p w:rsidRPr="002358A2" w:rsidR="00BF0CAC" w:rsidP="002358A2" w:rsidRDefault="00BF0CAC" w14:paraId="31BA2E2D" w14:textId="378A6A4B">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123</w:t>
      </w:r>
      <w:r w:rsidRPr="002358A2">
        <w:rPr>
          <w:noProof/>
        </w:rPr>
        <w:fldChar w:fldCharType="end"/>
      </w:r>
      <w:bookmarkEnd w:id="161"/>
      <w:r w:rsidRPr="002358A2">
        <w:t>.  KTB also argued that the financial difficulties in which it had found itself had forced it to request the BNB to place it under special administration and thus protect its assets, depositors and shareholders. Indeed, its management had been under a duty to seek such measures. It would thus have been absurd for KTB to then apply for judicial review of the BNB</w:t>
      </w:r>
      <w:r w:rsidRPr="002358A2" w:rsidR="002358A2">
        <w:t>’</w:t>
      </w:r>
      <w:r w:rsidRPr="002358A2">
        <w:t>s decision to place it under special administration; it would have had no legal interest in doing so. KTB could not have predicted that the BNB would then misuse the procedure and push it into insolvency. Moreover, since the BNB</w:t>
      </w:r>
      <w:r w:rsidRPr="002358A2" w:rsidR="002358A2">
        <w:t>’</w:t>
      </w:r>
      <w:r w:rsidRPr="002358A2">
        <w:t>s decision to place KTB under special administration had also removed its management from office, it would have been impossible for that management to then represent the bank in any proceedings. All those considerations applied equally to the possibility of seeking judicial review of the BNB</w:t>
      </w:r>
      <w:r w:rsidRPr="002358A2" w:rsidR="002358A2">
        <w:t>’</w:t>
      </w:r>
      <w:r w:rsidRPr="002358A2">
        <w:t>s decision to extend the special administration. As for BNB</w:t>
      </w:r>
      <w:r w:rsidRPr="002358A2" w:rsidR="002358A2">
        <w:t>’</w:t>
      </w:r>
      <w:r w:rsidRPr="002358A2">
        <w:t>s decision instructing the special administrators to reflect the findings of the audit reports in KTB</w:t>
      </w:r>
      <w:r w:rsidRPr="002358A2" w:rsidR="002358A2">
        <w:t>’</w:t>
      </w:r>
      <w:r w:rsidRPr="002358A2">
        <w:t>s accounts and report on KTB</w:t>
      </w:r>
      <w:r w:rsidRPr="002358A2" w:rsidR="002358A2">
        <w:t>’</w:t>
      </w:r>
      <w:r w:rsidRPr="002358A2">
        <w:t>s financial situation, it had not been notified to KTB</w:t>
      </w:r>
      <w:r w:rsidRPr="002358A2" w:rsidR="002358A2">
        <w:t>’</w:t>
      </w:r>
      <w:r w:rsidRPr="002358A2">
        <w:t>s shareholders or management, or even made public.</w:t>
      </w:r>
    </w:p>
    <w:p w:rsidRPr="002358A2" w:rsidR="00BF0CAC" w:rsidP="002358A2" w:rsidRDefault="00BF0CAC" w14:paraId="4E8A3469" w14:textId="6518F5F8">
      <w:pPr>
        <w:pStyle w:val="JuH1"/>
      </w:pPr>
      <w:bookmarkStart w:name="_Toc107950871" w:id="162"/>
      <w:r w:rsidRPr="002358A2">
        <w:t>The Court</w:t>
      </w:r>
      <w:r w:rsidRPr="002358A2" w:rsidR="002358A2">
        <w:t>’</w:t>
      </w:r>
      <w:r w:rsidRPr="002358A2">
        <w:t>s assessment</w:t>
      </w:r>
      <w:bookmarkEnd w:id="162"/>
    </w:p>
    <w:bookmarkStart w:name="L_A6_1_access_adm_C_1" w:id="163"/>
    <w:p w:rsidRPr="002358A2" w:rsidR="00BF0CAC" w:rsidP="002358A2" w:rsidRDefault="00BF0CAC" w14:paraId="27098599" w14:textId="1E2CB1D2">
      <w:pPr>
        <w:pStyle w:val="JuPara"/>
        <w:rPr>
          <w:lang w:val="en-US"/>
        </w:rPr>
      </w:pPr>
      <w:r w:rsidRPr="002358A2">
        <w:fldChar w:fldCharType="begin"/>
      </w:r>
      <w:r w:rsidRPr="002358A2">
        <w:instrText xml:space="preserve"> SEQ level0 \*arabic </w:instrText>
      </w:r>
      <w:r w:rsidRPr="002358A2">
        <w:fldChar w:fldCharType="separate"/>
      </w:r>
      <w:r w:rsidRPr="002358A2" w:rsidR="002358A2">
        <w:rPr>
          <w:noProof/>
        </w:rPr>
        <w:t>124</w:t>
      </w:r>
      <w:r w:rsidRPr="002358A2">
        <w:fldChar w:fldCharType="end"/>
      </w:r>
      <w:bookmarkEnd w:id="163"/>
      <w:r w:rsidRPr="002358A2">
        <w:t>.  The alleged impossibility for KTB to obtain judicial review of the BNB</w:t>
      </w:r>
      <w:r w:rsidRPr="002358A2" w:rsidR="002358A2">
        <w:t>’</w:t>
      </w:r>
      <w:r w:rsidRPr="002358A2">
        <w:t xml:space="preserve">s decision to withdraw its licence lies at the heart of the present two complaints (see paragraphs </w:t>
      </w:r>
      <w:r w:rsidRPr="002358A2">
        <w:fldChar w:fldCharType="begin"/>
      </w:r>
      <w:r w:rsidRPr="002358A2">
        <w:instrText xml:space="preserve"> REF L_A6_1_access_c_1 \h </w:instrText>
      </w:r>
      <w:r w:rsidRPr="002358A2">
        <w:fldChar w:fldCharType="separate"/>
      </w:r>
      <w:r w:rsidRPr="002358A2" w:rsidR="002358A2">
        <w:rPr>
          <w:noProof/>
        </w:rPr>
        <w:t>116</w:t>
      </w:r>
      <w:r w:rsidRPr="002358A2">
        <w:fldChar w:fldCharType="end"/>
      </w:r>
      <w:r w:rsidRPr="002358A2">
        <w:t xml:space="preserve"> and </w:t>
      </w:r>
      <w:r w:rsidRPr="002358A2">
        <w:fldChar w:fldCharType="begin"/>
      </w:r>
      <w:r w:rsidRPr="002358A2">
        <w:instrText xml:space="preserve"> REF L_A6_1_access_c_2 \h </w:instrText>
      </w:r>
      <w:r w:rsidRPr="002358A2">
        <w:fldChar w:fldCharType="separate"/>
      </w:r>
      <w:r w:rsidRPr="002358A2" w:rsidR="002358A2">
        <w:rPr>
          <w:noProof/>
        </w:rPr>
        <w:t>117</w:t>
      </w:r>
      <w:r w:rsidRPr="002358A2">
        <w:fldChar w:fldCharType="end"/>
      </w:r>
      <w:r w:rsidRPr="002358A2">
        <w:t xml:space="preserve"> above). The Government</w:t>
      </w:r>
      <w:r w:rsidRPr="002358A2" w:rsidR="002358A2">
        <w:t>’</w:t>
      </w:r>
      <w:r w:rsidRPr="002358A2">
        <w:t>s assertion that such a review could have been obtained by way of challenges against the</w:t>
      </w:r>
      <w:r w:rsidRPr="002358A2" w:rsidR="000F4FD7">
        <w:t xml:space="preserve"> </w:t>
      </w:r>
      <w:r w:rsidRPr="002358A2">
        <w:t>BNB</w:t>
      </w:r>
      <w:r w:rsidRPr="002358A2" w:rsidR="002358A2">
        <w:t>’</w:t>
      </w:r>
      <w:r w:rsidRPr="002358A2">
        <w:t xml:space="preserve">s earlier decisions in respect of KTB (to place it under special administration, appoint special administrators for it, extend the special administration and instruct the special administrators to reflect the findings of the audit reports in its accounts and report on its financial situation – see paragraphs </w:t>
      </w:r>
      <w:r w:rsidRPr="002358A2">
        <w:fldChar w:fldCharType="begin"/>
      </w:r>
      <w:r w:rsidRPr="002358A2">
        <w:instrText xml:space="preserve"> REF F_BNB_special_administration \h </w:instrText>
      </w:r>
      <w:r w:rsidRPr="002358A2">
        <w:fldChar w:fldCharType="separate"/>
      </w:r>
      <w:r w:rsidRPr="002358A2" w:rsidR="002358A2">
        <w:rPr>
          <w:noProof/>
        </w:rPr>
        <w:t>12</w:t>
      </w:r>
      <w:r w:rsidRPr="002358A2">
        <w:fldChar w:fldCharType="end"/>
      </w:r>
      <w:r w:rsidRPr="002358A2">
        <w:t xml:space="preserve">, </w:t>
      </w:r>
      <w:r w:rsidRPr="002358A2">
        <w:fldChar w:fldCharType="begin"/>
      </w:r>
      <w:r w:rsidRPr="002358A2">
        <w:instrText xml:space="preserve"> REF F_BNB_special_administration_bis \h </w:instrText>
      </w:r>
      <w:r w:rsidRPr="002358A2">
        <w:fldChar w:fldCharType="separate"/>
      </w:r>
      <w:r w:rsidRPr="002358A2" w:rsidR="002358A2">
        <w:rPr>
          <w:noProof/>
        </w:rPr>
        <w:t>13</w:t>
      </w:r>
      <w:r w:rsidRPr="002358A2">
        <w:fldChar w:fldCharType="end"/>
      </w:r>
      <w:r w:rsidRPr="002358A2">
        <w:t xml:space="preserve">, </w:t>
      </w:r>
      <w:r w:rsidRPr="002358A2">
        <w:fldChar w:fldCharType="begin"/>
      </w:r>
      <w:r w:rsidRPr="002358A2">
        <w:instrText xml:space="preserve"> REF F_BNB_special_administration_prolonged \h </w:instrText>
      </w:r>
      <w:r w:rsidRPr="002358A2">
        <w:fldChar w:fldCharType="separate"/>
      </w:r>
      <w:r w:rsidRPr="002358A2" w:rsidR="002358A2">
        <w:rPr>
          <w:noProof/>
        </w:rPr>
        <w:t>16</w:t>
      </w:r>
      <w:r w:rsidRPr="002358A2">
        <w:fldChar w:fldCharType="end"/>
      </w:r>
      <w:r w:rsidRPr="002358A2">
        <w:t xml:space="preserve"> and </w:t>
      </w:r>
      <w:r w:rsidRPr="002358A2">
        <w:fldChar w:fldCharType="begin"/>
      </w:r>
      <w:r w:rsidRPr="002358A2">
        <w:instrText xml:space="preserve"> REF F_BNB_new_spec_adms_instrcns_21_Oct_2014 \h </w:instrText>
      </w:r>
      <w:r w:rsidRPr="002358A2">
        <w:fldChar w:fldCharType="separate"/>
      </w:r>
      <w:r w:rsidRPr="002358A2" w:rsidR="002358A2">
        <w:rPr>
          <w:noProof/>
        </w:rPr>
        <w:t>18</w:t>
      </w:r>
      <w:r w:rsidRPr="002358A2">
        <w:fldChar w:fldCharType="end"/>
      </w:r>
      <w:r w:rsidRPr="002358A2">
        <w:t xml:space="preserve"> above) is closely linked to this issue. So are the</w:t>
      </w:r>
      <w:r w:rsidRPr="002358A2" w:rsidR="000F4FD7">
        <w:t xml:space="preserve"> </w:t>
      </w:r>
      <w:r w:rsidRPr="002358A2">
        <w:t>Government</w:t>
      </w:r>
      <w:r w:rsidRPr="002358A2" w:rsidR="002358A2">
        <w:t>’</w:t>
      </w:r>
      <w:r w:rsidRPr="002358A2">
        <w:t>s assertions that such a review could have been obtained if</w:t>
      </w:r>
      <w:r w:rsidRPr="002358A2" w:rsidR="000F4FD7">
        <w:t xml:space="preserve"> </w:t>
      </w:r>
      <w:r w:rsidRPr="002358A2">
        <w:t>(a) KTB</w:t>
      </w:r>
      <w:r w:rsidRPr="002358A2" w:rsidR="002358A2">
        <w:t>’</w:t>
      </w:r>
      <w:r w:rsidRPr="002358A2">
        <w:t>s former executive directors had formulated their claim against the BNB</w:t>
      </w:r>
      <w:r w:rsidRPr="002358A2" w:rsidR="002358A2">
        <w:t>’</w:t>
      </w:r>
      <w:r w:rsidRPr="002358A2">
        <w:t>s decision to withdraw KTB</w:t>
      </w:r>
      <w:r w:rsidRPr="002358A2" w:rsidR="002358A2">
        <w:t>’</w:t>
      </w:r>
      <w:r w:rsidRPr="002358A2">
        <w:t>s licence differently and if (b) KTB had sought a judicial declaration that the BNB</w:t>
      </w:r>
      <w:r w:rsidRPr="002358A2" w:rsidR="002358A2">
        <w:t>’</w:t>
      </w:r>
      <w:r w:rsidRPr="002358A2">
        <w:t>s decision was null and void. The Government</w:t>
      </w:r>
      <w:r w:rsidRPr="002358A2" w:rsidR="002358A2">
        <w:t>’</w:t>
      </w:r>
      <w:r w:rsidRPr="002358A2">
        <w:t xml:space="preserve">s objection that domestic remedies have not been exhausted must therefore be joined to the merits of the two complaints </w:t>
      </w:r>
      <w:r w:rsidRPr="002358A2">
        <w:rPr>
          <w:iCs/>
          <w:lang w:val="en-US"/>
        </w:rPr>
        <w:t xml:space="preserve">(see, </w:t>
      </w:r>
      <w:r w:rsidRPr="002358A2">
        <w:rPr>
          <w:i/>
          <w:lang w:val="en-US"/>
        </w:rPr>
        <w:t>mutatis mutandis</w:t>
      </w:r>
      <w:r w:rsidRPr="002358A2">
        <w:rPr>
          <w:iCs/>
          <w:lang w:val="en-US"/>
        </w:rPr>
        <w:t xml:space="preserve">, </w:t>
      </w:r>
      <w:r w:rsidRPr="002358A2">
        <w:rPr>
          <w:i/>
        </w:rPr>
        <w:t>Credit and Industrial Bank</w:t>
      </w:r>
      <w:r w:rsidRPr="002358A2">
        <w:t>, cited above, §</w:t>
      </w:r>
      <w:r w:rsidRPr="002358A2" w:rsidR="00327E28">
        <w:t xml:space="preserve"> </w:t>
      </w:r>
      <w:r w:rsidRPr="002358A2">
        <w:t xml:space="preserve">53, and </w:t>
      </w:r>
      <w:r w:rsidRPr="002358A2">
        <w:rPr>
          <w:i/>
          <w:lang w:val="en-US"/>
        </w:rPr>
        <w:t>Pintar and</w:t>
      </w:r>
      <w:r w:rsidRPr="002358A2" w:rsidR="000F4FD7">
        <w:rPr>
          <w:i/>
          <w:lang w:val="en-US"/>
        </w:rPr>
        <w:t> </w:t>
      </w:r>
      <w:r w:rsidRPr="002358A2">
        <w:rPr>
          <w:i/>
          <w:lang w:val="en-US"/>
        </w:rPr>
        <w:t>Others v. Slovenia</w:t>
      </w:r>
      <w:r w:rsidRPr="002358A2">
        <w:rPr>
          <w:lang w:val="en-US"/>
        </w:rPr>
        <w:t>, nos.</w:t>
      </w:r>
      <w:r w:rsidRPr="002358A2" w:rsidR="00327E28">
        <w:rPr>
          <w:lang w:val="en-US"/>
        </w:rPr>
        <w:t xml:space="preserve"> </w:t>
      </w:r>
      <w:r w:rsidRPr="002358A2">
        <w:rPr>
          <w:lang w:val="en-US"/>
        </w:rPr>
        <w:t>49969/14 and 4 others, § 79, 14 September 2021).</w:t>
      </w:r>
    </w:p>
    <w:bookmarkStart w:name="L_A6_1_access_adm_C_2" w:id="164"/>
    <w:p w:rsidRPr="002358A2" w:rsidR="00BF0CAC" w:rsidP="002358A2" w:rsidRDefault="00BF0CAC" w14:paraId="3357162D" w14:textId="5F0B36C2">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125</w:t>
      </w:r>
      <w:r w:rsidRPr="002358A2">
        <w:rPr>
          <w:noProof/>
        </w:rPr>
        <w:fldChar w:fldCharType="end"/>
      </w:r>
      <w:bookmarkEnd w:id="164"/>
      <w:r w:rsidRPr="002358A2">
        <w:t>.  The two complaints are, furthermore, not manifestly ill-founded or inadmissible on any other grounds. They must therefore be declared admissible.</w:t>
      </w:r>
    </w:p>
    <w:p w:rsidRPr="002358A2" w:rsidR="00BF0CAC" w:rsidP="002358A2" w:rsidRDefault="00BF0CAC" w14:paraId="2EFA7CCA" w14:textId="77777777">
      <w:pPr>
        <w:pStyle w:val="JuHA"/>
      </w:pPr>
      <w:bookmarkStart w:name="_Toc107950872" w:id="165"/>
      <w:r w:rsidRPr="002358A2">
        <w:t>Merits</w:t>
      </w:r>
      <w:bookmarkEnd w:id="165"/>
    </w:p>
    <w:p w:rsidRPr="002358A2" w:rsidR="00BF0CAC" w:rsidP="002358A2" w:rsidRDefault="00BF0CAC" w14:paraId="5A920CF3" w14:textId="473C2A4C">
      <w:pPr>
        <w:pStyle w:val="JuH1"/>
      </w:pPr>
      <w:bookmarkStart w:name="_Toc107950873" w:id="166"/>
      <w:r w:rsidRPr="002358A2">
        <w:t>The parties</w:t>
      </w:r>
      <w:r w:rsidRPr="002358A2" w:rsidR="002358A2">
        <w:t>’</w:t>
      </w:r>
      <w:r w:rsidRPr="002358A2">
        <w:t xml:space="preserve"> submissions</w:t>
      </w:r>
      <w:bookmarkEnd w:id="166"/>
    </w:p>
    <w:bookmarkStart w:name="L_A6_1_access_mer_KTB_1" w:id="167"/>
    <w:p w:rsidRPr="002358A2" w:rsidR="00BF0CAC" w:rsidP="002358A2" w:rsidRDefault="00BF0CAC" w14:paraId="3007AFA1" w14:textId="16D0021D">
      <w:pPr>
        <w:pStyle w:val="JuPara"/>
      </w:pPr>
      <w:r w:rsidRPr="002358A2">
        <w:fldChar w:fldCharType="begin"/>
      </w:r>
      <w:r w:rsidRPr="002358A2">
        <w:instrText xml:space="preserve"> SEQ level0 \*arabic </w:instrText>
      </w:r>
      <w:r w:rsidRPr="002358A2">
        <w:fldChar w:fldCharType="separate"/>
      </w:r>
      <w:r w:rsidRPr="002358A2" w:rsidR="002358A2">
        <w:rPr>
          <w:noProof/>
        </w:rPr>
        <w:t>126</w:t>
      </w:r>
      <w:r w:rsidRPr="002358A2">
        <w:fldChar w:fldCharType="end"/>
      </w:r>
      <w:bookmarkEnd w:id="167"/>
      <w:r w:rsidRPr="002358A2">
        <w:t>.  KTB submitted that under Bulgarian law, as interpreted by the Supreme Administrative Court, its former executive directors could not have acted on its behalf in proceedings for judicial review of the withdrawal of its licence. Its shareholders, in particular Bromak, had also been denied the right to challenge that decision. The Supreme Administrative Court had permitted only the special administrators to act on KTB</w:t>
      </w:r>
      <w:r w:rsidRPr="002358A2" w:rsidR="002358A2">
        <w:t>’</w:t>
      </w:r>
      <w:r w:rsidRPr="002358A2">
        <w:t>s behalf in proceedings before it, even though there had been a clear conflict of interests between them and the bank, and they had been dependent on the BNB. KTB added that although the law provided for judicial review of a decision by the BNB to withdraw a bank</w:t>
      </w:r>
      <w:r w:rsidRPr="002358A2" w:rsidR="002358A2">
        <w:t>’</w:t>
      </w:r>
      <w:r w:rsidRPr="002358A2">
        <w:t>s licence, it was unclear who could seek such a review. The bank</w:t>
      </w:r>
      <w:r w:rsidRPr="002358A2" w:rsidR="002358A2">
        <w:t>’</w:t>
      </w:r>
      <w:r w:rsidRPr="002358A2">
        <w:t>s management were precluded from doing so, and the Supreme Administrative Court had refused to let KTB</w:t>
      </w:r>
      <w:r w:rsidRPr="002358A2" w:rsidR="002358A2">
        <w:t>’</w:t>
      </w:r>
      <w:r w:rsidRPr="002358A2">
        <w:t>s shareholders do so either.</w:t>
      </w:r>
    </w:p>
    <w:bookmarkStart w:name="L_A6_1_access_mer_G_1" w:id="168"/>
    <w:p w:rsidRPr="002358A2" w:rsidR="00BF0CAC" w:rsidP="002358A2" w:rsidRDefault="00BF0CAC" w14:paraId="31E975CD" w14:textId="30EF139A">
      <w:pPr>
        <w:pStyle w:val="JuPara"/>
      </w:pPr>
      <w:r w:rsidRPr="002358A2">
        <w:fldChar w:fldCharType="begin"/>
      </w:r>
      <w:r w:rsidRPr="002358A2">
        <w:instrText xml:space="preserve"> SEQ level0 \*arabic </w:instrText>
      </w:r>
      <w:r w:rsidRPr="002358A2">
        <w:fldChar w:fldCharType="separate"/>
      </w:r>
      <w:r w:rsidRPr="002358A2" w:rsidR="002358A2">
        <w:rPr>
          <w:noProof/>
        </w:rPr>
        <w:t>127</w:t>
      </w:r>
      <w:r w:rsidRPr="002358A2">
        <w:fldChar w:fldCharType="end"/>
      </w:r>
      <w:bookmarkEnd w:id="168"/>
      <w:r w:rsidRPr="002358A2">
        <w:t>.  The Government submitted that by law the withdrawal of a bank</w:t>
      </w:r>
      <w:r w:rsidRPr="002358A2" w:rsidR="002358A2">
        <w:t>’</w:t>
      </w:r>
      <w:r w:rsidRPr="002358A2">
        <w:t>s licence was amenable to judicial review. They pointed out that when KTB</w:t>
      </w:r>
      <w:r w:rsidRPr="002358A2" w:rsidR="002358A2">
        <w:t>’</w:t>
      </w:r>
      <w:r w:rsidRPr="002358A2">
        <w:t>s former executive directors had sought judicial review of the withdrawal of its licence, they had only cited the effects of the BNB</w:t>
      </w:r>
      <w:r w:rsidRPr="002358A2" w:rsidR="002358A2">
        <w:t>’</w:t>
      </w:r>
      <w:r w:rsidRPr="002358A2">
        <w:t>s decision on them personally rather than attempting to act on KTB</w:t>
      </w:r>
      <w:r w:rsidRPr="002358A2" w:rsidR="002358A2">
        <w:t>’</w:t>
      </w:r>
      <w:r w:rsidRPr="002358A2">
        <w:t>s behalf. The Supreme Administrative Court had thus been justified in refusing to deal with their claim, and it was unsurprising that it had not examined the possibility for KTB itself to seek judicial review of the withdrawal of its licence. The court had simply dealt with the former executive directors</w:t>
      </w:r>
      <w:r w:rsidRPr="002358A2" w:rsidR="002358A2">
        <w:t>’</w:t>
      </w:r>
      <w:r w:rsidRPr="002358A2">
        <w:t xml:space="preserve"> claim as formulated by them. Thus, KTB itself had not sought judicial review of the withdrawal of its licence.</w:t>
      </w:r>
    </w:p>
    <w:p w:rsidRPr="002358A2" w:rsidR="00BF0CAC" w:rsidP="002358A2" w:rsidRDefault="00BF0CAC" w14:paraId="645909CB" w14:textId="62296279">
      <w:pPr>
        <w:pStyle w:val="JuH1"/>
      </w:pPr>
      <w:bookmarkStart w:name="_Toc107950874" w:id="169"/>
      <w:r w:rsidRPr="002358A2">
        <w:t>The Court</w:t>
      </w:r>
      <w:r w:rsidRPr="002358A2" w:rsidR="002358A2">
        <w:t>’</w:t>
      </w:r>
      <w:r w:rsidRPr="002358A2">
        <w:t>s assessment</w:t>
      </w:r>
      <w:bookmarkEnd w:id="169"/>
    </w:p>
    <w:bookmarkStart w:name="L_A6_1_access_mer_C_1" w:id="170"/>
    <w:p w:rsidRPr="002358A2" w:rsidR="00BF0CAC" w:rsidP="002358A2" w:rsidRDefault="00BF0CAC" w14:paraId="46D9A629" w14:textId="379D1024">
      <w:pPr>
        <w:pStyle w:val="JuPara"/>
      </w:pPr>
      <w:r w:rsidRPr="002358A2">
        <w:fldChar w:fldCharType="begin"/>
      </w:r>
      <w:r w:rsidRPr="002358A2">
        <w:instrText xml:space="preserve"> SEQ level0 \*arabic </w:instrText>
      </w:r>
      <w:r w:rsidRPr="002358A2">
        <w:fldChar w:fldCharType="separate"/>
      </w:r>
      <w:r w:rsidRPr="002358A2" w:rsidR="002358A2">
        <w:rPr>
          <w:noProof/>
        </w:rPr>
        <w:t>128</w:t>
      </w:r>
      <w:r w:rsidRPr="002358A2">
        <w:fldChar w:fldCharType="end"/>
      </w:r>
      <w:bookmarkEnd w:id="170"/>
      <w:r w:rsidRPr="002358A2">
        <w:t>.  The Court has already held that a bank whose licence has been withdrawn must be able to challenge that decision – which has a decisive impact on the bank</w:t>
      </w:r>
      <w:r w:rsidRPr="002358A2" w:rsidR="002358A2">
        <w:t>’</w:t>
      </w:r>
      <w:r w:rsidRPr="002358A2">
        <w:t xml:space="preserve">s ability to continue as a going concern and manage its own affairs, and which under Bulgarian law almost automatically triggers the opening of insolvency proceedings against the bank – before a court capable of examining all points of fact and law pertaining to the lawfulness of that decision (see </w:t>
      </w:r>
      <w:r w:rsidRPr="002358A2">
        <w:rPr>
          <w:i/>
        </w:rPr>
        <w:t>Capital Bank AD</w:t>
      </w:r>
      <w:r w:rsidRPr="002358A2">
        <w:t>, cited above, §</w:t>
      </w:r>
      <w:r w:rsidRPr="002358A2">
        <w:rPr>
          <w:rFonts w:cstheme="minorHAnsi"/>
        </w:rPr>
        <w:t>§</w:t>
      </w:r>
      <w:r w:rsidRPr="002358A2">
        <w:t xml:space="preserve"> 87-88 and 98-116). The Government did not contend that there were any reasons to rule otherwise in this case. Indeed, since 2007 Bulgarian law has provided for the possibility of seeking judicial review of a decision by the BNB to withdraw a bank</w:t>
      </w:r>
      <w:r w:rsidRPr="002358A2" w:rsidR="002358A2">
        <w:t>’</w:t>
      </w:r>
      <w:r w:rsidRPr="002358A2">
        <w:t xml:space="preserve">s licence (see paragraphs </w:t>
      </w:r>
      <w:r w:rsidRPr="002358A2">
        <w:fldChar w:fldCharType="begin"/>
      </w:r>
      <w:r w:rsidRPr="002358A2">
        <w:instrText xml:space="preserve"> REF RLF_BNB_revoke_licence_jud_rev \h </w:instrText>
      </w:r>
      <w:r w:rsidRPr="002358A2">
        <w:fldChar w:fldCharType="separate"/>
      </w:r>
      <w:r w:rsidRPr="002358A2" w:rsidR="002358A2">
        <w:rPr>
          <w:noProof/>
          <w:lang w:val="bg-BG"/>
        </w:rPr>
        <w:t>94</w:t>
      </w:r>
      <w:r w:rsidRPr="002358A2">
        <w:fldChar w:fldCharType="end"/>
      </w:r>
      <w:r w:rsidRPr="002358A2">
        <w:t xml:space="preserve"> and </w:t>
      </w:r>
      <w:r w:rsidRPr="002358A2">
        <w:fldChar w:fldCharType="begin"/>
      </w:r>
      <w:r w:rsidRPr="002358A2">
        <w:instrText xml:space="preserve"> REF RCoEM_Capital_Bank \h </w:instrText>
      </w:r>
      <w:r w:rsidRPr="002358A2">
        <w:fldChar w:fldCharType="separate"/>
      </w:r>
      <w:r w:rsidRPr="002358A2" w:rsidR="002358A2">
        <w:rPr>
          <w:noProof/>
        </w:rPr>
        <w:t>106</w:t>
      </w:r>
      <w:r w:rsidRPr="002358A2">
        <w:fldChar w:fldCharType="end"/>
      </w:r>
      <w:r w:rsidRPr="002358A2">
        <w:t xml:space="preserve"> above). The Government maintained that it had been possible for KTB to obtain such a review.</w:t>
      </w:r>
    </w:p>
    <w:bookmarkStart w:name="L_A6_1_access_mer_C_2" w:id="171"/>
    <w:p w:rsidRPr="002358A2" w:rsidR="00BF0CAC" w:rsidP="002358A2" w:rsidRDefault="00BF0CAC" w14:paraId="26C83E93" w14:textId="31ADE701">
      <w:pPr>
        <w:pStyle w:val="JuPara"/>
        <w:keepNext/>
      </w:pPr>
      <w:r w:rsidRPr="002358A2">
        <w:fldChar w:fldCharType="begin"/>
      </w:r>
      <w:r w:rsidRPr="002358A2">
        <w:instrText xml:space="preserve"> SEQ level0 \*arabic \* MERGEFORMAT </w:instrText>
      </w:r>
      <w:r w:rsidRPr="002358A2">
        <w:fldChar w:fldCharType="separate"/>
      </w:r>
      <w:r w:rsidRPr="002358A2" w:rsidR="002358A2">
        <w:rPr>
          <w:noProof/>
        </w:rPr>
        <w:t>129</w:t>
      </w:r>
      <w:r w:rsidRPr="002358A2">
        <w:rPr>
          <w:noProof/>
        </w:rPr>
        <w:fldChar w:fldCharType="end"/>
      </w:r>
      <w:bookmarkEnd w:id="171"/>
      <w:r w:rsidRPr="002358A2">
        <w:t xml:space="preserve">.  The question here is thus limited to ascertaining whether Bulgarian law ensured this possibility with a sufficient degree of certainty (see paragraph </w:t>
      </w:r>
      <w:r w:rsidRPr="002358A2">
        <w:fldChar w:fldCharType="begin"/>
      </w:r>
      <w:r w:rsidRPr="002358A2">
        <w:instrText xml:space="preserve"> REF RCoEM_Int_Bank_for_Com_and_Dev_1 \h </w:instrText>
      </w:r>
      <w:r w:rsidRPr="002358A2">
        <w:fldChar w:fldCharType="separate"/>
      </w:r>
      <w:r w:rsidRPr="002358A2" w:rsidR="002358A2">
        <w:rPr>
          <w:noProof/>
        </w:rPr>
        <w:t>107</w:t>
      </w:r>
      <w:r w:rsidRPr="002358A2">
        <w:fldChar w:fldCharType="end"/>
      </w:r>
      <w:r w:rsidRPr="002358A2">
        <w:t xml:space="preserve"> above). According to the Court</w:t>
      </w:r>
      <w:r w:rsidRPr="002358A2" w:rsidR="002358A2">
        <w:t>’</w:t>
      </w:r>
      <w:r w:rsidRPr="002358A2">
        <w:t xml:space="preserve">s case-law, for the right of access to a court to be effective, the persons concerned must have a clear, practical opportunity to challenge an act interfering with their civil rights or obligations (see, among other authorities, </w:t>
      </w:r>
      <w:r w:rsidRPr="002358A2">
        <w:rPr>
          <w:i/>
        </w:rPr>
        <w:t>Bellet v. France</w:t>
      </w:r>
      <w:r w:rsidRPr="002358A2">
        <w:t xml:space="preserve">, 4 December 1995, § 36, Series A no. 333-B; </w:t>
      </w:r>
      <w:r w:rsidRPr="002358A2">
        <w:rPr>
          <w:i/>
          <w:lang w:val="en-US"/>
        </w:rPr>
        <w:t>Cañete de Goñi v. Spain</w:t>
      </w:r>
      <w:r w:rsidRPr="002358A2">
        <w:rPr>
          <w:lang w:val="en-US"/>
        </w:rPr>
        <w:t>, no. 55782/00, § 34, ECHR 2002</w:t>
      </w:r>
      <w:r w:rsidRPr="002358A2">
        <w:rPr>
          <w:lang w:val="en-US"/>
        </w:rPr>
        <w:noBreakHyphen/>
        <w:t xml:space="preserve">VIII; </w:t>
      </w:r>
      <w:r w:rsidRPr="002358A2">
        <w:t xml:space="preserve">and </w:t>
      </w:r>
      <w:r w:rsidRPr="002358A2">
        <w:rPr>
          <w:i/>
        </w:rPr>
        <w:t>Kandarakis v. Greece</w:t>
      </w:r>
      <w:r w:rsidRPr="002358A2">
        <w:t>, nos. 48345/12 and 2 others, § 46, 11 June 2020).</w:t>
      </w:r>
    </w:p>
    <w:bookmarkStart w:name="L_A6_1_access_mer_C_3" w:id="172"/>
    <w:p w:rsidRPr="002358A2" w:rsidR="00BF0CAC" w:rsidP="002358A2" w:rsidRDefault="00BF0CAC" w14:paraId="6B155269" w14:textId="7619A1F8">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130</w:t>
      </w:r>
      <w:r w:rsidRPr="002358A2">
        <w:rPr>
          <w:noProof/>
        </w:rPr>
        <w:fldChar w:fldCharType="end"/>
      </w:r>
      <w:bookmarkEnd w:id="172"/>
      <w:r w:rsidRPr="002358A2">
        <w:t>.  Section 151(3) of the Credit Institutions Act 2006 provides that all decisions made by the BNB under the Act are amenable to judicial review, but does not specify who can seek a review of a decision by the BNB to withdraw a bank</w:t>
      </w:r>
      <w:r w:rsidRPr="002358A2" w:rsidR="002358A2">
        <w:t>’</w:t>
      </w:r>
      <w:r w:rsidRPr="002358A2">
        <w:t>s licence, or lay down the procedure for doing so. This gives rise to a difficulty, because when the BNB withdraws a bank</w:t>
      </w:r>
      <w:r w:rsidRPr="002358A2" w:rsidR="002358A2">
        <w:t>’</w:t>
      </w:r>
      <w:r w:rsidRPr="002358A2">
        <w:t>s licence, it must at the same time appoint special administrators to run the bank, regardless of whether – as in this case</w:t>
      </w:r>
      <w:r w:rsidRPr="002358A2" w:rsidR="00CE6755">
        <w:t xml:space="preserve"> </w:t>
      </w:r>
      <w:r w:rsidRPr="002358A2">
        <w:t xml:space="preserve">– it has already done so (see paragraph </w:t>
      </w:r>
      <w:r w:rsidRPr="002358A2">
        <w:fldChar w:fldCharType="begin"/>
      </w:r>
      <w:r w:rsidRPr="002358A2">
        <w:instrText xml:space="preserve"> REF RLF_BNB_revoke_licence_special_adms \h </w:instrText>
      </w:r>
      <w:r w:rsidRPr="002358A2">
        <w:fldChar w:fldCharType="separate"/>
      </w:r>
      <w:r w:rsidRPr="002358A2" w:rsidR="002358A2">
        <w:rPr>
          <w:noProof/>
        </w:rPr>
        <w:t>91</w:t>
      </w:r>
      <w:r w:rsidRPr="002358A2">
        <w:fldChar w:fldCharType="end"/>
      </w:r>
      <w:r w:rsidRPr="002358A2">
        <w:t xml:space="preserve"> above). Those special administrators take over all powers of the bank</w:t>
      </w:r>
      <w:r w:rsidRPr="002358A2" w:rsidR="002358A2">
        <w:t>’</w:t>
      </w:r>
      <w:r w:rsidRPr="002358A2">
        <w:t>s management, including the power to bring proceedings on the bank</w:t>
      </w:r>
      <w:r w:rsidRPr="002358A2" w:rsidR="002358A2">
        <w:t>’</w:t>
      </w:r>
      <w:r w:rsidRPr="002358A2">
        <w:t>s behalf, unless the</w:t>
      </w:r>
      <w:r w:rsidRPr="002358A2" w:rsidR="000F4FD7">
        <w:t xml:space="preserve"> </w:t>
      </w:r>
      <w:r w:rsidRPr="002358A2">
        <w:t>BNB has prescribed otherwise in its decision to appoint them (see paragraph </w:t>
      </w:r>
      <w:r w:rsidRPr="002358A2">
        <w:fldChar w:fldCharType="begin"/>
      </w:r>
      <w:r w:rsidRPr="002358A2">
        <w:instrText xml:space="preserve"> REF RLF_BNB_special_administration \h </w:instrText>
      </w:r>
      <w:r w:rsidRPr="002358A2">
        <w:fldChar w:fldCharType="separate"/>
      </w:r>
      <w:r w:rsidRPr="002358A2" w:rsidR="002358A2">
        <w:rPr>
          <w:noProof/>
        </w:rPr>
        <w:t>88</w:t>
      </w:r>
      <w:r w:rsidRPr="002358A2">
        <w:fldChar w:fldCharType="end"/>
      </w:r>
      <w:r w:rsidRPr="002358A2">
        <w:t xml:space="preserve"> above), which did not happen in this case (see paragraph </w:t>
      </w:r>
      <w:r w:rsidRPr="002358A2">
        <w:fldChar w:fldCharType="begin"/>
      </w:r>
      <w:r w:rsidRPr="002358A2">
        <w:instrText xml:space="preserve"> REF F_BNB_revoke_licence_extent_special_adms \h </w:instrText>
      </w:r>
      <w:r w:rsidRPr="002358A2">
        <w:fldChar w:fldCharType="separate"/>
      </w:r>
      <w:r w:rsidRPr="002358A2" w:rsidR="002358A2">
        <w:rPr>
          <w:noProof/>
        </w:rPr>
        <w:t>21</w:t>
      </w:r>
      <w:r w:rsidRPr="002358A2">
        <w:fldChar w:fldCharType="end"/>
      </w:r>
      <w:r w:rsidRPr="002358A2">
        <w:t xml:space="preserve"> above). A decision by the BNB to withdraw a bank</w:t>
      </w:r>
      <w:r w:rsidRPr="002358A2" w:rsidR="002358A2">
        <w:t>’</w:t>
      </w:r>
      <w:r w:rsidRPr="002358A2">
        <w:t xml:space="preserve">s licence is immediately enforceable and cannot be stayed pending the determination of any claim for it to be judicially reviewed (see paragraph </w:t>
      </w:r>
      <w:r w:rsidRPr="002358A2">
        <w:fldChar w:fldCharType="begin"/>
      </w:r>
      <w:r w:rsidRPr="002358A2">
        <w:instrText xml:space="preserve"> REF RLF_BNB_revoke_licence_conditions \h </w:instrText>
      </w:r>
      <w:r w:rsidRPr="002358A2">
        <w:fldChar w:fldCharType="separate"/>
      </w:r>
      <w:r w:rsidRPr="002358A2" w:rsidR="002358A2">
        <w:rPr>
          <w:noProof/>
        </w:rPr>
        <w:t>90</w:t>
      </w:r>
      <w:r w:rsidRPr="002358A2">
        <w:fldChar w:fldCharType="end"/>
      </w:r>
      <w:r w:rsidRPr="002358A2">
        <w:t xml:space="preserve"> above). That means that from the very moment the BNB withdrew KTB</w:t>
      </w:r>
      <w:r w:rsidRPr="002358A2" w:rsidR="002358A2">
        <w:t>’</w:t>
      </w:r>
      <w:r w:rsidRPr="002358A2">
        <w:t>s licence, the power to act on KTB</w:t>
      </w:r>
      <w:r w:rsidRPr="002358A2" w:rsidR="002358A2">
        <w:t>’</w:t>
      </w:r>
      <w:r w:rsidRPr="002358A2">
        <w:t>s behalf, including to bring proceedings on its behalf, was conferred on its special administrators.</w:t>
      </w:r>
    </w:p>
    <w:bookmarkStart w:name="L_A6_1_access_mer_C_4" w:id="173"/>
    <w:p w:rsidRPr="002358A2" w:rsidR="00BF0CAC" w:rsidP="002358A2" w:rsidRDefault="00BF0CAC" w14:paraId="2C076B26" w14:textId="02A8D190">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131</w:t>
      </w:r>
      <w:r w:rsidRPr="002358A2">
        <w:rPr>
          <w:noProof/>
        </w:rPr>
        <w:fldChar w:fldCharType="end"/>
      </w:r>
      <w:bookmarkEnd w:id="173"/>
      <w:r w:rsidRPr="002358A2">
        <w:t>.  It is hence evident that even if KTB had obtained judicial decisions quashing the BNB</w:t>
      </w:r>
      <w:r w:rsidRPr="002358A2" w:rsidR="002358A2">
        <w:t>’</w:t>
      </w:r>
      <w:r w:rsidRPr="002358A2">
        <w:t xml:space="preserve">s earlier decisions to appoint special administrators and extend their mandate (see paragraphs </w:t>
      </w:r>
      <w:r w:rsidRPr="002358A2">
        <w:fldChar w:fldCharType="begin"/>
      </w:r>
      <w:r w:rsidRPr="002358A2">
        <w:instrText xml:space="preserve"> REF F_BNB_special_administration \h </w:instrText>
      </w:r>
      <w:r w:rsidRPr="002358A2">
        <w:fldChar w:fldCharType="separate"/>
      </w:r>
      <w:r w:rsidRPr="002358A2" w:rsidR="002358A2">
        <w:rPr>
          <w:noProof/>
        </w:rPr>
        <w:t>12</w:t>
      </w:r>
      <w:r w:rsidRPr="002358A2">
        <w:fldChar w:fldCharType="end"/>
      </w:r>
      <w:r w:rsidRPr="002358A2">
        <w:t xml:space="preserve"> (b) and </w:t>
      </w:r>
      <w:r w:rsidRPr="002358A2">
        <w:fldChar w:fldCharType="begin"/>
      </w:r>
      <w:r w:rsidRPr="002358A2">
        <w:instrText xml:space="preserve"> REF F_BNB_special_administration_prolonged \h </w:instrText>
      </w:r>
      <w:r w:rsidRPr="002358A2">
        <w:fldChar w:fldCharType="separate"/>
      </w:r>
      <w:r w:rsidRPr="002358A2" w:rsidR="002358A2">
        <w:rPr>
          <w:noProof/>
        </w:rPr>
        <w:t>16</w:t>
      </w:r>
      <w:r w:rsidRPr="002358A2">
        <w:fldChar w:fldCharType="end"/>
      </w:r>
      <w:r w:rsidRPr="002358A2">
        <w:t xml:space="preserve"> above) – indeed all decisions by the BNB preceding that of withdrawing KTB</w:t>
      </w:r>
      <w:r w:rsidRPr="002358A2" w:rsidR="002358A2">
        <w:t>’</w:t>
      </w:r>
      <w:r w:rsidRPr="002358A2">
        <w:t xml:space="preserve">s licence – it would have still been placed under the stewardship of special administrators when it had its licence withdrawn. It follows that the remedies cited by the Government (see paragraph </w:t>
      </w:r>
      <w:r w:rsidRPr="002358A2">
        <w:fldChar w:fldCharType="begin"/>
      </w:r>
      <w:r w:rsidRPr="002358A2">
        <w:instrText xml:space="preserve"> REF L_A6_1_access_adm_G_1 \h </w:instrText>
      </w:r>
      <w:r w:rsidRPr="002358A2">
        <w:fldChar w:fldCharType="separate"/>
      </w:r>
      <w:r w:rsidRPr="002358A2" w:rsidR="002358A2">
        <w:rPr>
          <w:noProof/>
        </w:rPr>
        <w:t>119</w:t>
      </w:r>
      <w:r w:rsidRPr="002358A2">
        <w:fldChar w:fldCharType="end"/>
      </w:r>
      <w:r w:rsidRPr="002358A2">
        <w:t xml:space="preserve"> above) could not have prevented the situation of which KTB is complaining. The first limb of the Government</w:t>
      </w:r>
      <w:r w:rsidRPr="002358A2" w:rsidR="002358A2">
        <w:t>’</w:t>
      </w:r>
      <w:r w:rsidRPr="002358A2">
        <w:t>s non-exhaustion objection (based on the absence of timely legal challenges against the BNB</w:t>
      </w:r>
      <w:r w:rsidRPr="002358A2" w:rsidR="002358A2">
        <w:t>’</w:t>
      </w:r>
      <w:r w:rsidRPr="002358A2">
        <w:t xml:space="preserve">s earlier decisions in respect of KTB), which was joined to the merits (see paragraph </w:t>
      </w:r>
      <w:r w:rsidRPr="002358A2">
        <w:fldChar w:fldCharType="begin"/>
      </w:r>
      <w:r w:rsidRPr="002358A2">
        <w:instrText xml:space="preserve"> REF L_A6_1_access_adm_C_1 \h </w:instrText>
      </w:r>
      <w:r w:rsidRPr="002358A2">
        <w:fldChar w:fldCharType="separate"/>
      </w:r>
      <w:r w:rsidRPr="002358A2" w:rsidR="002358A2">
        <w:rPr>
          <w:noProof/>
        </w:rPr>
        <w:t>124</w:t>
      </w:r>
      <w:r w:rsidRPr="002358A2">
        <w:fldChar w:fldCharType="end"/>
      </w:r>
      <w:r w:rsidRPr="002358A2">
        <w:t xml:space="preserve"> above), must therefore be rejected.</w:t>
      </w:r>
    </w:p>
    <w:bookmarkStart w:name="L_A6_1_access_mer_C_5" w:id="174"/>
    <w:p w:rsidRPr="002358A2" w:rsidR="00BF0CAC" w:rsidP="002358A2" w:rsidRDefault="00BF0CAC" w14:paraId="33A664F3" w14:textId="0034E766">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132</w:t>
      </w:r>
      <w:r w:rsidRPr="002358A2">
        <w:rPr>
          <w:noProof/>
        </w:rPr>
        <w:fldChar w:fldCharType="end"/>
      </w:r>
      <w:bookmarkEnd w:id="174"/>
      <w:r w:rsidRPr="002358A2">
        <w:t>.  Before KTB</w:t>
      </w:r>
      <w:r w:rsidRPr="002358A2" w:rsidR="002358A2">
        <w:t>’</w:t>
      </w:r>
      <w:r w:rsidRPr="002358A2">
        <w:t xml:space="preserve">s case, the Supreme Administrative Court had not had occasion to interpret section 151(3) of the 2006 Act (see paragraph </w:t>
      </w:r>
      <w:r w:rsidRPr="002358A2">
        <w:fldChar w:fldCharType="begin"/>
      </w:r>
      <w:r w:rsidRPr="002358A2">
        <w:instrText xml:space="preserve"> REF RLF_BNB_revoke_licence_jud_rev \h </w:instrText>
      </w:r>
      <w:r w:rsidRPr="002358A2">
        <w:fldChar w:fldCharType="separate"/>
      </w:r>
      <w:r w:rsidRPr="002358A2" w:rsidR="002358A2">
        <w:rPr>
          <w:noProof/>
          <w:lang w:val="bg-BG"/>
        </w:rPr>
        <w:t>94</w:t>
      </w:r>
      <w:r w:rsidRPr="002358A2">
        <w:fldChar w:fldCharType="end"/>
      </w:r>
      <w:r w:rsidRPr="002358A2">
        <w:t xml:space="preserve"> above). It was thus unclear whether, even though with the withdrawal of a bank</w:t>
      </w:r>
      <w:r w:rsidRPr="002358A2" w:rsidR="002358A2">
        <w:t>’</w:t>
      </w:r>
      <w:r w:rsidRPr="002358A2">
        <w:t>s licence all powers of its management were immediately conferred on the bank</w:t>
      </w:r>
      <w:r w:rsidRPr="002358A2" w:rsidR="002358A2">
        <w:t>’</w:t>
      </w:r>
      <w:r w:rsidRPr="002358A2">
        <w:t>s special administrators, the management could retain a residual power to seek judicial review of the BNB</w:t>
      </w:r>
      <w:r w:rsidRPr="002358A2" w:rsidR="002358A2">
        <w:t>’</w:t>
      </w:r>
      <w:r w:rsidRPr="002358A2">
        <w:t>s decision to withdraw the bank</w:t>
      </w:r>
      <w:r w:rsidRPr="002358A2" w:rsidR="002358A2">
        <w:t>’</w:t>
      </w:r>
      <w:r w:rsidRPr="002358A2">
        <w:t>s licence. Nor was it clear whether such a review could be sought by others, such as the bank</w:t>
      </w:r>
      <w:r w:rsidRPr="002358A2" w:rsidR="002358A2">
        <w:t>’</w:t>
      </w:r>
      <w:r w:rsidRPr="002358A2">
        <w:t xml:space="preserve">s shareholders. Indeed, this uncertainty even prompted the Supreme Bar Council to seek an interpretative decision on the point in March 2015 (see paragraphs </w:t>
      </w:r>
      <w:r w:rsidRPr="002358A2">
        <w:fldChar w:fldCharType="begin"/>
      </w:r>
      <w:r w:rsidRPr="002358A2">
        <w:instrText xml:space="preserve"> REF F_SAC_5MP_request_int_dec \h </w:instrText>
      </w:r>
      <w:r w:rsidRPr="002358A2">
        <w:fldChar w:fldCharType="separate"/>
      </w:r>
      <w:r w:rsidRPr="002358A2" w:rsidR="002358A2">
        <w:rPr>
          <w:noProof/>
        </w:rPr>
        <w:t>38</w:t>
      </w:r>
      <w:r w:rsidRPr="002358A2">
        <w:fldChar w:fldCharType="end"/>
      </w:r>
      <w:r w:rsidRPr="002358A2">
        <w:t xml:space="preserve"> and </w:t>
      </w:r>
      <w:r w:rsidRPr="002358A2">
        <w:fldChar w:fldCharType="begin"/>
      </w:r>
      <w:r w:rsidRPr="002358A2">
        <w:instrText xml:space="preserve"> REF F_SAC_int_case_opening \h </w:instrText>
      </w:r>
      <w:r w:rsidRPr="002358A2">
        <w:fldChar w:fldCharType="separate"/>
      </w:r>
      <w:r w:rsidRPr="002358A2" w:rsidR="002358A2">
        <w:rPr>
          <w:noProof/>
        </w:rPr>
        <w:t>42</w:t>
      </w:r>
      <w:r w:rsidRPr="002358A2">
        <w:fldChar w:fldCharType="end"/>
      </w:r>
      <w:r w:rsidRPr="002358A2">
        <w:t xml:space="preserve"> above).</w:t>
      </w:r>
    </w:p>
    <w:bookmarkStart w:name="L_A6_1_access_mer_C_6" w:id="175"/>
    <w:p w:rsidRPr="002358A2" w:rsidR="00BF0CAC" w:rsidP="002358A2" w:rsidRDefault="00BF0CAC" w14:paraId="117B9772" w14:textId="5ED78E69">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133</w:t>
      </w:r>
      <w:r w:rsidRPr="002358A2">
        <w:rPr>
          <w:noProof/>
        </w:rPr>
        <w:fldChar w:fldCharType="end"/>
      </w:r>
      <w:bookmarkEnd w:id="175"/>
      <w:r w:rsidRPr="002358A2">
        <w:t>.  Faced with this uncertainty, KTB</w:t>
      </w:r>
      <w:r w:rsidRPr="002358A2" w:rsidR="002358A2">
        <w:t>’</w:t>
      </w:r>
      <w:r w:rsidRPr="002358A2">
        <w:t>s majority shareholder, Bromak, itself attempted to seek judicial review of the withdrawal of KTB</w:t>
      </w:r>
      <w:r w:rsidRPr="002358A2" w:rsidR="002358A2">
        <w:t>’</w:t>
      </w:r>
      <w:r w:rsidRPr="002358A2">
        <w:t xml:space="preserve">s licence (see paragraph </w:t>
      </w:r>
      <w:r w:rsidRPr="002358A2">
        <w:fldChar w:fldCharType="begin"/>
      </w:r>
      <w:r w:rsidRPr="002358A2">
        <w:instrText xml:space="preserve"> REF F_SAC_3MP_jud_rev_claim_Bromak \h </w:instrText>
      </w:r>
      <w:r w:rsidRPr="002358A2">
        <w:fldChar w:fldCharType="separate"/>
      </w:r>
      <w:r w:rsidRPr="002358A2" w:rsidR="002358A2">
        <w:rPr>
          <w:noProof/>
        </w:rPr>
        <w:t>22</w:t>
      </w:r>
      <w:r w:rsidRPr="002358A2">
        <w:fldChar w:fldCharType="end"/>
      </w:r>
      <w:r w:rsidRPr="002358A2">
        <w:t xml:space="preserve"> above). Three other shareholders in KTB also did so (see paragraph </w:t>
      </w:r>
      <w:r w:rsidRPr="002358A2">
        <w:fldChar w:fldCharType="begin"/>
      </w:r>
      <w:r w:rsidRPr="002358A2">
        <w:instrText xml:space="preserve"> REF F_SAC_3MP_joinder_other_shareholders \h </w:instrText>
      </w:r>
      <w:r w:rsidRPr="002358A2">
        <w:fldChar w:fldCharType="separate"/>
      </w:r>
      <w:r w:rsidRPr="002358A2" w:rsidR="002358A2">
        <w:rPr>
          <w:noProof/>
        </w:rPr>
        <w:t>23</w:t>
      </w:r>
      <w:r w:rsidRPr="002358A2">
        <w:fldChar w:fldCharType="end"/>
      </w:r>
      <w:r w:rsidRPr="002358A2">
        <w:t xml:space="preserve"> above). After somewhat convoluted proceedings, the Supreme Administrative Court held that KTB</w:t>
      </w:r>
      <w:r w:rsidRPr="002358A2" w:rsidR="002358A2">
        <w:t>’</w:t>
      </w:r>
      <w:r w:rsidRPr="002358A2">
        <w:t xml:space="preserve">s shareholders had no standing to do that (see paragraphs </w:t>
      </w:r>
      <w:r w:rsidRPr="002358A2">
        <w:fldChar w:fldCharType="begin"/>
      </w:r>
      <w:r w:rsidRPr="002358A2">
        <w:instrText xml:space="preserve"> REF F_SAC_3MP_dec_13_01_2015 \h </w:instrText>
      </w:r>
      <w:r w:rsidRPr="002358A2">
        <w:fldChar w:fldCharType="separate"/>
      </w:r>
      <w:r w:rsidRPr="002358A2" w:rsidR="002358A2">
        <w:rPr>
          <w:noProof/>
        </w:rPr>
        <w:t>31</w:t>
      </w:r>
      <w:r w:rsidRPr="002358A2">
        <w:fldChar w:fldCharType="end"/>
      </w:r>
      <w:r w:rsidRPr="002358A2">
        <w:t xml:space="preserve"> and </w:t>
      </w:r>
      <w:r w:rsidRPr="002358A2">
        <w:fldChar w:fldCharType="begin"/>
      </w:r>
      <w:r w:rsidRPr="002358A2">
        <w:instrText xml:space="preserve"> REF F_SAC_5MP_dec_2_4_2015 \h </w:instrText>
      </w:r>
      <w:r w:rsidRPr="002358A2">
        <w:fldChar w:fldCharType="separate"/>
      </w:r>
      <w:r w:rsidRPr="002358A2" w:rsidR="002358A2">
        <w:rPr>
          <w:noProof/>
        </w:rPr>
        <w:t>41</w:t>
      </w:r>
      <w:r w:rsidRPr="002358A2">
        <w:fldChar w:fldCharType="end"/>
      </w:r>
      <w:r w:rsidRPr="002358A2">
        <w:t xml:space="preserve"> above). It ruled in the same way with respect to a member of KTB</w:t>
      </w:r>
      <w:r w:rsidRPr="002358A2" w:rsidR="002358A2">
        <w:t>’</w:t>
      </w:r>
      <w:r w:rsidRPr="002358A2">
        <w:t>s supervisory board, as well as to KTB</w:t>
      </w:r>
      <w:r w:rsidRPr="002358A2" w:rsidR="002358A2">
        <w:t>’</w:t>
      </w:r>
      <w:r w:rsidRPr="002358A2">
        <w:t xml:space="preserve">s depositors, other clients and bondholders (see paragraphs </w:t>
      </w:r>
      <w:r w:rsidRPr="002358A2">
        <w:fldChar w:fldCharType="begin"/>
      </w:r>
      <w:r w:rsidRPr="002358A2">
        <w:instrText xml:space="preserve"> REF F_SAC_Vasilev_claim \h </w:instrText>
      </w:r>
      <w:r w:rsidRPr="002358A2">
        <w:fldChar w:fldCharType="separate"/>
      </w:r>
      <w:r w:rsidRPr="002358A2" w:rsidR="002358A2">
        <w:rPr>
          <w:noProof/>
        </w:rPr>
        <w:t>48</w:t>
      </w:r>
      <w:r w:rsidRPr="002358A2">
        <w:fldChar w:fldCharType="end"/>
      </w:r>
      <w:r w:rsidRPr="002358A2">
        <w:t>-</w:t>
      </w:r>
      <w:r w:rsidRPr="002358A2">
        <w:fldChar w:fldCharType="begin"/>
      </w:r>
      <w:r w:rsidRPr="002358A2">
        <w:instrText xml:space="preserve"> REF F_SAC_bondholders \h </w:instrText>
      </w:r>
      <w:r w:rsidRPr="002358A2">
        <w:fldChar w:fldCharType="separate"/>
      </w:r>
      <w:r w:rsidRPr="002358A2" w:rsidR="002358A2">
        <w:rPr>
          <w:noProof/>
        </w:rPr>
        <w:t>50</w:t>
      </w:r>
      <w:r w:rsidRPr="002358A2">
        <w:fldChar w:fldCharType="end"/>
      </w:r>
      <w:r w:rsidRPr="002358A2">
        <w:t xml:space="preserve"> above).</w:t>
      </w:r>
    </w:p>
    <w:bookmarkStart w:name="L_A6_1_access_mer_C_7" w:id="176"/>
    <w:p w:rsidRPr="002358A2" w:rsidR="00BF0CAC" w:rsidP="002358A2" w:rsidRDefault="00BF0CAC" w14:paraId="4D6DA9BC" w14:textId="27125806">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134</w:t>
      </w:r>
      <w:r w:rsidRPr="002358A2">
        <w:rPr>
          <w:noProof/>
        </w:rPr>
        <w:fldChar w:fldCharType="end"/>
      </w:r>
      <w:bookmarkEnd w:id="176"/>
      <w:r w:rsidRPr="002358A2">
        <w:t>.  KTB</w:t>
      </w:r>
      <w:r w:rsidRPr="002358A2" w:rsidR="002358A2">
        <w:t>’</w:t>
      </w:r>
      <w:r w:rsidRPr="002358A2">
        <w:t>s former executive directors likewise attempted to seek judicial review of the BNB</w:t>
      </w:r>
      <w:r w:rsidRPr="002358A2" w:rsidR="002358A2">
        <w:t>’</w:t>
      </w:r>
      <w:r w:rsidRPr="002358A2">
        <w:t>s decision to withdraw its licence. Since they had been removed from office, they sought to justify their standing to do so with reference to the effects of that decision on them personally (see paragraphs </w:t>
      </w:r>
      <w:r w:rsidRPr="002358A2">
        <w:fldChar w:fldCharType="begin"/>
      </w:r>
      <w:r w:rsidRPr="002358A2">
        <w:instrText xml:space="preserve"> REF F_SAC_ex_dir_3MP_claim \h </w:instrText>
      </w:r>
      <w:r w:rsidRPr="002358A2">
        <w:fldChar w:fldCharType="separate"/>
      </w:r>
      <w:r w:rsidRPr="002358A2" w:rsidR="002358A2">
        <w:rPr>
          <w:noProof/>
        </w:rPr>
        <w:t>44</w:t>
      </w:r>
      <w:r w:rsidRPr="002358A2">
        <w:fldChar w:fldCharType="end"/>
      </w:r>
      <w:r w:rsidRPr="002358A2">
        <w:t xml:space="preserve"> and </w:t>
      </w:r>
      <w:r w:rsidRPr="002358A2">
        <w:fldChar w:fldCharType="begin"/>
      </w:r>
      <w:r w:rsidRPr="002358A2">
        <w:instrText xml:space="preserve"> REF F_SAC_ex_dir_5MP_appeal \h </w:instrText>
      </w:r>
      <w:r w:rsidRPr="002358A2">
        <w:fldChar w:fldCharType="separate"/>
      </w:r>
      <w:r w:rsidRPr="002358A2" w:rsidR="002358A2">
        <w:rPr>
          <w:noProof/>
        </w:rPr>
        <w:t>46</w:t>
      </w:r>
      <w:r w:rsidRPr="002358A2">
        <w:fldChar w:fldCharType="end"/>
      </w:r>
      <w:r w:rsidRPr="002358A2">
        <w:t xml:space="preserve"> above).</w:t>
      </w:r>
    </w:p>
    <w:bookmarkStart w:name="L_A6_1_access_mer_C_8" w:id="177"/>
    <w:p w:rsidRPr="002358A2" w:rsidR="00BF0CAC" w:rsidP="002358A2" w:rsidRDefault="00BF0CAC" w14:paraId="0315696B" w14:textId="55427F28">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135</w:t>
      </w:r>
      <w:r w:rsidRPr="002358A2">
        <w:rPr>
          <w:noProof/>
        </w:rPr>
        <w:fldChar w:fldCharType="end"/>
      </w:r>
      <w:bookmarkEnd w:id="177"/>
      <w:r w:rsidRPr="002358A2">
        <w:t>.  The Government reproached the former executive directors for not trying to instead convince the Supreme Administrative Court that they should be permitted to act on KTB</w:t>
      </w:r>
      <w:r w:rsidRPr="002358A2" w:rsidR="002358A2">
        <w:t>’</w:t>
      </w:r>
      <w:r w:rsidRPr="002358A2">
        <w:t xml:space="preserve">s behalf even though they had been removed from office (see paragraphs </w:t>
      </w:r>
      <w:r w:rsidRPr="002358A2">
        <w:fldChar w:fldCharType="begin"/>
      </w:r>
      <w:r w:rsidRPr="002358A2">
        <w:instrText xml:space="preserve"> REF L_A6_1_access_adm_G_2 \h </w:instrText>
      </w:r>
      <w:r w:rsidRPr="002358A2">
        <w:fldChar w:fldCharType="separate"/>
      </w:r>
      <w:r w:rsidRPr="002358A2" w:rsidR="002358A2">
        <w:rPr>
          <w:noProof/>
        </w:rPr>
        <w:t>120</w:t>
      </w:r>
      <w:r w:rsidRPr="002358A2">
        <w:fldChar w:fldCharType="end"/>
      </w:r>
      <w:r w:rsidRPr="002358A2">
        <w:t xml:space="preserve"> and </w:t>
      </w:r>
      <w:r w:rsidRPr="002358A2">
        <w:fldChar w:fldCharType="begin"/>
      </w:r>
      <w:r w:rsidRPr="002358A2">
        <w:instrText xml:space="preserve"> REF L_A6_1_access_mer_G_1 \h </w:instrText>
      </w:r>
      <w:r w:rsidRPr="002358A2">
        <w:fldChar w:fldCharType="separate"/>
      </w:r>
      <w:r w:rsidRPr="002358A2" w:rsidR="002358A2">
        <w:rPr>
          <w:noProof/>
        </w:rPr>
        <w:t>127</w:t>
      </w:r>
      <w:r w:rsidRPr="002358A2">
        <w:fldChar w:fldCharType="end"/>
      </w:r>
      <w:r w:rsidRPr="002358A2">
        <w:t xml:space="preserve"> above).</w:t>
      </w:r>
    </w:p>
    <w:bookmarkStart w:name="L_A6_1_access_mer_C_9" w:id="178"/>
    <w:p w:rsidRPr="002358A2" w:rsidR="00BF0CAC" w:rsidP="002358A2" w:rsidRDefault="00BF0CAC" w14:paraId="6779D25C" w14:textId="45F2FE62">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136</w:t>
      </w:r>
      <w:r w:rsidRPr="002358A2">
        <w:rPr>
          <w:noProof/>
        </w:rPr>
        <w:fldChar w:fldCharType="end"/>
      </w:r>
      <w:bookmarkEnd w:id="178"/>
      <w:r w:rsidRPr="002358A2">
        <w:t>.  The Court, for its part, is not persuaded that this argument was as readily apparent in November 2014 as the Government suggested. As already noted, the uncertainty about who had standing to seek judicial review of a decision by the BNB to withdraw a bank</w:t>
      </w:r>
      <w:r w:rsidRPr="002358A2" w:rsidR="002358A2">
        <w:t>’</w:t>
      </w:r>
      <w:r w:rsidRPr="002358A2">
        <w:t xml:space="preserve">s licence prompted the Supreme Bar Council to seek an interpretative decision on the point in March 2015 (see paragraphs </w:t>
      </w:r>
      <w:r w:rsidRPr="002358A2">
        <w:fldChar w:fldCharType="begin"/>
      </w:r>
      <w:r w:rsidRPr="002358A2">
        <w:instrText xml:space="preserve"> REF F_SAC_5MP_request_int_dec \h </w:instrText>
      </w:r>
      <w:r w:rsidRPr="002358A2">
        <w:fldChar w:fldCharType="separate"/>
      </w:r>
      <w:r w:rsidRPr="002358A2" w:rsidR="002358A2">
        <w:rPr>
          <w:noProof/>
        </w:rPr>
        <w:t>38</w:t>
      </w:r>
      <w:r w:rsidRPr="002358A2">
        <w:fldChar w:fldCharType="end"/>
      </w:r>
      <w:r w:rsidRPr="002358A2">
        <w:t xml:space="preserve"> and </w:t>
      </w:r>
      <w:r w:rsidRPr="002358A2">
        <w:fldChar w:fldCharType="begin"/>
      </w:r>
      <w:r w:rsidRPr="002358A2">
        <w:instrText xml:space="preserve"> REF F_SAC_int_case_opening \h </w:instrText>
      </w:r>
      <w:r w:rsidRPr="002358A2">
        <w:fldChar w:fldCharType="separate"/>
      </w:r>
      <w:r w:rsidRPr="002358A2" w:rsidR="002358A2">
        <w:rPr>
          <w:noProof/>
        </w:rPr>
        <w:t>42</w:t>
      </w:r>
      <w:r w:rsidRPr="002358A2">
        <w:fldChar w:fldCharType="end"/>
      </w:r>
      <w:r w:rsidRPr="002358A2">
        <w:t xml:space="preserve"> above). More importantly, the manner in which the Supreme Administrative Court dealt with this argument in other proceedings in which KTB</w:t>
      </w:r>
      <w:r w:rsidRPr="002358A2" w:rsidR="002358A2">
        <w:t>’</w:t>
      </w:r>
      <w:r w:rsidRPr="002358A2">
        <w:t>s former executive directors tried to act on its behalf after the withdrawal of its licence strongly suggests that that court would have rejected that argument in the proceedings in which the former executive directors sought judicial review of the BNB</w:t>
      </w:r>
      <w:r w:rsidRPr="002358A2" w:rsidR="002358A2">
        <w:t>’</w:t>
      </w:r>
      <w:r w:rsidRPr="002358A2">
        <w:t>s decision to withdraw KTB</w:t>
      </w:r>
      <w:r w:rsidRPr="002358A2" w:rsidR="002358A2">
        <w:t>’</w:t>
      </w:r>
      <w:r w:rsidRPr="002358A2">
        <w:t>s licence.</w:t>
      </w:r>
    </w:p>
    <w:bookmarkStart w:name="L_A6_1_access_mer_C_10" w:id="179"/>
    <w:p w:rsidRPr="002358A2" w:rsidR="00BF0CAC" w:rsidP="002358A2" w:rsidRDefault="00BF0CAC" w14:paraId="4787FEDF" w14:textId="48CFF94E">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137</w:t>
      </w:r>
      <w:r w:rsidRPr="002358A2">
        <w:rPr>
          <w:noProof/>
        </w:rPr>
        <w:fldChar w:fldCharType="end"/>
      </w:r>
      <w:bookmarkEnd w:id="179"/>
      <w:r w:rsidRPr="002358A2">
        <w:t xml:space="preserve">.  When KTB was joined as an interested party to the proceedings in which its shareholders were trying to seek judicial review of the withdrawal of its licence, both its former executive directors and the special administrators made submissions on its behalf, and the former executive directors sought to justify their capacity to do so with the argument that they had a residual power to represent KTB (see paragraphs </w:t>
      </w:r>
      <w:r w:rsidRPr="002358A2">
        <w:fldChar w:fldCharType="begin"/>
      </w:r>
      <w:r w:rsidRPr="002358A2">
        <w:instrText xml:space="preserve"> REF F_SAC_3MP_KTB_joined_interested_party \h </w:instrText>
      </w:r>
      <w:r w:rsidRPr="002358A2">
        <w:fldChar w:fldCharType="separate"/>
      </w:r>
      <w:r w:rsidRPr="002358A2" w:rsidR="002358A2">
        <w:rPr>
          <w:noProof/>
        </w:rPr>
        <w:t>28</w:t>
      </w:r>
      <w:r w:rsidRPr="002358A2">
        <w:fldChar w:fldCharType="end"/>
      </w:r>
      <w:r w:rsidRPr="002358A2">
        <w:t>-</w:t>
      </w:r>
      <w:r w:rsidRPr="002358A2">
        <w:fldChar w:fldCharType="begin"/>
      </w:r>
      <w:r w:rsidRPr="002358A2">
        <w:instrText xml:space="preserve"> REF F_SAC_3MP_special_adm_written_smbs \h </w:instrText>
      </w:r>
      <w:r w:rsidRPr="002358A2">
        <w:fldChar w:fldCharType="separate"/>
      </w:r>
      <w:r w:rsidRPr="002358A2" w:rsidR="002358A2">
        <w:rPr>
          <w:noProof/>
        </w:rPr>
        <w:t>30</w:t>
      </w:r>
      <w:r w:rsidRPr="002358A2">
        <w:fldChar w:fldCharType="end"/>
      </w:r>
      <w:r w:rsidRPr="002358A2">
        <w:t xml:space="preserve"> above). In its subsequent decision, the Supreme Administrative Court did not even mention the submissions made by the former executive directors and instead referred only to the submissions made on KTB</w:t>
      </w:r>
      <w:r w:rsidRPr="002358A2" w:rsidR="002358A2">
        <w:t>’</w:t>
      </w:r>
      <w:r w:rsidRPr="002358A2">
        <w:t>s behalf by its special administrators. That court thus implicitly rejected the former executive directors</w:t>
      </w:r>
      <w:r w:rsidRPr="002358A2" w:rsidR="002358A2">
        <w:t>’</w:t>
      </w:r>
      <w:r w:rsidRPr="002358A2">
        <w:t xml:space="preserve"> assertion that they had a residual power to act on KTB</w:t>
      </w:r>
      <w:r w:rsidRPr="002358A2" w:rsidR="002358A2">
        <w:t>’</w:t>
      </w:r>
      <w:r w:rsidRPr="002358A2">
        <w:t>s behalf.</w:t>
      </w:r>
    </w:p>
    <w:bookmarkStart w:name="L_A6_1_access_mer_C_11" w:id="180"/>
    <w:p w:rsidRPr="002358A2" w:rsidR="00BF0CAC" w:rsidP="002358A2" w:rsidRDefault="00BF0CAC" w14:paraId="47498D9F" w14:textId="403AF609">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138</w:t>
      </w:r>
      <w:r w:rsidRPr="002358A2">
        <w:rPr>
          <w:noProof/>
        </w:rPr>
        <w:fldChar w:fldCharType="end"/>
      </w:r>
      <w:bookmarkEnd w:id="180"/>
      <w:r w:rsidRPr="002358A2">
        <w:t>.  More tellingly, when KTB</w:t>
      </w:r>
      <w:r w:rsidRPr="002358A2" w:rsidR="002358A2">
        <w:t>’</w:t>
      </w:r>
      <w:r w:rsidRPr="002358A2">
        <w:t>s former executive directors later tried to seek a judicial declaration that the BNB</w:t>
      </w:r>
      <w:r w:rsidRPr="002358A2" w:rsidR="002358A2">
        <w:t>’</w:t>
      </w:r>
      <w:r w:rsidRPr="002358A2">
        <w:t>s initial decision to appoint special administrators was null and void, the Supreme Administrative Court expressly held that since the BNB had removed the executive directors from office, the only persons who could act on KTB</w:t>
      </w:r>
      <w:r w:rsidRPr="002358A2" w:rsidR="002358A2">
        <w:t>’</w:t>
      </w:r>
      <w:r w:rsidRPr="002358A2">
        <w:t xml:space="preserve">s behalf were the special administrators, and that the former executive directors had no residual power do so (see paragraphs </w:t>
      </w:r>
      <w:r w:rsidRPr="002358A2">
        <w:fldChar w:fldCharType="begin"/>
      </w:r>
      <w:r w:rsidRPr="002358A2">
        <w:instrText xml:space="preserve"> REF F_spec_adm_appoint_jud_rev_claim_3MP \h  \* MERGEFORMAT </w:instrText>
      </w:r>
      <w:r w:rsidRPr="002358A2">
        <w:fldChar w:fldCharType="separate"/>
      </w:r>
      <w:r w:rsidRPr="002358A2" w:rsidR="002358A2">
        <w:rPr>
          <w:noProof/>
        </w:rPr>
        <w:t>83</w:t>
      </w:r>
      <w:r w:rsidRPr="002358A2">
        <w:fldChar w:fldCharType="end"/>
      </w:r>
      <w:r w:rsidRPr="002358A2">
        <w:t xml:space="preserve"> and </w:t>
      </w:r>
      <w:r w:rsidRPr="002358A2">
        <w:fldChar w:fldCharType="begin"/>
      </w:r>
      <w:r w:rsidRPr="002358A2">
        <w:instrText xml:space="preserve"> REF F_spec_adm_appoint_jud_rev_claim_5MP \h  \* MERGEFORMAT </w:instrText>
      </w:r>
      <w:r w:rsidRPr="002358A2">
        <w:fldChar w:fldCharType="separate"/>
      </w:r>
      <w:r w:rsidRPr="002358A2" w:rsidR="002358A2">
        <w:rPr>
          <w:noProof/>
        </w:rPr>
        <w:t>87</w:t>
      </w:r>
      <w:r w:rsidRPr="002358A2">
        <w:fldChar w:fldCharType="end"/>
      </w:r>
      <w:r w:rsidRPr="002358A2">
        <w:t xml:space="preserve"> above). It is true that the reasons given by the Supreme Administrative Court in that regard were to some extent coloured by the fact that the former executive directors</w:t>
      </w:r>
      <w:r w:rsidRPr="002358A2" w:rsidR="002358A2">
        <w:t>’</w:t>
      </w:r>
      <w:r w:rsidRPr="002358A2">
        <w:t xml:space="preserve"> claim had been made outside the normal time-limit, and that in the meantime the special administrators had been replaced by liquidators. However, as is clear from the phrase “[f]or completeness, and in connection with the arguments that ...” featuring in the beginning of the relevant paragraph in the decision of the Supreme Administrative Court</w:t>
      </w:r>
      <w:r w:rsidRPr="002358A2" w:rsidR="002358A2">
        <w:t>’</w:t>
      </w:r>
      <w:r w:rsidRPr="002358A2">
        <w:t xml:space="preserve">s five-member panel (see paragraph </w:t>
      </w:r>
      <w:r w:rsidRPr="002358A2">
        <w:fldChar w:fldCharType="begin"/>
      </w:r>
      <w:r w:rsidRPr="002358A2">
        <w:instrText xml:space="preserve"> REF F_spec_adm_appoint_jud_rev_claim_5MP \h  \* MERGEFORMAT </w:instrText>
      </w:r>
      <w:r w:rsidRPr="002358A2">
        <w:fldChar w:fldCharType="separate"/>
      </w:r>
      <w:r w:rsidRPr="002358A2" w:rsidR="002358A2">
        <w:rPr>
          <w:noProof/>
        </w:rPr>
        <w:t>87</w:t>
      </w:r>
      <w:r w:rsidRPr="002358A2">
        <w:fldChar w:fldCharType="end"/>
      </w:r>
      <w:r w:rsidRPr="002358A2">
        <w:t xml:space="preserve"> above), its remarks on the point were </w:t>
      </w:r>
      <w:r w:rsidRPr="002358A2">
        <w:rPr>
          <w:i/>
          <w:iCs/>
        </w:rPr>
        <w:t>obiter</w:t>
      </w:r>
      <w:r w:rsidRPr="002358A2">
        <w:t>. Moreover, the panel</w:t>
      </w:r>
      <w:r w:rsidRPr="002358A2" w:rsidR="002358A2">
        <w:t>’</w:t>
      </w:r>
      <w:r w:rsidRPr="002358A2">
        <w:t>s reasoning on the point could hardly be read as suggesting, by converse implication, that the Supreme Administrative Court would have been inclined to permit the former executive directors to act on KTB</w:t>
      </w:r>
      <w:r w:rsidRPr="002358A2" w:rsidR="002358A2">
        <w:t>’</w:t>
      </w:r>
      <w:r w:rsidRPr="002358A2">
        <w:t>s behalf in the event of a timely legal challenge against the BNB</w:t>
      </w:r>
      <w:r w:rsidRPr="002358A2" w:rsidR="002358A2">
        <w:t>’</w:t>
      </w:r>
      <w:r w:rsidRPr="002358A2">
        <w:t>s decision to withdraw its licence.</w:t>
      </w:r>
    </w:p>
    <w:bookmarkStart w:name="L_A6_1_access_mer_C_12" w:id="181"/>
    <w:p w:rsidRPr="002358A2" w:rsidR="00BF0CAC" w:rsidP="002358A2" w:rsidRDefault="00BF0CAC" w14:paraId="6BCAFA14" w14:textId="0481CCAA">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139</w:t>
      </w:r>
      <w:r w:rsidRPr="002358A2">
        <w:rPr>
          <w:noProof/>
        </w:rPr>
        <w:fldChar w:fldCharType="end"/>
      </w:r>
      <w:bookmarkEnd w:id="181"/>
      <w:r w:rsidRPr="002358A2">
        <w:t>.  In the light of the Supreme Administrative Court</w:t>
      </w:r>
      <w:r w:rsidRPr="002358A2" w:rsidR="002358A2">
        <w:t>’</w:t>
      </w:r>
      <w:r w:rsidRPr="002358A2">
        <w:t xml:space="preserve"> approach in those</w:t>
      </w:r>
      <w:r w:rsidRPr="002358A2" w:rsidR="000F4FD7">
        <w:t xml:space="preserve"> </w:t>
      </w:r>
      <w:r w:rsidRPr="002358A2">
        <w:t>two cases, it appears highly unlikely that it would have acceded to a residual-power argument when examining the former executive directors</w:t>
      </w:r>
      <w:r w:rsidRPr="002358A2" w:rsidR="002358A2">
        <w:t>’</w:t>
      </w:r>
      <w:r w:rsidRPr="002358A2">
        <w:t xml:space="preserve"> claim for judicial review of the BNB</w:t>
      </w:r>
      <w:r w:rsidRPr="002358A2" w:rsidR="002358A2">
        <w:t>’</w:t>
      </w:r>
      <w:r w:rsidRPr="002358A2">
        <w:t>s decision to withdraw KTB</w:t>
      </w:r>
      <w:r w:rsidRPr="002358A2" w:rsidR="002358A2">
        <w:t>’</w:t>
      </w:r>
      <w:r w:rsidRPr="002358A2">
        <w:t>s licence. It follows that the second limb of the Government</w:t>
      </w:r>
      <w:r w:rsidRPr="002358A2" w:rsidR="002358A2">
        <w:t>’</w:t>
      </w:r>
      <w:r w:rsidRPr="002358A2">
        <w:t xml:space="preserve">s non-exhaustion objection, which was likewise joined to the merits (see paragraphs </w:t>
      </w:r>
      <w:r w:rsidRPr="002358A2">
        <w:fldChar w:fldCharType="begin"/>
      </w:r>
      <w:r w:rsidRPr="002358A2">
        <w:instrText xml:space="preserve"> REF L_A6_1_access_adm_G_2 \h </w:instrText>
      </w:r>
      <w:r w:rsidRPr="002358A2">
        <w:fldChar w:fldCharType="separate"/>
      </w:r>
      <w:r w:rsidRPr="002358A2" w:rsidR="002358A2">
        <w:rPr>
          <w:noProof/>
        </w:rPr>
        <w:t>120</w:t>
      </w:r>
      <w:r w:rsidRPr="002358A2">
        <w:fldChar w:fldCharType="end"/>
      </w:r>
      <w:r w:rsidRPr="002358A2">
        <w:t xml:space="preserve"> and </w:t>
      </w:r>
      <w:r w:rsidRPr="002358A2">
        <w:fldChar w:fldCharType="begin"/>
      </w:r>
      <w:r w:rsidRPr="002358A2">
        <w:instrText xml:space="preserve"> REF L_A6_1_access_adm_C_1 \h </w:instrText>
      </w:r>
      <w:r w:rsidRPr="002358A2">
        <w:fldChar w:fldCharType="separate"/>
      </w:r>
      <w:r w:rsidRPr="002358A2" w:rsidR="002358A2">
        <w:rPr>
          <w:noProof/>
        </w:rPr>
        <w:t>124</w:t>
      </w:r>
      <w:r w:rsidRPr="002358A2">
        <w:fldChar w:fldCharType="end"/>
      </w:r>
      <w:r w:rsidRPr="002358A2">
        <w:t xml:space="preserve"> above), must also be rejected.</w:t>
      </w:r>
    </w:p>
    <w:bookmarkStart w:name="L_A6_1_access_mer_C_12_bis" w:id="182"/>
    <w:p w:rsidRPr="002358A2" w:rsidR="00BF0CAC" w:rsidP="002358A2" w:rsidRDefault="00BF0CAC" w14:paraId="64E8D1FE" w14:textId="6CD4245C">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140</w:t>
      </w:r>
      <w:r w:rsidRPr="002358A2">
        <w:fldChar w:fldCharType="end"/>
      </w:r>
      <w:bookmarkEnd w:id="182"/>
      <w:r w:rsidRPr="002358A2">
        <w:t>.  The Supreme Administrative Court</w:t>
      </w:r>
      <w:r w:rsidRPr="002358A2" w:rsidR="002358A2">
        <w:t>’</w:t>
      </w:r>
      <w:r w:rsidRPr="002358A2">
        <w:t xml:space="preserve">s reasons in the second of those cases (see paragraphs </w:t>
      </w:r>
      <w:r w:rsidRPr="002358A2">
        <w:fldChar w:fldCharType="begin"/>
      </w:r>
      <w:r w:rsidRPr="002358A2">
        <w:instrText xml:space="preserve"> REF F_spec_adm_appoint_jud_rev_claim_3MP \h  \* MERGEFORMAT </w:instrText>
      </w:r>
      <w:r w:rsidRPr="002358A2">
        <w:fldChar w:fldCharType="separate"/>
      </w:r>
      <w:r w:rsidRPr="002358A2" w:rsidR="002358A2">
        <w:rPr>
          <w:noProof/>
        </w:rPr>
        <w:t>83</w:t>
      </w:r>
      <w:r w:rsidRPr="002358A2">
        <w:fldChar w:fldCharType="end"/>
      </w:r>
      <w:r w:rsidRPr="002358A2">
        <w:t xml:space="preserve"> and </w:t>
      </w:r>
      <w:r w:rsidRPr="002358A2">
        <w:fldChar w:fldCharType="begin"/>
      </w:r>
      <w:r w:rsidRPr="002358A2">
        <w:instrText xml:space="preserve"> REF F_spec_adm_appoint_jud_rev_claim_5MP \h  \* MERGEFORMAT </w:instrText>
      </w:r>
      <w:r w:rsidRPr="002358A2">
        <w:fldChar w:fldCharType="separate"/>
      </w:r>
      <w:r w:rsidRPr="002358A2" w:rsidR="002358A2">
        <w:rPr>
          <w:noProof/>
        </w:rPr>
        <w:t>87</w:t>
      </w:r>
      <w:r w:rsidRPr="002358A2">
        <w:fldChar w:fldCharType="end"/>
      </w:r>
      <w:r w:rsidRPr="002358A2">
        <w:t xml:space="preserve"> above) also suggest that it would not have accepted for examination any claim by KTB</w:t>
      </w:r>
      <w:r w:rsidRPr="002358A2" w:rsidR="002358A2">
        <w:t>’</w:t>
      </w:r>
      <w:r w:rsidRPr="002358A2">
        <w:t>s former executive directors for the BNB</w:t>
      </w:r>
      <w:r w:rsidRPr="002358A2" w:rsidR="002358A2">
        <w:t>’</w:t>
      </w:r>
      <w:r w:rsidRPr="002358A2">
        <w:t>s decision to withdraw KTB</w:t>
      </w:r>
      <w:r w:rsidRPr="002358A2" w:rsidR="002358A2">
        <w:t>’</w:t>
      </w:r>
      <w:r w:rsidRPr="002358A2">
        <w:t>s licence to be declared null and void. The third limb of the Government</w:t>
      </w:r>
      <w:r w:rsidRPr="002358A2" w:rsidR="002358A2">
        <w:t>’</w:t>
      </w:r>
      <w:r w:rsidRPr="002358A2">
        <w:t xml:space="preserve">s non-exhaustion objection, which was also joined to the merits (see paragraphs </w:t>
      </w:r>
      <w:r w:rsidRPr="002358A2">
        <w:fldChar w:fldCharType="begin"/>
      </w:r>
      <w:r w:rsidRPr="002358A2">
        <w:instrText xml:space="preserve"> REF L_A6_1_access_adm_G_3 \h </w:instrText>
      </w:r>
      <w:r w:rsidRPr="002358A2">
        <w:fldChar w:fldCharType="separate"/>
      </w:r>
      <w:r w:rsidRPr="002358A2" w:rsidR="002358A2">
        <w:rPr>
          <w:noProof/>
        </w:rPr>
        <w:t>121</w:t>
      </w:r>
      <w:r w:rsidRPr="002358A2">
        <w:fldChar w:fldCharType="end"/>
      </w:r>
      <w:r w:rsidRPr="002358A2">
        <w:t xml:space="preserve"> and </w:t>
      </w:r>
      <w:r w:rsidRPr="002358A2">
        <w:fldChar w:fldCharType="begin"/>
      </w:r>
      <w:r w:rsidRPr="002358A2">
        <w:instrText xml:space="preserve"> REF L_A6_1_access_adm_C_1 \h </w:instrText>
      </w:r>
      <w:r w:rsidRPr="002358A2">
        <w:fldChar w:fldCharType="separate"/>
      </w:r>
      <w:r w:rsidRPr="002358A2" w:rsidR="002358A2">
        <w:rPr>
          <w:noProof/>
        </w:rPr>
        <w:t>124</w:t>
      </w:r>
      <w:r w:rsidRPr="002358A2">
        <w:fldChar w:fldCharType="end"/>
      </w:r>
      <w:r w:rsidRPr="002358A2">
        <w:t xml:space="preserve"> above), must therefore also be rejected.</w:t>
      </w:r>
    </w:p>
    <w:bookmarkStart w:name="L_A6_1_access_mer_C_13" w:id="183"/>
    <w:p w:rsidRPr="002358A2" w:rsidR="00BF0CAC" w:rsidP="002358A2" w:rsidRDefault="00BF0CAC" w14:paraId="52CCD982" w14:textId="25551D0A">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141</w:t>
      </w:r>
      <w:r w:rsidRPr="002358A2">
        <w:rPr>
          <w:noProof/>
        </w:rPr>
        <w:fldChar w:fldCharType="end"/>
      </w:r>
      <w:bookmarkEnd w:id="183"/>
      <w:r w:rsidRPr="002358A2">
        <w:t>.  In the light of the above, it is clear that the special administrators could apply on KTB</w:t>
      </w:r>
      <w:r w:rsidRPr="002358A2" w:rsidR="002358A2">
        <w:t>’</w:t>
      </w:r>
      <w:r w:rsidRPr="002358A2">
        <w:t>s behalf for judicial review of the BNB</w:t>
      </w:r>
      <w:r w:rsidRPr="002358A2" w:rsidR="002358A2">
        <w:t>’</w:t>
      </w:r>
      <w:r w:rsidRPr="002358A2">
        <w:t xml:space="preserve">s decision to withdraw its licence. But the special administrators were dependent on and accountable to the BNB, and had little if any incentive to challenge its decision (see </w:t>
      </w:r>
      <w:r w:rsidRPr="002358A2">
        <w:rPr>
          <w:i/>
          <w:iCs/>
        </w:rPr>
        <w:t>Capital Bank AD</w:t>
      </w:r>
      <w:r w:rsidRPr="002358A2">
        <w:t xml:space="preserve">, </w:t>
      </w:r>
      <w:r w:rsidRPr="002358A2">
        <w:rPr>
          <w:rFonts w:cstheme="minorHAnsi"/>
        </w:rPr>
        <w:t>§ 117</w:t>
      </w:r>
      <w:r w:rsidRPr="002358A2">
        <w:t xml:space="preserve">, and </w:t>
      </w:r>
      <w:r w:rsidRPr="002358A2">
        <w:rPr>
          <w:i/>
        </w:rPr>
        <w:t>International Bank for Commerce and Development AD and Others</w:t>
      </w:r>
      <w:r w:rsidRPr="002358A2">
        <w:t xml:space="preserve">, </w:t>
      </w:r>
      <w:r w:rsidRPr="002358A2">
        <w:rPr>
          <w:rFonts w:cstheme="minorHAnsi"/>
        </w:rPr>
        <w:t>§</w:t>
      </w:r>
      <w:r w:rsidRPr="002358A2">
        <w:t xml:space="preserve"> 115, both cited above). Indeed, that decision had been, at least in part, based on their reports to the BNB (see paragraphs </w:t>
      </w:r>
      <w:r w:rsidRPr="002358A2">
        <w:fldChar w:fldCharType="begin"/>
      </w:r>
      <w:r w:rsidRPr="002358A2">
        <w:instrText xml:space="preserve"> REF F_BNB_new_special_adms_rep_4_Nov_2014 \h  \* MERGEFORMAT </w:instrText>
      </w:r>
      <w:r w:rsidRPr="002358A2">
        <w:fldChar w:fldCharType="separate"/>
      </w:r>
      <w:r w:rsidRPr="002358A2" w:rsidR="002358A2">
        <w:rPr>
          <w:noProof/>
        </w:rPr>
        <w:t>19</w:t>
      </w:r>
      <w:r w:rsidRPr="002358A2">
        <w:fldChar w:fldCharType="end"/>
      </w:r>
      <w:r w:rsidRPr="002358A2">
        <w:t xml:space="preserve"> and </w:t>
      </w:r>
      <w:r w:rsidRPr="002358A2">
        <w:fldChar w:fldCharType="begin"/>
      </w:r>
      <w:r w:rsidRPr="002358A2">
        <w:instrText xml:space="preserve"> REF F_BNB_revoke_licence \h  \* MERGEFORMAT </w:instrText>
      </w:r>
      <w:r w:rsidRPr="002358A2">
        <w:fldChar w:fldCharType="separate"/>
      </w:r>
      <w:r w:rsidRPr="002358A2" w:rsidR="002358A2">
        <w:rPr>
          <w:noProof/>
        </w:rPr>
        <w:t>20</w:t>
      </w:r>
      <w:r w:rsidRPr="002358A2">
        <w:fldChar w:fldCharType="end"/>
      </w:r>
      <w:r w:rsidRPr="002358A2">
        <w:t xml:space="preserve"> above). Moreover, the right of access to a court entails that the person whose civil rights and obligations are at stake be able to bring proceedings before the courts directly and independently (see </w:t>
      </w:r>
      <w:r w:rsidRPr="002358A2">
        <w:rPr>
          <w:i/>
          <w:iCs/>
        </w:rPr>
        <w:t>Vujović and</w:t>
      </w:r>
      <w:r w:rsidRPr="002358A2" w:rsidR="000F4FD7">
        <w:rPr>
          <w:i/>
          <w:iCs/>
        </w:rPr>
        <w:t> </w:t>
      </w:r>
      <w:r w:rsidRPr="002358A2">
        <w:rPr>
          <w:i/>
          <w:iCs/>
        </w:rPr>
        <w:t>Lipa D.O.O. v. Montenegro</w:t>
      </w:r>
      <w:r w:rsidRPr="002358A2">
        <w:rPr>
          <w:lang w:eastAsia="en-GB"/>
        </w:rPr>
        <w:t xml:space="preserve">, no. </w:t>
      </w:r>
      <w:r w:rsidRPr="002358A2">
        <w:t>18912/15</w:t>
      </w:r>
      <w:r w:rsidRPr="002358A2">
        <w:rPr>
          <w:lang w:eastAsia="en-GB"/>
        </w:rPr>
        <w:t xml:space="preserve">, </w:t>
      </w:r>
      <w:r w:rsidRPr="002358A2">
        <w:t xml:space="preserve">§ 41, 20 February 2018, and, </w:t>
      </w:r>
      <w:r w:rsidRPr="002358A2">
        <w:rPr>
          <w:i/>
          <w:iCs/>
        </w:rPr>
        <w:t>mutatis mutandis</w:t>
      </w:r>
      <w:r w:rsidRPr="002358A2">
        <w:t xml:space="preserve">, </w:t>
      </w:r>
      <w:r w:rsidRPr="002358A2">
        <w:rPr>
          <w:i/>
        </w:rPr>
        <w:t>Philis v. Greece (no. 1)</w:t>
      </w:r>
      <w:r w:rsidRPr="002358A2">
        <w:t>, 27 August 1991, § 65, Series A no. 209).</w:t>
      </w:r>
    </w:p>
    <w:bookmarkStart w:name="L_A6_1_access_mer_C_14" w:id="184"/>
    <w:p w:rsidRPr="002358A2" w:rsidR="00BF0CAC" w:rsidP="002358A2" w:rsidRDefault="00BF0CAC" w14:paraId="17C14112" w14:textId="15FFF15F">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142</w:t>
      </w:r>
      <w:r w:rsidRPr="002358A2">
        <w:rPr>
          <w:noProof/>
        </w:rPr>
        <w:fldChar w:fldCharType="end"/>
      </w:r>
      <w:bookmarkEnd w:id="184"/>
      <w:r w:rsidRPr="002358A2">
        <w:t>.  KTB was thus left in a situation in which there was no one with both standing and an interest in seeking judicial review of the withdrawal of its licence.</w:t>
      </w:r>
    </w:p>
    <w:bookmarkStart w:name="L_A6_1_access_mer_C_15" w:id="185"/>
    <w:p w:rsidRPr="002358A2" w:rsidR="00BF0CAC" w:rsidP="002358A2" w:rsidRDefault="00BF0CAC" w14:paraId="6BEA1824" w14:textId="55F99978">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143</w:t>
      </w:r>
      <w:r w:rsidRPr="002358A2">
        <w:rPr>
          <w:noProof/>
        </w:rPr>
        <w:fldChar w:fldCharType="end"/>
      </w:r>
      <w:bookmarkEnd w:id="185"/>
      <w:r w:rsidRPr="002358A2">
        <w:t xml:space="preserve">.  The Court is not persuaded that this state of affairs could have been overcome by appointing a special representative </w:t>
      </w:r>
      <w:r w:rsidRPr="002358A2">
        <w:rPr>
          <w:i/>
          <w:iCs/>
        </w:rPr>
        <w:t>ad litem</w:t>
      </w:r>
      <w:r w:rsidRPr="002358A2">
        <w:t xml:space="preserve"> for KTB in the proceedings brought by its shareholders (see paragraph </w:t>
      </w:r>
      <w:r w:rsidRPr="002358A2">
        <w:fldChar w:fldCharType="begin"/>
      </w:r>
      <w:r w:rsidRPr="002358A2">
        <w:instrText xml:space="preserve"> REF RLF_CCP_A_29_4 \h  \* MERGEFORMAT </w:instrText>
      </w:r>
      <w:r w:rsidRPr="002358A2">
        <w:fldChar w:fldCharType="separate"/>
      </w:r>
      <w:r w:rsidRPr="002358A2" w:rsidR="002358A2">
        <w:rPr>
          <w:noProof/>
        </w:rPr>
        <w:t>105</w:t>
      </w:r>
      <w:r w:rsidRPr="002358A2">
        <w:fldChar w:fldCharType="end"/>
      </w:r>
      <w:r w:rsidRPr="002358A2">
        <w:t xml:space="preserve"> above), since KTB was a mere interested party in those proceedings. In any event, the Supreme Administrative Court refused the repeated requests of KTB</w:t>
      </w:r>
      <w:r w:rsidRPr="002358A2" w:rsidR="002358A2">
        <w:t>’</w:t>
      </w:r>
      <w:r w:rsidRPr="002358A2">
        <w:t xml:space="preserve">s former management to do so (see paragraphs </w:t>
      </w:r>
      <w:r w:rsidRPr="002358A2">
        <w:fldChar w:fldCharType="begin"/>
      </w:r>
      <w:r w:rsidRPr="002358A2">
        <w:instrText xml:space="preserve"> REF F_SAC_3MP_exec_dir_req_rep_ad_litem \h  \* MERGEFORMAT </w:instrText>
      </w:r>
      <w:r w:rsidRPr="002358A2">
        <w:fldChar w:fldCharType="separate"/>
      </w:r>
      <w:r w:rsidRPr="002358A2" w:rsidR="002358A2">
        <w:rPr>
          <w:noProof/>
        </w:rPr>
        <w:t>29</w:t>
      </w:r>
      <w:r w:rsidRPr="002358A2">
        <w:fldChar w:fldCharType="end"/>
      </w:r>
      <w:r w:rsidRPr="002358A2">
        <w:t xml:space="preserve"> </w:t>
      </w:r>
      <w:r w:rsidRPr="002358A2">
        <w:rPr>
          <w:i/>
          <w:iCs/>
        </w:rPr>
        <w:t>in fine</w:t>
      </w:r>
      <w:r w:rsidRPr="002358A2">
        <w:t xml:space="preserve">, </w:t>
      </w:r>
      <w:r w:rsidRPr="002358A2">
        <w:fldChar w:fldCharType="begin"/>
      </w:r>
      <w:r w:rsidRPr="002358A2">
        <w:instrText xml:space="preserve"> REF F_SAC_5MP_Bromask_req_rep_ad_litem \h  \* MERGEFORMAT </w:instrText>
      </w:r>
      <w:r w:rsidRPr="002358A2">
        <w:fldChar w:fldCharType="separate"/>
      </w:r>
      <w:r w:rsidRPr="002358A2" w:rsidR="002358A2">
        <w:rPr>
          <w:noProof/>
        </w:rPr>
        <w:t>36</w:t>
      </w:r>
      <w:r w:rsidRPr="002358A2">
        <w:fldChar w:fldCharType="end"/>
      </w:r>
      <w:r w:rsidRPr="002358A2">
        <w:t xml:space="preserve"> and </w:t>
      </w:r>
      <w:r w:rsidRPr="002358A2">
        <w:fldChar w:fldCharType="begin"/>
      </w:r>
      <w:r w:rsidRPr="002358A2">
        <w:instrText xml:space="preserve"> REF F_SAC_5MP_Bromask_req_rep_ad_litem_ref \h  \* MERGEFORMAT </w:instrText>
      </w:r>
      <w:r w:rsidRPr="002358A2">
        <w:fldChar w:fldCharType="separate"/>
      </w:r>
      <w:r w:rsidRPr="002358A2" w:rsidR="002358A2">
        <w:rPr>
          <w:noProof/>
        </w:rPr>
        <w:t>40</w:t>
      </w:r>
      <w:r w:rsidRPr="002358A2">
        <w:fldChar w:fldCharType="end"/>
      </w:r>
      <w:r w:rsidRPr="002358A2">
        <w:t xml:space="preserve"> above).</w:t>
      </w:r>
    </w:p>
    <w:bookmarkStart w:name="L_A6_1_access_mer_C_16" w:id="186"/>
    <w:p w:rsidRPr="002358A2" w:rsidR="00BF0CAC" w:rsidP="002358A2" w:rsidRDefault="00BF0CAC" w14:paraId="0EAD1DA9" w14:textId="17771B8D">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144</w:t>
      </w:r>
      <w:r w:rsidRPr="002358A2">
        <w:rPr>
          <w:noProof/>
        </w:rPr>
        <w:fldChar w:fldCharType="end"/>
      </w:r>
      <w:bookmarkEnd w:id="186"/>
      <w:r w:rsidRPr="002358A2">
        <w:t>.  The civil courts dealing with the BNB</w:t>
      </w:r>
      <w:r w:rsidRPr="002358A2" w:rsidR="002358A2">
        <w:t>’</w:t>
      </w:r>
      <w:r w:rsidRPr="002358A2">
        <w:t>s ensuing application for KTB to be declared insolvent and wound up also refused to examine the BNB</w:t>
      </w:r>
      <w:r w:rsidRPr="002358A2" w:rsidR="002358A2">
        <w:t>’</w:t>
      </w:r>
      <w:r w:rsidRPr="002358A2">
        <w:t>s decision to withdraw KTB</w:t>
      </w:r>
      <w:r w:rsidRPr="002358A2" w:rsidR="002358A2">
        <w:t>’</w:t>
      </w:r>
      <w:r w:rsidRPr="002358A2">
        <w:t xml:space="preserve">s licence (see paragraphs </w:t>
      </w:r>
      <w:r w:rsidRPr="002358A2">
        <w:fldChar w:fldCharType="begin"/>
      </w:r>
      <w:r w:rsidRPr="002358A2">
        <w:instrText xml:space="preserve"> REF F_winding_up_SofCC_dec_22_04_2015_bis \h </w:instrText>
      </w:r>
      <w:r w:rsidRPr="002358A2">
        <w:fldChar w:fldCharType="separate"/>
      </w:r>
      <w:r w:rsidRPr="002358A2" w:rsidR="002358A2">
        <w:rPr>
          <w:noProof/>
        </w:rPr>
        <w:t>61</w:t>
      </w:r>
      <w:r w:rsidRPr="002358A2">
        <w:fldChar w:fldCharType="end"/>
      </w:r>
      <w:r w:rsidRPr="002358A2">
        <w:t xml:space="preserve">, </w:t>
      </w:r>
      <w:r w:rsidRPr="002358A2">
        <w:fldChar w:fldCharType="begin"/>
      </w:r>
      <w:r w:rsidRPr="002358A2">
        <w:instrText xml:space="preserve"> REF F_winding_up_SAC_hearing \h </w:instrText>
      </w:r>
      <w:r w:rsidRPr="002358A2">
        <w:fldChar w:fldCharType="separate"/>
      </w:r>
      <w:r w:rsidRPr="002358A2" w:rsidR="002358A2">
        <w:rPr>
          <w:noProof/>
        </w:rPr>
        <w:t>67</w:t>
      </w:r>
      <w:r w:rsidRPr="002358A2">
        <w:fldChar w:fldCharType="end"/>
      </w:r>
      <w:r w:rsidRPr="002358A2">
        <w:t xml:space="preserve"> and </w:t>
      </w:r>
      <w:r w:rsidRPr="002358A2">
        <w:fldChar w:fldCharType="begin"/>
      </w:r>
      <w:r w:rsidRPr="002358A2">
        <w:instrText xml:space="preserve"> REF F_winding_up_SCC_dec_09_11_2016 \h </w:instrText>
      </w:r>
      <w:r w:rsidRPr="002358A2">
        <w:fldChar w:fldCharType="separate"/>
      </w:r>
      <w:r w:rsidRPr="002358A2" w:rsidR="002358A2">
        <w:rPr>
          <w:noProof/>
        </w:rPr>
        <w:t>81</w:t>
      </w:r>
      <w:r w:rsidRPr="002358A2">
        <w:fldChar w:fldCharType="end"/>
      </w:r>
      <w:r w:rsidRPr="002358A2">
        <w:t xml:space="preserve"> </w:t>
      </w:r>
      <w:r w:rsidRPr="002358A2">
        <w:rPr>
          <w:i/>
          <w:iCs/>
        </w:rPr>
        <w:t>in fine</w:t>
      </w:r>
      <w:r w:rsidRPr="002358A2">
        <w:t xml:space="preserve"> above).</w:t>
      </w:r>
    </w:p>
    <w:bookmarkStart w:name="L_A6_1_access_mer_C_17" w:id="187"/>
    <w:p w:rsidRPr="002358A2" w:rsidR="00BF0CAC" w:rsidP="002358A2" w:rsidRDefault="00BF0CAC" w14:paraId="2257842F" w14:textId="44823A06">
      <w:pPr>
        <w:pStyle w:val="JuPara"/>
        <w:rPr>
          <w:iCs/>
        </w:rPr>
      </w:pPr>
      <w:r w:rsidRPr="002358A2">
        <w:fldChar w:fldCharType="begin"/>
      </w:r>
      <w:r w:rsidRPr="002358A2">
        <w:instrText xml:space="preserve"> SEQ level0 \*arabic \* MERGEFORMAT </w:instrText>
      </w:r>
      <w:r w:rsidRPr="002358A2">
        <w:fldChar w:fldCharType="separate"/>
      </w:r>
      <w:r w:rsidRPr="002358A2" w:rsidR="002358A2">
        <w:rPr>
          <w:noProof/>
        </w:rPr>
        <w:t>145</w:t>
      </w:r>
      <w:r w:rsidRPr="002358A2">
        <w:rPr>
          <w:noProof/>
        </w:rPr>
        <w:fldChar w:fldCharType="end"/>
      </w:r>
      <w:bookmarkEnd w:id="187"/>
      <w:r w:rsidRPr="002358A2">
        <w:t>.  </w:t>
      </w:r>
      <w:r w:rsidRPr="002358A2">
        <w:rPr>
          <w:iCs/>
        </w:rPr>
        <w:t xml:space="preserve">The relevant legislation and the way in which it was applied by the Bulgarian courts did not offer KTB itself, by proper representation, a clear and practical possibility of seeking and obtaining proper judicial review of the withdrawal of its licence (see, </w:t>
      </w:r>
      <w:r w:rsidRPr="002358A2">
        <w:rPr>
          <w:i/>
        </w:rPr>
        <w:t>mutatis mutandis</w:t>
      </w:r>
      <w:r w:rsidRPr="002358A2">
        <w:rPr>
          <w:iCs/>
        </w:rPr>
        <w:t xml:space="preserve">, </w:t>
      </w:r>
      <w:r w:rsidRPr="002358A2">
        <w:rPr>
          <w:i/>
        </w:rPr>
        <w:t>Kandarakis</w:t>
      </w:r>
      <w:r w:rsidRPr="002358A2">
        <w:rPr>
          <w:iCs/>
        </w:rPr>
        <w:t xml:space="preserve">, cited above, </w:t>
      </w:r>
      <w:r w:rsidRPr="002358A2">
        <w:rPr>
          <w:rFonts w:cstheme="minorHAnsi"/>
          <w:iCs/>
        </w:rPr>
        <w:t>§§</w:t>
      </w:r>
      <w:r w:rsidRPr="002358A2">
        <w:rPr>
          <w:iCs/>
        </w:rPr>
        <w:t xml:space="preserve"> 58 and 62).</w:t>
      </w:r>
      <w:r w:rsidRPr="002358A2">
        <w:t xml:space="preserve"> KTB</w:t>
      </w:r>
      <w:r w:rsidRPr="002358A2" w:rsidR="002358A2">
        <w:t>’</w:t>
      </w:r>
      <w:r w:rsidRPr="002358A2">
        <w:t xml:space="preserve">s situation was thus effectively the same as those of the applicant banks in the cases of </w:t>
      </w:r>
      <w:r w:rsidRPr="002358A2">
        <w:rPr>
          <w:i/>
          <w:iCs/>
        </w:rPr>
        <w:t>Capital Bank AD</w:t>
      </w:r>
      <w:r w:rsidRPr="002358A2">
        <w:t xml:space="preserve"> (cited above, §§ 98-116) and </w:t>
      </w:r>
      <w:r w:rsidRPr="002358A2">
        <w:rPr>
          <w:i/>
        </w:rPr>
        <w:t>International Bank for Commerce and Development AD and Others</w:t>
      </w:r>
      <w:r w:rsidRPr="002358A2">
        <w:rPr>
          <w:iCs/>
        </w:rPr>
        <w:t xml:space="preserve"> (cited above, </w:t>
      </w:r>
      <w:r w:rsidRPr="002358A2">
        <w:rPr>
          <w:rFonts w:cstheme="minorHAnsi"/>
          <w:iCs/>
        </w:rPr>
        <w:t>§</w:t>
      </w:r>
      <w:r w:rsidRPr="002358A2">
        <w:rPr>
          <w:iCs/>
        </w:rPr>
        <w:t xml:space="preserve"> 116), even though the statutory bar on judicial review of decisions by the BNB to withdraw a bank</w:t>
      </w:r>
      <w:r w:rsidRPr="002358A2" w:rsidR="002358A2">
        <w:rPr>
          <w:iCs/>
        </w:rPr>
        <w:t>’</w:t>
      </w:r>
      <w:r w:rsidRPr="002358A2">
        <w:rPr>
          <w:iCs/>
        </w:rPr>
        <w:t>s licence had been lifted in 2007.</w:t>
      </w:r>
    </w:p>
    <w:bookmarkStart w:name="L_A6_1_access_mer_C_18" w:id="188"/>
    <w:p w:rsidRPr="002358A2" w:rsidR="00BF0CAC" w:rsidP="002358A2" w:rsidRDefault="00BF0CAC" w14:paraId="1276C3DD" w14:textId="6D0A4F43">
      <w:pPr>
        <w:pStyle w:val="JuPara"/>
      </w:pPr>
      <w:r w:rsidRPr="002358A2">
        <w:rPr>
          <w:iCs/>
        </w:rPr>
        <w:fldChar w:fldCharType="begin"/>
      </w:r>
      <w:r w:rsidRPr="002358A2">
        <w:rPr>
          <w:iCs/>
        </w:rPr>
        <w:instrText xml:space="preserve"> SEQ level0 \*arabic \* MERGEFORMAT </w:instrText>
      </w:r>
      <w:r w:rsidRPr="002358A2">
        <w:rPr>
          <w:iCs/>
        </w:rPr>
        <w:fldChar w:fldCharType="separate"/>
      </w:r>
      <w:r w:rsidRPr="002358A2" w:rsidR="002358A2">
        <w:rPr>
          <w:iCs/>
          <w:noProof/>
        </w:rPr>
        <w:t>146</w:t>
      </w:r>
      <w:r w:rsidRPr="002358A2">
        <w:rPr>
          <w:iCs/>
        </w:rPr>
        <w:fldChar w:fldCharType="end"/>
      </w:r>
      <w:bookmarkEnd w:id="188"/>
      <w:r w:rsidRPr="002358A2">
        <w:rPr>
          <w:iCs/>
        </w:rPr>
        <w:t>.  </w:t>
      </w:r>
      <w:r w:rsidRPr="002358A2">
        <w:t>There has therefore been a breach of Article 6 § 1 of the Convention.</w:t>
      </w:r>
    </w:p>
    <w:p w:rsidRPr="002358A2" w:rsidR="00BF0CAC" w:rsidP="002358A2" w:rsidRDefault="000A4EB0" w14:paraId="71449F04" w14:textId="5F494842">
      <w:pPr>
        <w:pStyle w:val="JuHIRoman"/>
        <w:tabs>
          <w:tab w:val="left" w:pos="567"/>
          <w:tab w:val="left" w:pos="680"/>
        </w:tabs>
        <w:ind w:left="397" w:hanging="397"/>
      </w:pPr>
      <w:bookmarkStart w:name="_Toc107950875" w:id="189"/>
      <w:r w:rsidRPr="002358A2">
        <w:rPr>
          <w:caps w:val="0"/>
        </w:rPr>
        <w:t>KTB</w:t>
      </w:r>
      <w:r w:rsidRPr="002358A2" w:rsidR="002358A2">
        <w:rPr>
          <w:caps w:val="0"/>
        </w:rPr>
        <w:t>’</w:t>
      </w:r>
      <w:r w:rsidRPr="002358A2">
        <w:rPr>
          <w:caps w:val="0"/>
        </w:rPr>
        <w:t>S REPRESENTATION IN THE PROCEEDINGS RELATING TO THE BNB</w:t>
      </w:r>
      <w:r w:rsidRPr="002358A2" w:rsidR="002358A2">
        <w:rPr>
          <w:caps w:val="0"/>
        </w:rPr>
        <w:t>’</w:t>
      </w:r>
      <w:r w:rsidRPr="002358A2">
        <w:rPr>
          <w:caps w:val="0"/>
        </w:rPr>
        <w:t>S APPLICATION FOR KTB TO BE WOUND UP</w:t>
      </w:r>
      <w:bookmarkEnd w:id="189"/>
    </w:p>
    <w:bookmarkStart w:name="L_A6_1_repr_c" w:id="190"/>
    <w:p w:rsidRPr="002358A2" w:rsidR="00BF0CAC" w:rsidP="002358A2" w:rsidRDefault="00BF0CAC" w14:paraId="70956352" w14:textId="5EA74989">
      <w:pPr>
        <w:pStyle w:val="JuPara"/>
      </w:pPr>
      <w:r w:rsidRPr="002358A2">
        <w:fldChar w:fldCharType="begin"/>
      </w:r>
      <w:r w:rsidRPr="002358A2">
        <w:instrText xml:space="preserve"> SEQ level0 \*arabic </w:instrText>
      </w:r>
      <w:r w:rsidRPr="002358A2">
        <w:fldChar w:fldCharType="separate"/>
      </w:r>
      <w:r w:rsidRPr="002358A2" w:rsidR="002358A2">
        <w:rPr>
          <w:noProof/>
        </w:rPr>
        <w:t>147</w:t>
      </w:r>
      <w:r w:rsidRPr="002358A2">
        <w:fldChar w:fldCharType="end"/>
      </w:r>
      <w:bookmarkEnd w:id="190"/>
      <w:r w:rsidRPr="002358A2">
        <w:t>.  In application no. 68140/16, a complaint was made on behalf of KTB under Article 6 § 1 of the Convention that in the proceedings relating to the</w:t>
      </w:r>
      <w:r w:rsidRPr="002358A2" w:rsidR="00DB2CEA">
        <w:t> </w:t>
      </w:r>
      <w:r w:rsidRPr="002358A2">
        <w:t>BNB</w:t>
      </w:r>
      <w:r w:rsidRPr="002358A2" w:rsidR="002358A2">
        <w:t>’</w:t>
      </w:r>
      <w:r w:rsidRPr="002358A2">
        <w:t>s application for it to be declared insolvent and wound up, KTB had first been represented by the special administrators appointed by the BNB and then by the liquidators, who had also been dependent on the BNB.</w:t>
      </w:r>
    </w:p>
    <w:p w:rsidRPr="002358A2" w:rsidR="00BF0CAC" w:rsidP="002358A2" w:rsidRDefault="0048368E" w14:paraId="2E103F32" w14:textId="0CC113B5">
      <w:pPr>
        <w:pStyle w:val="JuPara"/>
      </w:pPr>
      <w:r>
        <w:rPr>
          <w:noProof/>
        </w:rPr>
        <w:fldChar w:fldCharType="begin"/>
      </w:r>
      <w:r>
        <w:rPr>
          <w:noProof/>
        </w:rPr>
        <w:instrText xml:space="preserve"> SEQ level0 \*arabic \* MERGEFORMAT </w:instrText>
      </w:r>
      <w:r>
        <w:rPr>
          <w:noProof/>
        </w:rPr>
        <w:fldChar w:fldCharType="separate"/>
      </w:r>
      <w:r w:rsidRPr="002358A2" w:rsidR="002358A2">
        <w:rPr>
          <w:noProof/>
        </w:rPr>
        <w:t>148</w:t>
      </w:r>
      <w:r>
        <w:rPr>
          <w:noProof/>
        </w:rPr>
        <w:fldChar w:fldCharType="end"/>
      </w:r>
      <w:r w:rsidRPr="002358A2" w:rsidR="00BF0CAC">
        <w:t xml:space="preserve">.  The relevant part of Article 6 § 1 of the Convention was set out in paragraph </w:t>
      </w:r>
      <w:r w:rsidRPr="002358A2" w:rsidR="00BF0CAC">
        <w:fldChar w:fldCharType="begin"/>
      </w:r>
      <w:r w:rsidRPr="002358A2" w:rsidR="00BF0CAC">
        <w:instrText xml:space="preserve"> REF L_A6_1_access_A6_1_text \h </w:instrText>
      </w:r>
      <w:r w:rsidRPr="002358A2" w:rsidR="00BF0CAC">
        <w:fldChar w:fldCharType="separate"/>
      </w:r>
      <w:r w:rsidRPr="002358A2" w:rsidR="002358A2">
        <w:rPr>
          <w:noProof/>
        </w:rPr>
        <w:t>118</w:t>
      </w:r>
      <w:r w:rsidRPr="002358A2" w:rsidR="00BF0CAC">
        <w:fldChar w:fldCharType="end"/>
      </w:r>
      <w:r w:rsidRPr="002358A2" w:rsidR="00BF0CAC">
        <w:t xml:space="preserve"> above.</w:t>
      </w:r>
    </w:p>
    <w:p w:rsidRPr="002358A2" w:rsidR="00BF0CAC" w:rsidP="002358A2" w:rsidRDefault="00BF0CAC" w14:paraId="40552520" w14:textId="77777777">
      <w:pPr>
        <w:pStyle w:val="JuHA"/>
      </w:pPr>
      <w:bookmarkStart w:name="_Toc107950876" w:id="191"/>
      <w:r w:rsidRPr="002358A2">
        <w:t>Admissibility</w:t>
      </w:r>
      <w:bookmarkEnd w:id="191"/>
    </w:p>
    <w:p w:rsidRPr="002358A2" w:rsidR="00BF0CAC" w:rsidP="002358A2" w:rsidRDefault="00BF0CAC" w14:paraId="1D7E0CCD" w14:textId="386E2C3A">
      <w:pPr>
        <w:pStyle w:val="JuH1"/>
      </w:pPr>
      <w:bookmarkStart w:name="_Toc107950877" w:id="192"/>
      <w:r w:rsidRPr="002358A2">
        <w:t>The Government</w:t>
      </w:r>
      <w:r w:rsidRPr="002358A2" w:rsidR="002358A2">
        <w:t>’</w:t>
      </w:r>
      <w:r w:rsidRPr="002358A2">
        <w:t>s non-exhaustion objections</w:t>
      </w:r>
      <w:bookmarkEnd w:id="192"/>
    </w:p>
    <w:p w:rsidRPr="002358A2" w:rsidR="00BF0CAC" w:rsidP="002358A2" w:rsidRDefault="00BF0CAC" w14:paraId="07BDD597" w14:textId="77777777">
      <w:pPr>
        <w:pStyle w:val="JuHa0"/>
      </w:pPr>
      <w:bookmarkStart w:name="_Toc107950878" w:id="193"/>
      <w:r w:rsidRPr="002358A2">
        <w:t>First objection</w:t>
      </w:r>
      <w:bookmarkEnd w:id="193"/>
    </w:p>
    <w:bookmarkStart w:name="L_A6_1_access_adm_C_0" w:id="194"/>
    <w:p w:rsidRPr="002358A2" w:rsidR="00BF0CAC" w:rsidP="002358A2" w:rsidRDefault="00BF0CAC" w14:paraId="18B7AF6A" w14:textId="7794F8A8">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149</w:t>
      </w:r>
      <w:r w:rsidRPr="002358A2">
        <w:fldChar w:fldCharType="end"/>
      </w:r>
      <w:bookmarkEnd w:id="194"/>
      <w:r w:rsidRPr="002358A2">
        <w:t>.  From the tenor of the Government</w:t>
      </w:r>
      <w:r w:rsidRPr="002358A2" w:rsidR="002358A2">
        <w:t>’</w:t>
      </w:r>
      <w:r w:rsidRPr="002358A2">
        <w:t xml:space="preserve">s observations, it remains unclear whether their non-exhaustion objection with respect to the first two complaints under Article 6 § 1 of the Convention (see paragraphs </w:t>
      </w:r>
      <w:r w:rsidRPr="002358A2">
        <w:fldChar w:fldCharType="begin"/>
      </w:r>
      <w:r w:rsidRPr="002358A2">
        <w:instrText xml:space="preserve"> REF L_A6_1_access_adm_G_1 \h </w:instrText>
      </w:r>
      <w:r w:rsidRPr="002358A2">
        <w:fldChar w:fldCharType="separate"/>
      </w:r>
      <w:r w:rsidRPr="002358A2" w:rsidR="002358A2">
        <w:rPr>
          <w:noProof/>
        </w:rPr>
        <w:t>119</w:t>
      </w:r>
      <w:r w:rsidRPr="002358A2">
        <w:fldChar w:fldCharType="end"/>
      </w:r>
      <w:r w:rsidRPr="002358A2">
        <w:t xml:space="preserve"> and </w:t>
      </w:r>
      <w:r w:rsidRPr="002358A2">
        <w:fldChar w:fldCharType="begin"/>
      </w:r>
      <w:r w:rsidRPr="002358A2">
        <w:instrText xml:space="preserve"> REF L_A6_1_access_adm_G_2 \h </w:instrText>
      </w:r>
      <w:r w:rsidRPr="002358A2">
        <w:fldChar w:fldCharType="separate"/>
      </w:r>
      <w:r w:rsidRPr="002358A2" w:rsidR="002358A2">
        <w:rPr>
          <w:noProof/>
        </w:rPr>
        <w:t>120</w:t>
      </w:r>
      <w:r w:rsidRPr="002358A2">
        <w:fldChar w:fldCharType="end"/>
      </w:r>
      <w:r w:rsidRPr="002358A2">
        <w:t xml:space="preserve"> above) was also intended to concern the present complaint. Even if that was the case, the fact remains that, having been joined to the merits of the first two complaints under Article 6 § 1 of the Convention, that objection was already rejected in its entirety (see paragraphs </w:t>
      </w:r>
      <w:r w:rsidRPr="002358A2">
        <w:fldChar w:fldCharType="begin"/>
      </w:r>
      <w:r w:rsidRPr="002358A2">
        <w:instrText xml:space="preserve"> REF L_A6_1_access_adm_C_1 \h </w:instrText>
      </w:r>
      <w:r w:rsidRPr="002358A2">
        <w:fldChar w:fldCharType="separate"/>
      </w:r>
      <w:r w:rsidRPr="002358A2" w:rsidR="002358A2">
        <w:rPr>
          <w:noProof/>
        </w:rPr>
        <w:t>124</w:t>
      </w:r>
      <w:r w:rsidRPr="002358A2">
        <w:fldChar w:fldCharType="end"/>
      </w:r>
      <w:r w:rsidRPr="002358A2">
        <w:t xml:space="preserve">, </w:t>
      </w:r>
      <w:r w:rsidRPr="002358A2">
        <w:fldChar w:fldCharType="begin"/>
      </w:r>
      <w:r w:rsidRPr="002358A2">
        <w:instrText xml:space="preserve"> REF L_A6_1_access_mer_C_4 \h </w:instrText>
      </w:r>
      <w:r w:rsidRPr="002358A2">
        <w:fldChar w:fldCharType="separate"/>
      </w:r>
      <w:r w:rsidRPr="002358A2" w:rsidR="002358A2">
        <w:rPr>
          <w:noProof/>
        </w:rPr>
        <w:t>131</w:t>
      </w:r>
      <w:r w:rsidRPr="002358A2">
        <w:fldChar w:fldCharType="end"/>
      </w:r>
      <w:r w:rsidRPr="002358A2">
        <w:t xml:space="preserve">, </w:t>
      </w:r>
      <w:r w:rsidRPr="002358A2">
        <w:fldChar w:fldCharType="begin"/>
      </w:r>
      <w:r w:rsidRPr="002358A2">
        <w:instrText xml:space="preserve"> REF L_A6_1_access_mer_C_12 \h </w:instrText>
      </w:r>
      <w:r w:rsidRPr="002358A2">
        <w:fldChar w:fldCharType="separate"/>
      </w:r>
      <w:r w:rsidRPr="002358A2" w:rsidR="002358A2">
        <w:rPr>
          <w:noProof/>
        </w:rPr>
        <w:t>139</w:t>
      </w:r>
      <w:r w:rsidRPr="002358A2">
        <w:fldChar w:fldCharType="end"/>
      </w:r>
      <w:r w:rsidRPr="002358A2">
        <w:t xml:space="preserve"> and </w:t>
      </w:r>
      <w:r w:rsidRPr="002358A2">
        <w:fldChar w:fldCharType="begin"/>
      </w:r>
      <w:r w:rsidRPr="002358A2">
        <w:instrText xml:space="preserve"> REF L_A6_1_access_mer_C_12_bis \h </w:instrText>
      </w:r>
      <w:r w:rsidRPr="002358A2">
        <w:fldChar w:fldCharType="separate"/>
      </w:r>
      <w:r w:rsidRPr="002358A2" w:rsidR="002358A2">
        <w:rPr>
          <w:noProof/>
        </w:rPr>
        <w:t>140</w:t>
      </w:r>
      <w:r w:rsidRPr="002358A2">
        <w:fldChar w:fldCharType="end"/>
      </w:r>
      <w:r w:rsidRPr="002358A2">
        <w:t xml:space="preserve"> above).</w:t>
      </w:r>
    </w:p>
    <w:p w:rsidRPr="002358A2" w:rsidR="00BF0CAC" w:rsidP="002358A2" w:rsidRDefault="00BF0CAC" w14:paraId="59D139C4" w14:textId="77777777">
      <w:pPr>
        <w:pStyle w:val="JuHa0"/>
      </w:pPr>
      <w:bookmarkStart w:name="_Toc107950879" w:id="195"/>
      <w:r w:rsidRPr="002358A2">
        <w:t>Second objection</w:t>
      </w:r>
      <w:bookmarkEnd w:id="195"/>
    </w:p>
    <w:p w:rsidRPr="002358A2" w:rsidR="00BF0CAC" w:rsidP="002358A2" w:rsidRDefault="00BF0CAC" w14:paraId="4AA20040" w14:textId="08DF0A10">
      <w:pPr>
        <w:pStyle w:val="JuHi"/>
      </w:pPr>
      <w:bookmarkStart w:name="_Toc107950880" w:id="196"/>
      <w:r w:rsidRPr="002358A2">
        <w:t>The Government</w:t>
      </w:r>
      <w:r w:rsidRPr="002358A2" w:rsidR="002358A2">
        <w:t>’</w:t>
      </w:r>
      <w:r w:rsidRPr="002358A2">
        <w:t>s submissions</w:t>
      </w:r>
      <w:bookmarkEnd w:id="196"/>
    </w:p>
    <w:bookmarkStart w:name="L_A6_1_rep_adm_G_1" w:id="197"/>
    <w:p w:rsidRPr="002358A2" w:rsidR="00BF0CAC" w:rsidP="002358A2" w:rsidRDefault="00BF0CAC" w14:paraId="43F06E3E" w14:textId="2252003D">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150</w:t>
      </w:r>
      <w:r w:rsidRPr="002358A2">
        <w:fldChar w:fldCharType="end"/>
      </w:r>
      <w:bookmarkEnd w:id="197"/>
      <w:r w:rsidRPr="002358A2">
        <w:t>.  In their initial observations, the Government argued, with reference to the complaint under Article 13 of the Convention, that (a) it had been open to KTB to complain to the Deposit Insurance Fund that the liquidators were not acting properly, or seek compensation from the liquidators themselves; (b) the claim for judicial review of the BNB</w:t>
      </w:r>
      <w:r w:rsidRPr="002358A2" w:rsidR="002358A2">
        <w:t>’</w:t>
      </w:r>
      <w:r w:rsidRPr="002358A2">
        <w:t>s decision to appoint special administrators had been made out of time; and (c) the BNB</w:t>
      </w:r>
      <w:r w:rsidRPr="002358A2" w:rsidR="002358A2">
        <w:t>’</w:t>
      </w:r>
      <w:r w:rsidRPr="002358A2">
        <w:t>s decision to extend their mandate had not been challenged.</w:t>
      </w:r>
    </w:p>
    <w:bookmarkStart w:name="L_A6_1_rep_adm_G_2" w:id="198"/>
    <w:p w:rsidRPr="002358A2" w:rsidR="00BF0CAC" w:rsidP="002358A2" w:rsidRDefault="00BF0CAC" w14:paraId="79C215F0" w14:textId="3611A577">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151</w:t>
      </w:r>
      <w:r w:rsidRPr="002358A2">
        <w:fldChar w:fldCharType="end"/>
      </w:r>
      <w:bookmarkEnd w:id="198"/>
      <w:r w:rsidRPr="002358A2">
        <w:t>.  In their additional observations, the Government referred to those arguments in support of their assertion that the complaint was inadmissible.</w:t>
      </w:r>
    </w:p>
    <w:p w:rsidRPr="002358A2" w:rsidR="00BF0CAC" w:rsidP="002358A2" w:rsidRDefault="00BF0CAC" w14:paraId="25D09B17" w14:textId="2D18519C">
      <w:pPr>
        <w:pStyle w:val="JuHi"/>
      </w:pPr>
      <w:bookmarkStart w:name="_Toc107950881" w:id="199"/>
      <w:r w:rsidRPr="002358A2">
        <w:t>The Court</w:t>
      </w:r>
      <w:r w:rsidRPr="002358A2" w:rsidR="002358A2">
        <w:t>’</w:t>
      </w:r>
      <w:r w:rsidRPr="002358A2">
        <w:t>s assessment</w:t>
      </w:r>
      <w:bookmarkEnd w:id="199"/>
    </w:p>
    <w:bookmarkStart w:name="L_A6_1_rep_adm_C_1" w:id="200"/>
    <w:p w:rsidRPr="002358A2" w:rsidR="00BF0CAC" w:rsidP="002358A2" w:rsidRDefault="00BF0CAC" w14:paraId="4EDA816B" w14:textId="35C6A172">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152</w:t>
      </w:r>
      <w:r w:rsidRPr="002358A2">
        <w:fldChar w:fldCharType="end"/>
      </w:r>
      <w:bookmarkEnd w:id="200"/>
      <w:r w:rsidRPr="002358A2">
        <w:t xml:space="preserve">.  The Government formulated the above-mentioned arguments as a non-exhaustion point for the first time in their additional observations. It is hence open to question whether there is estoppel (see, </w:t>
      </w:r>
      <w:r w:rsidRPr="002358A2">
        <w:rPr>
          <w:i/>
          <w:iCs/>
        </w:rPr>
        <w:t>mutatis mutandis</w:t>
      </w:r>
      <w:r w:rsidRPr="002358A2">
        <w:t xml:space="preserve">, </w:t>
      </w:r>
      <w:r w:rsidRPr="002358A2">
        <w:rPr>
          <w:i/>
          <w:iCs/>
        </w:rPr>
        <w:t>G.S. v. Bulgaria</w:t>
      </w:r>
      <w:r w:rsidRPr="002358A2">
        <w:t xml:space="preserve">, no. 36538/17, </w:t>
      </w:r>
      <w:r w:rsidRPr="002358A2">
        <w:rPr>
          <w:rFonts w:cstheme="minorHAnsi"/>
        </w:rPr>
        <w:t>§§ 69-70</w:t>
      </w:r>
      <w:r w:rsidRPr="002358A2">
        <w:t>, 4 April 2019</w:t>
      </w:r>
      <w:r w:rsidRPr="002358A2">
        <w:rPr>
          <w:rFonts w:cstheme="minorHAnsi"/>
          <w:color w:val="000000"/>
          <w:lang w:val="en-US" w:eastAsia="fr-FR"/>
        </w:rPr>
        <w:t xml:space="preserve">). There is, however, </w:t>
      </w:r>
      <w:r w:rsidRPr="002358A2">
        <w:t>no need to resolve this issue, as the complaint cannot in any event be rejected for non-exhaustion of domestic remedies on the basis of those arguments.</w:t>
      </w:r>
    </w:p>
    <w:bookmarkStart w:name="L_A6_1_rep_adm_C_2" w:id="201"/>
    <w:p w:rsidRPr="002358A2" w:rsidR="00BF0CAC" w:rsidP="002358A2" w:rsidRDefault="00BF0CAC" w14:paraId="2FA3CB53" w14:textId="7755E20D">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153</w:t>
      </w:r>
      <w:r w:rsidRPr="002358A2">
        <w:fldChar w:fldCharType="end"/>
      </w:r>
      <w:bookmarkEnd w:id="201"/>
      <w:r w:rsidRPr="002358A2">
        <w:t>.  The first argument was that KTB could have complained about the procedural conduct of the liquidators to the Deposit Insurance Fund or sought compensation in that regard from the liquidators themselves. But the present complaint does not relate to the actual conduct of the liquidators during the proceedings relating to the BNB</w:t>
      </w:r>
      <w:r w:rsidRPr="002358A2" w:rsidR="002358A2">
        <w:t>’</w:t>
      </w:r>
      <w:r w:rsidRPr="002358A2">
        <w:t xml:space="preserve">s application for KTB to be declared insolvent and wound up (contrast, </w:t>
      </w:r>
      <w:r w:rsidRPr="002358A2">
        <w:rPr>
          <w:i/>
          <w:iCs/>
        </w:rPr>
        <w:t>mutatis mutandis</w:t>
      </w:r>
      <w:r w:rsidRPr="002358A2">
        <w:t xml:space="preserve">, </w:t>
      </w:r>
      <w:r w:rsidRPr="002358A2">
        <w:rPr>
          <w:i/>
          <w:iCs/>
        </w:rPr>
        <w:t>Camberrow MM5 AD v. Bulgaria</w:t>
      </w:r>
      <w:r w:rsidRPr="002358A2">
        <w:t xml:space="preserve"> (dec.) (no. 50357/99, 1 April 2004). The issue is rather that under Bulgarian law it was the liquidators and not KTB</w:t>
      </w:r>
      <w:r w:rsidRPr="002358A2" w:rsidR="002358A2">
        <w:t>’</w:t>
      </w:r>
      <w:r w:rsidRPr="002358A2">
        <w:t>s management who could represent KTB in those proceedings. It is unclear how a complaint against the liquidators to the Deposit Insurance Fund or a compensation claim against them could have remedied that state of affairs. Moreover, it is apparent from the relevant provisions of the Bank Insolvency Act 2002 that the primary duty of the liquidators is to the bank</w:t>
      </w:r>
      <w:r w:rsidRPr="002358A2" w:rsidR="002358A2">
        <w:t>’</w:t>
      </w:r>
      <w:r w:rsidRPr="002358A2">
        <w:t>s creditors, not to the bank, and that any liability that the liquidators could face in connection with their work is chiefly premised on a failure to act with due care with respect to the bank</w:t>
      </w:r>
      <w:r w:rsidRPr="002358A2" w:rsidR="002358A2">
        <w:t>’</w:t>
      </w:r>
      <w:r w:rsidRPr="002358A2">
        <w:t xml:space="preserve">s creditors (see paragraphs </w:t>
      </w:r>
      <w:r w:rsidRPr="002358A2">
        <w:fldChar w:fldCharType="begin"/>
      </w:r>
      <w:r w:rsidRPr="002358A2">
        <w:instrText xml:space="preserve"> REF RLF_winding_up_liquidator_duties \h </w:instrText>
      </w:r>
      <w:r w:rsidRPr="002358A2">
        <w:fldChar w:fldCharType="separate"/>
      </w:r>
      <w:r w:rsidRPr="002358A2" w:rsidR="002358A2">
        <w:rPr>
          <w:noProof/>
        </w:rPr>
        <w:t>102</w:t>
      </w:r>
      <w:r w:rsidRPr="002358A2">
        <w:fldChar w:fldCharType="end"/>
      </w:r>
      <w:r w:rsidRPr="002358A2">
        <w:t>-</w:t>
      </w:r>
      <w:r w:rsidRPr="002358A2">
        <w:fldChar w:fldCharType="begin"/>
      </w:r>
      <w:r w:rsidRPr="002358A2">
        <w:instrText xml:space="preserve"> REF RLF_winding_up_liquidator_liability \h </w:instrText>
      </w:r>
      <w:r w:rsidRPr="002358A2">
        <w:fldChar w:fldCharType="separate"/>
      </w:r>
      <w:r w:rsidRPr="002358A2" w:rsidR="002358A2">
        <w:rPr>
          <w:noProof/>
        </w:rPr>
        <w:t>104</w:t>
      </w:r>
      <w:r w:rsidRPr="002358A2">
        <w:fldChar w:fldCharType="end"/>
      </w:r>
      <w:r w:rsidRPr="002358A2">
        <w:t xml:space="preserve"> above).</w:t>
      </w:r>
    </w:p>
    <w:bookmarkStart w:name="L_A6_1_rep_adm_C_3" w:id="202"/>
    <w:p w:rsidRPr="002358A2" w:rsidR="00BF0CAC" w:rsidP="002358A2" w:rsidRDefault="00BF0CAC" w14:paraId="39BC06BF" w14:textId="78FAEAD6">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154</w:t>
      </w:r>
      <w:r w:rsidRPr="002358A2">
        <w:fldChar w:fldCharType="end"/>
      </w:r>
      <w:bookmarkEnd w:id="202"/>
      <w:r w:rsidRPr="002358A2">
        <w:t>.  The second and third arguments were, respectively, that the legal challenge against the BNB</w:t>
      </w:r>
      <w:r w:rsidRPr="002358A2" w:rsidR="002358A2">
        <w:t>’</w:t>
      </w:r>
      <w:r w:rsidRPr="002358A2">
        <w:t>s decision to appoint special administrators had been made by KTB</w:t>
      </w:r>
      <w:r w:rsidRPr="002358A2" w:rsidR="002358A2">
        <w:t>’</w:t>
      </w:r>
      <w:r w:rsidRPr="002358A2">
        <w:t>s former executive directors belatedly, and that the BNB</w:t>
      </w:r>
      <w:r w:rsidRPr="002358A2" w:rsidR="002358A2">
        <w:t>’</w:t>
      </w:r>
      <w:r w:rsidRPr="002358A2">
        <w:t>s decision to extend the special administrators</w:t>
      </w:r>
      <w:r w:rsidRPr="002358A2" w:rsidR="002358A2">
        <w:t>’</w:t>
      </w:r>
      <w:r w:rsidRPr="002358A2">
        <w:t xml:space="preserve"> mandate had not been contested. But, as already noted in paragraph </w:t>
      </w:r>
      <w:r w:rsidRPr="002358A2">
        <w:fldChar w:fldCharType="begin"/>
      </w:r>
      <w:r w:rsidRPr="002358A2">
        <w:instrText xml:space="preserve"> REF L_A6_1_access_mer_C_4 \h </w:instrText>
      </w:r>
      <w:r w:rsidRPr="002358A2">
        <w:fldChar w:fldCharType="separate"/>
      </w:r>
      <w:r w:rsidRPr="002358A2" w:rsidR="002358A2">
        <w:rPr>
          <w:noProof/>
        </w:rPr>
        <w:t>131</w:t>
      </w:r>
      <w:r w:rsidRPr="002358A2">
        <w:fldChar w:fldCharType="end"/>
      </w:r>
      <w:r w:rsidRPr="002358A2">
        <w:t xml:space="preserve"> above, even if KTB had obtained judicial decisions quashing the BNB</w:t>
      </w:r>
      <w:r w:rsidRPr="002358A2" w:rsidR="002358A2">
        <w:t>’</w:t>
      </w:r>
      <w:r w:rsidRPr="002358A2">
        <w:t>s decisions to appoint special administrators and extend their mandate in the run-up to the BNB</w:t>
      </w:r>
      <w:r w:rsidRPr="002358A2" w:rsidR="002358A2">
        <w:t>’</w:t>
      </w:r>
      <w:r w:rsidRPr="002358A2">
        <w:t>s decision to withdraw KTB</w:t>
      </w:r>
      <w:r w:rsidRPr="002358A2" w:rsidR="002358A2">
        <w:t>’</w:t>
      </w:r>
      <w:r w:rsidRPr="002358A2">
        <w:t>s licence, KTB would have still been placed under the stewardship of such special administrators when it had its licence withdrawn. Special administrators would have thus still represented KTB at the initial stage of the proceedings relating to the BNB</w:t>
      </w:r>
      <w:r w:rsidRPr="002358A2" w:rsidR="002358A2">
        <w:t>’</w:t>
      </w:r>
      <w:r w:rsidRPr="002358A2">
        <w:t>s application for it to be declared insolvent and wound up. It follows that the remedies cited by the Government could not have prevented the situation of which KTB is complaining.</w:t>
      </w:r>
    </w:p>
    <w:bookmarkStart w:name="L_A6_1_rep_adm_C_4" w:id="203"/>
    <w:p w:rsidRPr="002358A2" w:rsidR="00BF0CAC" w:rsidP="002358A2" w:rsidRDefault="00BF0CAC" w14:paraId="7D5B8DD2" w14:textId="7D8674E6">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155</w:t>
      </w:r>
      <w:r w:rsidRPr="002358A2">
        <w:fldChar w:fldCharType="end"/>
      </w:r>
      <w:bookmarkEnd w:id="203"/>
      <w:r w:rsidRPr="002358A2">
        <w:t>.  The Government</w:t>
      </w:r>
      <w:r w:rsidRPr="002358A2" w:rsidR="002358A2">
        <w:t>’</w:t>
      </w:r>
      <w:r w:rsidRPr="002358A2">
        <w:t>s objection of non-exhaustion of domestic remedies must therefore be rejected.</w:t>
      </w:r>
    </w:p>
    <w:p w:rsidRPr="002358A2" w:rsidR="00BF0CAC" w:rsidP="002358A2" w:rsidRDefault="00BF0CAC" w14:paraId="3C5CB996" w14:textId="63B1E588">
      <w:pPr>
        <w:pStyle w:val="JuH1"/>
      </w:pPr>
      <w:bookmarkStart w:name="_Toc107950882" w:id="204"/>
      <w:r w:rsidRPr="002358A2">
        <w:t>The Court</w:t>
      </w:r>
      <w:r w:rsidRPr="002358A2" w:rsidR="002358A2">
        <w:t>’</w:t>
      </w:r>
      <w:r w:rsidRPr="002358A2">
        <w:t>s decision on the admissibility of the complaint</w:t>
      </w:r>
      <w:bookmarkEnd w:id="204"/>
    </w:p>
    <w:p w:rsidRPr="002358A2" w:rsidR="00BF0CAC" w:rsidP="002358A2" w:rsidRDefault="00BF0CAC" w14:paraId="4C48728D" w14:textId="11DC5A84">
      <w:pPr>
        <w:pStyle w:val="JuPara"/>
      </w:pPr>
      <w:r w:rsidRPr="002358A2">
        <w:fldChar w:fldCharType="begin"/>
      </w:r>
      <w:r w:rsidRPr="002358A2">
        <w:instrText xml:space="preserve"> SEQ level0 \*arabic </w:instrText>
      </w:r>
      <w:r w:rsidRPr="002358A2">
        <w:fldChar w:fldCharType="separate"/>
      </w:r>
      <w:r w:rsidRPr="002358A2" w:rsidR="002358A2">
        <w:rPr>
          <w:noProof/>
        </w:rPr>
        <w:t>156</w:t>
      </w:r>
      <w:r w:rsidRPr="002358A2">
        <w:fldChar w:fldCharType="end"/>
      </w:r>
      <w:r w:rsidRPr="002358A2">
        <w:t>.  The complaint is not manifestly ill-founded or inadmissible on any other grounds. It must therefore be declared admissible.</w:t>
      </w:r>
    </w:p>
    <w:p w:rsidRPr="002358A2" w:rsidR="00BF0CAC" w:rsidP="002358A2" w:rsidRDefault="00BF0CAC" w14:paraId="125F7ADE" w14:textId="77777777">
      <w:pPr>
        <w:pStyle w:val="JuHA"/>
      </w:pPr>
      <w:bookmarkStart w:name="_Toc107950883" w:id="205"/>
      <w:r w:rsidRPr="002358A2">
        <w:t>Merits</w:t>
      </w:r>
      <w:bookmarkEnd w:id="205"/>
    </w:p>
    <w:p w:rsidRPr="002358A2" w:rsidR="00BF0CAC" w:rsidP="002358A2" w:rsidRDefault="00BF0CAC" w14:paraId="73F962D9" w14:textId="59D13508">
      <w:pPr>
        <w:pStyle w:val="JuH1"/>
      </w:pPr>
      <w:bookmarkStart w:name="_Toc107950884" w:id="206"/>
      <w:r w:rsidRPr="002358A2">
        <w:t>The parties</w:t>
      </w:r>
      <w:r w:rsidRPr="002358A2" w:rsidR="002358A2">
        <w:t>’</w:t>
      </w:r>
      <w:r w:rsidRPr="002358A2">
        <w:t xml:space="preserve"> submissions</w:t>
      </w:r>
      <w:bookmarkEnd w:id="206"/>
    </w:p>
    <w:bookmarkStart w:name="L_A6_1_rep_mer_KTB" w:id="207"/>
    <w:p w:rsidRPr="002358A2" w:rsidR="00BF0CAC" w:rsidP="002358A2" w:rsidRDefault="00BF0CAC" w14:paraId="4152149F" w14:textId="5309F9B3">
      <w:pPr>
        <w:pStyle w:val="JuPara"/>
        <w:rPr>
          <w:iCs/>
        </w:rPr>
      </w:pPr>
      <w:r w:rsidRPr="002358A2">
        <w:fldChar w:fldCharType="begin"/>
      </w:r>
      <w:r w:rsidRPr="002358A2">
        <w:instrText xml:space="preserve"> SEQ level0 \*arabic </w:instrText>
      </w:r>
      <w:r w:rsidRPr="002358A2">
        <w:fldChar w:fldCharType="separate"/>
      </w:r>
      <w:r w:rsidRPr="002358A2" w:rsidR="002358A2">
        <w:rPr>
          <w:noProof/>
        </w:rPr>
        <w:t>157</w:t>
      </w:r>
      <w:r w:rsidRPr="002358A2">
        <w:fldChar w:fldCharType="end"/>
      </w:r>
      <w:bookmarkEnd w:id="207"/>
      <w:r w:rsidRPr="002358A2">
        <w:t>.  In KTB</w:t>
      </w:r>
      <w:r w:rsidRPr="002358A2" w:rsidR="002358A2">
        <w:t>’</w:t>
      </w:r>
      <w:r w:rsidRPr="002358A2">
        <w:t xml:space="preserve">s view, the situation in its case had been almost exactly the same as those in the cases of </w:t>
      </w:r>
      <w:r w:rsidRPr="002358A2">
        <w:rPr>
          <w:i/>
          <w:iCs/>
        </w:rPr>
        <w:t>Capital Bank AD</w:t>
      </w:r>
      <w:r w:rsidRPr="002358A2">
        <w:t xml:space="preserve"> and </w:t>
      </w:r>
      <w:r w:rsidRPr="002358A2">
        <w:rPr>
          <w:i/>
        </w:rPr>
        <w:t>International Bank for Commerce and Development AD and Others</w:t>
      </w:r>
      <w:r w:rsidRPr="002358A2">
        <w:rPr>
          <w:iCs/>
        </w:rPr>
        <w:t xml:space="preserve"> (both cited above), as it had throughout the proceedings been represented by persons dependent on the opposing party, the BNB: at first the special administrators and then the liquidators. The possibility for KTB</w:t>
      </w:r>
      <w:r w:rsidRPr="002358A2" w:rsidR="002358A2">
        <w:rPr>
          <w:iCs/>
        </w:rPr>
        <w:t>’</w:t>
      </w:r>
      <w:r w:rsidRPr="002358A2">
        <w:rPr>
          <w:iCs/>
        </w:rPr>
        <w:t xml:space="preserve">s shareholders to intervene had not corrected the resulting procedural imbalance. The need for a special representative </w:t>
      </w:r>
      <w:r w:rsidRPr="002358A2">
        <w:rPr>
          <w:i/>
        </w:rPr>
        <w:t>ad litem</w:t>
      </w:r>
      <w:r w:rsidRPr="002358A2">
        <w:rPr>
          <w:iCs/>
        </w:rPr>
        <w:t xml:space="preserve"> had been apparent even before the Constitutional Court</w:t>
      </w:r>
      <w:r w:rsidRPr="002358A2" w:rsidR="002358A2">
        <w:rPr>
          <w:iCs/>
        </w:rPr>
        <w:t>’</w:t>
      </w:r>
      <w:r w:rsidRPr="002358A2">
        <w:rPr>
          <w:iCs/>
        </w:rPr>
        <w:t>s decision and had not arisen as a result of it.</w:t>
      </w:r>
    </w:p>
    <w:bookmarkStart w:name="L_A6_1_rep_mer_G_1" w:id="208"/>
    <w:p w:rsidRPr="002358A2" w:rsidR="00BF0CAC" w:rsidP="002358A2" w:rsidRDefault="00BF0CAC" w14:paraId="04EDDFEC" w14:textId="13B4928C">
      <w:pPr>
        <w:pStyle w:val="JuPara"/>
      </w:pPr>
      <w:r w:rsidRPr="002358A2">
        <w:fldChar w:fldCharType="begin"/>
      </w:r>
      <w:r w:rsidRPr="002358A2">
        <w:instrText xml:space="preserve"> SEQ level0 \*arabic </w:instrText>
      </w:r>
      <w:r w:rsidRPr="002358A2">
        <w:fldChar w:fldCharType="separate"/>
      </w:r>
      <w:r w:rsidRPr="002358A2" w:rsidR="002358A2">
        <w:rPr>
          <w:noProof/>
        </w:rPr>
        <w:t>158</w:t>
      </w:r>
      <w:r w:rsidRPr="002358A2">
        <w:fldChar w:fldCharType="end"/>
      </w:r>
      <w:bookmarkEnd w:id="208"/>
      <w:r w:rsidRPr="002358A2">
        <w:t>.  The Government submitted that the special administrators had only represented KTB for a short while, during the initial stage of the proceedings. Both the special administrators and the liquidators had had to meet a number of criteria ensuring their impartiality and professionalism. There had thus been enough guarantees that they would protect KTB</w:t>
      </w:r>
      <w:r w:rsidRPr="002358A2" w:rsidR="002358A2">
        <w:t>’</w:t>
      </w:r>
      <w:r w:rsidRPr="002358A2">
        <w:t>s interests effectively and in good faith. The fact that they had not opposed the BNB</w:t>
      </w:r>
      <w:r w:rsidRPr="002358A2" w:rsidR="002358A2">
        <w:t>’</w:t>
      </w:r>
      <w:r w:rsidRPr="002358A2">
        <w:t>s application for KTB to be wound up did not in itself suggest that they had been dependent on the BNB. The possibility for KTB</w:t>
      </w:r>
      <w:r w:rsidRPr="002358A2" w:rsidR="002358A2">
        <w:t>’</w:t>
      </w:r>
      <w:r w:rsidRPr="002358A2">
        <w:t>s shareholders to take part in the proceedings had been a further guarantee that KTB</w:t>
      </w:r>
      <w:r w:rsidRPr="002358A2" w:rsidR="002358A2">
        <w:t>’</w:t>
      </w:r>
      <w:r w:rsidRPr="002358A2">
        <w:t>s interests would be properly defended. Moreover, KTB</w:t>
      </w:r>
      <w:r w:rsidRPr="002358A2" w:rsidR="002358A2">
        <w:t>’</w:t>
      </w:r>
      <w:r w:rsidRPr="002358A2">
        <w:t>s former executive directors had been able to appeal against the Sofia City Court</w:t>
      </w:r>
      <w:r w:rsidRPr="002358A2" w:rsidR="002358A2">
        <w:t>’</w:t>
      </w:r>
      <w:r w:rsidRPr="002358A2">
        <w:t>s decision to allow the BNB</w:t>
      </w:r>
      <w:r w:rsidRPr="002358A2" w:rsidR="002358A2">
        <w:t>’</w:t>
      </w:r>
      <w:r w:rsidRPr="002358A2">
        <w:t xml:space="preserve">s application, based on arguments almost fully coinciding with those raised by Bromak. As a result, the Sofia Court of Appeal had in effect engaged with their arguments. Furthermore, the request for the appointment of a special representative </w:t>
      </w:r>
      <w:r w:rsidRPr="002358A2">
        <w:rPr>
          <w:i/>
          <w:iCs/>
        </w:rPr>
        <w:t>ad litem</w:t>
      </w:r>
      <w:r w:rsidRPr="002358A2">
        <w:t xml:space="preserve"> for KTB had not been renewed after the decision of the Constitutional Court, even though that court had expressly adverted to that possibility.</w:t>
      </w:r>
    </w:p>
    <w:bookmarkStart w:name="L_A6_1_rep_mer_G_2" w:id="209"/>
    <w:p w:rsidRPr="002358A2" w:rsidR="00BF0CAC" w:rsidP="002358A2" w:rsidRDefault="00BF0CAC" w14:paraId="34B41124" w14:textId="4875B311">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159</w:t>
      </w:r>
      <w:r w:rsidRPr="002358A2">
        <w:rPr>
          <w:noProof/>
        </w:rPr>
        <w:fldChar w:fldCharType="end"/>
      </w:r>
      <w:bookmarkEnd w:id="209"/>
      <w:r w:rsidRPr="002358A2">
        <w:t>.  The Government also underlined the special nature of the proceedings and the limited scope of the issues falling to be decided in them, pointing out that the question whether the bank</w:t>
      </w:r>
      <w:r w:rsidRPr="002358A2" w:rsidR="002358A2">
        <w:t>’</w:t>
      </w:r>
      <w:r w:rsidRPr="002358A2">
        <w:t>s licence had been properly withdrawn had to be decided in proceedings for judicial review before the Supreme Administrative Court. They further argued that the State</w:t>
      </w:r>
      <w:r w:rsidRPr="002358A2" w:rsidR="002358A2">
        <w:t>’</w:t>
      </w:r>
      <w:r w:rsidRPr="002358A2">
        <w:t>s liability could not be engaged by actions or omissions of the liquidators. In any event, the conduct of the liquidators had demonstrated that they had been capable of effectively protecting KTB</w:t>
      </w:r>
      <w:r w:rsidRPr="002358A2" w:rsidR="002358A2">
        <w:t>’</w:t>
      </w:r>
      <w:r w:rsidRPr="002358A2">
        <w:t>s interests.</w:t>
      </w:r>
    </w:p>
    <w:p w:rsidRPr="002358A2" w:rsidR="00BF0CAC" w:rsidP="002358A2" w:rsidRDefault="00BF0CAC" w14:paraId="7B025297" w14:textId="0F93818B">
      <w:pPr>
        <w:pStyle w:val="JuH1"/>
      </w:pPr>
      <w:bookmarkStart w:name="_Toc107950885" w:id="210"/>
      <w:r w:rsidRPr="002358A2">
        <w:t>The Court</w:t>
      </w:r>
      <w:r w:rsidRPr="002358A2" w:rsidR="002358A2">
        <w:t>’</w:t>
      </w:r>
      <w:r w:rsidRPr="002358A2">
        <w:t>s assessment</w:t>
      </w:r>
      <w:bookmarkEnd w:id="210"/>
    </w:p>
    <w:bookmarkStart w:name="L_A6_1_rep_mer_C_1" w:id="211"/>
    <w:p w:rsidRPr="002358A2" w:rsidR="00BF0CAC" w:rsidP="002358A2" w:rsidRDefault="00BF0CAC" w14:paraId="232753C2" w14:textId="7D43AE43">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160</w:t>
      </w:r>
      <w:r w:rsidRPr="002358A2">
        <w:fldChar w:fldCharType="end"/>
      </w:r>
      <w:bookmarkEnd w:id="211"/>
      <w:r w:rsidRPr="002358A2">
        <w:t xml:space="preserve">.  In </w:t>
      </w:r>
      <w:r w:rsidRPr="002358A2">
        <w:rPr>
          <w:i/>
          <w:iCs/>
        </w:rPr>
        <w:t>Capital Bank AD</w:t>
      </w:r>
      <w:r w:rsidRPr="002358A2">
        <w:t xml:space="preserve"> (cited above, </w:t>
      </w:r>
      <w:r w:rsidRPr="002358A2">
        <w:rPr>
          <w:rFonts w:cstheme="minorHAnsi"/>
        </w:rPr>
        <w:t>§§</w:t>
      </w:r>
      <w:r w:rsidRPr="002358A2">
        <w:t xml:space="preserve"> 117-18), the Court found that if a bank facing an application by the BNB to be declared insolvent and wound up is represented in those proceedings by its special administrators and liquidators, who are all dependent to varying degrees on the BNB, the bank could not properly state its case and protect its interests, in breach of the rights</w:t>
      </w:r>
      <w:r w:rsidRPr="002358A2" w:rsidR="000F4FD7">
        <w:t xml:space="preserve"> </w:t>
      </w:r>
      <w:r w:rsidRPr="002358A2">
        <w:t>of access to a court and of adversarial proceedings enshrined by Article 6</w:t>
      </w:r>
      <w:r w:rsidRPr="002358A2" w:rsidR="000F4FD7">
        <w:t xml:space="preserve"> </w:t>
      </w:r>
      <w:r w:rsidRPr="002358A2">
        <w:rPr>
          <w:rFonts w:cstheme="minorHAnsi"/>
        </w:rPr>
        <w:t>§</w:t>
      </w:r>
      <w:r w:rsidRPr="002358A2">
        <w:t> 1</w:t>
      </w:r>
      <w:r w:rsidRPr="002358A2" w:rsidR="000F4FD7">
        <w:t xml:space="preserve"> </w:t>
      </w:r>
      <w:r w:rsidRPr="002358A2">
        <w:t xml:space="preserve">of the Convention. In </w:t>
      </w:r>
      <w:r w:rsidRPr="002358A2">
        <w:rPr>
          <w:i/>
          <w:iCs/>
        </w:rPr>
        <w:t>International Bank for Commerce and Development AD</w:t>
      </w:r>
      <w:r w:rsidRPr="002358A2">
        <w:t xml:space="preserve"> (cited above, </w:t>
      </w:r>
      <w:r w:rsidRPr="002358A2">
        <w:rPr>
          <w:rFonts w:cstheme="minorHAnsi"/>
        </w:rPr>
        <w:t>§</w:t>
      </w:r>
      <w:r w:rsidRPr="002358A2">
        <w:t xml:space="preserve"> 115), the Court came to the same conclusion.</w:t>
      </w:r>
    </w:p>
    <w:bookmarkStart w:name="L_A6_1_rep_mer_C_2" w:id="212"/>
    <w:p w:rsidRPr="002358A2" w:rsidR="00BF0CAC" w:rsidP="002358A2" w:rsidRDefault="00BF0CAC" w14:paraId="36C4F858" w14:textId="0A21B0AF">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161</w:t>
      </w:r>
      <w:r w:rsidRPr="002358A2">
        <w:rPr>
          <w:noProof/>
        </w:rPr>
        <w:fldChar w:fldCharType="end"/>
      </w:r>
      <w:bookmarkEnd w:id="212"/>
      <w:r w:rsidRPr="002358A2">
        <w:t>.  Despite some differences in the way in which the proceedings relating to KTB unfolded, the present case does not present any material difference.</w:t>
      </w:r>
    </w:p>
    <w:bookmarkStart w:name="L_A6_1_rep_mer_C_3" w:id="213"/>
    <w:p w:rsidRPr="002358A2" w:rsidR="00BF0CAC" w:rsidP="002358A2" w:rsidRDefault="00BF0CAC" w14:paraId="3D780AA8" w14:textId="741C31E3">
      <w:pPr>
        <w:pStyle w:val="JuPara"/>
        <w:rPr>
          <w:iCs/>
        </w:rPr>
      </w:pPr>
      <w:r w:rsidRPr="002358A2">
        <w:fldChar w:fldCharType="begin"/>
      </w:r>
      <w:r w:rsidRPr="002358A2">
        <w:instrText xml:space="preserve"> SEQ level0 \*arabic \* MERGEFORMAT </w:instrText>
      </w:r>
      <w:r w:rsidRPr="002358A2">
        <w:fldChar w:fldCharType="separate"/>
      </w:r>
      <w:r w:rsidRPr="002358A2" w:rsidR="002358A2">
        <w:rPr>
          <w:noProof/>
        </w:rPr>
        <w:t>162</w:t>
      </w:r>
      <w:r w:rsidRPr="002358A2">
        <w:fldChar w:fldCharType="end"/>
      </w:r>
      <w:bookmarkEnd w:id="213"/>
      <w:r w:rsidRPr="002358A2">
        <w:t xml:space="preserve">.  The </w:t>
      </w:r>
      <w:r w:rsidRPr="002358A2">
        <w:rPr>
          <w:iCs/>
        </w:rPr>
        <w:t>applicant in those proceedings was the BNB (see paragraph </w:t>
      </w:r>
      <w:r w:rsidRPr="002358A2">
        <w:rPr>
          <w:iCs/>
        </w:rPr>
        <w:fldChar w:fldCharType="begin"/>
      </w:r>
      <w:r w:rsidRPr="002358A2">
        <w:rPr>
          <w:iCs/>
        </w:rPr>
        <w:instrText xml:space="preserve"> REF F_winding_up_SofCC_BNB_application \h </w:instrText>
      </w:r>
      <w:r w:rsidRPr="002358A2">
        <w:rPr>
          <w:iCs/>
        </w:rPr>
      </w:r>
      <w:r w:rsidRPr="002358A2">
        <w:rPr>
          <w:iCs/>
        </w:rPr>
        <w:fldChar w:fldCharType="separate"/>
      </w:r>
      <w:r w:rsidRPr="002358A2" w:rsidR="002358A2">
        <w:rPr>
          <w:noProof/>
        </w:rPr>
        <w:t>51</w:t>
      </w:r>
      <w:r w:rsidRPr="002358A2">
        <w:rPr>
          <w:iCs/>
        </w:rPr>
        <w:fldChar w:fldCharType="end"/>
      </w:r>
      <w:r w:rsidRPr="002358A2">
        <w:rPr>
          <w:iCs/>
        </w:rPr>
        <w:t xml:space="preserve"> above).</w:t>
      </w:r>
    </w:p>
    <w:bookmarkStart w:name="L_A6_1_rep_mer_C_4" w:id="214"/>
    <w:p w:rsidRPr="002358A2" w:rsidR="00BF0CAC" w:rsidP="002358A2" w:rsidRDefault="00BF0CAC" w14:paraId="413D9BD5" w14:textId="0C1152F3">
      <w:pPr>
        <w:pStyle w:val="JuPara"/>
        <w:rPr>
          <w:iCs/>
        </w:rPr>
      </w:pPr>
      <w:r w:rsidRPr="002358A2">
        <w:rPr>
          <w:iCs/>
        </w:rPr>
        <w:fldChar w:fldCharType="begin"/>
      </w:r>
      <w:r w:rsidRPr="002358A2">
        <w:rPr>
          <w:iCs/>
        </w:rPr>
        <w:instrText xml:space="preserve"> SEQ level0 \*arabic \* MERGEFORMAT </w:instrText>
      </w:r>
      <w:r w:rsidRPr="002358A2">
        <w:rPr>
          <w:iCs/>
        </w:rPr>
        <w:fldChar w:fldCharType="separate"/>
      </w:r>
      <w:r w:rsidRPr="002358A2" w:rsidR="002358A2">
        <w:rPr>
          <w:iCs/>
          <w:noProof/>
        </w:rPr>
        <w:t>163</w:t>
      </w:r>
      <w:r w:rsidRPr="002358A2">
        <w:rPr>
          <w:iCs/>
        </w:rPr>
        <w:fldChar w:fldCharType="end"/>
      </w:r>
      <w:bookmarkEnd w:id="214"/>
      <w:r w:rsidRPr="002358A2">
        <w:rPr>
          <w:iCs/>
        </w:rPr>
        <w:t xml:space="preserve">.  As required by section 11(3) of the Bank Insolvency Act 2002 (see paragraph </w:t>
      </w:r>
      <w:r w:rsidRPr="002358A2">
        <w:rPr>
          <w:iCs/>
        </w:rPr>
        <w:fldChar w:fldCharType="begin"/>
      </w:r>
      <w:r w:rsidRPr="002358A2">
        <w:rPr>
          <w:iCs/>
        </w:rPr>
        <w:instrText xml:space="preserve"> REF RLF_winding_up_hearing_representation \h </w:instrText>
      </w:r>
      <w:r w:rsidRPr="002358A2">
        <w:rPr>
          <w:iCs/>
        </w:rPr>
      </w:r>
      <w:r w:rsidRPr="002358A2">
        <w:rPr>
          <w:iCs/>
        </w:rPr>
        <w:fldChar w:fldCharType="separate"/>
      </w:r>
      <w:r w:rsidRPr="002358A2" w:rsidR="002358A2">
        <w:rPr>
          <w:noProof/>
        </w:rPr>
        <w:t>96</w:t>
      </w:r>
      <w:r w:rsidRPr="002358A2">
        <w:rPr>
          <w:iCs/>
        </w:rPr>
        <w:fldChar w:fldCharType="end"/>
      </w:r>
      <w:r w:rsidRPr="002358A2">
        <w:rPr>
          <w:iCs/>
        </w:rPr>
        <w:t xml:space="preserve"> above), at the outset KTB, the respondent, was represented by its special administrators (see paragraph </w:t>
      </w:r>
      <w:r w:rsidRPr="002358A2">
        <w:rPr>
          <w:iCs/>
        </w:rPr>
        <w:fldChar w:fldCharType="begin"/>
      </w:r>
      <w:r w:rsidRPr="002358A2">
        <w:rPr>
          <w:iCs/>
        </w:rPr>
        <w:instrText xml:space="preserve"> REF F_winding_up_SofCC_set_down_hearing \h </w:instrText>
      </w:r>
      <w:r w:rsidRPr="002358A2">
        <w:rPr>
          <w:iCs/>
        </w:rPr>
      </w:r>
      <w:r w:rsidRPr="002358A2">
        <w:rPr>
          <w:iCs/>
        </w:rPr>
        <w:fldChar w:fldCharType="separate"/>
      </w:r>
      <w:r w:rsidRPr="002358A2" w:rsidR="002358A2">
        <w:rPr>
          <w:noProof/>
        </w:rPr>
        <w:t>53</w:t>
      </w:r>
      <w:r w:rsidRPr="002358A2">
        <w:rPr>
          <w:iCs/>
        </w:rPr>
        <w:fldChar w:fldCharType="end"/>
      </w:r>
      <w:r w:rsidRPr="002358A2">
        <w:rPr>
          <w:iCs/>
        </w:rPr>
        <w:t xml:space="preserve"> above). Those special administrators were directly dependent on the BNB: it had appointed them and fixed their remuneration, and could dismiss them without any external scrutiny (see paragraphs </w:t>
      </w:r>
      <w:r w:rsidRPr="002358A2">
        <w:rPr>
          <w:iCs/>
        </w:rPr>
        <w:fldChar w:fldCharType="begin"/>
      </w:r>
      <w:r w:rsidRPr="002358A2">
        <w:rPr>
          <w:iCs/>
        </w:rPr>
        <w:instrText xml:space="preserve"> REF RLF_BNB_special_administration \h </w:instrText>
      </w:r>
      <w:r w:rsidRPr="002358A2">
        <w:rPr>
          <w:iCs/>
        </w:rPr>
      </w:r>
      <w:r w:rsidRPr="002358A2">
        <w:rPr>
          <w:iCs/>
        </w:rPr>
        <w:fldChar w:fldCharType="separate"/>
      </w:r>
      <w:r w:rsidRPr="002358A2" w:rsidR="002358A2">
        <w:rPr>
          <w:noProof/>
        </w:rPr>
        <w:t>88</w:t>
      </w:r>
      <w:r w:rsidRPr="002358A2">
        <w:rPr>
          <w:iCs/>
        </w:rPr>
        <w:fldChar w:fldCharType="end"/>
      </w:r>
      <w:r w:rsidRPr="002358A2">
        <w:rPr>
          <w:iCs/>
        </w:rPr>
        <w:t xml:space="preserve"> and </w:t>
      </w:r>
      <w:r w:rsidRPr="002358A2">
        <w:rPr>
          <w:iCs/>
        </w:rPr>
        <w:fldChar w:fldCharType="begin"/>
      </w:r>
      <w:r w:rsidRPr="002358A2">
        <w:rPr>
          <w:iCs/>
        </w:rPr>
        <w:instrText xml:space="preserve"> REF RLF_BNB_special_administrators \h </w:instrText>
      </w:r>
      <w:r w:rsidRPr="002358A2">
        <w:rPr>
          <w:iCs/>
        </w:rPr>
      </w:r>
      <w:r w:rsidRPr="002358A2">
        <w:rPr>
          <w:iCs/>
        </w:rPr>
        <w:fldChar w:fldCharType="separate"/>
      </w:r>
      <w:r w:rsidRPr="002358A2" w:rsidR="002358A2">
        <w:rPr>
          <w:noProof/>
        </w:rPr>
        <w:t>89</w:t>
      </w:r>
      <w:r w:rsidRPr="002358A2">
        <w:rPr>
          <w:iCs/>
        </w:rPr>
        <w:fldChar w:fldCharType="end"/>
      </w:r>
      <w:r w:rsidRPr="002358A2">
        <w:rPr>
          <w:iCs/>
        </w:rPr>
        <w:t xml:space="preserve"> above). Indeed, they were described by the Sofia City Court as “officers assisting the BNB” (see paragraph </w:t>
      </w:r>
      <w:r w:rsidRPr="002358A2">
        <w:rPr>
          <w:iCs/>
        </w:rPr>
        <w:fldChar w:fldCharType="begin"/>
      </w:r>
      <w:r w:rsidRPr="002358A2">
        <w:rPr>
          <w:iCs/>
        </w:rPr>
        <w:instrText xml:space="preserve"> REF F_winding_up_SofCC_prov_liquid \h </w:instrText>
      </w:r>
      <w:r w:rsidRPr="002358A2">
        <w:rPr>
          <w:iCs/>
        </w:rPr>
      </w:r>
      <w:r w:rsidRPr="002358A2">
        <w:rPr>
          <w:iCs/>
        </w:rPr>
        <w:fldChar w:fldCharType="separate"/>
      </w:r>
      <w:r w:rsidRPr="002358A2" w:rsidR="002358A2">
        <w:rPr>
          <w:noProof/>
        </w:rPr>
        <w:t>56</w:t>
      </w:r>
      <w:r w:rsidRPr="002358A2">
        <w:rPr>
          <w:iCs/>
        </w:rPr>
        <w:fldChar w:fldCharType="end"/>
      </w:r>
      <w:r w:rsidRPr="002358A2">
        <w:rPr>
          <w:iCs/>
        </w:rPr>
        <w:t xml:space="preserve"> above).</w:t>
      </w:r>
    </w:p>
    <w:bookmarkStart w:name="L_A6_1_rep_mer_C_5" w:id="215"/>
    <w:p w:rsidRPr="002358A2" w:rsidR="00BF0CAC" w:rsidP="002358A2" w:rsidRDefault="00BF0CAC" w14:paraId="73901B2F" w14:textId="363D7570">
      <w:pPr>
        <w:pStyle w:val="JuPara"/>
        <w:rPr>
          <w:iCs/>
        </w:rPr>
      </w:pPr>
      <w:r w:rsidRPr="002358A2">
        <w:rPr>
          <w:iCs/>
        </w:rPr>
        <w:fldChar w:fldCharType="begin"/>
      </w:r>
      <w:r w:rsidRPr="002358A2">
        <w:rPr>
          <w:iCs/>
        </w:rPr>
        <w:instrText xml:space="preserve"> SEQ level0 \*arabic \* MERGEFORMAT </w:instrText>
      </w:r>
      <w:r w:rsidRPr="002358A2">
        <w:rPr>
          <w:iCs/>
        </w:rPr>
        <w:fldChar w:fldCharType="separate"/>
      </w:r>
      <w:r w:rsidRPr="002358A2" w:rsidR="002358A2">
        <w:rPr>
          <w:iCs/>
          <w:noProof/>
        </w:rPr>
        <w:t>164</w:t>
      </w:r>
      <w:r w:rsidRPr="002358A2">
        <w:rPr>
          <w:iCs/>
        </w:rPr>
        <w:fldChar w:fldCharType="end"/>
      </w:r>
      <w:bookmarkEnd w:id="215"/>
      <w:r w:rsidRPr="002358A2">
        <w:rPr>
          <w:iCs/>
        </w:rPr>
        <w:t xml:space="preserve">.  Later, when the Sofia City Court appointed provisional liquidators, they took on the role of representing KTB in the proceedings, again in line with the requirements of section 11(3) of 2002 Act (see paragraphs </w:t>
      </w:r>
      <w:r w:rsidRPr="002358A2">
        <w:rPr>
          <w:iCs/>
        </w:rPr>
        <w:fldChar w:fldCharType="begin"/>
      </w:r>
      <w:r w:rsidRPr="002358A2">
        <w:rPr>
          <w:iCs/>
        </w:rPr>
        <w:instrText xml:space="preserve"> REF F_winding_up_SofCC_prov_liquid \h </w:instrText>
      </w:r>
      <w:r w:rsidRPr="002358A2">
        <w:rPr>
          <w:iCs/>
        </w:rPr>
      </w:r>
      <w:r w:rsidRPr="002358A2">
        <w:rPr>
          <w:iCs/>
        </w:rPr>
        <w:fldChar w:fldCharType="separate"/>
      </w:r>
      <w:r w:rsidRPr="002358A2" w:rsidR="002358A2">
        <w:rPr>
          <w:noProof/>
        </w:rPr>
        <w:t>56</w:t>
      </w:r>
      <w:r w:rsidRPr="002358A2">
        <w:rPr>
          <w:iCs/>
        </w:rPr>
        <w:fldChar w:fldCharType="end"/>
      </w:r>
      <w:r w:rsidRPr="002358A2">
        <w:rPr>
          <w:iCs/>
        </w:rPr>
        <w:t xml:space="preserve"> and </w:t>
      </w:r>
      <w:r w:rsidRPr="002358A2">
        <w:rPr>
          <w:iCs/>
        </w:rPr>
        <w:fldChar w:fldCharType="begin"/>
      </w:r>
      <w:r w:rsidRPr="002358A2">
        <w:rPr>
          <w:iCs/>
        </w:rPr>
        <w:instrText xml:space="preserve"> REF RLF_winding_up_hearing_representation \h </w:instrText>
      </w:r>
      <w:r w:rsidRPr="002358A2">
        <w:rPr>
          <w:iCs/>
        </w:rPr>
      </w:r>
      <w:r w:rsidRPr="002358A2">
        <w:rPr>
          <w:iCs/>
        </w:rPr>
        <w:fldChar w:fldCharType="separate"/>
      </w:r>
      <w:r w:rsidRPr="002358A2" w:rsidR="002358A2">
        <w:rPr>
          <w:noProof/>
        </w:rPr>
        <w:t>96</w:t>
      </w:r>
      <w:r w:rsidRPr="002358A2">
        <w:rPr>
          <w:iCs/>
        </w:rPr>
        <w:fldChar w:fldCharType="end"/>
      </w:r>
      <w:r w:rsidRPr="002358A2">
        <w:rPr>
          <w:iCs/>
        </w:rPr>
        <w:t xml:space="preserve"> above). One day after that court declared KTB insolvent and ordered that it be wound up, those provisional liquidators were appointed by the Deposit Insurance Fund as permanent ones and continued to represent KTB in the proceedings by virtue of their powers under section 31(1)(7) of the 2002 Act (see paragraphs </w:t>
      </w:r>
      <w:r w:rsidRPr="002358A2">
        <w:rPr>
          <w:iCs/>
        </w:rPr>
        <w:fldChar w:fldCharType="begin"/>
      </w:r>
      <w:r w:rsidRPr="002358A2">
        <w:rPr>
          <w:iCs/>
        </w:rPr>
        <w:instrText xml:space="preserve"> REF F_winding_up_SofCC_prov_liquid \h </w:instrText>
      </w:r>
      <w:r w:rsidRPr="002358A2">
        <w:rPr>
          <w:iCs/>
        </w:rPr>
      </w:r>
      <w:r w:rsidRPr="002358A2">
        <w:rPr>
          <w:iCs/>
        </w:rPr>
        <w:fldChar w:fldCharType="separate"/>
      </w:r>
      <w:r w:rsidRPr="002358A2" w:rsidR="002358A2">
        <w:rPr>
          <w:noProof/>
        </w:rPr>
        <w:t>56</w:t>
      </w:r>
      <w:r w:rsidRPr="002358A2">
        <w:rPr>
          <w:iCs/>
        </w:rPr>
        <w:fldChar w:fldCharType="end"/>
      </w:r>
      <w:r w:rsidRPr="002358A2">
        <w:rPr>
          <w:iCs/>
        </w:rPr>
        <w:t xml:space="preserve">, </w:t>
      </w:r>
      <w:r w:rsidRPr="002358A2">
        <w:rPr>
          <w:iCs/>
        </w:rPr>
        <w:fldChar w:fldCharType="begin"/>
      </w:r>
      <w:r w:rsidRPr="002358A2">
        <w:rPr>
          <w:iCs/>
        </w:rPr>
        <w:instrText xml:space="preserve"> REF F_winding_up_SofCC_DIF_appoint_liquid \h </w:instrText>
      </w:r>
      <w:r w:rsidRPr="002358A2">
        <w:rPr>
          <w:iCs/>
        </w:rPr>
      </w:r>
      <w:r w:rsidRPr="002358A2">
        <w:rPr>
          <w:iCs/>
        </w:rPr>
        <w:fldChar w:fldCharType="separate"/>
      </w:r>
      <w:r w:rsidRPr="002358A2" w:rsidR="002358A2">
        <w:rPr>
          <w:noProof/>
        </w:rPr>
        <w:t>62</w:t>
      </w:r>
      <w:r w:rsidRPr="002358A2">
        <w:rPr>
          <w:iCs/>
        </w:rPr>
        <w:fldChar w:fldCharType="end"/>
      </w:r>
      <w:r w:rsidRPr="002358A2">
        <w:rPr>
          <w:iCs/>
        </w:rPr>
        <w:t xml:space="preserve"> and </w:t>
      </w:r>
      <w:r w:rsidRPr="002358A2">
        <w:rPr>
          <w:iCs/>
        </w:rPr>
        <w:fldChar w:fldCharType="begin"/>
      </w:r>
      <w:r w:rsidRPr="002358A2">
        <w:rPr>
          <w:iCs/>
        </w:rPr>
        <w:instrText xml:space="preserve"> REF RLF_winding_up_permanent_liquidator \h </w:instrText>
      </w:r>
      <w:r w:rsidRPr="002358A2">
        <w:rPr>
          <w:iCs/>
        </w:rPr>
      </w:r>
      <w:r w:rsidRPr="002358A2">
        <w:rPr>
          <w:iCs/>
        </w:rPr>
        <w:fldChar w:fldCharType="separate"/>
      </w:r>
      <w:r w:rsidRPr="002358A2" w:rsidR="002358A2">
        <w:rPr>
          <w:noProof/>
        </w:rPr>
        <w:t>101</w:t>
      </w:r>
      <w:r w:rsidRPr="002358A2">
        <w:rPr>
          <w:iCs/>
        </w:rPr>
        <w:fldChar w:fldCharType="end"/>
      </w:r>
      <w:r w:rsidRPr="002358A2">
        <w:rPr>
          <w:iCs/>
        </w:rPr>
        <w:t xml:space="preserve"> </w:t>
      </w:r>
      <w:r w:rsidRPr="002358A2">
        <w:rPr>
          <w:i/>
        </w:rPr>
        <w:t>in fine</w:t>
      </w:r>
      <w:r w:rsidRPr="002358A2">
        <w:rPr>
          <w:iCs/>
        </w:rPr>
        <w:t xml:space="preserve"> above). Although to a lesser degree, those liquidators were likewise dependent on the BNB, since it could strike them off its list of persons qualified to act as bank liquidators and thus bring about their automatic discharge (by the insolvency court while they were still provisional liquidators, and by the Deposit Insurance Fund after they became permanent liquidators – see paragraphs </w:t>
      </w:r>
      <w:r w:rsidRPr="002358A2">
        <w:rPr>
          <w:iCs/>
        </w:rPr>
        <w:fldChar w:fldCharType="begin"/>
      </w:r>
      <w:r w:rsidRPr="002358A2">
        <w:rPr>
          <w:iCs/>
        </w:rPr>
        <w:instrText xml:space="preserve"> REF RLF_winding_up_provisional_liquidator \h </w:instrText>
      </w:r>
      <w:r w:rsidRPr="002358A2">
        <w:rPr>
          <w:iCs/>
        </w:rPr>
      </w:r>
      <w:r w:rsidRPr="002358A2">
        <w:rPr>
          <w:iCs/>
        </w:rPr>
        <w:fldChar w:fldCharType="separate"/>
      </w:r>
      <w:r w:rsidRPr="002358A2" w:rsidR="002358A2">
        <w:rPr>
          <w:noProof/>
        </w:rPr>
        <w:t>100</w:t>
      </w:r>
      <w:r w:rsidRPr="002358A2">
        <w:rPr>
          <w:iCs/>
        </w:rPr>
        <w:fldChar w:fldCharType="end"/>
      </w:r>
      <w:r w:rsidRPr="002358A2">
        <w:rPr>
          <w:iCs/>
        </w:rPr>
        <w:t xml:space="preserve"> and </w:t>
      </w:r>
      <w:r w:rsidRPr="002358A2">
        <w:rPr>
          <w:iCs/>
        </w:rPr>
        <w:fldChar w:fldCharType="begin"/>
      </w:r>
      <w:r w:rsidRPr="002358A2">
        <w:rPr>
          <w:iCs/>
        </w:rPr>
        <w:instrText xml:space="preserve"> REF RLF_winding_up_permanent_liquidator \h </w:instrText>
      </w:r>
      <w:r w:rsidRPr="002358A2">
        <w:rPr>
          <w:iCs/>
        </w:rPr>
      </w:r>
      <w:r w:rsidRPr="002358A2">
        <w:rPr>
          <w:iCs/>
        </w:rPr>
        <w:fldChar w:fldCharType="separate"/>
      </w:r>
      <w:r w:rsidRPr="002358A2" w:rsidR="002358A2">
        <w:rPr>
          <w:noProof/>
        </w:rPr>
        <w:t>101</w:t>
      </w:r>
      <w:r w:rsidRPr="002358A2">
        <w:rPr>
          <w:iCs/>
        </w:rPr>
        <w:fldChar w:fldCharType="end"/>
      </w:r>
      <w:r w:rsidRPr="002358A2">
        <w:rPr>
          <w:iCs/>
        </w:rPr>
        <w:t xml:space="preserve"> above).</w:t>
      </w:r>
    </w:p>
    <w:bookmarkStart w:name="L_A6_1_rep_mer_C_6" w:id="216"/>
    <w:p w:rsidRPr="002358A2" w:rsidR="00BF0CAC" w:rsidP="002358A2" w:rsidRDefault="00BF0CAC" w14:paraId="7A6FCDFC" w14:textId="0B7E5939">
      <w:pPr>
        <w:pStyle w:val="JuPara"/>
        <w:rPr>
          <w:iCs/>
        </w:rPr>
      </w:pPr>
      <w:r w:rsidRPr="002358A2">
        <w:rPr>
          <w:iCs/>
        </w:rPr>
        <w:fldChar w:fldCharType="begin"/>
      </w:r>
      <w:r w:rsidRPr="002358A2">
        <w:rPr>
          <w:iCs/>
        </w:rPr>
        <w:instrText xml:space="preserve"> SEQ level0 \*arabic \* MERGEFORMAT </w:instrText>
      </w:r>
      <w:r w:rsidRPr="002358A2">
        <w:rPr>
          <w:iCs/>
        </w:rPr>
        <w:fldChar w:fldCharType="separate"/>
      </w:r>
      <w:r w:rsidRPr="002358A2" w:rsidR="002358A2">
        <w:rPr>
          <w:iCs/>
          <w:noProof/>
        </w:rPr>
        <w:t>165</w:t>
      </w:r>
      <w:r w:rsidRPr="002358A2">
        <w:rPr>
          <w:iCs/>
        </w:rPr>
        <w:fldChar w:fldCharType="end"/>
      </w:r>
      <w:bookmarkEnd w:id="216"/>
      <w:r w:rsidRPr="002358A2">
        <w:rPr>
          <w:iCs/>
        </w:rPr>
        <w:t>.  All attempts to circumvent that situation were unsuccessful. The courts denied KTB</w:t>
      </w:r>
      <w:r w:rsidRPr="002358A2" w:rsidR="002358A2">
        <w:rPr>
          <w:iCs/>
        </w:rPr>
        <w:t>’</w:t>
      </w:r>
      <w:r w:rsidRPr="002358A2">
        <w:rPr>
          <w:iCs/>
        </w:rPr>
        <w:t xml:space="preserve">s former executive directors standing to act on its behalf (see paragraphs </w:t>
      </w:r>
      <w:r w:rsidRPr="002358A2">
        <w:rPr>
          <w:iCs/>
        </w:rPr>
        <w:fldChar w:fldCharType="begin"/>
      </w:r>
      <w:r w:rsidRPr="002358A2">
        <w:rPr>
          <w:iCs/>
        </w:rPr>
        <w:instrText xml:space="preserve"> REF F_winding_up_SAC_dec_03_07_2015 \h </w:instrText>
      </w:r>
      <w:r w:rsidRPr="002358A2">
        <w:rPr>
          <w:iCs/>
        </w:rPr>
      </w:r>
      <w:r w:rsidRPr="002358A2">
        <w:rPr>
          <w:iCs/>
        </w:rPr>
        <w:fldChar w:fldCharType="separate"/>
      </w:r>
      <w:r w:rsidRPr="002358A2" w:rsidR="002358A2">
        <w:rPr>
          <w:noProof/>
        </w:rPr>
        <w:t>68</w:t>
      </w:r>
      <w:r w:rsidRPr="002358A2">
        <w:rPr>
          <w:iCs/>
        </w:rPr>
        <w:fldChar w:fldCharType="end"/>
      </w:r>
      <w:r w:rsidRPr="002358A2">
        <w:rPr>
          <w:iCs/>
        </w:rPr>
        <w:t xml:space="preserve"> and </w:t>
      </w:r>
      <w:r w:rsidRPr="002358A2">
        <w:rPr>
          <w:iCs/>
        </w:rPr>
        <w:fldChar w:fldCharType="begin"/>
      </w:r>
      <w:r w:rsidRPr="002358A2">
        <w:rPr>
          <w:iCs/>
        </w:rPr>
        <w:instrText xml:space="preserve"> REF F_winding_up_SCC_dec_06_07_2016 \h </w:instrText>
      </w:r>
      <w:r w:rsidRPr="002358A2">
        <w:rPr>
          <w:iCs/>
        </w:rPr>
      </w:r>
      <w:r w:rsidRPr="002358A2">
        <w:rPr>
          <w:iCs/>
        </w:rPr>
        <w:fldChar w:fldCharType="separate"/>
      </w:r>
      <w:r w:rsidRPr="002358A2" w:rsidR="002358A2">
        <w:rPr>
          <w:noProof/>
        </w:rPr>
        <w:t>78</w:t>
      </w:r>
      <w:r w:rsidRPr="002358A2">
        <w:rPr>
          <w:iCs/>
        </w:rPr>
        <w:fldChar w:fldCharType="end"/>
      </w:r>
      <w:r w:rsidRPr="002358A2">
        <w:rPr>
          <w:iCs/>
        </w:rPr>
        <w:t xml:space="preserve"> above). The Sofia City Court also refused Bromak</w:t>
      </w:r>
      <w:r w:rsidRPr="002358A2" w:rsidR="002358A2">
        <w:rPr>
          <w:iCs/>
        </w:rPr>
        <w:t>’</w:t>
      </w:r>
      <w:r w:rsidRPr="002358A2">
        <w:rPr>
          <w:iCs/>
        </w:rPr>
        <w:t>s</w:t>
      </w:r>
      <w:r w:rsidRPr="002358A2" w:rsidR="000F4FD7">
        <w:rPr>
          <w:iCs/>
        </w:rPr>
        <w:t xml:space="preserve"> </w:t>
      </w:r>
      <w:r w:rsidRPr="002358A2">
        <w:rPr>
          <w:iCs/>
        </w:rPr>
        <w:t xml:space="preserve">request to appoint a special representative </w:t>
      </w:r>
      <w:r w:rsidRPr="002358A2">
        <w:rPr>
          <w:i/>
        </w:rPr>
        <w:t>ad litem</w:t>
      </w:r>
      <w:r w:rsidRPr="002358A2">
        <w:rPr>
          <w:iCs/>
        </w:rPr>
        <w:t xml:space="preserve"> for KTB (see paragraphs </w:t>
      </w:r>
      <w:r w:rsidRPr="002358A2">
        <w:rPr>
          <w:iCs/>
        </w:rPr>
        <w:fldChar w:fldCharType="begin"/>
      </w:r>
      <w:r w:rsidRPr="002358A2">
        <w:rPr>
          <w:iCs/>
        </w:rPr>
        <w:instrText xml:space="preserve"> REF F_winding_up_SofCC_Bromak_rep_ad_litem \h </w:instrText>
      </w:r>
      <w:r w:rsidRPr="002358A2">
        <w:rPr>
          <w:iCs/>
        </w:rPr>
      </w:r>
      <w:r w:rsidRPr="002358A2">
        <w:rPr>
          <w:iCs/>
        </w:rPr>
        <w:fldChar w:fldCharType="separate"/>
      </w:r>
      <w:r w:rsidRPr="002358A2" w:rsidR="002358A2">
        <w:rPr>
          <w:noProof/>
        </w:rPr>
        <w:t>54</w:t>
      </w:r>
      <w:r w:rsidRPr="002358A2">
        <w:rPr>
          <w:iCs/>
        </w:rPr>
        <w:fldChar w:fldCharType="end"/>
      </w:r>
      <w:r w:rsidRPr="002358A2">
        <w:rPr>
          <w:iCs/>
        </w:rPr>
        <w:t xml:space="preserve"> and </w:t>
      </w:r>
      <w:r w:rsidRPr="002358A2">
        <w:rPr>
          <w:iCs/>
        </w:rPr>
        <w:fldChar w:fldCharType="begin"/>
      </w:r>
      <w:r w:rsidRPr="002358A2">
        <w:rPr>
          <w:iCs/>
        </w:rPr>
        <w:instrText xml:space="preserve"> REF F_winding_up_SofCC_hearing_15_04_2015 \h </w:instrText>
      </w:r>
      <w:r w:rsidRPr="002358A2">
        <w:rPr>
          <w:iCs/>
        </w:rPr>
      </w:r>
      <w:r w:rsidRPr="002358A2">
        <w:rPr>
          <w:iCs/>
        </w:rPr>
        <w:fldChar w:fldCharType="separate"/>
      </w:r>
      <w:r w:rsidRPr="002358A2" w:rsidR="002358A2">
        <w:rPr>
          <w:noProof/>
        </w:rPr>
        <w:t>59</w:t>
      </w:r>
      <w:r w:rsidRPr="002358A2">
        <w:rPr>
          <w:iCs/>
        </w:rPr>
        <w:fldChar w:fldCharType="end"/>
      </w:r>
      <w:r w:rsidRPr="002358A2">
        <w:rPr>
          <w:iCs/>
        </w:rPr>
        <w:t xml:space="preserve"> above). The Government suggested that this request could have been renewed after the Constitutional Court had adverted to the possibility of appointing such a special representative </w:t>
      </w:r>
      <w:r w:rsidRPr="002358A2">
        <w:rPr>
          <w:i/>
        </w:rPr>
        <w:t>ad litem</w:t>
      </w:r>
      <w:r w:rsidRPr="002358A2">
        <w:rPr>
          <w:iCs/>
        </w:rPr>
        <w:t xml:space="preserve"> as a means of</w:t>
      </w:r>
      <w:r w:rsidRPr="002358A2" w:rsidR="000F4FD7">
        <w:rPr>
          <w:iCs/>
        </w:rPr>
        <w:t xml:space="preserve"> </w:t>
      </w:r>
      <w:r w:rsidRPr="002358A2">
        <w:rPr>
          <w:iCs/>
        </w:rPr>
        <w:t>overcoming the potential conflicts of interests between KTB and the special</w:t>
      </w:r>
      <w:r w:rsidRPr="002358A2" w:rsidR="000F4FD7">
        <w:rPr>
          <w:iCs/>
        </w:rPr>
        <w:t xml:space="preserve"> </w:t>
      </w:r>
      <w:r w:rsidRPr="002358A2">
        <w:rPr>
          <w:iCs/>
        </w:rPr>
        <w:t xml:space="preserve">administrators, and KTB and the liquidators (see paragraphs </w:t>
      </w:r>
      <w:r w:rsidRPr="002358A2">
        <w:rPr>
          <w:iCs/>
        </w:rPr>
        <w:fldChar w:fldCharType="begin"/>
      </w:r>
      <w:r w:rsidRPr="002358A2">
        <w:rPr>
          <w:iCs/>
        </w:rPr>
        <w:instrText xml:space="preserve"> REF F_winding_up_CC_jud_14_06_2016 \h </w:instrText>
      </w:r>
      <w:r w:rsidRPr="002358A2">
        <w:rPr>
          <w:iCs/>
        </w:rPr>
      </w:r>
      <w:r w:rsidRPr="002358A2">
        <w:rPr>
          <w:iCs/>
        </w:rPr>
        <w:fldChar w:fldCharType="separate"/>
      </w:r>
      <w:r w:rsidRPr="002358A2" w:rsidR="002358A2">
        <w:rPr>
          <w:noProof/>
        </w:rPr>
        <w:t>75</w:t>
      </w:r>
      <w:r w:rsidRPr="002358A2">
        <w:rPr>
          <w:iCs/>
        </w:rPr>
        <w:fldChar w:fldCharType="end"/>
      </w:r>
      <w:r w:rsidRPr="002358A2">
        <w:rPr>
          <w:iCs/>
        </w:rPr>
        <w:t xml:space="preserve"> and </w:t>
      </w:r>
      <w:r w:rsidRPr="002358A2">
        <w:rPr>
          <w:iCs/>
        </w:rPr>
        <w:fldChar w:fldCharType="begin"/>
      </w:r>
      <w:r w:rsidRPr="002358A2">
        <w:rPr>
          <w:iCs/>
        </w:rPr>
        <w:instrText xml:space="preserve"> REF L_A6_1_rep_mer_G_1 \h </w:instrText>
      </w:r>
      <w:r w:rsidRPr="002358A2">
        <w:rPr>
          <w:iCs/>
        </w:rPr>
      </w:r>
      <w:r w:rsidRPr="002358A2">
        <w:rPr>
          <w:iCs/>
        </w:rPr>
        <w:fldChar w:fldCharType="separate"/>
      </w:r>
      <w:r w:rsidRPr="002358A2" w:rsidR="002358A2">
        <w:rPr>
          <w:noProof/>
        </w:rPr>
        <w:t>158</w:t>
      </w:r>
      <w:r w:rsidRPr="002358A2">
        <w:rPr>
          <w:iCs/>
        </w:rPr>
        <w:fldChar w:fldCharType="end"/>
      </w:r>
      <w:r w:rsidRPr="002358A2" w:rsidR="000F4FD7">
        <w:rPr>
          <w:iCs/>
        </w:rPr>
        <w:t xml:space="preserve"> </w:t>
      </w:r>
      <w:r w:rsidRPr="002358A2">
        <w:rPr>
          <w:i/>
        </w:rPr>
        <w:t>in fine</w:t>
      </w:r>
      <w:r w:rsidRPr="002358A2">
        <w:rPr>
          <w:iCs/>
        </w:rPr>
        <w:t xml:space="preserve"> above). But it cannot be overlooked that the Constitutional Court</w:t>
      </w:r>
      <w:r w:rsidRPr="002358A2" w:rsidR="002358A2">
        <w:rPr>
          <w:iCs/>
        </w:rPr>
        <w:t>’</w:t>
      </w:r>
      <w:r w:rsidRPr="002358A2">
        <w:rPr>
          <w:iCs/>
        </w:rPr>
        <w:t>s decision came at a late stage in the proceedings relating to KTB: at the time it was issued, the main issues falling to be decided by the Supreme Court of Cassation had little to do with the question whether KTB was indeed insolvent and should be wound up; they were rather whether KTB</w:t>
      </w:r>
      <w:r w:rsidRPr="002358A2" w:rsidR="002358A2">
        <w:rPr>
          <w:iCs/>
        </w:rPr>
        <w:t>’</w:t>
      </w:r>
      <w:r w:rsidRPr="002358A2">
        <w:rPr>
          <w:iCs/>
        </w:rPr>
        <w:t>s shareholders and former executive directors had standing to appeal, in their own capacity or on KTB</w:t>
      </w:r>
      <w:r w:rsidRPr="002358A2" w:rsidR="002358A2">
        <w:rPr>
          <w:iCs/>
        </w:rPr>
        <w:t>’</w:t>
      </w:r>
      <w:r w:rsidRPr="002358A2">
        <w:rPr>
          <w:iCs/>
        </w:rPr>
        <w:t xml:space="preserve">s behalf (see paragraph </w:t>
      </w:r>
      <w:r w:rsidRPr="002358A2">
        <w:rPr>
          <w:iCs/>
        </w:rPr>
        <w:fldChar w:fldCharType="begin"/>
      </w:r>
      <w:r w:rsidRPr="002358A2">
        <w:rPr>
          <w:iCs/>
        </w:rPr>
        <w:instrText xml:space="preserve"> REF F_winding_up_SCC_dec_06_07_2016 \h </w:instrText>
      </w:r>
      <w:r w:rsidRPr="002358A2">
        <w:rPr>
          <w:iCs/>
        </w:rPr>
      </w:r>
      <w:r w:rsidRPr="002358A2">
        <w:rPr>
          <w:iCs/>
        </w:rPr>
        <w:fldChar w:fldCharType="separate"/>
      </w:r>
      <w:r w:rsidRPr="002358A2" w:rsidR="002358A2">
        <w:rPr>
          <w:noProof/>
        </w:rPr>
        <w:t>78</w:t>
      </w:r>
      <w:r w:rsidRPr="002358A2">
        <w:rPr>
          <w:iCs/>
        </w:rPr>
        <w:fldChar w:fldCharType="end"/>
      </w:r>
      <w:r w:rsidRPr="002358A2">
        <w:rPr>
          <w:iCs/>
        </w:rPr>
        <w:t xml:space="preserve"> above). It is thus hard to see how the participation of a special representative </w:t>
      </w:r>
      <w:r w:rsidRPr="002358A2">
        <w:rPr>
          <w:i/>
        </w:rPr>
        <w:t>ad litem</w:t>
      </w:r>
      <w:r w:rsidRPr="002358A2">
        <w:rPr>
          <w:iCs/>
        </w:rPr>
        <w:t xml:space="preserve"> for KTB at that stage of the proceedings would have served to protect its rights and interests, as represented by its shareholders and former executive directors. Moreover, asking a court to reconsider a procedural decision is normally not an avenue which an applicant needs to pursue (see, </w:t>
      </w:r>
      <w:r w:rsidRPr="002358A2">
        <w:rPr>
          <w:i/>
        </w:rPr>
        <w:t>mutatis mutandis</w:t>
      </w:r>
      <w:r w:rsidRPr="002358A2">
        <w:rPr>
          <w:iCs/>
        </w:rPr>
        <w:t xml:space="preserve">, </w:t>
      </w:r>
      <w:r w:rsidRPr="002358A2">
        <w:rPr>
          <w:rFonts w:cstheme="minorHAnsi"/>
          <w:i/>
          <w:color w:val="000000"/>
          <w:lang w:val="en-US" w:eastAsia="fr-FR"/>
        </w:rPr>
        <w:t>Vasil Vasilev v. Bulgaria</w:t>
      </w:r>
      <w:r w:rsidRPr="002358A2">
        <w:rPr>
          <w:rFonts w:cstheme="minorHAnsi"/>
          <w:color w:val="000000"/>
          <w:lang w:val="en-US" w:eastAsia="fr-FR"/>
        </w:rPr>
        <w:t>, no. 7610/15, § 112, 16 November 2021).</w:t>
      </w:r>
    </w:p>
    <w:bookmarkStart w:name="L_A6_1_rep_mer_C_7" w:id="217"/>
    <w:p w:rsidRPr="002358A2" w:rsidR="00BF0CAC" w:rsidP="002358A2" w:rsidRDefault="00BF0CAC" w14:paraId="2E3E3CC0" w14:textId="4BD75B8B">
      <w:pPr>
        <w:pStyle w:val="JuPara"/>
        <w:rPr>
          <w:iCs/>
        </w:rPr>
      </w:pPr>
      <w:r w:rsidRPr="002358A2">
        <w:rPr>
          <w:iCs/>
        </w:rPr>
        <w:fldChar w:fldCharType="begin"/>
      </w:r>
      <w:r w:rsidRPr="002358A2">
        <w:rPr>
          <w:iCs/>
        </w:rPr>
        <w:instrText xml:space="preserve"> SEQ level0 \*arabic \* MERGEFORMAT </w:instrText>
      </w:r>
      <w:r w:rsidRPr="002358A2">
        <w:rPr>
          <w:iCs/>
        </w:rPr>
        <w:fldChar w:fldCharType="separate"/>
      </w:r>
      <w:r w:rsidRPr="002358A2" w:rsidR="002358A2">
        <w:rPr>
          <w:iCs/>
          <w:noProof/>
        </w:rPr>
        <w:t>166</w:t>
      </w:r>
      <w:r w:rsidRPr="002358A2">
        <w:rPr>
          <w:iCs/>
        </w:rPr>
        <w:fldChar w:fldCharType="end"/>
      </w:r>
      <w:bookmarkEnd w:id="217"/>
      <w:r w:rsidRPr="002358A2">
        <w:rPr>
          <w:iCs/>
        </w:rPr>
        <w:t>.  It is true that KTB</w:t>
      </w:r>
      <w:r w:rsidRPr="002358A2" w:rsidR="002358A2">
        <w:rPr>
          <w:iCs/>
        </w:rPr>
        <w:t>’</w:t>
      </w:r>
      <w:r w:rsidRPr="002358A2">
        <w:rPr>
          <w:iCs/>
        </w:rPr>
        <w:t xml:space="preserve">s two biggest shareholders </w:t>
      </w:r>
      <w:r w:rsidRPr="002358A2">
        <w:t xml:space="preserve">were permitted to intervene in the proceedings (see paragraphs </w:t>
      </w:r>
      <w:r w:rsidRPr="002358A2">
        <w:fldChar w:fldCharType="begin"/>
      </w:r>
      <w:r w:rsidRPr="002358A2">
        <w:instrText xml:space="preserve"> REF F_winding_up_SofCC_Bromak_BACII_interv \h </w:instrText>
      </w:r>
      <w:r w:rsidRPr="002358A2">
        <w:fldChar w:fldCharType="separate"/>
      </w:r>
      <w:r w:rsidRPr="002358A2" w:rsidR="002358A2">
        <w:rPr>
          <w:noProof/>
        </w:rPr>
        <w:t>52</w:t>
      </w:r>
      <w:r w:rsidRPr="002358A2">
        <w:fldChar w:fldCharType="end"/>
      </w:r>
      <w:r w:rsidRPr="002358A2">
        <w:t xml:space="preserve"> and </w:t>
      </w:r>
      <w:r w:rsidRPr="002358A2">
        <w:fldChar w:fldCharType="begin"/>
      </w:r>
      <w:r w:rsidRPr="002358A2">
        <w:instrText xml:space="preserve"> REF F_winding_up_SofCC_stay \h </w:instrText>
      </w:r>
      <w:r w:rsidRPr="002358A2">
        <w:fldChar w:fldCharType="separate"/>
      </w:r>
      <w:r w:rsidRPr="002358A2" w:rsidR="002358A2">
        <w:rPr>
          <w:noProof/>
        </w:rPr>
        <w:t>55</w:t>
      </w:r>
      <w:r w:rsidRPr="002358A2">
        <w:fldChar w:fldCharType="end"/>
      </w:r>
      <w:r w:rsidRPr="002358A2">
        <w:t xml:space="preserve"> above, and contrast </w:t>
      </w:r>
      <w:r w:rsidRPr="002358A2">
        <w:rPr>
          <w:i/>
          <w:iCs/>
        </w:rPr>
        <w:t>International Bank for Commerce and Development AD</w:t>
      </w:r>
      <w:r w:rsidRPr="002358A2">
        <w:t xml:space="preserve">, cited above, </w:t>
      </w:r>
      <w:r w:rsidRPr="002358A2">
        <w:rPr>
          <w:rFonts w:cstheme="minorHAnsi"/>
        </w:rPr>
        <w:t>§</w:t>
      </w:r>
      <w:r w:rsidRPr="002358A2">
        <w:t xml:space="preserve"> 69), as has been possible under Bulgarian law since 2007 (see paragraph </w:t>
      </w:r>
      <w:r w:rsidRPr="002358A2">
        <w:fldChar w:fldCharType="begin"/>
      </w:r>
      <w:r w:rsidRPr="002358A2">
        <w:instrText xml:space="preserve"> REF RLF_winding_up_hearing_representation \h </w:instrText>
      </w:r>
      <w:r w:rsidRPr="002358A2">
        <w:fldChar w:fldCharType="separate"/>
      </w:r>
      <w:r w:rsidRPr="002358A2" w:rsidR="002358A2">
        <w:rPr>
          <w:noProof/>
        </w:rPr>
        <w:t>96</w:t>
      </w:r>
      <w:r w:rsidRPr="002358A2">
        <w:fldChar w:fldCharType="end"/>
      </w:r>
      <w:r w:rsidRPr="002358A2">
        <w:t xml:space="preserve"> </w:t>
      </w:r>
      <w:r w:rsidRPr="002358A2">
        <w:rPr>
          <w:i/>
          <w:iCs/>
        </w:rPr>
        <w:t>in fine</w:t>
      </w:r>
      <w:r w:rsidRPr="002358A2">
        <w:t xml:space="preserve"> above). But their participation could not in itself remedy the absence of proper</w:t>
      </w:r>
      <w:r w:rsidRPr="002358A2" w:rsidR="000F4FD7">
        <w:t xml:space="preserve"> </w:t>
      </w:r>
      <w:r w:rsidRPr="002358A2">
        <w:t>representation for KTB, since (a) they were a mere third party, and</w:t>
      </w:r>
      <w:r w:rsidRPr="002358A2" w:rsidR="000F4FD7">
        <w:t xml:space="preserve"> </w:t>
      </w:r>
      <w:r w:rsidRPr="002358A2">
        <w:t>(b) section</w:t>
      </w:r>
      <w:r w:rsidRPr="002358A2" w:rsidR="000F4FD7">
        <w:t> </w:t>
      </w:r>
      <w:r w:rsidRPr="002358A2">
        <w:t xml:space="preserve">116(1) </w:t>
      </w:r>
      <w:r w:rsidRPr="002358A2">
        <w:rPr>
          <w:i/>
          <w:iCs/>
        </w:rPr>
        <w:t>in fine</w:t>
      </w:r>
      <w:r w:rsidRPr="002358A2">
        <w:t xml:space="preserve"> of the 2002 Act barred them from appealing against the first-instance judgment (see paragraphs </w:t>
      </w:r>
      <w:r w:rsidRPr="002358A2">
        <w:fldChar w:fldCharType="begin"/>
      </w:r>
      <w:r w:rsidRPr="002358A2">
        <w:instrText xml:space="preserve"> REF F_winding_up_SAC_dec_03_07_2015 \h </w:instrText>
      </w:r>
      <w:r w:rsidRPr="002358A2">
        <w:fldChar w:fldCharType="separate"/>
      </w:r>
      <w:r w:rsidRPr="002358A2" w:rsidR="002358A2">
        <w:rPr>
          <w:noProof/>
        </w:rPr>
        <w:t>68</w:t>
      </w:r>
      <w:r w:rsidRPr="002358A2">
        <w:fldChar w:fldCharType="end"/>
      </w:r>
      <w:r w:rsidRPr="002358A2">
        <w:t xml:space="preserve">, </w:t>
      </w:r>
      <w:r w:rsidRPr="002358A2">
        <w:fldChar w:fldCharType="begin"/>
      </w:r>
      <w:r w:rsidRPr="002358A2">
        <w:instrText xml:space="preserve"> REF F_winding_up_SCC_dec_06_07_2016 \h </w:instrText>
      </w:r>
      <w:r w:rsidRPr="002358A2">
        <w:fldChar w:fldCharType="separate"/>
      </w:r>
      <w:r w:rsidRPr="002358A2" w:rsidR="002358A2">
        <w:rPr>
          <w:noProof/>
        </w:rPr>
        <w:t>78</w:t>
      </w:r>
      <w:r w:rsidRPr="002358A2">
        <w:fldChar w:fldCharType="end"/>
      </w:r>
      <w:r w:rsidRPr="002358A2">
        <w:t xml:space="preserve">, </w:t>
      </w:r>
      <w:r w:rsidRPr="002358A2">
        <w:fldChar w:fldCharType="begin"/>
      </w:r>
      <w:r w:rsidRPr="002358A2">
        <w:instrText xml:space="preserve"> REF F_winding_up_SCC_dec_09_11_2016 \h </w:instrText>
      </w:r>
      <w:r w:rsidRPr="002358A2">
        <w:fldChar w:fldCharType="separate"/>
      </w:r>
      <w:r w:rsidRPr="002358A2" w:rsidR="002358A2">
        <w:rPr>
          <w:noProof/>
        </w:rPr>
        <w:t>81</w:t>
      </w:r>
      <w:r w:rsidRPr="002358A2">
        <w:fldChar w:fldCharType="end"/>
      </w:r>
      <w:r w:rsidRPr="002358A2">
        <w:t xml:space="preserve"> and </w:t>
      </w:r>
      <w:r w:rsidRPr="002358A2">
        <w:fldChar w:fldCharType="begin"/>
      </w:r>
      <w:r w:rsidRPr="002358A2">
        <w:instrText xml:space="preserve"> REF RLF_winding_up_appeal_standing \h </w:instrText>
      </w:r>
      <w:r w:rsidRPr="002358A2">
        <w:fldChar w:fldCharType="separate"/>
      </w:r>
      <w:r w:rsidRPr="002358A2" w:rsidR="002358A2">
        <w:rPr>
          <w:noProof/>
        </w:rPr>
        <w:t>99</w:t>
      </w:r>
      <w:r w:rsidRPr="002358A2">
        <w:fldChar w:fldCharType="end"/>
      </w:r>
      <w:r w:rsidRPr="002358A2">
        <w:t xml:space="preserve"> above). More importantly, it is not apparent that their interests as shareholders in KTB and those of KTB itself should fully coincide.</w:t>
      </w:r>
    </w:p>
    <w:bookmarkStart w:name="L_A6_1_rep_mer_C_8" w:id="218"/>
    <w:p w:rsidRPr="002358A2" w:rsidR="00BF0CAC" w:rsidP="002358A2" w:rsidRDefault="00BF0CAC" w14:paraId="24AD6380" w14:textId="6F0EC662">
      <w:pPr>
        <w:pStyle w:val="JuPara"/>
        <w:rPr>
          <w:iCs/>
        </w:rPr>
      </w:pPr>
      <w:r w:rsidRPr="002358A2">
        <w:fldChar w:fldCharType="begin"/>
      </w:r>
      <w:r w:rsidRPr="002358A2">
        <w:instrText xml:space="preserve"> SEQ level0 \*arabic \* MERGEFORMAT </w:instrText>
      </w:r>
      <w:r w:rsidRPr="002358A2">
        <w:fldChar w:fldCharType="separate"/>
      </w:r>
      <w:r w:rsidRPr="002358A2" w:rsidR="002358A2">
        <w:rPr>
          <w:noProof/>
        </w:rPr>
        <w:t>167</w:t>
      </w:r>
      <w:r w:rsidRPr="002358A2">
        <w:fldChar w:fldCharType="end"/>
      </w:r>
      <w:bookmarkEnd w:id="218"/>
      <w:r w:rsidRPr="002358A2">
        <w:t xml:space="preserve">.  KTB was thus effectively in the same position as the applicant banks in </w:t>
      </w:r>
      <w:r w:rsidRPr="002358A2">
        <w:rPr>
          <w:i/>
          <w:iCs/>
        </w:rPr>
        <w:t>Capital Bank AD</w:t>
      </w:r>
      <w:r w:rsidRPr="002358A2">
        <w:t xml:space="preserve"> and </w:t>
      </w:r>
      <w:r w:rsidRPr="002358A2">
        <w:rPr>
          <w:i/>
        </w:rPr>
        <w:t>International Bank for Commerce and Development</w:t>
      </w:r>
      <w:r w:rsidRPr="002358A2" w:rsidR="00531D64">
        <w:rPr>
          <w:i/>
        </w:rPr>
        <w:t> </w:t>
      </w:r>
      <w:r w:rsidRPr="002358A2">
        <w:rPr>
          <w:i/>
        </w:rPr>
        <w:t>AD and Others</w:t>
      </w:r>
      <w:r w:rsidRPr="002358A2">
        <w:rPr>
          <w:iCs/>
        </w:rPr>
        <w:t xml:space="preserve"> (both cited above): as it was represented exclusively by persons dependent on the opposing party, the BNB, it was unable to properly state its case and protect its interests, as it saw them.</w:t>
      </w:r>
    </w:p>
    <w:bookmarkStart w:name="L_A6_1_rep_mer_C_9" w:id="219"/>
    <w:p w:rsidRPr="002358A2" w:rsidR="00BF0CAC" w:rsidP="002358A2" w:rsidRDefault="00BF0CAC" w14:paraId="2ACEDF7F" w14:textId="2EC60873">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168</w:t>
      </w:r>
      <w:r w:rsidRPr="002358A2">
        <w:rPr>
          <w:noProof/>
        </w:rPr>
        <w:fldChar w:fldCharType="end"/>
      </w:r>
      <w:bookmarkEnd w:id="219"/>
      <w:r w:rsidRPr="002358A2">
        <w:t>.  There has therefore also been a breach of Article 6 § 1 of the Convention in this regard.</w:t>
      </w:r>
    </w:p>
    <w:p w:rsidRPr="002358A2" w:rsidR="00BF0CAC" w:rsidP="002358A2" w:rsidRDefault="00BF0CAC" w14:paraId="5D60D53D" w14:textId="77777777">
      <w:pPr>
        <w:pStyle w:val="JuHIRoman"/>
        <w:tabs>
          <w:tab w:val="left" w:pos="567"/>
          <w:tab w:val="left" w:pos="680"/>
        </w:tabs>
        <w:ind w:left="397" w:hanging="397"/>
      </w:pPr>
      <w:bookmarkStart w:name="_Toc107950886" w:id="220"/>
      <w:r w:rsidRPr="002358A2">
        <w:rPr>
          <w:caps w:val="0"/>
        </w:rPr>
        <w:t>ALLEGED VIOLATION OF ARTICLE 1 OF PROTOCOL No. 1</w:t>
      </w:r>
      <w:bookmarkEnd w:id="220"/>
    </w:p>
    <w:bookmarkStart w:name="L_A1P1_c_1" w:id="221"/>
    <w:p w:rsidRPr="002358A2" w:rsidR="00BF0CAC" w:rsidP="002358A2" w:rsidRDefault="00BF0CAC" w14:paraId="66E177A6" w14:textId="37C9A4BB">
      <w:pPr>
        <w:pStyle w:val="JuPara"/>
        <w:keepLines/>
      </w:pPr>
      <w:r w:rsidRPr="002358A2">
        <w:fldChar w:fldCharType="begin"/>
      </w:r>
      <w:r w:rsidRPr="002358A2">
        <w:instrText xml:space="preserve"> SEQ level0 \*arabic </w:instrText>
      </w:r>
      <w:r w:rsidRPr="002358A2">
        <w:fldChar w:fldCharType="separate"/>
      </w:r>
      <w:r w:rsidRPr="002358A2" w:rsidR="002358A2">
        <w:rPr>
          <w:noProof/>
        </w:rPr>
        <w:t>169</w:t>
      </w:r>
      <w:r w:rsidRPr="002358A2">
        <w:fldChar w:fldCharType="end"/>
      </w:r>
      <w:bookmarkEnd w:id="221"/>
      <w:r w:rsidRPr="002358A2">
        <w:t>.  In application no. 46564/15, a complaint was made on behalf of KTB under Article 1 of Protocol No. 1 that the BNB</w:t>
      </w:r>
      <w:r w:rsidRPr="002358A2" w:rsidR="002358A2">
        <w:t>’</w:t>
      </w:r>
      <w:r w:rsidRPr="002358A2">
        <w:t>s decision to withdraw its licence had been based on incorrect findings about KTB</w:t>
      </w:r>
      <w:r w:rsidRPr="002358A2" w:rsidR="002358A2">
        <w:t>’</w:t>
      </w:r>
      <w:r w:rsidRPr="002358A2">
        <w:t>s situation, and had been unlawful (both in terms of Bulgarian law and in terms of not being surrounded by sufficient safeguards against arbitrariness) and unjustified.</w:t>
      </w:r>
    </w:p>
    <w:bookmarkStart w:name="L_A1P1_c_2" w:id="222"/>
    <w:p w:rsidRPr="002358A2" w:rsidR="00BF0CAC" w:rsidP="002358A2" w:rsidRDefault="00BF0CAC" w14:paraId="72B80A1F" w14:textId="12A8776A">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170</w:t>
      </w:r>
      <w:r w:rsidRPr="002358A2">
        <w:rPr>
          <w:noProof/>
        </w:rPr>
        <w:fldChar w:fldCharType="end"/>
      </w:r>
      <w:bookmarkEnd w:id="222"/>
      <w:r w:rsidRPr="002358A2">
        <w:t xml:space="preserve">.  In application no. 68140/16, a complaint was made on behalf of KTB under the same provision that the judicial decision to declare it insolvent and wind it up had been unlawful and disproportionate, owing to, </w:t>
      </w:r>
      <w:r w:rsidRPr="002358A2">
        <w:rPr>
          <w:i/>
          <w:iCs/>
        </w:rPr>
        <w:t>inter alia</w:t>
      </w:r>
      <w:r w:rsidRPr="002358A2">
        <w:t>, a lack of sufficient safeguards, in particular the refusal of the Sofia City Court to examine whether the findings underpinning the withdrawal of KTB</w:t>
      </w:r>
      <w:r w:rsidRPr="002358A2" w:rsidR="002358A2">
        <w:t>’</w:t>
      </w:r>
      <w:r w:rsidRPr="002358A2">
        <w:t>s licence had been correct.</w:t>
      </w:r>
    </w:p>
    <w:bookmarkStart w:name="L_A1P1_text" w:id="223"/>
    <w:p w:rsidRPr="002358A2" w:rsidR="00BF0CAC" w:rsidP="002358A2" w:rsidRDefault="00BF0CAC" w14:paraId="196939E8" w14:textId="6476AC94">
      <w:pPr>
        <w:pStyle w:val="JuPara"/>
        <w:keepNext/>
      </w:pPr>
      <w:r w:rsidRPr="002358A2">
        <w:fldChar w:fldCharType="begin"/>
      </w:r>
      <w:r w:rsidRPr="002358A2">
        <w:instrText xml:space="preserve"> SEQ level0 \*arabic \* MERGEFORMAT </w:instrText>
      </w:r>
      <w:r w:rsidRPr="002358A2">
        <w:fldChar w:fldCharType="separate"/>
      </w:r>
      <w:r w:rsidRPr="002358A2" w:rsidR="002358A2">
        <w:rPr>
          <w:noProof/>
        </w:rPr>
        <w:t>171</w:t>
      </w:r>
      <w:r w:rsidRPr="002358A2">
        <w:rPr>
          <w:noProof/>
        </w:rPr>
        <w:fldChar w:fldCharType="end"/>
      </w:r>
      <w:bookmarkEnd w:id="223"/>
      <w:r w:rsidRPr="002358A2">
        <w:t>.  Article 1 of Protocol No. 1 provides:</w:t>
      </w:r>
    </w:p>
    <w:p w:rsidRPr="002358A2" w:rsidR="00BF0CAC" w:rsidP="002358A2" w:rsidRDefault="00BF0CAC" w14:paraId="74DF2975" w14:textId="77777777">
      <w:pPr>
        <w:pStyle w:val="JuQuot"/>
        <w:keepLines/>
      </w:pPr>
      <w:r w:rsidRPr="002358A2">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Pr="002358A2" w:rsidR="00BF0CAC" w:rsidP="002358A2" w:rsidRDefault="00BF0CAC" w14:paraId="304665D7" w14:textId="77777777">
      <w:pPr>
        <w:pStyle w:val="JuQuot"/>
        <w:keepLines/>
      </w:pPr>
      <w:r w:rsidRPr="002358A2">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Pr="002358A2" w:rsidR="00BF0CAC" w:rsidP="002358A2" w:rsidRDefault="00BF0CAC" w14:paraId="17BDB828" w14:textId="77777777">
      <w:pPr>
        <w:pStyle w:val="JuHA"/>
      </w:pPr>
      <w:bookmarkStart w:name="_Toc107950887" w:id="224"/>
      <w:r w:rsidRPr="002358A2">
        <w:t>Whether a separate examination of the complaints is necessary</w:t>
      </w:r>
      <w:bookmarkEnd w:id="224"/>
    </w:p>
    <w:bookmarkStart w:name="L_A1P1_sep_exm_G" w:id="225"/>
    <w:p w:rsidRPr="002358A2" w:rsidR="00BF0CAC" w:rsidP="002358A2" w:rsidRDefault="00BF0CAC" w14:paraId="644EA235" w14:textId="1B036675">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172</w:t>
      </w:r>
      <w:r w:rsidRPr="002358A2">
        <w:rPr>
          <w:noProof/>
        </w:rPr>
        <w:fldChar w:fldCharType="end"/>
      </w:r>
      <w:bookmarkEnd w:id="225"/>
      <w:r w:rsidRPr="002358A2">
        <w:t>.  The Government invited the Court to not deal with those two complaints, saying that they raised the same issues as those under Article 6 § 1 of the Convention.</w:t>
      </w:r>
    </w:p>
    <w:bookmarkStart w:name="L_A1P1_sep_exm_C" w:id="226"/>
    <w:p w:rsidRPr="002358A2" w:rsidR="00BF0CAC" w:rsidP="002358A2" w:rsidRDefault="00BF0CAC" w14:paraId="37B1B6A1" w14:textId="49C3297A">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173</w:t>
      </w:r>
      <w:r w:rsidRPr="002358A2">
        <w:fldChar w:fldCharType="end"/>
      </w:r>
      <w:bookmarkEnd w:id="226"/>
      <w:r w:rsidRPr="002358A2">
        <w:t>.  The Court notes that the two complaints under Article 1 of Protocol</w:t>
      </w:r>
      <w:r w:rsidRPr="002358A2" w:rsidR="00883A9E">
        <w:t> </w:t>
      </w:r>
      <w:r w:rsidRPr="002358A2">
        <w:t xml:space="preserve">No. 1 and the first two complaints under Article 6 </w:t>
      </w:r>
      <w:r w:rsidRPr="002358A2">
        <w:rPr>
          <w:rFonts w:cstheme="minorHAnsi"/>
        </w:rPr>
        <w:t>§</w:t>
      </w:r>
      <w:r w:rsidRPr="002358A2">
        <w:t xml:space="preserve"> 1 of the Convention both touch upon the alleged lack of safeguards surrounding the BNB</w:t>
      </w:r>
      <w:r w:rsidRPr="002358A2" w:rsidR="002358A2">
        <w:t>’</w:t>
      </w:r>
      <w:r w:rsidRPr="002358A2">
        <w:t>s decision to withdraw KTB</w:t>
      </w:r>
      <w:r w:rsidRPr="002358A2" w:rsidR="002358A2">
        <w:t>’</w:t>
      </w:r>
      <w:r w:rsidRPr="002358A2">
        <w:t>s licence. The complaints under Article 1 of Protocol No. 1 are however broader in scope, since they relate not only to the possibility of seeking judicial review of the BNB</w:t>
      </w:r>
      <w:r w:rsidRPr="002358A2" w:rsidR="002358A2">
        <w:t>’</w:t>
      </w:r>
      <w:r w:rsidRPr="002358A2">
        <w:t>s decision, but more</w:t>
      </w:r>
      <w:r w:rsidRPr="002358A2" w:rsidR="00883A9E">
        <w:t> </w:t>
      </w:r>
      <w:r w:rsidRPr="002358A2">
        <w:t>generally to the possibility of contesting that decision (see paragraphs</w:t>
      </w:r>
      <w:r w:rsidRPr="002358A2" w:rsidR="00883A9E">
        <w:t> </w:t>
      </w:r>
      <w:r w:rsidRPr="002358A2">
        <w:fldChar w:fldCharType="begin"/>
      </w:r>
      <w:r w:rsidRPr="002358A2">
        <w:instrText xml:space="preserve"> REF L_A6_1_access_c_1 \h </w:instrText>
      </w:r>
      <w:r w:rsidRPr="002358A2">
        <w:fldChar w:fldCharType="separate"/>
      </w:r>
      <w:r w:rsidRPr="002358A2" w:rsidR="002358A2">
        <w:rPr>
          <w:noProof/>
        </w:rPr>
        <w:t>116</w:t>
      </w:r>
      <w:r w:rsidRPr="002358A2">
        <w:fldChar w:fldCharType="end"/>
      </w:r>
      <w:r w:rsidRPr="002358A2">
        <w:t>-</w:t>
      </w:r>
      <w:r w:rsidRPr="002358A2">
        <w:fldChar w:fldCharType="begin"/>
      </w:r>
      <w:r w:rsidRPr="002358A2">
        <w:instrText xml:space="preserve"> REF L_A6_1_access_c_2 \h </w:instrText>
      </w:r>
      <w:r w:rsidRPr="002358A2">
        <w:fldChar w:fldCharType="separate"/>
      </w:r>
      <w:r w:rsidRPr="002358A2" w:rsidR="002358A2">
        <w:rPr>
          <w:noProof/>
        </w:rPr>
        <w:t>117</w:t>
      </w:r>
      <w:r w:rsidRPr="002358A2">
        <w:fldChar w:fldCharType="end"/>
      </w:r>
      <w:r w:rsidRPr="002358A2">
        <w:t xml:space="preserve"> and </w:t>
      </w:r>
      <w:r w:rsidRPr="002358A2">
        <w:fldChar w:fldCharType="begin"/>
      </w:r>
      <w:r w:rsidRPr="002358A2">
        <w:instrText xml:space="preserve"> REF L_A1P1_c_1 \h </w:instrText>
      </w:r>
      <w:r w:rsidRPr="002358A2">
        <w:fldChar w:fldCharType="separate"/>
      </w:r>
      <w:r w:rsidRPr="002358A2" w:rsidR="002358A2">
        <w:rPr>
          <w:noProof/>
        </w:rPr>
        <w:t>169</w:t>
      </w:r>
      <w:r w:rsidRPr="002358A2">
        <w:fldChar w:fldCharType="end"/>
      </w:r>
      <w:r w:rsidRPr="002358A2">
        <w:t>-</w:t>
      </w:r>
      <w:r w:rsidRPr="002358A2">
        <w:fldChar w:fldCharType="begin"/>
      </w:r>
      <w:r w:rsidRPr="002358A2">
        <w:instrText xml:space="preserve"> REF L_A1P1_c_2 \h </w:instrText>
      </w:r>
      <w:r w:rsidRPr="002358A2">
        <w:fldChar w:fldCharType="separate"/>
      </w:r>
      <w:r w:rsidRPr="002358A2" w:rsidR="002358A2">
        <w:rPr>
          <w:noProof/>
        </w:rPr>
        <w:t>170</w:t>
      </w:r>
      <w:r w:rsidRPr="002358A2">
        <w:fldChar w:fldCharType="end"/>
      </w:r>
      <w:r w:rsidRPr="002358A2">
        <w:t xml:space="preserve"> above). There is, moreover, a difference in the nature of the interests protected by Article 6 </w:t>
      </w:r>
      <w:r w:rsidRPr="002358A2">
        <w:rPr>
          <w:rFonts w:cstheme="minorHAnsi"/>
        </w:rPr>
        <w:t>§</w:t>
      </w:r>
      <w:r w:rsidRPr="002358A2">
        <w:t xml:space="preserve"> 1 of the Convention and Article 1 of Protocol No. 1 in such situations: the former affords an explicit procedural safeguard (to have any dispute relating to one</w:t>
      </w:r>
      <w:r w:rsidRPr="002358A2" w:rsidR="002358A2">
        <w:t>’</w:t>
      </w:r>
      <w:r w:rsidRPr="002358A2">
        <w:t>s civil rights or obligations determined by a court), whereas the procedural requirements inherent in the latter are ancillary to the purpose of ensuring respect for the right peacefully to enjoy one</w:t>
      </w:r>
      <w:r w:rsidRPr="002358A2" w:rsidR="002358A2">
        <w:t>’</w:t>
      </w:r>
      <w:r w:rsidRPr="002358A2">
        <w:t xml:space="preserve">s possessions (see, </w:t>
      </w:r>
      <w:r w:rsidRPr="002358A2">
        <w:rPr>
          <w:i/>
          <w:iCs/>
        </w:rPr>
        <w:t>mutatis mutandis</w:t>
      </w:r>
      <w:r w:rsidRPr="002358A2">
        <w:t xml:space="preserve">, </w:t>
      </w:r>
      <w:r w:rsidRPr="002358A2">
        <w:rPr>
          <w:i/>
        </w:rPr>
        <w:t>Iatridis v.</w:t>
      </w:r>
      <w:r w:rsidRPr="002358A2" w:rsidR="00883A9E">
        <w:rPr>
          <w:i/>
        </w:rPr>
        <w:t> </w:t>
      </w:r>
      <w:r w:rsidRPr="002358A2">
        <w:rPr>
          <w:i/>
        </w:rPr>
        <w:t>Greece</w:t>
      </w:r>
      <w:r w:rsidRPr="002358A2">
        <w:t xml:space="preserve"> [GC], no. 31107/96, § 65, ECHR</w:t>
      </w:r>
      <w:r w:rsidRPr="002358A2" w:rsidR="00883A9E">
        <w:t xml:space="preserve"> </w:t>
      </w:r>
      <w:r w:rsidRPr="002358A2">
        <w:t xml:space="preserve">1999-II; </w:t>
      </w:r>
      <w:r w:rsidRPr="002358A2">
        <w:rPr>
          <w:i/>
        </w:rPr>
        <w:t>Karamitrov and Others v. Bulgaria</w:t>
      </w:r>
      <w:r w:rsidRPr="002358A2">
        <w:t>, no. 53321/99, § 75, 10</w:t>
      </w:r>
      <w:r w:rsidRPr="002358A2" w:rsidR="00883A9E">
        <w:t xml:space="preserve"> </w:t>
      </w:r>
      <w:r w:rsidRPr="002358A2">
        <w:t xml:space="preserve">January 2008; and </w:t>
      </w:r>
      <w:r w:rsidRPr="002358A2">
        <w:rPr>
          <w:i/>
        </w:rPr>
        <w:t>Borzhonov v. Russia</w:t>
      </w:r>
      <w:r w:rsidRPr="002358A2">
        <w:t xml:space="preserve">, no. 18274/04, § 50, 22 January 2009). In the circumstances of this case, the complaints under Article 1 of Protocol No. 1 are hence not absorbed by the complaints under Article 6 § 1 of the Convention, and they must be examined separately (see, </w:t>
      </w:r>
      <w:r w:rsidRPr="002358A2">
        <w:rPr>
          <w:i/>
          <w:iCs/>
        </w:rPr>
        <w:t>mutatis mutandis</w:t>
      </w:r>
      <w:r w:rsidRPr="002358A2">
        <w:t xml:space="preserve">, </w:t>
      </w:r>
      <w:r w:rsidRPr="002358A2">
        <w:rPr>
          <w:rFonts w:cstheme="minorHAnsi"/>
          <w:i/>
          <w:color w:val="000000"/>
          <w:lang w:val="en-US" w:eastAsia="fr-FR"/>
        </w:rPr>
        <w:t>Project-Trade d.o.o. v. Croatia</w:t>
      </w:r>
      <w:r w:rsidRPr="002358A2">
        <w:rPr>
          <w:rFonts w:cstheme="minorHAnsi"/>
          <w:color w:val="000000"/>
          <w:lang w:val="en-US" w:eastAsia="fr-FR"/>
        </w:rPr>
        <w:t>, no.</w:t>
      </w:r>
      <w:r w:rsidRPr="002358A2" w:rsidR="00883A9E">
        <w:rPr>
          <w:rFonts w:cstheme="minorHAnsi"/>
          <w:color w:val="000000"/>
          <w:lang w:val="en-US" w:eastAsia="fr-FR"/>
        </w:rPr>
        <w:t> </w:t>
      </w:r>
      <w:r w:rsidRPr="002358A2">
        <w:rPr>
          <w:rFonts w:cstheme="minorHAnsi"/>
          <w:color w:val="000000"/>
          <w:lang w:val="en-US" w:eastAsia="fr-FR"/>
        </w:rPr>
        <w:t>1920/14, § 38, 19 November 2020).</w:t>
      </w:r>
    </w:p>
    <w:p w:rsidRPr="002358A2" w:rsidR="00BF0CAC" w:rsidP="002358A2" w:rsidRDefault="00BF0CAC" w14:paraId="37B7FD21" w14:textId="77777777">
      <w:pPr>
        <w:pStyle w:val="JuHA"/>
      </w:pPr>
      <w:bookmarkStart w:name="_Toc107950888" w:id="227"/>
      <w:r w:rsidRPr="002358A2">
        <w:t>Admissibility</w:t>
      </w:r>
      <w:bookmarkEnd w:id="227"/>
    </w:p>
    <w:bookmarkStart w:name="L_A1P1_adm_G" w:id="228"/>
    <w:p w:rsidRPr="002358A2" w:rsidR="00BF0CAC" w:rsidP="002358A2" w:rsidRDefault="00BF0CAC" w14:paraId="2876AF22" w14:textId="2C5B9125">
      <w:pPr>
        <w:pStyle w:val="JuPara"/>
      </w:pPr>
      <w:r w:rsidRPr="002358A2">
        <w:fldChar w:fldCharType="begin"/>
      </w:r>
      <w:r w:rsidRPr="002358A2">
        <w:instrText xml:space="preserve"> SEQ level0 \*arabic </w:instrText>
      </w:r>
      <w:r w:rsidRPr="002358A2">
        <w:fldChar w:fldCharType="separate"/>
      </w:r>
      <w:r w:rsidRPr="002358A2" w:rsidR="002358A2">
        <w:rPr>
          <w:noProof/>
        </w:rPr>
        <w:t>174</w:t>
      </w:r>
      <w:r w:rsidRPr="002358A2">
        <w:fldChar w:fldCharType="end"/>
      </w:r>
      <w:bookmarkEnd w:id="228"/>
      <w:r w:rsidRPr="002358A2">
        <w:t>.  From the tenor of the Government</w:t>
      </w:r>
      <w:r w:rsidRPr="002358A2" w:rsidR="002358A2">
        <w:t>’</w:t>
      </w:r>
      <w:r w:rsidRPr="002358A2">
        <w:t xml:space="preserve">s observations, it can be seen that their non-exhaustion objection with respect to the first two complaints under Article 6 § 1 of the Convention (see paragraphs </w:t>
      </w:r>
      <w:r w:rsidRPr="002358A2">
        <w:fldChar w:fldCharType="begin"/>
      </w:r>
      <w:r w:rsidRPr="002358A2">
        <w:instrText xml:space="preserve"> REF L_A6_1_access_adm_G_1 \h </w:instrText>
      </w:r>
      <w:r w:rsidRPr="002358A2">
        <w:fldChar w:fldCharType="separate"/>
      </w:r>
      <w:r w:rsidRPr="002358A2" w:rsidR="002358A2">
        <w:rPr>
          <w:noProof/>
        </w:rPr>
        <w:t>119</w:t>
      </w:r>
      <w:r w:rsidRPr="002358A2">
        <w:fldChar w:fldCharType="end"/>
      </w:r>
      <w:r w:rsidRPr="002358A2">
        <w:t xml:space="preserve"> and </w:t>
      </w:r>
      <w:r w:rsidRPr="002358A2">
        <w:fldChar w:fldCharType="begin"/>
      </w:r>
      <w:r w:rsidRPr="002358A2">
        <w:instrText xml:space="preserve"> REF L_A6_1_access_adm_G_2 \h </w:instrText>
      </w:r>
      <w:r w:rsidRPr="002358A2">
        <w:fldChar w:fldCharType="separate"/>
      </w:r>
      <w:r w:rsidRPr="002358A2" w:rsidR="002358A2">
        <w:rPr>
          <w:noProof/>
        </w:rPr>
        <w:t>120</w:t>
      </w:r>
      <w:r w:rsidRPr="002358A2">
        <w:fldChar w:fldCharType="end"/>
      </w:r>
      <w:r w:rsidRPr="002358A2">
        <w:t xml:space="preserve"> above) relates to the present two complaints as well. However, that objection, having been joined to the merits of the first two complaints under Article 6 § 1 of the Convention, was already rejected in its entirety (see paragraphs </w:t>
      </w:r>
      <w:r w:rsidRPr="002358A2">
        <w:fldChar w:fldCharType="begin"/>
      </w:r>
      <w:r w:rsidRPr="002358A2">
        <w:instrText xml:space="preserve"> REF L_A6_1_access_adm_C_1 \h </w:instrText>
      </w:r>
      <w:r w:rsidRPr="002358A2">
        <w:fldChar w:fldCharType="separate"/>
      </w:r>
      <w:r w:rsidRPr="002358A2" w:rsidR="002358A2">
        <w:rPr>
          <w:noProof/>
        </w:rPr>
        <w:t>124</w:t>
      </w:r>
      <w:r w:rsidRPr="002358A2">
        <w:fldChar w:fldCharType="end"/>
      </w:r>
      <w:r w:rsidRPr="002358A2">
        <w:t xml:space="preserve">, </w:t>
      </w:r>
      <w:r w:rsidRPr="002358A2">
        <w:fldChar w:fldCharType="begin"/>
      </w:r>
      <w:r w:rsidRPr="002358A2">
        <w:instrText xml:space="preserve"> REF L_A6_1_access_mer_C_4 \h </w:instrText>
      </w:r>
      <w:r w:rsidRPr="002358A2">
        <w:fldChar w:fldCharType="separate"/>
      </w:r>
      <w:r w:rsidRPr="002358A2" w:rsidR="002358A2">
        <w:rPr>
          <w:noProof/>
        </w:rPr>
        <w:t>131</w:t>
      </w:r>
      <w:r w:rsidRPr="002358A2">
        <w:fldChar w:fldCharType="end"/>
      </w:r>
      <w:r w:rsidRPr="002358A2">
        <w:t xml:space="preserve">, </w:t>
      </w:r>
      <w:r w:rsidRPr="002358A2">
        <w:fldChar w:fldCharType="begin"/>
      </w:r>
      <w:r w:rsidRPr="002358A2">
        <w:instrText xml:space="preserve"> REF L_A6_1_access_mer_C_12 \h </w:instrText>
      </w:r>
      <w:r w:rsidRPr="002358A2">
        <w:fldChar w:fldCharType="separate"/>
      </w:r>
      <w:r w:rsidRPr="002358A2" w:rsidR="002358A2">
        <w:rPr>
          <w:noProof/>
        </w:rPr>
        <w:t>139</w:t>
      </w:r>
      <w:r w:rsidRPr="002358A2">
        <w:fldChar w:fldCharType="end"/>
      </w:r>
      <w:r w:rsidRPr="002358A2">
        <w:t xml:space="preserve"> and </w:t>
      </w:r>
      <w:r w:rsidRPr="002358A2">
        <w:fldChar w:fldCharType="begin"/>
      </w:r>
      <w:r w:rsidRPr="002358A2">
        <w:instrText xml:space="preserve"> REF L_A6_1_access_mer_C_12_bis \h </w:instrText>
      </w:r>
      <w:r w:rsidRPr="002358A2">
        <w:fldChar w:fldCharType="separate"/>
      </w:r>
      <w:r w:rsidRPr="002358A2" w:rsidR="002358A2">
        <w:rPr>
          <w:noProof/>
        </w:rPr>
        <w:t>140</w:t>
      </w:r>
      <w:r w:rsidRPr="002358A2">
        <w:fldChar w:fldCharType="end"/>
      </w:r>
      <w:r w:rsidRPr="002358A2">
        <w:t xml:space="preserve"> above).</w:t>
      </w:r>
    </w:p>
    <w:bookmarkStart w:name="L_A1P1_adm_KTB" w:id="229"/>
    <w:p w:rsidRPr="002358A2" w:rsidR="00BF0CAC" w:rsidP="002358A2" w:rsidRDefault="00BF0CAC" w14:paraId="6C298484" w14:textId="743CE314">
      <w:pPr>
        <w:pStyle w:val="JuPara"/>
      </w:pPr>
      <w:r w:rsidRPr="002358A2">
        <w:fldChar w:fldCharType="begin"/>
      </w:r>
      <w:r w:rsidRPr="002358A2">
        <w:instrText xml:space="preserve"> SEQ level0 \*arabic </w:instrText>
      </w:r>
      <w:r w:rsidRPr="002358A2">
        <w:fldChar w:fldCharType="separate"/>
      </w:r>
      <w:r w:rsidRPr="002358A2" w:rsidR="002358A2">
        <w:rPr>
          <w:noProof/>
        </w:rPr>
        <w:t>175</w:t>
      </w:r>
      <w:r w:rsidRPr="002358A2">
        <w:fldChar w:fldCharType="end"/>
      </w:r>
      <w:bookmarkEnd w:id="229"/>
      <w:r w:rsidRPr="002358A2">
        <w:t>.  With reference to Article 1 of Protocol No. 1, the Government further submitted that none of the legal challenges against the withdrawal of KTB</w:t>
      </w:r>
      <w:r w:rsidRPr="002358A2" w:rsidR="002358A2">
        <w:t>’</w:t>
      </w:r>
      <w:r w:rsidRPr="002358A2">
        <w:t>s licence had argued, expressly or in substance, that this had been contrary to that provision. KTB replied that when seeking judicial review of the BNB</w:t>
      </w:r>
      <w:r w:rsidRPr="002358A2" w:rsidR="002358A2">
        <w:t>’</w:t>
      </w:r>
      <w:r w:rsidRPr="002358A2">
        <w:t>s decision to withdraw its licence, Bromak had relied on Article 1 of Protocol</w:t>
      </w:r>
      <w:r w:rsidRPr="002358A2" w:rsidR="00883A9E">
        <w:t> </w:t>
      </w:r>
      <w:r w:rsidRPr="002358A2">
        <w:t>No. 1.</w:t>
      </w:r>
    </w:p>
    <w:bookmarkStart w:name="L_A1P1_adm_C_1" w:id="230"/>
    <w:p w:rsidRPr="002358A2" w:rsidR="00BF0CAC" w:rsidP="002358A2" w:rsidRDefault="00BF0CAC" w14:paraId="0FCD9BA4" w14:textId="4A94A809">
      <w:pPr>
        <w:pStyle w:val="JuPara"/>
        <w:rPr>
          <w:lang w:val="en-US"/>
        </w:rPr>
      </w:pPr>
      <w:r w:rsidRPr="002358A2">
        <w:fldChar w:fldCharType="begin"/>
      </w:r>
      <w:r w:rsidRPr="002358A2">
        <w:instrText xml:space="preserve"> SEQ level0 \*arabic </w:instrText>
      </w:r>
      <w:r w:rsidRPr="002358A2">
        <w:fldChar w:fldCharType="separate"/>
      </w:r>
      <w:r w:rsidRPr="002358A2" w:rsidR="002358A2">
        <w:rPr>
          <w:noProof/>
        </w:rPr>
        <w:t>176</w:t>
      </w:r>
      <w:r w:rsidRPr="002358A2">
        <w:fldChar w:fldCharType="end"/>
      </w:r>
      <w:bookmarkEnd w:id="230"/>
      <w:r w:rsidRPr="002358A2">
        <w:t xml:space="preserve">.  The Court notes, in relation to this assertion by the Government, that it was already established that KTB itself did not have a </w:t>
      </w:r>
      <w:r w:rsidRPr="002358A2">
        <w:rPr>
          <w:iCs/>
        </w:rPr>
        <w:t xml:space="preserve">clear and practical possibility of seeking judicial review of the withdrawal of its licence by proper representation </w:t>
      </w:r>
      <w:r w:rsidRPr="002358A2">
        <w:t xml:space="preserve">(see paragraph </w:t>
      </w:r>
      <w:r w:rsidRPr="002358A2">
        <w:fldChar w:fldCharType="begin"/>
      </w:r>
      <w:r w:rsidRPr="002358A2">
        <w:instrText xml:space="preserve"> REF L_A6_1_access_mer_C_17 \h </w:instrText>
      </w:r>
      <w:r w:rsidRPr="002358A2">
        <w:fldChar w:fldCharType="separate"/>
      </w:r>
      <w:r w:rsidRPr="002358A2" w:rsidR="002358A2">
        <w:rPr>
          <w:noProof/>
        </w:rPr>
        <w:t>145</w:t>
      </w:r>
      <w:r w:rsidRPr="002358A2">
        <w:fldChar w:fldCharType="end"/>
      </w:r>
      <w:r w:rsidRPr="002358A2">
        <w:t xml:space="preserve"> above). It is therefore hard to see how KTB could have, by such representation, usefully argued in any such proceedings that this withdrawal had been in breach of Article 1 of Protocol</w:t>
      </w:r>
      <w:r w:rsidRPr="002358A2" w:rsidR="00883A9E">
        <w:t> </w:t>
      </w:r>
      <w:r w:rsidRPr="002358A2">
        <w:t>No. 1. In so far as this argument can be seen as a further non-exhaustion objection by the Government in respect of the two complaints under that provision, this objection must therefore be rejected.</w:t>
      </w:r>
    </w:p>
    <w:bookmarkStart w:name="L_A1P1_adm_C_2" w:id="231"/>
    <w:p w:rsidRPr="002358A2" w:rsidR="00BF0CAC" w:rsidP="002358A2" w:rsidRDefault="00BF0CAC" w14:paraId="5DD89467" w14:textId="4737DDE5">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177</w:t>
      </w:r>
      <w:r w:rsidRPr="002358A2">
        <w:fldChar w:fldCharType="end"/>
      </w:r>
      <w:bookmarkEnd w:id="231"/>
      <w:r w:rsidRPr="002358A2">
        <w:t>.  The two complaints are, furthermore, not manifestly ill-founded or inadmissible on any other grounds. They must therefore be declared admissible.</w:t>
      </w:r>
    </w:p>
    <w:p w:rsidRPr="002358A2" w:rsidR="00BF0CAC" w:rsidP="002358A2" w:rsidRDefault="00BF0CAC" w14:paraId="58C22B9A" w14:textId="77777777">
      <w:pPr>
        <w:pStyle w:val="JuHA"/>
      </w:pPr>
      <w:bookmarkStart w:name="_Toc107950889" w:id="232"/>
      <w:r w:rsidRPr="002358A2">
        <w:t>Merits</w:t>
      </w:r>
      <w:bookmarkEnd w:id="232"/>
    </w:p>
    <w:p w:rsidRPr="002358A2" w:rsidR="00BF0CAC" w:rsidP="002358A2" w:rsidRDefault="00BF0CAC" w14:paraId="2C0F9A46" w14:textId="60A43400">
      <w:pPr>
        <w:pStyle w:val="JuH1"/>
      </w:pPr>
      <w:bookmarkStart w:name="_Toc107950890" w:id="233"/>
      <w:r w:rsidRPr="002358A2">
        <w:t>The parties</w:t>
      </w:r>
      <w:r w:rsidRPr="002358A2" w:rsidR="002358A2">
        <w:t>’</w:t>
      </w:r>
      <w:r w:rsidRPr="002358A2">
        <w:t xml:space="preserve"> submissions</w:t>
      </w:r>
      <w:bookmarkEnd w:id="233"/>
    </w:p>
    <w:p w:rsidRPr="002358A2" w:rsidR="00BF0CAC" w:rsidP="002358A2" w:rsidRDefault="00BF0CAC" w14:paraId="6D9E3569" w14:textId="77777777">
      <w:pPr>
        <w:pStyle w:val="JuHa0"/>
      </w:pPr>
      <w:bookmarkStart w:name="_Toc107950891" w:id="234"/>
      <w:r w:rsidRPr="002358A2">
        <w:t>KTB</w:t>
      </w:r>
      <w:bookmarkEnd w:id="234"/>
    </w:p>
    <w:p w:rsidRPr="002358A2" w:rsidR="00BF0CAC" w:rsidP="002358A2" w:rsidRDefault="00BF0CAC" w14:paraId="6973F002" w14:textId="04638025">
      <w:pPr>
        <w:pStyle w:val="JuPara"/>
      </w:pPr>
      <w:r w:rsidRPr="002358A2">
        <w:fldChar w:fldCharType="begin"/>
      </w:r>
      <w:r w:rsidRPr="002358A2">
        <w:instrText xml:space="preserve"> SEQ level0 \*arabic </w:instrText>
      </w:r>
      <w:r w:rsidRPr="002358A2">
        <w:fldChar w:fldCharType="separate"/>
      </w:r>
      <w:r w:rsidRPr="002358A2" w:rsidR="002358A2">
        <w:rPr>
          <w:noProof/>
        </w:rPr>
        <w:t>178</w:t>
      </w:r>
      <w:r w:rsidRPr="002358A2">
        <w:fldChar w:fldCharType="end"/>
      </w:r>
      <w:r w:rsidRPr="002358A2">
        <w:t>.  KTB submitted that the BNB</w:t>
      </w:r>
      <w:r w:rsidRPr="002358A2" w:rsidR="002358A2">
        <w:t>’</w:t>
      </w:r>
      <w:r w:rsidRPr="002358A2">
        <w:t>s decision to withdraw its licence had been based on unreliable reports (which, moreover, had been kept secret from it), and on arbitrary findings which KTB had been unable to contest. The way in which the BNB and the special administrators had acted in the run-up to that decision had also been illegitimate and shown a lack of independence. The difficulties experienced by KTB had been wholly due to actions and omissions by the authorities. The BNB</w:t>
      </w:r>
      <w:r w:rsidRPr="002358A2" w:rsidR="002358A2">
        <w:t>’</w:t>
      </w:r>
      <w:r w:rsidRPr="002358A2">
        <w:t>s failure to take any steps to support KTB while it had been under special administration had also made the ensuing withdrawal of its licence arbitrary. The authorities had, moreover, not provided KTB with State aid, even though they had provided such aid to another bank.</w:t>
      </w:r>
    </w:p>
    <w:p w:rsidRPr="002358A2" w:rsidR="00BF0CAC" w:rsidP="002358A2" w:rsidRDefault="0048368E" w14:paraId="1FCB681A" w14:textId="0C763CA0">
      <w:pPr>
        <w:pStyle w:val="JuPara"/>
      </w:pPr>
      <w:r>
        <w:rPr>
          <w:noProof/>
        </w:rPr>
        <w:fldChar w:fldCharType="begin"/>
      </w:r>
      <w:r>
        <w:rPr>
          <w:noProof/>
        </w:rPr>
        <w:instrText xml:space="preserve"> SEQ level0 \*arabic \* MERGEFORMAT </w:instrText>
      </w:r>
      <w:r>
        <w:rPr>
          <w:noProof/>
        </w:rPr>
        <w:fldChar w:fldCharType="separate"/>
      </w:r>
      <w:r w:rsidRPr="002358A2" w:rsidR="002358A2">
        <w:rPr>
          <w:noProof/>
        </w:rPr>
        <w:t>179</w:t>
      </w:r>
      <w:r>
        <w:rPr>
          <w:noProof/>
        </w:rPr>
        <w:fldChar w:fldCharType="end"/>
      </w:r>
      <w:r w:rsidRPr="002358A2" w:rsidR="00BF0CAC">
        <w:t>.  KTB added that, owing to the approach of the Bulgarian courts to the question of who could act on its behalf, it had been impossible for it to seek judicial review of the BNB</w:t>
      </w:r>
      <w:r w:rsidRPr="002358A2" w:rsidR="002358A2">
        <w:t>’</w:t>
      </w:r>
      <w:r w:rsidRPr="002358A2" w:rsidR="00BF0CAC">
        <w:t>s decision to withdraw its licence.</w:t>
      </w:r>
    </w:p>
    <w:p w:rsidRPr="002358A2" w:rsidR="00BF0CAC" w:rsidP="002358A2" w:rsidRDefault="00BF0CAC" w14:paraId="59656C16" w14:textId="77777777">
      <w:pPr>
        <w:pStyle w:val="JuHa0"/>
      </w:pPr>
      <w:bookmarkStart w:name="_Toc107950892" w:id="235"/>
      <w:r w:rsidRPr="002358A2">
        <w:t>The Government</w:t>
      </w:r>
      <w:bookmarkEnd w:id="235"/>
    </w:p>
    <w:p w:rsidRPr="002358A2" w:rsidR="00BF0CAC" w:rsidP="002358A2" w:rsidRDefault="00BF0CAC" w14:paraId="22F05C24" w14:textId="59412797">
      <w:pPr>
        <w:pStyle w:val="JuPara"/>
      </w:pPr>
      <w:r w:rsidRPr="002358A2">
        <w:fldChar w:fldCharType="begin"/>
      </w:r>
      <w:r w:rsidRPr="002358A2">
        <w:instrText xml:space="preserve"> SEQ level0 \*arabic </w:instrText>
      </w:r>
      <w:r w:rsidRPr="002358A2">
        <w:fldChar w:fldCharType="separate"/>
      </w:r>
      <w:r w:rsidRPr="002358A2" w:rsidR="002358A2">
        <w:rPr>
          <w:noProof/>
        </w:rPr>
        <w:t>180</w:t>
      </w:r>
      <w:r w:rsidRPr="002358A2">
        <w:fldChar w:fldCharType="end"/>
      </w:r>
      <w:r w:rsidRPr="002358A2">
        <w:t>.  The Government submitted that in the light of the auditors</w:t>
      </w:r>
      <w:r w:rsidRPr="002358A2" w:rsidR="002358A2">
        <w:t>’</w:t>
      </w:r>
      <w:r w:rsidRPr="002358A2">
        <w:t xml:space="preserve"> findings about KTB</w:t>
      </w:r>
      <w:r w:rsidRPr="002358A2" w:rsidR="002358A2">
        <w:t>’</w:t>
      </w:r>
      <w:r w:rsidRPr="002358A2">
        <w:t>s financial situation in June 2014, it could hardly be said that its difficulties could be attributed to acts or omissions by the authorities. In their view, the difficulties had actually resulted from the way in which it had been run. Moreover, it could not be said that the State had had to provide financial aid to KTB, or that the special administration under which it had been placed should have necessarily averted its insolvency.</w:t>
      </w:r>
    </w:p>
    <w:p w:rsidRPr="002358A2" w:rsidR="00BF0CAC" w:rsidP="002358A2" w:rsidRDefault="0048368E" w14:paraId="7A0B83E0" w14:textId="01E5B1AB">
      <w:pPr>
        <w:pStyle w:val="JuPara"/>
      </w:pPr>
      <w:r>
        <w:rPr>
          <w:noProof/>
        </w:rPr>
        <w:fldChar w:fldCharType="begin"/>
      </w:r>
      <w:r>
        <w:rPr>
          <w:noProof/>
        </w:rPr>
        <w:instrText xml:space="preserve"> SEQ level0 \*arabic \* MERGEFORMAT </w:instrText>
      </w:r>
      <w:r>
        <w:rPr>
          <w:noProof/>
        </w:rPr>
        <w:fldChar w:fldCharType="separate"/>
      </w:r>
      <w:r w:rsidRPr="002358A2" w:rsidR="002358A2">
        <w:rPr>
          <w:noProof/>
        </w:rPr>
        <w:t>181</w:t>
      </w:r>
      <w:r>
        <w:rPr>
          <w:noProof/>
        </w:rPr>
        <w:fldChar w:fldCharType="end"/>
      </w:r>
      <w:r w:rsidRPr="002358A2" w:rsidR="00BF0CAC">
        <w:t>.  The Government also pointed out that KTB had itself asked to be placed under special administration, and that it had not sought judicial review of the BNB</w:t>
      </w:r>
      <w:r w:rsidRPr="002358A2" w:rsidR="002358A2">
        <w:t>’</w:t>
      </w:r>
      <w:r w:rsidRPr="002358A2" w:rsidR="00BF0CAC">
        <w:t>s decisions in that regard. KTB could not therefore pretend that it had been unaware of its difficulties or surprised by the steps taken by the</w:t>
      </w:r>
      <w:r w:rsidRPr="002358A2" w:rsidR="000F4FD7">
        <w:t xml:space="preserve"> </w:t>
      </w:r>
      <w:r w:rsidRPr="002358A2" w:rsidR="00BF0CAC">
        <w:t>BNB with respect to it, especially in the light of the powers which the law gave to the special administrators.</w:t>
      </w:r>
    </w:p>
    <w:p w:rsidRPr="002358A2" w:rsidR="00BF0CAC" w:rsidP="002358A2" w:rsidRDefault="0048368E" w14:paraId="26CF2E6C" w14:textId="2B7F2C6C">
      <w:pPr>
        <w:pStyle w:val="JuPara"/>
      </w:pPr>
      <w:r>
        <w:rPr>
          <w:noProof/>
        </w:rPr>
        <w:fldChar w:fldCharType="begin"/>
      </w:r>
      <w:r>
        <w:rPr>
          <w:noProof/>
        </w:rPr>
        <w:instrText xml:space="preserve"> SEQ level0 \*arabic \* MERGEFORMAT </w:instrText>
      </w:r>
      <w:r>
        <w:rPr>
          <w:noProof/>
        </w:rPr>
        <w:fldChar w:fldCharType="separate"/>
      </w:r>
      <w:r w:rsidRPr="002358A2" w:rsidR="002358A2">
        <w:rPr>
          <w:noProof/>
        </w:rPr>
        <w:t>182</w:t>
      </w:r>
      <w:r>
        <w:rPr>
          <w:noProof/>
        </w:rPr>
        <w:fldChar w:fldCharType="end"/>
      </w:r>
      <w:r w:rsidRPr="002358A2" w:rsidR="00BF0CAC">
        <w:t>.  The BNB</w:t>
      </w:r>
      <w:r w:rsidRPr="002358A2" w:rsidR="002358A2">
        <w:t>’</w:t>
      </w:r>
      <w:r w:rsidRPr="002358A2" w:rsidR="00BF0CAC">
        <w:t>s decision to withdraw KTB</w:t>
      </w:r>
      <w:r w:rsidRPr="002358A2" w:rsidR="002358A2">
        <w:t>’</w:t>
      </w:r>
      <w:r w:rsidRPr="002358A2" w:rsidR="00BF0CAC">
        <w:t>s licence had been fully in line with the applicable rules, had been based on proper findings about KTB</w:t>
      </w:r>
      <w:r w:rsidRPr="002358A2" w:rsidR="002358A2">
        <w:t>’</w:t>
      </w:r>
      <w:r w:rsidRPr="002358A2" w:rsidR="00BF0CAC">
        <w:t>s insolvency and had not resulted from any discretionary assessment by the BNB. Moreover, the BNB and its officers were independent and required to abide by the law, and there was no evidence that anyone had influenced its decision to withdraw KTB</w:t>
      </w:r>
      <w:r w:rsidRPr="002358A2" w:rsidR="002358A2">
        <w:t>’</w:t>
      </w:r>
      <w:r w:rsidRPr="002358A2" w:rsidR="00BF0CAC">
        <w:t>s licence. That decision had been amenable to judicial review, but KTB</w:t>
      </w:r>
      <w:r w:rsidRPr="002358A2" w:rsidR="002358A2">
        <w:t>’</w:t>
      </w:r>
      <w:r w:rsidRPr="002358A2" w:rsidR="00BF0CAC">
        <w:t>s former executive directors had failed to apply for such a review properly, since in their claim they had only cited the effects of that decision on them personally. Further safeguards had been available in the proceedings relating to the winding-up application made by the BNB.</w:t>
      </w:r>
    </w:p>
    <w:p w:rsidRPr="002358A2" w:rsidR="00BF0CAC" w:rsidP="002358A2" w:rsidRDefault="0048368E" w14:paraId="7534BD6C" w14:textId="20B50DAF">
      <w:pPr>
        <w:pStyle w:val="JuPara"/>
      </w:pPr>
      <w:r>
        <w:rPr>
          <w:noProof/>
        </w:rPr>
        <w:fldChar w:fldCharType="begin"/>
      </w:r>
      <w:r>
        <w:rPr>
          <w:noProof/>
        </w:rPr>
        <w:instrText xml:space="preserve"> SEQ level0 \*arabic \* MERGEFORMAT </w:instrText>
      </w:r>
      <w:r>
        <w:rPr>
          <w:noProof/>
        </w:rPr>
        <w:fldChar w:fldCharType="separate"/>
      </w:r>
      <w:r w:rsidRPr="002358A2" w:rsidR="002358A2">
        <w:rPr>
          <w:noProof/>
        </w:rPr>
        <w:t>183</w:t>
      </w:r>
      <w:r>
        <w:rPr>
          <w:noProof/>
        </w:rPr>
        <w:fldChar w:fldCharType="end"/>
      </w:r>
      <w:r w:rsidRPr="002358A2" w:rsidR="00BF0CAC">
        <w:t>.  The Government also emphasised the need to regulate banks more strictly, and that the authorities had acted with a view to protecting the interests of KTB</w:t>
      </w:r>
      <w:r w:rsidRPr="002358A2" w:rsidR="002358A2">
        <w:t>’</w:t>
      </w:r>
      <w:r w:rsidRPr="002358A2" w:rsidR="00BF0CAC">
        <w:t>s clients and the stability of the banking system. Those interests had trumped those of the bank itself and of its shareholders.</w:t>
      </w:r>
    </w:p>
    <w:p w:rsidRPr="002358A2" w:rsidR="00BF0CAC" w:rsidP="002358A2" w:rsidRDefault="00BF0CAC" w14:paraId="0353D06C" w14:textId="4B495095">
      <w:pPr>
        <w:pStyle w:val="JuH1"/>
      </w:pPr>
      <w:bookmarkStart w:name="_Toc107950893" w:id="236"/>
      <w:r w:rsidRPr="002358A2">
        <w:t>The Court</w:t>
      </w:r>
      <w:r w:rsidRPr="002358A2" w:rsidR="002358A2">
        <w:t>’</w:t>
      </w:r>
      <w:r w:rsidRPr="002358A2">
        <w:t>s assessment</w:t>
      </w:r>
      <w:bookmarkEnd w:id="236"/>
    </w:p>
    <w:bookmarkStart w:name="L_A1P1_mer_C_1" w:id="237"/>
    <w:p w:rsidRPr="002358A2" w:rsidR="00BF0CAC" w:rsidP="002358A2" w:rsidRDefault="00BF0CAC" w14:paraId="416F8033" w14:textId="519E4317">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184</w:t>
      </w:r>
      <w:r w:rsidRPr="002358A2">
        <w:rPr>
          <w:noProof/>
        </w:rPr>
        <w:fldChar w:fldCharType="end"/>
      </w:r>
      <w:bookmarkEnd w:id="237"/>
      <w:r w:rsidRPr="002358A2">
        <w:t>.  The withdrawal of KTB</w:t>
      </w:r>
      <w:r w:rsidRPr="002358A2" w:rsidR="002358A2">
        <w:t>’</w:t>
      </w:r>
      <w:r w:rsidRPr="002358A2">
        <w:t>s licence, which was almost automatically followed by the Sofia City Court</w:t>
      </w:r>
      <w:r w:rsidRPr="002358A2" w:rsidR="002358A2">
        <w:t>’</w:t>
      </w:r>
      <w:r w:rsidRPr="002358A2">
        <w:t xml:space="preserve">s decision to declare KTB insolvent and order that it be wound up, amounted to an interference with its possessions (see </w:t>
      </w:r>
      <w:r w:rsidRPr="002358A2">
        <w:rPr>
          <w:i/>
          <w:iCs/>
        </w:rPr>
        <w:t>Capital Bank AD</w:t>
      </w:r>
      <w:r w:rsidRPr="002358A2">
        <w:t xml:space="preserve">, cited above, </w:t>
      </w:r>
      <w:r w:rsidRPr="002358A2">
        <w:rPr>
          <w:rFonts w:cstheme="minorHAnsi"/>
        </w:rPr>
        <w:t>§</w:t>
      </w:r>
      <w:r w:rsidRPr="002358A2">
        <w:t xml:space="preserve"> 130, and, </w:t>
      </w:r>
      <w:r w:rsidRPr="002358A2">
        <w:rPr>
          <w:i/>
          <w:iCs/>
        </w:rPr>
        <w:t>mutatis mutandis</w:t>
      </w:r>
      <w:r w:rsidRPr="002358A2">
        <w:t xml:space="preserve">, </w:t>
      </w:r>
      <w:r w:rsidRPr="002358A2">
        <w:rPr>
          <w:i/>
          <w:iCs/>
        </w:rPr>
        <w:t>Feldman and Slovyanskyy Bank</w:t>
      </w:r>
      <w:r w:rsidRPr="002358A2">
        <w:rPr>
          <w:lang w:eastAsia="en-GB"/>
        </w:rPr>
        <w:t xml:space="preserve">, cited above, </w:t>
      </w:r>
      <w:r w:rsidRPr="002358A2">
        <w:t>§ 51).</w:t>
      </w:r>
    </w:p>
    <w:bookmarkStart w:name="L_A1P1_mer_C_2" w:id="238"/>
    <w:p w:rsidRPr="002358A2" w:rsidR="00BF0CAC" w:rsidP="002358A2" w:rsidRDefault="00BF0CAC" w14:paraId="6D95EA83" w14:textId="4E7639EF">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185</w:t>
      </w:r>
      <w:r w:rsidRPr="002358A2">
        <w:rPr>
          <w:noProof/>
        </w:rPr>
        <w:fldChar w:fldCharType="end"/>
      </w:r>
      <w:bookmarkEnd w:id="238"/>
      <w:r w:rsidRPr="002358A2">
        <w:t>.  It has already been established that KTB could not obtain judicial review of the BNB</w:t>
      </w:r>
      <w:r w:rsidRPr="002358A2" w:rsidR="002358A2">
        <w:t>’</w:t>
      </w:r>
      <w:r w:rsidRPr="002358A2">
        <w:t>s decision to withdraw its licence, whether directly, in judicial review proceedings before the Supreme Administrative Court, or indirectly, in the proceedings relating to the BNB</w:t>
      </w:r>
      <w:r w:rsidRPr="002358A2" w:rsidR="002358A2">
        <w:t>’</w:t>
      </w:r>
      <w:r w:rsidRPr="002358A2">
        <w:t xml:space="preserve">s application for it to be declared insolvent and wound up (see paragraphs </w:t>
      </w:r>
      <w:r w:rsidRPr="002358A2">
        <w:fldChar w:fldCharType="begin"/>
      </w:r>
      <w:r w:rsidRPr="002358A2">
        <w:instrText xml:space="preserve"> REF L_A6_1_access_mer_C_3 \h </w:instrText>
      </w:r>
      <w:r w:rsidRPr="002358A2">
        <w:fldChar w:fldCharType="separate"/>
      </w:r>
      <w:r w:rsidRPr="002358A2" w:rsidR="002358A2">
        <w:rPr>
          <w:noProof/>
        </w:rPr>
        <w:t>130</w:t>
      </w:r>
      <w:r w:rsidRPr="002358A2">
        <w:fldChar w:fldCharType="end"/>
      </w:r>
      <w:r w:rsidRPr="002358A2">
        <w:t>-</w:t>
      </w:r>
      <w:r w:rsidRPr="002358A2">
        <w:fldChar w:fldCharType="begin"/>
      </w:r>
      <w:r w:rsidRPr="002358A2">
        <w:instrText xml:space="preserve"> REF L_A6_1_access_mer_C_17 \h </w:instrText>
      </w:r>
      <w:r w:rsidRPr="002358A2">
        <w:fldChar w:fldCharType="separate"/>
      </w:r>
      <w:r w:rsidRPr="002358A2" w:rsidR="002358A2">
        <w:rPr>
          <w:noProof/>
        </w:rPr>
        <w:t>145</w:t>
      </w:r>
      <w:r w:rsidRPr="002358A2">
        <w:fldChar w:fldCharType="end"/>
      </w:r>
      <w:r w:rsidRPr="002358A2">
        <w:t xml:space="preserve"> above).</w:t>
      </w:r>
    </w:p>
    <w:bookmarkStart w:name="L_A1P1_mer_C_3" w:id="239"/>
    <w:p w:rsidRPr="002358A2" w:rsidR="00BF0CAC" w:rsidP="002358A2" w:rsidRDefault="00BF0CAC" w14:paraId="2B528719" w14:textId="52A4F9DD">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186</w:t>
      </w:r>
      <w:r w:rsidRPr="002358A2">
        <w:rPr>
          <w:noProof/>
        </w:rPr>
        <w:fldChar w:fldCharType="end"/>
      </w:r>
      <w:bookmarkEnd w:id="239"/>
      <w:r w:rsidRPr="002358A2">
        <w:t>.  No other procedural safeguards surrounded the BNB</w:t>
      </w:r>
      <w:r w:rsidRPr="002358A2" w:rsidR="002358A2">
        <w:t>’</w:t>
      </w:r>
      <w:r w:rsidRPr="002358A2">
        <w:t>s decision to withdraw KTB</w:t>
      </w:r>
      <w:r w:rsidRPr="002358A2" w:rsidR="002358A2">
        <w:t>’</w:t>
      </w:r>
      <w:r w:rsidRPr="002358A2">
        <w:t>s licence. KTB was not informed that the BNB would adopt the decision or given an opportunity to object to it, either before the decision was made or afterwards. That was because section 36(6) of the Credit Institutions Act 2006, as in force at the time, expressly excluded those general procedural safeguards in administrative proceedings for the withdrawal of a bank</w:t>
      </w:r>
      <w:r w:rsidRPr="002358A2" w:rsidR="002358A2">
        <w:t>’</w:t>
      </w:r>
      <w:r w:rsidRPr="002358A2">
        <w:t xml:space="preserve">s licence (see paragraph </w:t>
      </w:r>
      <w:r w:rsidRPr="002358A2">
        <w:fldChar w:fldCharType="begin"/>
      </w:r>
      <w:r w:rsidRPr="002358A2">
        <w:instrText xml:space="preserve"> REF RLF_BNB_revoke_licence_procedure \h </w:instrText>
      </w:r>
      <w:r w:rsidRPr="002358A2">
        <w:fldChar w:fldCharType="separate"/>
      </w:r>
      <w:r w:rsidRPr="002358A2" w:rsidR="002358A2">
        <w:rPr>
          <w:noProof/>
        </w:rPr>
        <w:t>92</w:t>
      </w:r>
      <w:r w:rsidRPr="002358A2">
        <w:fldChar w:fldCharType="end"/>
      </w:r>
      <w:r w:rsidRPr="002358A2">
        <w:t xml:space="preserve"> above). Nor was there any possibility of contesting the BNB</w:t>
      </w:r>
      <w:r w:rsidRPr="002358A2" w:rsidR="002358A2">
        <w:t>’</w:t>
      </w:r>
      <w:r w:rsidRPr="002358A2">
        <w:t>s decision before a non-judicial authority. There was therefore no opportunity for KTB to challenge the grounds for that decision: the BNB</w:t>
      </w:r>
      <w:r w:rsidRPr="002358A2" w:rsidR="002358A2">
        <w:t>’</w:t>
      </w:r>
      <w:r w:rsidRPr="002358A2">
        <w:t xml:space="preserve">s findings that its own funds were a negative value and that its management had engaged in “vicious banking and business practices” (see paragraph </w:t>
      </w:r>
      <w:r w:rsidRPr="002358A2">
        <w:fldChar w:fldCharType="begin"/>
      </w:r>
      <w:r w:rsidRPr="002358A2">
        <w:instrText xml:space="preserve"> REF F_BNB_revoke_licence \h </w:instrText>
      </w:r>
      <w:r w:rsidRPr="002358A2">
        <w:fldChar w:fldCharType="separate"/>
      </w:r>
      <w:r w:rsidRPr="002358A2" w:rsidR="002358A2">
        <w:rPr>
          <w:noProof/>
        </w:rPr>
        <w:t>20</w:t>
      </w:r>
      <w:r w:rsidRPr="002358A2">
        <w:fldChar w:fldCharType="end"/>
      </w:r>
      <w:r w:rsidRPr="002358A2">
        <w:t xml:space="preserve"> above).</w:t>
      </w:r>
    </w:p>
    <w:bookmarkStart w:name="L_A1P1_mer_C_4" w:id="240"/>
    <w:p w:rsidRPr="002358A2" w:rsidR="00BF0CAC" w:rsidP="002358A2" w:rsidRDefault="00BF0CAC" w14:paraId="181585F4" w14:textId="453327D0">
      <w:pPr>
        <w:pStyle w:val="JuPara"/>
        <w:rPr>
          <w:iCs/>
        </w:rPr>
      </w:pPr>
      <w:r w:rsidRPr="002358A2">
        <w:fldChar w:fldCharType="begin"/>
      </w:r>
      <w:r w:rsidRPr="002358A2">
        <w:instrText xml:space="preserve"> SEQ level0 \*arabic \* MERGEFORMAT </w:instrText>
      </w:r>
      <w:r w:rsidRPr="002358A2">
        <w:fldChar w:fldCharType="separate"/>
      </w:r>
      <w:r w:rsidRPr="002358A2" w:rsidR="002358A2">
        <w:rPr>
          <w:noProof/>
        </w:rPr>
        <w:t>187</w:t>
      </w:r>
      <w:r w:rsidRPr="002358A2">
        <w:rPr>
          <w:noProof/>
        </w:rPr>
        <w:fldChar w:fldCharType="end"/>
      </w:r>
      <w:bookmarkEnd w:id="240"/>
      <w:r w:rsidRPr="002358A2">
        <w:t>.  KTB</w:t>
      </w:r>
      <w:r w:rsidRPr="002358A2" w:rsidR="002358A2">
        <w:t>’</w:t>
      </w:r>
      <w:r w:rsidRPr="002358A2">
        <w:t xml:space="preserve">s situation was thus effectively the same as those of the applicant banks in </w:t>
      </w:r>
      <w:r w:rsidRPr="002358A2">
        <w:rPr>
          <w:i/>
          <w:iCs/>
        </w:rPr>
        <w:t>Capital Bank AD</w:t>
      </w:r>
      <w:r w:rsidRPr="002358A2">
        <w:t xml:space="preserve"> (cited above, §§ 130-40) and </w:t>
      </w:r>
      <w:r w:rsidRPr="002358A2">
        <w:rPr>
          <w:i/>
        </w:rPr>
        <w:t>International Bank for Commerce and Development AD and Others</w:t>
      </w:r>
      <w:r w:rsidRPr="002358A2">
        <w:rPr>
          <w:iCs/>
        </w:rPr>
        <w:t xml:space="preserve"> (cited above, </w:t>
      </w:r>
      <w:r w:rsidRPr="002358A2">
        <w:rPr>
          <w:rFonts w:cstheme="minorHAnsi"/>
          <w:iCs/>
        </w:rPr>
        <w:t>§</w:t>
      </w:r>
      <w:r w:rsidRPr="002358A2">
        <w:rPr>
          <w:iCs/>
        </w:rPr>
        <w:t xml:space="preserve"> 106): the withdrawal of its licence was not surrounded by any safeguards against arbitrariness.</w:t>
      </w:r>
    </w:p>
    <w:bookmarkStart w:name="L_A1P1_mer_C_5" w:id="241"/>
    <w:p w:rsidRPr="002358A2" w:rsidR="00BF0CAC" w:rsidP="002358A2" w:rsidRDefault="00BF0CAC" w14:paraId="0CC09A24" w14:textId="348D73F0">
      <w:pPr>
        <w:pStyle w:val="JuPara"/>
        <w:rPr>
          <w:iCs/>
        </w:rPr>
      </w:pPr>
      <w:r w:rsidRPr="002358A2">
        <w:rPr>
          <w:iCs/>
        </w:rPr>
        <w:fldChar w:fldCharType="begin"/>
      </w:r>
      <w:r w:rsidRPr="002358A2">
        <w:rPr>
          <w:iCs/>
        </w:rPr>
        <w:instrText xml:space="preserve"> SEQ level0 \*arabic \* MERGEFORMAT </w:instrText>
      </w:r>
      <w:r w:rsidRPr="002358A2">
        <w:rPr>
          <w:iCs/>
        </w:rPr>
        <w:fldChar w:fldCharType="separate"/>
      </w:r>
      <w:r w:rsidRPr="002358A2" w:rsidR="002358A2">
        <w:rPr>
          <w:iCs/>
          <w:noProof/>
        </w:rPr>
        <w:t>188</w:t>
      </w:r>
      <w:r w:rsidRPr="002358A2">
        <w:rPr>
          <w:iCs/>
        </w:rPr>
        <w:fldChar w:fldCharType="end"/>
      </w:r>
      <w:bookmarkEnd w:id="241"/>
      <w:r w:rsidRPr="002358A2">
        <w:rPr>
          <w:iCs/>
        </w:rPr>
        <w:t>.  It follows that the interference with KTB</w:t>
      </w:r>
      <w:r w:rsidRPr="002358A2" w:rsidR="002358A2">
        <w:rPr>
          <w:iCs/>
        </w:rPr>
        <w:t>’</w:t>
      </w:r>
      <w:r w:rsidRPr="002358A2">
        <w:rPr>
          <w:iCs/>
        </w:rPr>
        <w:t>s possessions was not lawful within the meaning of Article 1 of Protocol No. 1. There has therefore been a breach of that provision.</w:t>
      </w:r>
    </w:p>
    <w:bookmarkStart w:name="L_A1P1_mer_C_6" w:id="242"/>
    <w:p w:rsidRPr="002358A2" w:rsidR="00BF0CAC" w:rsidP="002358A2" w:rsidRDefault="00BF0CAC" w14:paraId="53E608E8" w14:textId="350BC127">
      <w:pPr>
        <w:pStyle w:val="JuPara"/>
      </w:pPr>
      <w:r w:rsidRPr="002358A2">
        <w:rPr>
          <w:iCs/>
        </w:rPr>
        <w:fldChar w:fldCharType="begin"/>
      </w:r>
      <w:r w:rsidRPr="002358A2">
        <w:rPr>
          <w:iCs/>
        </w:rPr>
        <w:instrText xml:space="preserve"> SEQ level0 \*arabic \* MERGEFORMAT </w:instrText>
      </w:r>
      <w:r w:rsidRPr="002358A2">
        <w:rPr>
          <w:iCs/>
        </w:rPr>
        <w:fldChar w:fldCharType="separate"/>
      </w:r>
      <w:r w:rsidRPr="002358A2" w:rsidR="002358A2">
        <w:rPr>
          <w:iCs/>
          <w:noProof/>
        </w:rPr>
        <w:t>189</w:t>
      </w:r>
      <w:r w:rsidRPr="002358A2">
        <w:rPr>
          <w:iCs/>
        </w:rPr>
        <w:fldChar w:fldCharType="end"/>
      </w:r>
      <w:bookmarkEnd w:id="242"/>
      <w:r w:rsidRPr="002358A2">
        <w:rPr>
          <w:iCs/>
        </w:rPr>
        <w:t>.  That said, the Court expresses no opinion on whether the decision to withdraw KTB</w:t>
      </w:r>
      <w:r w:rsidRPr="002358A2" w:rsidR="002358A2">
        <w:rPr>
          <w:iCs/>
        </w:rPr>
        <w:t>’</w:t>
      </w:r>
      <w:r w:rsidRPr="002358A2">
        <w:rPr>
          <w:iCs/>
        </w:rPr>
        <w:t xml:space="preserve">s licence was correct in terms of Bulgarian law. Its power to review compliance with domestic law is limited, and it is not its task to do so in the place of the competent national authorities and courts (see </w:t>
      </w:r>
      <w:r w:rsidRPr="002358A2">
        <w:rPr>
          <w:i/>
        </w:rPr>
        <w:t>Capital Bank AD</w:t>
      </w:r>
      <w:r w:rsidRPr="002358A2">
        <w:rPr>
          <w:iCs/>
        </w:rPr>
        <w:t xml:space="preserve">, § 132; </w:t>
      </w:r>
      <w:r w:rsidRPr="002358A2">
        <w:rPr>
          <w:i/>
        </w:rPr>
        <w:t>International Bank for Commerce and Development AD and</w:t>
      </w:r>
      <w:r w:rsidRPr="002358A2" w:rsidR="000F4FD7">
        <w:rPr>
          <w:i/>
        </w:rPr>
        <w:t> </w:t>
      </w:r>
      <w:r w:rsidRPr="002358A2">
        <w:rPr>
          <w:i/>
        </w:rPr>
        <w:t>Others</w:t>
      </w:r>
      <w:r w:rsidRPr="002358A2">
        <w:t xml:space="preserve">, </w:t>
      </w:r>
      <w:r w:rsidRPr="002358A2">
        <w:rPr>
          <w:rFonts w:cstheme="minorHAnsi"/>
        </w:rPr>
        <w:t>§</w:t>
      </w:r>
      <w:r w:rsidRPr="002358A2">
        <w:t xml:space="preserve"> 108; and </w:t>
      </w:r>
      <w:r w:rsidRPr="002358A2">
        <w:rPr>
          <w:i/>
          <w:iCs/>
        </w:rPr>
        <w:t>Feldman and Slovyanskyy Bank</w:t>
      </w:r>
      <w:r w:rsidRPr="002358A2">
        <w:t xml:space="preserve">, </w:t>
      </w:r>
      <w:r w:rsidRPr="002358A2">
        <w:rPr>
          <w:rFonts w:cstheme="minorHAnsi"/>
        </w:rPr>
        <w:t>§</w:t>
      </w:r>
      <w:r w:rsidRPr="002358A2">
        <w:t xml:space="preserve"> 54, all cited above).</w:t>
      </w:r>
    </w:p>
    <w:bookmarkStart w:name="L_A1P1_mer_C_7" w:id="243"/>
    <w:p w:rsidRPr="002358A2" w:rsidR="00BF0CAC" w:rsidP="002358A2" w:rsidRDefault="00BF0CAC" w14:paraId="3AF07E1B" w14:textId="2672128C">
      <w:pPr>
        <w:pStyle w:val="JuPara"/>
        <w:rPr>
          <w:iCs/>
        </w:rPr>
      </w:pPr>
      <w:r w:rsidRPr="002358A2">
        <w:fldChar w:fldCharType="begin"/>
      </w:r>
      <w:r w:rsidRPr="002358A2">
        <w:instrText xml:space="preserve"> SEQ level0 \*arabic \* MERGEFORMAT </w:instrText>
      </w:r>
      <w:r w:rsidRPr="002358A2">
        <w:fldChar w:fldCharType="separate"/>
      </w:r>
      <w:r w:rsidRPr="002358A2" w:rsidR="002358A2">
        <w:rPr>
          <w:noProof/>
        </w:rPr>
        <w:t>190</w:t>
      </w:r>
      <w:r w:rsidRPr="002358A2">
        <w:rPr>
          <w:noProof/>
        </w:rPr>
        <w:fldChar w:fldCharType="end"/>
      </w:r>
      <w:bookmarkEnd w:id="243"/>
      <w:r w:rsidRPr="002358A2">
        <w:t>.  Nor is it necessary to assess in this judgment whether the withdrawal of KTB</w:t>
      </w:r>
      <w:r w:rsidRPr="002358A2" w:rsidR="002358A2">
        <w:t>’</w:t>
      </w:r>
      <w:r w:rsidRPr="002358A2">
        <w:t>s licence was in the general interest or struck a fair balance between that general interest and KTB</w:t>
      </w:r>
      <w:r w:rsidRPr="002358A2" w:rsidR="002358A2">
        <w:t>’</w:t>
      </w:r>
      <w:r w:rsidRPr="002358A2">
        <w:t xml:space="preserve">s right to the peaceful enjoyment of its possessions (see </w:t>
      </w:r>
      <w:r w:rsidRPr="002358A2">
        <w:rPr>
          <w:i/>
          <w:iCs/>
        </w:rPr>
        <w:t>Capital Bank AD</w:t>
      </w:r>
      <w:r w:rsidRPr="002358A2">
        <w:t xml:space="preserve">, cited above, </w:t>
      </w:r>
      <w:r w:rsidRPr="002358A2">
        <w:rPr>
          <w:rFonts w:cstheme="minorHAnsi"/>
        </w:rPr>
        <w:t>§</w:t>
      </w:r>
      <w:r w:rsidRPr="002358A2">
        <w:t xml:space="preserve"> 139; see also, </w:t>
      </w:r>
      <w:r w:rsidRPr="002358A2">
        <w:rPr>
          <w:i/>
          <w:iCs/>
        </w:rPr>
        <w:t>mutatis mutandis</w:t>
      </w:r>
      <w:r w:rsidRPr="002358A2">
        <w:t xml:space="preserve">, </w:t>
      </w:r>
      <w:r w:rsidRPr="002358A2">
        <w:rPr>
          <w:rFonts w:cstheme="minorHAnsi"/>
          <w:i/>
          <w:color w:val="000000"/>
          <w:lang w:val="en-US" w:eastAsia="fr-FR"/>
        </w:rPr>
        <w:t>Project-Trade d.o.o.</w:t>
      </w:r>
      <w:r w:rsidRPr="002358A2">
        <w:rPr>
          <w:rFonts w:cstheme="minorHAnsi"/>
          <w:iCs/>
          <w:color w:val="000000"/>
          <w:lang w:val="en-US" w:eastAsia="fr-FR"/>
        </w:rPr>
        <w:t xml:space="preserve">, § 87, and </w:t>
      </w:r>
      <w:r w:rsidRPr="002358A2">
        <w:rPr>
          <w:rFonts w:cstheme="minorHAnsi"/>
          <w:i/>
          <w:color w:val="000000"/>
          <w:lang w:val="en-US" w:eastAsia="fr-FR"/>
        </w:rPr>
        <w:t>Pintar and Others</w:t>
      </w:r>
      <w:r w:rsidRPr="002358A2">
        <w:rPr>
          <w:rFonts w:cstheme="minorHAnsi"/>
          <w:iCs/>
          <w:color w:val="000000"/>
          <w:lang w:val="en-US" w:eastAsia="fr-FR"/>
        </w:rPr>
        <w:t>, § 110, both cited above).</w:t>
      </w:r>
    </w:p>
    <w:p w:rsidRPr="002358A2" w:rsidR="00BF0CAC" w:rsidP="002358A2" w:rsidRDefault="00BF0CAC" w14:paraId="372292C6" w14:textId="77777777">
      <w:pPr>
        <w:pStyle w:val="JuHIRoman"/>
        <w:tabs>
          <w:tab w:val="left" w:pos="567"/>
          <w:tab w:val="left" w:pos="680"/>
        </w:tabs>
        <w:ind w:left="397" w:hanging="397"/>
      </w:pPr>
      <w:bookmarkStart w:name="_Toc107950894" w:id="244"/>
      <w:r w:rsidRPr="002358A2">
        <w:rPr>
          <w:caps w:val="0"/>
        </w:rPr>
        <w:t>ALLEGED VIOLATION OF ARTICLE 13 OF THE CONVENTION</w:t>
      </w:r>
      <w:bookmarkEnd w:id="244"/>
    </w:p>
    <w:p w:rsidRPr="002358A2" w:rsidR="00BF0CAC" w:rsidP="002358A2" w:rsidRDefault="0048368E" w14:paraId="44657BEA" w14:textId="6A45A278">
      <w:pPr>
        <w:pStyle w:val="JuPara"/>
      </w:pPr>
      <w:r>
        <w:rPr>
          <w:noProof/>
        </w:rPr>
        <w:fldChar w:fldCharType="begin"/>
      </w:r>
      <w:r>
        <w:rPr>
          <w:noProof/>
        </w:rPr>
        <w:instrText xml:space="preserve"> SEQ level0 \*arabic \* MERGEFORMAT </w:instrText>
      </w:r>
      <w:r>
        <w:rPr>
          <w:noProof/>
        </w:rPr>
        <w:fldChar w:fldCharType="separate"/>
      </w:r>
      <w:r w:rsidRPr="002358A2" w:rsidR="002358A2">
        <w:rPr>
          <w:noProof/>
        </w:rPr>
        <w:t>191</w:t>
      </w:r>
      <w:r>
        <w:rPr>
          <w:noProof/>
        </w:rPr>
        <w:fldChar w:fldCharType="end"/>
      </w:r>
      <w:r w:rsidRPr="002358A2" w:rsidR="00BF0CAC">
        <w:t>.  In application no. 46564/15, a complaint was made on behalf of KTB under Article 13 of the Convention that it had not had an effective remedy in respect of the alleged breaches of its rights under Article 6 § 1 of the Convention and Article 1 of Protocol No. 1.</w:t>
      </w:r>
    </w:p>
    <w:p w:rsidRPr="002358A2" w:rsidR="00BF0CAC" w:rsidP="002358A2" w:rsidRDefault="0048368E" w14:paraId="044F8C83" w14:textId="59BD95B8">
      <w:pPr>
        <w:pStyle w:val="JuPara"/>
      </w:pPr>
      <w:r>
        <w:rPr>
          <w:noProof/>
        </w:rPr>
        <w:fldChar w:fldCharType="begin"/>
      </w:r>
      <w:r>
        <w:rPr>
          <w:noProof/>
        </w:rPr>
        <w:instrText xml:space="preserve"> SEQ level0 \*arabic \* MERGEFORMAT </w:instrText>
      </w:r>
      <w:r>
        <w:rPr>
          <w:noProof/>
        </w:rPr>
        <w:fldChar w:fldCharType="separate"/>
      </w:r>
      <w:r w:rsidRPr="002358A2" w:rsidR="002358A2">
        <w:rPr>
          <w:noProof/>
        </w:rPr>
        <w:t>192</w:t>
      </w:r>
      <w:r>
        <w:rPr>
          <w:noProof/>
        </w:rPr>
        <w:fldChar w:fldCharType="end"/>
      </w:r>
      <w:r w:rsidRPr="002358A2" w:rsidR="00BF0CAC">
        <w:t>.  In application no. 68140/16, a complaint was made on behalf of KTB under the same provision that it had not had an effective remedy in respect of its complaint under Article 1 of Protocol No. 1, as it had been unable to obtain any sort of review of the BNB</w:t>
      </w:r>
      <w:r w:rsidRPr="002358A2" w:rsidR="002358A2">
        <w:t>’</w:t>
      </w:r>
      <w:r w:rsidRPr="002358A2" w:rsidR="00BF0CAC">
        <w:t>s decision to withdraw its licence and of the Sofia City Court</w:t>
      </w:r>
      <w:r w:rsidRPr="002358A2" w:rsidR="002358A2">
        <w:t>’</w:t>
      </w:r>
      <w:r w:rsidRPr="002358A2" w:rsidR="00BF0CAC">
        <w:t>s decision to declare it insolvent.</w:t>
      </w:r>
    </w:p>
    <w:p w:rsidRPr="002358A2" w:rsidR="00BF0CAC" w:rsidP="002358A2" w:rsidRDefault="0048368E" w14:paraId="7ACE4285" w14:textId="0A1EACDA">
      <w:pPr>
        <w:pStyle w:val="JuPara"/>
        <w:keepNext/>
      </w:pPr>
      <w:r>
        <w:rPr>
          <w:noProof/>
        </w:rPr>
        <w:fldChar w:fldCharType="begin"/>
      </w:r>
      <w:r>
        <w:rPr>
          <w:noProof/>
        </w:rPr>
        <w:instrText xml:space="preserve"> SEQ level0 \*arabic \* MERGEFORMAT </w:instrText>
      </w:r>
      <w:r>
        <w:rPr>
          <w:noProof/>
        </w:rPr>
        <w:fldChar w:fldCharType="separate"/>
      </w:r>
      <w:r w:rsidRPr="002358A2" w:rsidR="002358A2">
        <w:rPr>
          <w:noProof/>
        </w:rPr>
        <w:t>193</w:t>
      </w:r>
      <w:r>
        <w:rPr>
          <w:noProof/>
        </w:rPr>
        <w:fldChar w:fldCharType="end"/>
      </w:r>
      <w:r w:rsidRPr="002358A2" w:rsidR="00BF0CAC">
        <w:t>.  Article 13 of the Convention reads:</w:t>
      </w:r>
    </w:p>
    <w:p w:rsidRPr="002358A2" w:rsidR="00BF0CAC" w:rsidP="002358A2" w:rsidRDefault="00BF0CAC" w14:paraId="55DAECB7" w14:textId="77777777">
      <w:pPr>
        <w:pStyle w:val="JuQuot"/>
        <w:keepLines/>
      </w:pPr>
      <w:r w:rsidRPr="002358A2">
        <w:t>“Everyone whose rights and freedoms as set forth in [the] Convention are violated shall have an effective remedy before a national authority notwithstanding that the violation has been committed by persons acting in an official capacity.”</w:t>
      </w:r>
    </w:p>
    <w:p w:rsidRPr="002358A2" w:rsidR="00BF0CAC" w:rsidP="002358A2" w:rsidRDefault="00BF0CAC" w14:paraId="4AB800D2" w14:textId="14CF952D">
      <w:pPr>
        <w:pStyle w:val="JuHA"/>
      </w:pPr>
      <w:bookmarkStart w:name="_Toc107950895" w:id="245"/>
      <w:r w:rsidRPr="002358A2">
        <w:t>The parties</w:t>
      </w:r>
      <w:r w:rsidRPr="002358A2" w:rsidR="002358A2">
        <w:t>’</w:t>
      </w:r>
      <w:r w:rsidRPr="002358A2">
        <w:t xml:space="preserve"> submissions</w:t>
      </w:r>
      <w:bookmarkEnd w:id="245"/>
    </w:p>
    <w:p w:rsidRPr="002358A2" w:rsidR="00BF0CAC" w:rsidP="002358A2" w:rsidRDefault="00BF0CAC" w14:paraId="1004580D" w14:textId="7256C084">
      <w:pPr>
        <w:pStyle w:val="JuPara"/>
      </w:pPr>
      <w:r w:rsidRPr="002358A2">
        <w:fldChar w:fldCharType="begin"/>
      </w:r>
      <w:r w:rsidRPr="002358A2">
        <w:instrText xml:space="preserve"> SEQ level0 \*arabic </w:instrText>
      </w:r>
      <w:r w:rsidRPr="002358A2">
        <w:fldChar w:fldCharType="separate"/>
      </w:r>
      <w:r w:rsidRPr="002358A2" w:rsidR="002358A2">
        <w:rPr>
          <w:noProof/>
        </w:rPr>
        <w:t>194</w:t>
      </w:r>
      <w:r w:rsidRPr="002358A2">
        <w:fldChar w:fldCharType="end"/>
      </w:r>
      <w:r w:rsidRPr="002358A2">
        <w:t>.  KTB submitted that the law, as interpreted by the Bulgarian courts, in particular as regards the question of standing, had deprived it of a practical and effective opportunity to challenge the withdrawal of its licence and participate in the ensuing proceedings in which it had been declared insolvent and ordered to be wound up.</w:t>
      </w:r>
    </w:p>
    <w:p w:rsidRPr="002358A2" w:rsidR="00BF0CAC" w:rsidP="002358A2" w:rsidRDefault="0048368E" w14:paraId="11B2A372" w14:textId="0FC8A4E9">
      <w:pPr>
        <w:pStyle w:val="JuPara"/>
      </w:pPr>
      <w:r>
        <w:rPr>
          <w:noProof/>
        </w:rPr>
        <w:fldChar w:fldCharType="begin"/>
      </w:r>
      <w:r>
        <w:rPr>
          <w:noProof/>
        </w:rPr>
        <w:instrText xml:space="preserve"> SEQ level0 \*arabic \* MERGEFORMAT </w:instrText>
      </w:r>
      <w:r>
        <w:rPr>
          <w:noProof/>
        </w:rPr>
        <w:fldChar w:fldCharType="separate"/>
      </w:r>
      <w:r w:rsidRPr="002358A2" w:rsidR="002358A2">
        <w:rPr>
          <w:noProof/>
        </w:rPr>
        <w:t>195</w:t>
      </w:r>
      <w:r>
        <w:rPr>
          <w:noProof/>
        </w:rPr>
        <w:fldChar w:fldCharType="end"/>
      </w:r>
      <w:r w:rsidRPr="002358A2" w:rsidR="00BF0CAC">
        <w:t xml:space="preserve">.  As regards the existence of effective remedies in respect of the complaints under Article 6 § 1 of the Convention that KTB could not obtain judicial review of the withdrawal of its licence and the complaints under Article 1 of Protocol No. 1, the Government referred to their submissions on the admissibility of those complaints (see paragraphs </w:t>
      </w:r>
      <w:r w:rsidRPr="002358A2" w:rsidR="00BF0CAC">
        <w:fldChar w:fldCharType="begin"/>
      </w:r>
      <w:r w:rsidRPr="002358A2" w:rsidR="00BF0CAC">
        <w:instrText xml:space="preserve"> REF L_A6_1_access_adm_G_1 \h </w:instrText>
      </w:r>
      <w:r w:rsidRPr="002358A2" w:rsidR="00BF0CAC">
        <w:fldChar w:fldCharType="separate"/>
      </w:r>
      <w:r w:rsidRPr="002358A2" w:rsidR="002358A2">
        <w:rPr>
          <w:noProof/>
        </w:rPr>
        <w:t>119</w:t>
      </w:r>
      <w:r w:rsidRPr="002358A2" w:rsidR="00BF0CAC">
        <w:fldChar w:fldCharType="end"/>
      </w:r>
      <w:r w:rsidRPr="002358A2" w:rsidR="00BF0CAC">
        <w:t>-</w:t>
      </w:r>
      <w:r w:rsidRPr="002358A2" w:rsidR="00BF0CAC">
        <w:fldChar w:fldCharType="begin"/>
      </w:r>
      <w:r w:rsidRPr="002358A2" w:rsidR="00BF0CAC">
        <w:instrText xml:space="preserve"> REF L_A6_1_access_adm_G_2 \h </w:instrText>
      </w:r>
      <w:r w:rsidRPr="002358A2" w:rsidR="00BF0CAC">
        <w:fldChar w:fldCharType="separate"/>
      </w:r>
      <w:r w:rsidRPr="002358A2" w:rsidR="002358A2">
        <w:rPr>
          <w:noProof/>
        </w:rPr>
        <w:t>120</w:t>
      </w:r>
      <w:r w:rsidRPr="002358A2" w:rsidR="00BF0CAC">
        <w:fldChar w:fldCharType="end"/>
      </w:r>
      <w:r w:rsidRPr="002358A2" w:rsidR="00BF0CAC">
        <w:t xml:space="preserve"> and </w:t>
      </w:r>
      <w:r w:rsidRPr="002358A2" w:rsidR="00BF0CAC">
        <w:fldChar w:fldCharType="begin"/>
      </w:r>
      <w:r w:rsidRPr="002358A2" w:rsidR="00BF0CAC">
        <w:instrText xml:space="preserve"> REF L_A1P1_adm_G \h </w:instrText>
      </w:r>
      <w:r w:rsidRPr="002358A2" w:rsidR="00BF0CAC">
        <w:fldChar w:fldCharType="separate"/>
      </w:r>
      <w:r w:rsidRPr="002358A2" w:rsidR="002358A2">
        <w:rPr>
          <w:noProof/>
        </w:rPr>
        <w:t>174</w:t>
      </w:r>
      <w:r w:rsidRPr="002358A2" w:rsidR="00BF0CAC">
        <w:fldChar w:fldCharType="end"/>
      </w:r>
      <w:r w:rsidRPr="002358A2" w:rsidR="00BF0CAC">
        <w:t xml:space="preserve"> above). As for the existence of effective remedies in respect of the complaint under Article 6 § 1 of the Convention about the way in which KTB had been represented in the proceedings relating to the BNB</w:t>
      </w:r>
      <w:r w:rsidRPr="002358A2" w:rsidR="002358A2">
        <w:t>’</w:t>
      </w:r>
      <w:r w:rsidRPr="002358A2" w:rsidR="00BF0CAC">
        <w:t xml:space="preserve">s application for it to be declared insolvent and wound up, </w:t>
      </w:r>
      <w:bookmarkStart w:name="_Hlk103756947" w:id="246"/>
      <w:r w:rsidRPr="002358A2" w:rsidR="00BF0CAC">
        <w:t>the Government argued that it had been open to KTB to complain to the Deposit Insurance Fund that the liquidators were not acting properly, or to seek compensation from the liquidators themselves</w:t>
      </w:r>
      <w:bookmarkEnd w:id="246"/>
      <w:r w:rsidRPr="002358A2" w:rsidR="00BF0CAC">
        <w:t>. The Government further pointed out that the claim for judicial review of the BNB</w:t>
      </w:r>
      <w:r w:rsidRPr="002358A2" w:rsidR="002358A2">
        <w:t>’</w:t>
      </w:r>
      <w:r w:rsidRPr="002358A2" w:rsidR="00BF0CAC">
        <w:t>s decision to appoint special administrators had been made out of time, and that its decision to extend their mandate had not been challenged.</w:t>
      </w:r>
    </w:p>
    <w:p w:rsidRPr="002358A2" w:rsidR="00BF0CAC" w:rsidP="002358A2" w:rsidRDefault="00BF0CAC" w14:paraId="0D351326" w14:textId="6ED61C46">
      <w:pPr>
        <w:pStyle w:val="JuHA"/>
      </w:pPr>
      <w:bookmarkStart w:name="_Toc107950896" w:id="247"/>
      <w:r w:rsidRPr="002358A2">
        <w:t>The Court</w:t>
      </w:r>
      <w:r w:rsidRPr="002358A2" w:rsidR="002358A2">
        <w:t>’</w:t>
      </w:r>
      <w:r w:rsidRPr="002358A2">
        <w:t>s assessment</w:t>
      </w:r>
      <w:bookmarkEnd w:id="247"/>
    </w:p>
    <w:bookmarkStart w:name="L_A13_C" w:id="248"/>
    <w:p w:rsidRPr="002358A2" w:rsidR="00BF0CAC" w:rsidP="002358A2" w:rsidRDefault="00BF0CAC" w14:paraId="482C5E43" w14:textId="0BCD49C8">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196</w:t>
      </w:r>
      <w:r w:rsidRPr="002358A2">
        <w:rPr>
          <w:noProof/>
        </w:rPr>
        <w:fldChar w:fldCharType="end"/>
      </w:r>
      <w:bookmarkEnd w:id="248"/>
      <w:r w:rsidRPr="002358A2">
        <w:t>.  In the light of the findings in respect of KTB</w:t>
      </w:r>
      <w:r w:rsidRPr="002358A2" w:rsidR="002358A2">
        <w:t>’</w:t>
      </w:r>
      <w:r w:rsidRPr="002358A2">
        <w:t xml:space="preserve">s complaints under Article 6 § 1 of the Convention and Article 1 of Protocol No. 1 (see paragraphs </w:t>
      </w:r>
      <w:r w:rsidRPr="002358A2">
        <w:fldChar w:fldCharType="begin"/>
      </w:r>
      <w:r w:rsidRPr="002358A2">
        <w:instrText xml:space="preserve"> REF L_A6_1_access_mer_C_1 \h </w:instrText>
      </w:r>
      <w:r w:rsidRPr="002358A2">
        <w:fldChar w:fldCharType="separate"/>
      </w:r>
      <w:r w:rsidRPr="002358A2" w:rsidR="002358A2">
        <w:rPr>
          <w:noProof/>
        </w:rPr>
        <w:t>128</w:t>
      </w:r>
      <w:r w:rsidRPr="002358A2">
        <w:fldChar w:fldCharType="end"/>
      </w:r>
      <w:r w:rsidRPr="002358A2">
        <w:t>-</w:t>
      </w:r>
      <w:r w:rsidRPr="002358A2">
        <w:fldChar w:fldCharType="begin"/>
      </w:r>
      <w:r w:rsidRPr="002358A2">
        <w:instrText xml:space="preserve"> REF L_A6_1_access_mer_C_18 \h </w:instrText>
      </w:r>
      <w:r w:rsidRPr="002358A2">
        <w:fldChar w:fldCharType="separate"/>
      </w:r>
      <w:r w:rsidRPr="002358A2" w:rsidR="002358A2">
        <w:rPr>
          <w:iCs/>
          <w:noProof/>
        </w:rPr>
        <w:t>146</w:t>
      </w:r>
      <w:r w:rsidRPr="002358A2">
        <w:fldChar w:fldCharType="end"/>
      </w:r>
      <w:r w:rsidRPr="002358A2">
        <w:t xml:space="preserve">, </w:t>
      </w:r>
      <w:r w:rsidRPr="002358A2">
        <w:fldChar w:fldCharType="begin"/>
      </w:r>
      <w:r w:rsidRPr="002358A2">
        <w:instrText xml:space="preserve"> REF L_A6_1_rep_mer_C_1 \h </w:instrText>
      </w:r>
      <w:r w:rsidRPr="002358A2">
        <w:fldChar w:fldCharType="separate"/>
      </w:r>
      <w:r w:rsidRPr="002358A2" w:rsidR="002358A2">
        <w:rPr>
          <w:noProof/>
        </w:rPr>
        <w:t>160</w:t>
      </w:r>
      <w:r w:rsidRPr="002358A2">
        <w:fldChar w:fldCharType="end"/>
      </w:r>
      <w:r w:rsidRPr="002358A2">
        <w:t>-</w:t>
      </w:r>
      <w:r w:rsidRPr="002358A2">
        <w:fldChar w:fldCharType="begin"/>
      </w:r>
      <w:r w:rsidRPr="002358A2">
        <w:instrText xml:space="preserve"> REF L_A6_1_rep_mer_C_9 \h </w:instrText>
      </w:r>
      <w:r w:rsidRPr="002358A2">
        <w:fldChar w:fldCharType="separate"/>
      </w:r>
      <w:r w:rsidRPr="002358A2" w:rsidR="002358A2">
        <w:rPr>
          <w:noProof/>
        </w:rPr>
        <w:t>168</w:t>
      </w:r>
      <w:r w:rsidRPr="002358A2">
        <w:fldChar w:fldCharType="end"/>
      </w:r>
      <w:r w:rsidRPr="002358A2">
        <w:t xml:space="preserve"> and </w:t>
      </w:r>
      <w:r w:rsidRPr="002358A2">
        <w:fldChar w:fldCharType="begin"/>
      </w:r>
      <w:r w:rsidRPr="002358A2">
        <w:instrText xml:space="preserve"> REF L_A1P1_mer_C_1 \h </w:instrText>
      </w:r>
      <w:r w:rsidRPr="002358A2">
        <w:fldChar w:fldCharType="separate"/>
      </w:r>
      <w:r w:rsidRPr="002358A2" w:rsidR="002358A2">
        <w:rPr>
          <w:noProof/>
        </w:rPr>
        <w:t>184</w:t>
      </w:r>
      <w:r w:rsidRPr="002358A2">
        <w:fldChar w:fldCharType="end"/>
      </w:r>
      <w:r w:rsidRPr="002358A2">
        <w:t>-</w:t>
      </w:r>
      <w:r w:rsidRPr="002358A2">
        <w:fldChar w:fldCharType="begin"/>
      </w:r>
      <w:r w:rsidRPr="002358A2">
        <w:instrText xml:space="preserve"> REF L_A1P1_mer_C_7 \h </w:instrText>
      </w:r>
      <w:r w:rsidRPr="002358A2">
        <w:fldChar w:fldCharType="separate"/>
      </w:r>
      <w:r w:rsidRPr="002358A2" w:rsidR="002358A2">
        <w:rPr>
          <w:noProof/>
        </w:rPr>
        <w:t>190</w:t>
      </w:r>
      <w:r w:rsidRPr="002358A2">
        <w:fldChar w:fldCharType="end"/>
      </w:r>
      <w:r w:rsidRPr="002358A2">
        <w:t xml:space="preserve"> above), it is not necessary to rule on the admissibility or merits of these two complaints (see </w:t>
      </w:r>
      <w:r w:rsidRPr="002358A2">
        <w:rPr>
          <w:i/>
          <w:iCs/>
        </w:rPr>
        <w:t>Capital Bank AD</w:t>
      </w:r>
      <w:r w:rsidRPr="002358A2">
        <w:t xml:space="preserve">, cited above, </w:t>
      </w:r>
      <w:r w:rsidRPr="002358A2">
        <w:rPr>
          <w:rFonts w:cstheme="minorHAnsi"/>
        </w:rPr>
        <w:t>§</w:t>
      </w:r>
      <w:r w:rsidRPr="002358A2">
        <w:t xml:space="preserve"> 121).</w:t>
      </w:r>
    </w:p>
    <w:p w:rsidRPr="002358A2" w:rsidR="00BF0CAC" w:rsidP="002358A2" w:rsidRDefault="00BF0CAC" w14:paraId="692918CA" w14:textId="77777777">
      <w:pPr>
        <w:pStyle w:val="JuHIRoman"/>
        <w:tabs>
          <w:tab w:val="left" w:pos="567"/>
          <w:tab w:val="left" w:pos="680"/>
        </w:tabs>
        <w:ind w:left="397" w:hanging="397"/>
      </w:pPr>
      <w:bookmarkStart w:name="_Toc107950897" w:id="249"/>
      <w:r w:rsidRPr="002358A2">
        <w:t>APPLICATION OF ARTICLE 46 OF THE CONVENTION</w:t>
      </w:r>
      <w:bookmarkEnd w:id="249"/>
    </w:p>
    <w:p w:rsidRPr="002358A2" w:rsidR="00BF0CAC" w:rsidP="002358A2" w:rsidRDefault="0048368E" w14:paraId="68A8DF29" w14:textId="415F58D8">
      <w:pPr>
        <w:pStyle w:val="JuPara"/>
      </w:pPr>
      <w:r>
        <w:rPr>
          <w:noProof/>
        </w:rPr>
        <w:fldChar w:fldCharType="begin"/>
      </w:r>
      <w:r>
        <w:rPr>
          <w:noProof/>
        </w:rPr>
        <w:instrText xml:space="preserve"> SEQ level0 \*arabic \* MERGEFORMAT </w:instrText>
      </w:r>
      <w:r>
        <w:rPr>
          <w:noProof/>
        </w:rPr>
        <w:fldChar w:fldCharType="separate"/>
      </w:r>
      <w:r w:rsidRPr="002358A2" w:rsidR="002358A2">
        <w:rPr>
          <w:noProof/>
        </w:rPr>
        <w:t>197</w:t>
      </w:r>
      <w:r>
        <w:rPr>
          <w:noProof/>
        </w:rPr>
        <w:fldChar w:fldCharType="end"/>
      </w:r>
      <w:r w:rsidRPr="002358A2" w:rsidR="00BF0CAC">
        <w:t xml:space="preserve">.  Under Article 46 </w:t>
      </w:r>
      <w:r w:rsidRPr="002358A2" w:rsidR="00BF0CAC">
        <w:rPr>
          <w:rFonts w:cstheme="minorHAnsi"/>
        </w:rPr>
        <w:t>§§</w:t>
      </w:r>
      <w:r w:rsidRPr="002358A2" w:rsidR="00BF0CAC">
        <w:t xml:space="preserve"> 1 and 2 of the Convention, a judgment in which the Court finds a violation of the Convention or its Protocols imposes on the respondent State a duty to choose, subject to supervision by the Committee of Ministers, the general and/or, if appropriate, individual measures to be taken in its domestic legal order to end the violation and make all feasible reparation for its consequences by restoring as far as possible the situation which would have obtained if it had not taken place. Furthermore, it follows from the Convention, and from its Article 1 in particular, that in ratifying the Convention and its Protocols the Contracting States undertake to ensure that their domestic law is compatible with them (see, among other authorities, </w:t>
      </w:r>
      <w:r w:rsidRPr="002358A2" w:rsidR="00BF0CAC">
        <w:rPr>
          <w:i/>
          <w:iCs/>
        </w:rPr>
        <w:t>Maestri v. Italy</w:t>
      </w:r>
      <w:r w:rsidRPr="002358A2" w:rsidR="00BF0CAC">
        <w:t xml:space="preserve"> [GC], no. 39748/98, § 47, ECHR 2004-I; </w:t>
      </w:r>
      <w:r w:rsidRPr="002358A2" w:rsidR="00BF0CAC">
        <w:rPr>
          <w:i/>
        </w:rPr>
        <w:t>Roman Zakharov</w:t>
      </w:r>
      <w:r w:rsidRPr="002358A2" w:rsidR="00BF0CAC">
        <w:t xml:space="preserve"> </w:t>
      </w:r>
      <w:r w:rsidRPr="002358A2" w:rsidR="00BF0CAC">
        <w:rPr>
          <w:i/>
        </w:rPr>
        <w:t>v. Russia</w:t>
      </w:r>
      <w:r w:rsidRPr="002358A2" w:rsidR="00BF0CAC">
        <w:t xml:space="preserve"> [GC], no. 47143/06, § 311, ECHR 2015; and </w:t>
      </w:r>
      <w:r w:rsidRPr="002358A2" w:rsidR="00BF0CAC">
        <w:rPr>
          <w:i/>
          <w:lang w:val="en-US"/>
        </w:rPr>
        <w:t>Ekimdzhiev and</w:t>
      </w:r>
      <w:r w:rsidRPr="002358A2" w:rsidR="000F4FD7">
        <w:rPr>
          <w:i/>
          <w:lang w:val="en-US"/>
        </w:rPr>
        <w:t> </w:t>
      </w:r>
      <w:r w:rsidRPr="002358A2" w:rsidR="00BF0CAC">
        <w:rPr>
          <w:i/>
          <w:lang w:val="en-US"/>
        </w:rPr>
        <w:t>Others v. Bulgaria</w:t>
      </w:r>
      <w:r w:rsidRPr="002358A2" w:rsidR="00BF0CAC">
        <w:rPr>
          <w:lang w:val="en-US"/>
        </w:rPr>
        <w:t>, no. 70078/12, § 427, 11 January 2022</w:t>
      </w:r>
      <w:r w:rsidRPr="002358A2" w:rsidR="00BF0CAC">
        <w:t>).</w:t>
      </w:r>
    </w:p>
    <w:p w:rsidRPr="002358A2" w:rsidR="00BF0CAC" w:rsidP="002358A2" w:rsidRDefault="00BF0CAC" w14:paraId="318629AC" w14:textId="77777777">
      <w:pPr>
        <w:pStyle w:val="JuHA"/>
      </w:pPr>
      <w:bookmarkStart w:name="_Toc107950898" w:id="250"/>
      <w:r w:rsidRPr="002358A2">
        <w:t>Individual measures</w:t>
      </w:r>
      <w:bookmarkEnd w:id="250"/>
    </w:p>
    <w:p w:rsidRPr="002358A2" w:rsidR="00BF0CAC" w:rsidP="002358A2" w:rsidRDefault="00BF0CAC" w14:paraId="02F9760B" w14:textId="1B4CFE95">
      <w:pPr>
        <w:pStyle w:val="JuH1"/>
      </w:pPr>
      <w:bookmarkStart w:name="_Toc107950899" w:id="251"/>
      <w:r w:rsidRPr="002358A2">
        <w:t>The parties</w:t>
      </w:r>
      <w:r w:rsidRPr="002358A2" w:rsidR="002358A2">
        <w:t>’</w:t>
      </w:r>
      <w:r w:rsidRPr="002358A2">
        <w:t xml:space="preserve"> submissions</w:t>
      </w:r>
      <w:bookmarkEnd w:id="251"/>
    </w:p>
    <w:bookmarkStart w:name="L_A46_ind_mes_KTB" w:id="252"/>
    <w:p w:rsidRPr="002358A2" w:rsidR="00BF0CAC" w:rsidP="002358A2" w:rsidRDefault="00BF0CAC" w14:paraId="37322D35" w14:textId="70434287">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198</w:t>
      </w:r>
      <w:r w:rsidRPr="002358A2">
        <w:rPr>
          <w:noProof/>
        </w:rPr>
        <w:fldChar w:fldCharType="end"/>
      </w:r>
      <w:bookmarkEnd w:id="252"/>
      <w:r w:rsidRPr="002358A2">
        <w:t>.  KTB requested the Court to indicate to the Bulgarian State to reopen</w:t>
      </w:r>
      <w:r w:rsidRPr="002358A2" w:rsidR="000F4FD7">
        <w:t xml:space="preserve"> </w:t>
      </w:r>
      <w:r w:rsidRPr="002358A2">
        <w:t>(a) the proceedings in which Bromak and its other shareholders had tried to seek judicial review of the BNB</w:t>
      </w:r>
      <w:r w:rsidRPr="002358A2" w:rsidR="002358A2">
        <w:t>’</w:t>
      </w:r>
      <w:r w:rsidRPr="002358A2">
        <w:t>s decision to withdraw KTB</w:t>
      </w:r>
      <w:r w:rsidRPr="002358A2" w:rsidR="002358A2">
        <w:t>’</w:t>
      </w:r>
      <w:r w:rsidRPr="002358A2">
        <w:t>s licence and (b) the ensuing proceedings in which KTB had been declared insolvent and wound up, and to carry out the reopened proceedings fully in line with the requirements of a fair trial. That was, in KTB</w:t>
      </w:r>
      <w:r w:rsidRPr="002358A2" w:rsidR="002358A2">
        <w:t>’</w:t>
      </w:r>
      <w:r w:rsidRPr="002358A2">
        <w:t>s view, the most fitting way to put right the breaches of Article 6 § 1 of the Convention found in the case.</w:t>
      </w:r>
    </w:p>
    <w:bookmarkStart w:name="L_A46_ind_mes_G" w:id="253"/>
    <w:p w:rsidRPr="002358A2" w:rsidR="00BF0CAC" w:rsidP="002358A2" w:rsidRDefault="00BF0CAC" w14:paraId="1AFD205A" w14:textId="1F55B5FE">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199</w:t>
      </w:r>
      <w:r w:rsidRPr="002358A2">
        <w:rPr>
          <w:noProof/>
        </w:rPr>
        <w:fldChar w:fldCharType="end"/>
      </w:r>
      <w:bookmarkEnd w:id="253"/>
      <w:r w:rsidRPr="002358A2">
        <w:t>.  The Government argued that although a reopening of the domestic proceedings was in principle an appropriate way of remedying a breach of Article 6 § 1 of the Convention, this could not be ordered by the Court and was ultimately for the competent domestic court to decide. In their view, in this case such a reopening would upset legal certainty, since the BNB</w:t>
      </w:r>
      <w:r w:rsidRPr="002358A2" w:rsidR="002358A2">
        <w:t>’</w:t>
      </w:r>
      <w:r w:rsidRPr="002358A2">
        <w:t>s decision to withdraw KTB</w:t>
      </w:r>
      <w:r w:rsidRPr="002358A2" w:rsidR="002358A2">
        <w:t>’</w:t>
      </w:r>
      <w:r w:rsidRPr="002358A2">
        <w:t>s licence and the ensuing judicial decision to declare it insolvent and wind it up had already affected many other persons. The public interest in not reopening those proceedings was stronger than KTB</w:t>
      </w:r>
      <w:r w:rsidRPr="002358A2" w:rsidR="002358A2">
        <w:t>’</w:t>
      </w:r>
      <w:r w:rsidRPr="002358A2">
        <w:t xml:space="preserve">s interest in obtaining </w:t>
      </w:r>
      <w:r w:rsidRPr="002358A2">
        <w:rPr>
          <w:i/>
          <w:iCs/>
        </w:rPr>
        <w:t>restitutio in integrum</w:t>
      </w:r>
      <w:r w:rsidRPr="002358A2">
        <w:t>.</w:t>
      </w:r>
    </w:p>
    <w:p w:rsidRPr="002358A2" w:rsidR="00BF0CAC" w:rsidP="002358A2" w:rsidRDefault="00BF0CAC" w14:paraId="7BCEDBDB" w14:textId="72530197">
      <w:pPr>
        <w:pStyle w:val="JuH1"/>
      </w:pPr>
      <w:bookmarkStart w:name="_Toc107950900" w:id="254"/>
      <w:r w:rsidRPr="002358A2">
        <w:t>The Court</w:t>
      </w:r>
      <w:r w:rsidRPr="002358A2" w:rsidR="002358A2">
        <w:t>’</w:t>
      </w:r>
      <w:r w:rsidRPr="002358A2">
        <w:t>s assessment</w:t>
      </w:r>
      <w:bookmarkEnd w:id="254"/>
    </w:p>
    <w:bookmarkStart w:name="L_A46_ind_mes_C_1" w:id="255"/>
    <w:p w:rsidRPr="002358A2" w:rsidR="00BF0CAC" w:rsidP="002358A2" w:rsidRDefault="00BF0CAC" w14:paraId="49D5657B" w14:textId="2F02D299">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200</w:t>
      </w:r>
      <w:r w:rsidRPr="002358A2">
        <w:rPr>
          <w:noProof/>
        </w:rPr>
        <w:fldChar w:fldCharType="end"/>
      </w:r>
      <w:bookmarkEnd w:id="255"/>
      <w:r w:rsidRPr="002358A2">
        <w:t>.  The Court has no competence to order the reopening of domestic</w:t>
      </w:r>
      <w:r w:rsidRPr="002358A2" w:rsidR="000F4FD7">
        <w:t xml:space="preserve"> </w:t>
      </w:r>
      <w:r w:rsidRPr="002358A2">
        <w:t xml:space="preserve">proceedings (see </w:t>
      </w:r>
      <w:r w:rsidRPr="002358A2">
        <w:rPr>
          <w:i/>
        </w:rPr>
        <w:t>Verein gegen Tierfabriken Schweiz (VgT) v.</w:t>
      </w:r>
      <w:r w:rsidRPr="002358A2" w:rsidR="009F4FDE">
        <w:rPr>
          <w:i/>
        </w:rPr>
        <w:t> </w:t>
      </w:r>
      <w:r w:rsidRPr="002358A2">
        <w:rPr>
          <w:i/>
        </w:rPr>
        <w:t>Switzerland</w:t>
      </w:r>
      <w:r w:rsidRPr="002358A2" w:rsidR="009F4FDE">
        <w:rPr>
          <w:i/>
        </w:rPr>
        <w:t> </w:t>
      </w:r>
      <w:r w:rsidRPr="002358A2">
        <w:rPr>
          <w:i/>
        </w:rPr>
        <w:t>(no. 2)</w:t>
      </w:r>
      <w:r w:rsidRPr="002358A2">
        <w:t xml:space="preserve"> [GC], no. 32772/02, § 89, ECHR 2009; </w:t>
      </w:r>
      <w:r w:rsidRPr="002358A2">
        <w:rPr>
          <w:i/>
          <w:iCs/>
        </w:rPr>
        <w:t>Moreira</w:t>
      </w:r>
      <w:r w:rsidRPr="002358A2" w:rsidR="000F4FD7">
        <w:rPr>
          <w:i/>
          <w:iCs/>
        </w:rPr>
        <w:t> </w:t>
      </w:r>
      <w:r w:rsidRPr="002358A2">
        <w:rPr>
          <w:i/>
          <w:iCs/>
        </w:rPr>
        <w:t>Ferreira v. Portugal (no. 2)</w:t>
      </w:r>
      <w:r w:rsidRPr="002358A2">
        <w:rPr>
          <w:iCs/>
        </w:rPr>
        <w:t xml:space="preserve"> [GC]</w:t>
      </w:r>
      <w:r w:rsidRPr="002358A2">
        <w:t>, no.</w:t>
      </w:r>
      <w:r w:rsidRPr="002358A2">
        <w:rPr>
          <w:lang w:eastAsia="en-GB"/>
        </w:rPr>
        <w:t xml:space="preserve"> </w:t>
      </w:r>
      <w:r w:rsidRPr="002358A2">
        <w:rPr>
          <w:iCs/>
        </w:rPr>
        <w:t xml:space="preserve">19867/12, </w:t>
      </w:r>
      <w:r w:rsidRPr="002358A2">
        <w:t>§</w:t>
      </w:r>
      <w:r w:rsidRPr="002358A2">
        <w:rPr>
          <w:rFonts w:cstheme="minorHAnsi"/>
        </w:rPr>
        <w:t>§</w:t>
      </w:r>
      <w:r w:rsidRPr="002358A2">
        <w:t xml:space="preserve"> 48-49, 11 July 2017; and </w:t>
      </w:r>
      <w:r w:rsidRPr="002358A2">
        <w:rPr>
          <w:i/>
        </w:rPr>
        <w:t>Tsonyo Tsonev v.</w:t>
      </w:r>
      <w:r w:rsidRPr="002358A2" w:rsidR="009F4FDE">
        <w:rPr>
          <w:i/>
        </w:rPr>
        <w:t xml:space="preserve"> </w:t>
      </w:r>
      <w:r w:rsidRPr="002358A2">
        <w:rPr>
          <w:i/>
        </w:rPr>
        <w:t>Bulgaria</w:t>
      </w:r>
      <w:r w:rsidRPr="002358A2">
        <w:rPr>
          <w:i/>
          <w:iCs/>
        </w:rPr>
        <w:t xml:space="preserve"> (no. 4)</w:t>
      </w:r>
      <w:r w:rsidRPr="002358A2">
        <w:t>, no. 35623/11, § 61, 6 April 2021).</w:t>
      </w:r>
    </w:p>
    <w:bookmarkStart w:name="L_A46_ind_mes_C_2" w:id="256"/>
    <w:p w:rsidRPr="002358A2" w:rsidR="00BF0CAC" w:rsidP="002358A2" w:rsidRDefault="00BF0CAC" w14:paraId="1AA30284" w14:textId="35697D47">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201</w:t>
      </w:r>
      <w:r w:rsidRPr="002358A2">
        <w:rPr>
          <w:noProof/>
        </w:rPr>
        <w:fldChar w:fldCharType="end"/>
      </w:r>
      <w:bookmarkEnd w:id="256"/>
      <w:r w:rsidRPr="002358A2">
        <w:t xml:space="preserve">.  It has, however, many times observed that when someone has been the victim of proceedings entailing a breach of Article 6 of the Convention, a reopening of those proceedings, if requested, is in principle an appropriate way of redressing the breach (see </w:t>
      </w:r>
      <w:r w:rsidRPr="002358A2">
        <w:rPr>
          <w:i/>
        </w:rPr>
        <w:t>Verein gegen Tierfabriken Schweiz (VgT)</w:t>
      </w:r>
      <w:r w:rsidRPr="002358A2">
        <w:rPr>
          <w:iCs/>
        </w:rPr>
        <w:t xml:space="preserve">, </w:t>
      </w:r>
      <w:r w:rsidRPr="002358A2">
        <w:rPr>
          <w:rFonts w:cstheme="minorHAnsi"/>
          <w:iCs/>
        </w:rPr>
        <w:t>§</w:t>
      </w:r>
      <w:r w:rsidRPr="002358A2">
        <w:rPr>
          <w:iCs/>
        </w:rPr>
        <w:t xml:space="preserve"> 89; </w:t>
      </w:r>
      <w:r w:rsidRPr="002358A2">
        <w:rPr>
          <w:i/>
          <w:iCs/>
        </w:rPr>
        <w:t>Moreira Ferreira (no. 2)</w:t>
      </w:r>
      <w:r w:rsidRPr="002358A2">
        <w:t xml:space="preserve">, </w:t>
      </w:r>
      <w:r w:rsidRPr="002358A2">
        <w:rPr>
          <w:rFonts w:cstheme="minorHAnsi"/>
        </w:rPr>
        <w:t>§</w:t>
      </w:r>
      <w:r w:rsidRPr="002358A2">
        <w:t xml:space="preserve"> 49; and </w:t>
      </w:r>
      <w:r w:rsidRPr="002358A2">
        <w:rPr>
          <w:i/>
        </w:rPr>
        <w:t xml:space="preserve">Tsonyo Tsonev </w:t>
      </w:r>
      <w:r w:rsidRPr="002358A2">
        <w:rPr>
          <w:i/>
          <w:iCs/>
        </w:rPr>
        <w:t>(no. 4)</w:t>
      </w:r>
      <w:r w:rsidRPr="002358A2">
        <w:t xml:space="preserve">, </w:t>
      </w:r>
      <w:r w:rsidRPr="002358A2">
        <w:rPr>
          <w:rFonts w:cstheme="minorHAnsi"/>
        </w:rPr>
        <w:t>§</w:t>
      </w:r>
      <w:r w:rsidRPr="002358A2">
        <w:t xml:space="preserve"> 61, all cited above). This is particularly so when the breach has consisted in an inability to obtain effective access to a court (see, for instance, </w:t>
      </w:r>
      <w:r w:rsidRPr="002358A2">
        <w:rPr>
          <w:i/>
        </w:rPr>
        <w:t>Yanakiev v. Bulgaria</w:t>
      </w:r>
      <w:r w:rsidRPr="002358A2">
        <w:t xml:space="preserve">, no. 40476/98, § 90, 10 August 2006; </w:t>
      </w:r>
      <w:r w:rsidRPr="002358A2">
        <w:rPr>
          <w:i/>
        </w:rPr>
        <w:t>Lesjak v. Croatia</w:t>
      </w:r>
      <w:r w:rsidRPr="002358A2">
        <w:t xml:space="preserve">, no. 25904/06, § 54, 18 February 2010; </w:t>
      </w:r>
      <w:r w:rsidRPr="002358A2">
        <w:rPr>
          <w:i/>
        </w:rPr>
        <w:t>Cudak v. Lithuania</w:t>
      </w:r>
      <w:r w:rsidRPr="002358A2">
        <w:t xml:space="preserve"> [GC], no. 15869/02, § 79, ECHR 2010; </w:t>
      </w:r>
      <w:r w:rsidRPr="002358A2">
        <w:rPr>
          <w:i/>
        </w:rPr>
        <w:t>Fazliyski v. Bulgaria</w:t>
      </w:r>
      <w:r w:rsidRPr="002358A2">
        <w:t xml:space="preserve">, no. 40908/05, § 76, 16 April 2013; </w:t>
      </w:r>
      <w:r w:rsidRPr="002358A2">
        <w:rPr>
          <w:i/>
        </w:rPr>
        <w:t>Kardoš v. Croatia</w:t>
      </w:r>
      <w:r w:rsidRPr="002358A2">
        <w:t xml:space="preserve">, no. 25782/11, § 67, 26 April 2016; </w:t>
      </w:r>
      <w:r w:rsidRPr="002358A2">
        <w:rPr>
          <w:i/>
          <w:iCs/>
        </w:rPr>
        <w:t>Miryana Petrova v. Bulgaria</w:t>
      </w:r>
      <w:r w:rsidRPr="002358A2">
        <w:rPr>
          <w:iCs/>
        </w:rPr>
        <w:t xml:space="preserve">, no. 57148/08, § 50, 21 July 2016; </w:t>
      </w:r>
      <w:r w:rsidRPr="002358A2">
        <w:rPr>
          <w:i/>
          <w:iCs/>
        </w:rPr>
        <w:t>Centre for the Development of Analytical Psychology v. the former Yugoslav Republic of Macedonia</w:t>
      </w:r>
      <w:r w:rsidRPr="002358A2">
        <w:t xml:space="preserve">, nos. 29545/10 and 32961/10, § 54, 15 June 2017; and </w:t>
      </w:r>
      <w:r w:rsidRPr="002358A2">
        <w:rPr>
          <w:rFonts w:cstheme="minorHAnsi"/>
          <w:i/>
          <w:color w:val="000000"/>
          <w:lang w:eastAsia="fr-FR"/>
        </w:rPr>
        <w:t>Inmobilizados y Gestiones S.L. v. Spain</w:t>
      </w:r>
      <w:r w:rsidRPr="002358A2">
        <w:rPr>
          <w:rFonts w:cstheme="minorHAnsi"/>
          <w:color w:val="000000"/>
          <w:lang w:eastAsia="fr-FR"/>
        </w:rPr>
        <w:t>, no. 79530/17, § 45, 14 September 2021</w:t>
      </w:r>
      <w:r w:rsidRPr="002358A2">
        <w:t>).</w:t>
      </w:r>
    </w:p>
    <w:bookmarkStart w:name="L_A46_ind_mes_C_3" w:id="257"/>
    <w:p w:rsidRPr="002358A2" w:rsidR="00BF0CAC" w:rsidP="002358A2" w:rsidRDefault="00BF0CAC" w14:paraId="7AA44BD4" w14:textId="0213B047">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202</w:t>
      </w:r>
      <w:r w:rsidRPr="002358A2">
        <w:rPr>
          <w:noProof/>
        </w:rPr>
        <w:fldChar w:fldCharType="end"/>
      </w:r>
      <w:bookmarkEnd w:id="257"/>
      <w:r w:rsidRPr="002358A2">
        <w:t>.  At the same time, the execution of the Court</w:t>
      </w:r>
      <w:r w:rsidRPr="002358A2" w:rsidR="002358A2">
        <w:t>’</w:t>
      </w:r>
      <w:r w:rsidRPr="002358A2">
        <w:t xml:space="preserve">s judgments should not unduly upset the principles of </w:t>
      </w:r>
      <w:r w:rsidRPr="002358A2">
        <w:rPr>
          <w:i/>
          <w:iCs/>
        </w:rPr>
        <w:t>res judicata</w:t>
      </w:r>
      <w:r w:rsidRPr="002358A2">
        <w:t xml:space="preserve"> and legal certainty in civil litigation, in particular where such litigation concerns third parties with their own legitimate interests to be protected (see </w:t>
      </w:r>
      <w:r w:rsidRPr="002358A2">
        <w:rPr>
          <w:i/>
        </w:rPr>
        <w:t>Bochan v. Ukraine (no. 2)</w:t>
      </w:r>
      <w:r w:rsidRPr="002358A2">
        <w:t xml:space="preserve"> [GC], no. 22251/08, § 57, ECHR 2015, and </w:t>
      </w:r>
      <w:r w:rsidRPr="002358A2">
        <w:rPr>
          <w:rFonts w:cstheme="minorHAnsi"/>
          <w:i/>
          <w:color w:val="000000"/>
          <w:lang w:val="en-US" w:eastAsia="fr-FR"/>
        </w:rPr>
        <w:t>Beg S.p.a. v. Italy</w:t>
      </w:r>
      <w:r w:rsidRPr="002358A2">
        <w:rPr>
          <w:rFonts w:cstheme="minorHAnsi"/>
          <w:color w:val="000000"/>
          <w:lang w:val="en-US" w:eastAsia="fr-FR"/>
        </w:rPr>
        <w:t>, no. 5312/11, § 162, 20 May 2021</w:t>
      </w:r>
      <w:r w:rsidRPr="002358A2">
        <w:t xml:space="preserve">). The lapse of time since the domestic decisions complained of is also a material consideration in that regard (see </w:t>
      </w:r>
      <w:r w:rsidRPr="002358A2">
        <w:rPr>
          <w:i/>
          <w:iCs/>
        </w:rPr>
        <w:t>Bochan (no. 2)</w:t>
      </w:r>
      <w:r w:rsidRPr="002358A2">
        <w:t xml:space="preserve">, cited above, </w:t>
      </w:r>
      <w:r w:rsidRPr="002358A2">
        <w:rPr>
          <w:rFonts w:cstheme="minorHAnsi"/>
        </w:rPr>
        <w:t>§</w:t>
      </w:r>
      <w:r w:rsidRPr="002358A2">
        <w:t xml:space="preserve"> 72).</w:t>
      </w:r>
    </w:p>
    <w:bookmarkStart w:name="L_A46_ind_mes_C_4" w:id="258"/>
    <w:p w:rsidRPr="002358A2" w:rsidR="00BF0CAC" w:rsidP="002358A2" w:rsidRDefault="00BF0CAC" w14:paraId="0BFE07F8" w14:textId="35BA521E">
      <w:pPr>
        <w:pStyle w:val="JuPara"/>
        <w:rPr>
          <w:iCs/>
        </w:rPr>
      </w:pPr>
      <w:r w:rsidRPr="002358A2">
        <w:fldChar w:fldCharType="begin"/>
      </w:r>
      <w:r w:rsidRPr="002358A2">
        <w:instrText xml:space="preserve"> SEQ level0 \*arabic \* MERGEFORMAT </w:instrText>
      </w:r>
      <w:r w:rsidRPr="002358A2">
        <w:fldChar w:fldCharType="separate"/>
      </w:r>
      <w:r w:rsidRPr="002358A2" w:rsidR="002358A2">
        <w:rPr>
          <w:noProof/>
        </w:rPr>
        <w:t>203</w:t>
      </w:r>
      <w:r w:rsidRPr="002358A2">
        <w:rPr>
          <w:noProof/>
        </w:rPr>
        <w:fldChar w:fldCharType="end"/>
      </w:r>
      <w:bookmarkEnd w:id="258"/>
      <w:r w:rsidRPr="002358A2">
        <w:t>.  It is not in doubt that the decision to withdraw KTB</w:t>
      </w:r>
      <w:r w:rsidRPr="002358A2" w:rsidR="002358A2">
        <w:t>’</w:t>
      </w:r>
      <w:r w:rsidRPr="002358A2">
        <w:t>s licence and the ensuing judicial declaration of insolvency and order that it be wound up, all made more than seven years ago, have affected many other persons, such as KTB</w:t>
      </w:r>
      <w:r w:rsidRPr="002358A2" w:rsidR="002358A2">
        <w:t>’</w:t>
      </w:r>
      <w:r w:rsidRPr="002358A2">
        <w:t>s clients and creditors, as well as Bulgaria</w:t>
      </w:r>
      <w:r w:rsidRPr="002358A2" w:rsidR="002358A2">
        <w:t>’</w:t>
      </w:r>
      <w:r w:rsidRPr="002358A2">
        <w:t xml:space="preserve">s financial system as a whole. Thus, although the only way to put right the breach of Article 6 § 1 of the Convention relating to the absence of a </w:t>
      </w:r>
      <w:r w:rsidRPr="002358A2">
        <w:rPr>
          <w:iCs/>
        </w:rPr>
        <w:t>clear and practical possibility for KTB itself to seek and obtain proper judicial review of the withdrawal of its licence</w:t>
      </w:r>
      <w:r w:rsidRPr="002358A2">
        <w:t xml:space="preserve"> is to give it such a possibility, it does not necessarily follow that the form of redress following a possible finding that the BNB</w:t>
      </w:r>
      <w:r w:rsidRPr="002358A2" w:rsidR="002358A2">
        <w:t>’</w:t>
      </w:r>
      <w:r w:rsidRPr="002358A2">
        <w:t>s decision to withdraw KTB</w:t>
      </w:r>
      <w:r w:rsidRPr="002358A2" w:rsidR="002358A2">
        <w:t>’</w:t>
      </w:r>
      <w:r w:rsidRPr="002358A2">
        <w:t xml:space="preserve">s licence was unlawful or unjustified should consist in the annulment of that decision and a reversal of its effects rather than in an award of compensation. In accordance with the general position under public international law, </w:t>
      </w:r>
      <w:r w:rsidRPr="002358A2">
        <w:rPr>
          <w:iCs/>
        </w:rPr>
        <w:t xml:space="preserve">restitution is the rule under Article 46 </w:t>
      </w:r>
      <w:r w:rsidRPr="002358A2">
        <w:rPr>
          <w:rFonts w:cstheme="minorHAnsi"/>
          <w:iCs/>
        </w:rPr>
        <w:t>§</w:t>
      </w:r>
      <w:r w:rsidRPr="002358A2">
        <w:rPr>
          <w:iCs/>
        </w:rPr>
        <w:t xml:space="preserve"> 1 of the Convention, but not when it is </w:t>
      </w:r>
      <w:r w:rsidRPr="002358A2">
        <w:t xml:space="preserve">materially impossible or would involve a burden out of all proportion to the benefit deriving from it (see </w:t>
      </w:r>
      <w:r w:rsidRPr="002358A2">
        <w:rPr>
          <w:i/>
          <w:iCs/>
        </w:rPr>
        <w:t>Ilgar</w:t>
      </w:r>
      <w:r w:rsidRPr="002358A2" w:rsidR="000F4FD7">
        <w:rPr>
          <w:i/>
          <w:iCs/>
        </w:rPr>
        <w:t> </w:t>
      </w:r>
      <w:r w:rsidRPr="002358A2">
        <w:rPr>
          <w:i/>
          <w:iCs/>
        </w:rPr>
        <w:t>Mammadov v. Azerbaijan</w:t>
      </w:r>
      <w:r w:rsidRPr="002358A2">
        <w:rPr>
          <w:iCs/>
        </w:rPr>
        <w:t xml:space="preserve"> (infringement proceedings) [GC]</w:t>
      </w:r>
      <w:r w:rsidRPr="002358A2">
        <w:t>, no.</w:t>
      </w:r>
      <w:r w:rsidRPr="002358A2" w:rsidR="000F4FD7">
        <w:rPr>
          <w:iCs/>
        </w:rPr>
        <w:t> </w:t>
      </w:r>
      <w:r w:rsidRPr="002358A2">
        <w:rPr>
          <w:iCs/>
        </w:rPr>
        <w:t>15172/13,</w:t>
      </w:r>
      <w:r w:rsidRPr="002358A2">
        <w:rPr>
          <w:i/>
          <w:iCs/>
        </w:rPr>
        <w:t xml:space="preserve"> </w:t>
      </w:r>
      <w:r w:rsidRPr="002358A2">
        <w:rPr>
          <w:iCs/>
        </w:rPr>
        <w:t>§ 151, 29 May 2019).</w:t>
      </w:r>
    </w:p>
    <w:bookmarkStart w:name="L_A46_ind_mes_C_5" w:id="259"/>
    <w:p w:rsidRPr="002358A2" w:rsidR="00BF0CAC" w:rsidP="002358A2" w:rsidRDefault="00BF0CAC" w14:paraId="2B8463A0" w14:textId="4D0562CF">
      <w:pPr>
        <w:pStyle w:val="JuPara"/>
      </w:pPr>
      <w:r w:rsidRPr="002358A2">
        <w:rPr>
          <w:iCs/>
        </w:rPr>
        <w:fldChar w:fldCharType="begin"/>
      </w:r>
      <w:r w:rsidRPr="002358A2">
        <w:rPr>
          <w:iCs/>
        </w:rPr>
        <w:instrText xml:space="preserve"> SEQ level0 \*arabic \* MERGEFORMAT </w:instrText>
      </w:r>
      <w:r w:rsidRPr="002358A2">
        <w:rPr>
          <w:iCs/>
        </w:rPr>
        <w:fldChar w:fldCharType="separate"/>
      </w:r>
      <w:r w:rsidRPr="002358A2" w:rsidR="002358A2">
        <w:rPr>
          <w:iCs/>
          <w:noProof/>
        </w:rPr>
        <w:t>204</w:t>
      </w:r>
      <w:r w:rsidRPr="002358A2">
        <w:rPr>
          <w:iCs/>
        </w:rPr>
        <w:fldChar w:fldCharType="end"/>
      </w:r>
      <w:bookmarkEnd w:id="259"/>
      <w:r w:rsidRPr="002358A2">
        <w:rPr>
          <w:iCs/>
        </w:rPr>
        <w:t xml:space="preserve">.  Any such proceedings should, however, be organised in a way which gives KTB an effective opportunity to contest the findings which prompted the BNB to withdraw its licence by proper representation. In particular, KTB should be able to access any reports or other material which had a bearing on those findings (see, </w:t>
      </w:r>
      <w:r w:rsidRPr="002358A2">
        <w:rPr>
          <w:i/>
        </w:rPr>
        <w:t>mutatis mutandis</w:t>
      </w:r>
      <w:r w:rsidRPr="002358A2">
        <w:rPr>
          <w:iCs/>
        </w:rPr>
        <w:t xml:space="preserve">, </w:t>
      </w:r>
      <w:r w:rsidRPr="002358A2">
        <w:rPr>
          <w:i/>
        </w:rPr>
        <w:t>Pintar and Others</w:t>
      </w:r>
      <w:r w:rsidRPr="002358A2">
        <w:rPr>
          <w:iCs/>
        </w:rPr>
        <w:t xml:space="preserve">, cited above, </w:t>
      </w:r>
      <w:r w:rsidRPr="002358A2">
        <w:rPr>
          <w:rFonts w:cstheme="minorHAnsi"/>
          <w:iCs/>
        </w:rPr>
        <w:t>§§</w:t>
      </w:r>
      <w:r w:rsidRPr="002358A2">
        <w:rPr>
          <w:iCs/>
        </w:rPr>
        <w:t xml:space="preserve"> 99 and 114).</w:t>
      </w:r>
    </w:p>
    <w:p w:rsidRPr="002358A2" w:rsidR="00BF0CAC" w:rsidP="002358A2" w:rsidRDefault="00BF0CAC" w14:paraId="10EEC340" w14:textId="77777777">
      <w:pPr>
        <w:pStyle w:val="JuHA"/>
      </w:pPr>
      <w:bookmarkStart w:name="_Toc107950901" w:id="260"/>
      <w:r w:rsidRPr="002358A2">
        <w:t>General measures</w:t>
      </w:r>
      <w:bookmarkEnd w:id="260"/>
    </w:p>
    <w:p w:rsidRPr="002358A2" w:rsidR="00BF0CAC" w:rsidP="002358A2" w:rsidRDefault="00BF0CAC" w14:paraId="32C524B9" w14:textId="6FBF19CE">
      <w:pPr>
        <w:pStyle w:val="JuH1"/>
      </w:pPr>
      <w:bookmarkStart w:name="_Toc107950902" w:id="261"/>
      <w:r w:rsidRPr="002358A2">
        <w:t>The parties</w:t>
      </w:r>
      <w:r w:rsidRPr="002358A2" w:rsidR="002358A2">
        <w:t>’</w:t>
      </w:r>
      <w:r w:rsidRPr="002358A2">
        <w:t xml:space="preserve"> submissions</w:t>
      </w:r>
      <w:bookmarkEnd w:id="261"/>
    </w:p>
    <w:bookmarkStart w:name="L_A46_gen_mes_KTB" w:id="262"/>
    <w:p w:rsidRPr="002358A2" w:rsidR="00BF0CAC" w:rsidP="002358A2" w:rsidRDefault="00BF0CAC" w14:paraId="501EA912" w14:textId="67D67951">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205</w:t>
      </w:r>
      <w:r w:rsidRPr="002358A2">
        <w:rPr>
          <w:noProof/>
        </w:rPr>
        <w:fldChar w:fldCharType="end"/>
      </w:r>
      <w:bookmarkEnd w:id="262"/>
      <w:r w:rsidRPr="002358A2">
        <w:t>.  KTB also requested the Court to indicate to Bulgaria that the general measures required to prevent such breaches of Article 6 § 1 of the Convention and Article 1 of Protocol No. 1 entailed altering Bulgarian law – in particular the Credit Institutions Act 2006 and the Bank Insolvency Act 2002 – in a way that provided effective legal safeguards for banks facing special administration and insolvency.</w:t>
      </w:r>
    </w:p>
    <w:bookmarkStart w:name="L_A46_gen_mes_G" w:id="263"/>
    <w:p w:rsidRPr="002358A2" w:rsidR="00BF0CAC" w:rsidP="002358A2" w:rsidRDefault="00BF0CAC" w14:paraId="4348E58A" w14:textId="40423579">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206</w:t>
      </w:r>
      <w:r w:rsidRPr="002358A2">
        <w:rPr>
          <w:noProof/>
        </w:rPr>
        <w:fldChar w:fldCharType="end"/>
      </w:r>
      <w:bookmarkEnd w:id="263"/>
      <w:r w:rsidRPr="002358A2">
        <w:t>.  The Government submitted that the Committee of Ministers was better placed to assess what general measures would be required to abide by the Court</w:t>
      </w:r>
      <w:r w:rsidRPr="002358A2" w:rsidR="002358A2">
        <w:t>’</w:t>
      </w:r>
      <w:r w:rsidRPr="002358A2">
        <w:t>s judgment.</w:t>
      </w:r>
    </w:p>
    <w:p w:rsidRPr="002358A2" w:rsidR="00BF0CAC" w:rsidP="002358A2" w:rsidRDefault="00BF0CAC" w14:paraId="5E9ABC58" w14:textId="6CF6A4DC">
      <w:pPr>
        <w:pStyle w:val="JuH1"/>
      </w:pPr>
      <w:bookmarkStart w:name="_Toc107950903" w:id="264"/>
      <w:r w:rsidRPr="002358A2">
        <w:t>The Court</w:t>
      </w:r>
      <w:r w:rsidRPr="002358A2" w:rsidR="002358A2">
        <w:t>’</w:t>
      </w:r>
      <w:r w:rsidRPr="002358A2">
        <w:t>s assessment</w:t>
      </w:r>
      <w:bookmarkEnd w:id="264"/>
    </w:p>
    <w:bookmarkStart w:name="L_A41_KTB_claim_costs_C_0" w:id="265"/>
    <w:p w:rsidRPr="002358A2" w:rsidR="00BF0CAC" w:rsidP="002358A2" w:rsidRDefault="00BF0CAC" w14:paraId="7138544E" w14:textId="63B6D5B7">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207</w:t>
      </w:r>
      <w:r w:rsidRPr="002358A2">
        <w:fldChar w:fldCharType="end"/>
      </w:r>
      <w:bookmarkEnd w:id="265"/>
      <w:r w:rsidRPr="002358A2">
        <w:t xml:space="preserve">.  Since this is the third case against Bulgaria (the previous two being </w:t>
      </w:r>
      <w:r w:rsidRPr="002358A2">
        <w:rPr>
          <w:i/>
          <w:iCs/>
        </w:rPr>
        <w:t>Capital Bank AD</w:t>
      </w:r>
      <w:r w:rsidRPr="002358A2">
        <w:t xml:space="preserve"> and </w:t>
      </w:r>
      <w:r w:rsidRPr="002358A2">
        <w:rPr>
          <w:i/>
        </w:rPr>
        <w:t>International Bank for Commerce and Development AD and Others</w:t>
      </w:r>
      <w:r w:rsidRPr="002358A2">
        <w:rPr>
          <w:iCs/>
        </w:rPr>
        <w:t>, both cited above</w:t>
      </w:r>
      <w:r w:rsidRPr="002358A2">
        <w:t>) in which issues arise with regard to the way in which the withdrawal of a bank</w:t>
      </w:r>
      <w:r w:rsidRPr="002358A2" w:rsidR="002358A2">
        <w:t>’</w:t>
      </w:r>
      <w:r w:rsidRPr="002358A2">
        <w:t>s licence on grounds of insolvency and the ensuing winding-up proceedings are regulated under Bulgarian law, it seems appropriate for the Court to give some indications on how breaches of the kind found here are to be avoided in the future.</w:t>
      </w:r>
    </w:p>
    <w:bookmarkStart w:name="L_A46_gen_mes_C_1" w:id="266"/>
    <w:p w:rsidRPr="002358A2" w:rsidR="00BF0CAC" w:rsidP="002358A2" w:rsidRDefault="00BF0CAC" w14:paraId="19073A76" w14:textId="0D7AE6D4">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208</w:t>
      </w:r>
      <w:r w:rsidRPr="002358A2">
        <w:rPr>
          <w:noProof/>
        </w:rPr>
        <w:fldChar w:fldCharType="end"/>
      </w:r>
      <w:bookmarkEnd w:id="266"/>
      <w:r w:rsidRPr="002358A2">
        <w:t xml:space="preserve">.  The breach of Article 6 § 1 of the Convention flowing from the absence of a clear and practical possibility for KTB itself to seek and obtain judicial review of the withdrawal of its licence resulted, depending on how the matter is seen, either from a gap in the relevant legislation or from the manner in which the Supreme Administrative Court construed and applied that legislation (see paragraphs </w:t>
      </w:r>
      <w:r w:rsidRPr="002358A2">
        <w:fldChar w:fldCharType="begin"/>
      </w:r>
      <w:r w:rsidRPr="002358A2">
        <w:instrText xml:space="preserve"> REF L_A6_1_access_mer_C_3 \h </w:instrText>
      </w:r>
      <w:r w:rsidRPr="002358A2">
        <w:fldChar w:fldCharType="separate"/>
      </w:r>
      <w:r w:rsidRPr="002358A2" w:rsidR="002358A2">
        <w:rPr>
          <w:noProof/>
        </w:rPr>
        <w:t>130</w:t>
      </w:r>
      <w:r w:rsidRPr="002358A2">
        <w:fldChar w:fldCharType="end"/>
      </w:r>
      <w:r w:rsidRPr="002358A2">
        <w:t>-</w:t>
      </w:r>
      <w:r w:rsidRPr="002358A2">
        <w:fldChar w:fldCharType="begin"/>
      </w:r>
      <w:r w:rsidRPr="002358A2">
        <w:instrText xml:space="preserve"> REF L_A6_1_access_mer_C_18 \h </w:instrText>
      </w:r>
      <w:r w:rsidRPr="002358A2">
        <w:fldChar w:fldCharType="separate"/>
      </w:r>
      <w:r w:rsidRPr="002358A2" w:rsidR="002358A2">
        <w:rPr>
          <w:iCs/>
          <w:noProof/>
        </w:rPr>
        <w:t>146</w:t>
      </w:r>
      <w:r w:rsidRPr="002358A2">
        <w:fldChar w:fldCharType="end"/>
      </w:r>
      <w:r w:rsidRPr="002358A2">
        <w:t xml:space="preserve"> above). It is not for the Court to say whether one or the other has to change to avoid future breaches of that kind. Be that as it may, Bulgaria should take steps to ensure that a bank whose licence has been withdrawn be able to directly and independently seek and obtain effective judicial review of that measure.</w:t>
      </w:r>
    </w:p>
    <w:bookmarkStart w:name="L_A46_gen_mes_C_2" w:id="267"/>
    <w:p w:rsidRPr="002358A2" w:rsidR="00BF0CAC" w:rsidP="002358A2" w:rsidRDefault="00BF0CAC" w14:paraId="455A79BD" w14:textId="27597F05">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209</w:t>
      </w:r>
      <w:r w:rsidRPr="002358A2">
        <w:rPr>
          <w:noProof/>
        </w:rPr>
        <w:fldChar w:fldCharType="end"/>
      </w:r>
      <w:bookmarkEnd w:id="267"/>
      <w:r w:rsidRPr="002358A2">
        <w:t>.  For its part, the breach of Article 6 § 1 of the Convention relating to the manner in which KTB was represented in the proceedings relating to the</w:t>
      </w:r>
      <w:r w:rsidRPr="002358A2" w:rsidR="000F4FD7">
        <w:t xml:space="preserve"> </w:t>
      </w:r>
      <w:r w:rsidRPr="002358A2">
        <w:t>BNB</w:t>
      </w:r>
      <w:r w:rsidRPr="002358A2" w:rsidR="002358A2">
        <w:t>’</w:t>
      </w:r>
      <w:r w:rsidRPr="002358A2">
        <w:t xml:space="preserve">s application for it to be declared insolvent and wound up flowed chiefly from the terms of sections 11(3) and 16(1) </w:t>
      </w:r>
      <w:r w:rsidRPr="002358A2">
        <w:rPr>
          <w:i/>
          <w:iCs/>
        </w:rPr>
        <w:t>in fine</w:t>
      </w:r>
      <w:r w:rsidRPr="002358A2">
        <w:t xml:space="preserve"> of the Bank Insolvency Act 2002 (see paragraphs </w:t>
      </w:r>
      <w:r w:rsidRPr="002358A2">
        <w:fldChar w:fldCharType="begin"/>
      </w:r>
      <w:r w:rsidRPr="002358A2">
        <w:instrText xml:space="preserve"> REF L_A6_1_rep_mer_C_4 \h </w:instrText>
      </w:r>
      <w:r w:rsidRPr="002358A2">
        <w:fldChar w:fldCharType="separate"/>
      </w:r>
      <w:r w:rsidRPr="002358A2" w:rsidR="002358A2">
        <w:rPr>
          <w:iCs/>
          <w:noProof/>
        </w:rPr>
        <w:t>163</w:t>
      </w:r>
      <w:r w:rsidRPr="002358A2">
        <w:fldChar w:fldCharType="end"/>
      </w:r>
      <w:r w:rsidRPr="002358A2">
        <w:t>-</w:t>
      </w:r>
      <w:r w:rsidRPr="002358A2">
        <w:fldChar w:fldCharType="begin"/>
      </w:r>
      <w:r w:rsidRPr="002358A2">
        <w:instrText xml:space="preserve"> REF L_A6_1_rep_mer_C_5 \h </w:instrText>
      </w:r>
      <w:r w:rsidRPr="002358A2">
        <w:fldChar w:fldCharType="separate"/>
      </w:r>
      <w:r w:rsidRPr="002358A2" w:rsidR="002358A2">
        <w:rPr>
          <w:iCs/>
          <w:noProof/>
        </w:rPr>
        <w:t>164</w:t>
      </w:r>
      <w:r w:rsidRPr="002358A2">
        <w:fldChar w:fldCharType="end"/>
      </w:r>
      <w:r w:rsidRPr="002358A2">
        <w:t xml:space="preserve"> and </w:t>
      </w:r>
      <w:r w:rsidRPr="002358A2">
        <w:fldChar w:fldCharType="begin"/>
      </w:r>
      <w:r w:rsidRPr="002358A2">
        <w:instrText xml:space="preserve"> REF L_A6_1_rep_mer_C_7 \h </w:instrText>
      </w:r>
      <w:r w:rsidRPr="002358A2">
        <w:fldChar w:fldCharType="separate"/>
      </w:r>
      <w:r w:rsidRPr="002358A2" w:rsidR="002358A2">
        <w:rPr>
          <w:iCs/>
          <w:noProof/>
        </w:rPr>
        <w:t>166</w:t>
      </w:r>
      <w:r w:rsidRPr="002358A2">
        <w:fldChar w:fldCharType="end"/>
      </w:r>
      <w:r w:rsidRPr="002358A2">
        <w:t xml:space="preserve"> above). Bulgaria should hence amend those provisions in a way that permits a bank facing an application by the BNB to be declared insolvent and wound up to be represented in those proceedings, both at first instance and on appeal, in a way which enables it to properly state its case and protect its interests, as it sees them.</w:t>
      </w:r>
    </w:p>
    <w:bookmarkStart w:name="L_A46_gen_mes_C_3" w:id="268"/>
    <w:p w:rsidRPr="002358A2" w:rsidR="00BF0CAC" w:rsidP="002358A2" w:rsidRDefault="00BF0CAC" w14:paraId="3AFD1C54" w14:textId="09B87DAA">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210</w:t>
      </w:r>
      <w:r w:rsidRPr="002358A2">
        <w:rPr>
          <w:noProof/>
        </w:rPr>
        <w:fldChar w:fldCharType="end"/>
      </w:r>
      <w:bookmarkEnd w:id="268"/>
      <w:r w:rsidRPr="002358A2">
        <w:t>.  As for the breach of Article 1 of Protocol No. 1, it should be noted that the statutory provision removing all procedural safeguards from the BNB</w:t>
      </w:r>
      <w:r w:rsidRPr="002358A2" w:rsidR="002358A2">
        <w:t>’</w:t>
      </w:r>
      <w:r w:rsidRPr="002358A2">
        <w:t>s decision-making process in relation to the withdrawal of a bank</w:t>
      </w:r>
      <w:r w:rsidRPr="002358A2" w:rsidR="002358A2">
        <w:t>’</w:t>
      </w:r>
      <w:r w:rsidRPr="002358A2">
        <w:t xml:space="preserve">s licence – section 36(6) of the Credit Institutions Act 2006 – was repealed in 2021 (see paragraph </w:t>
      </w:r>
      <w:r w:rsidRPr="002358A2">
        <w:fldChar w:fldCharType="begin"/>
      </w:r>
      <w:r w:rsidRPr="002358A2">
        <w:instrText xml:space="preserve"> REF RLF_BNB_revoke_licence_procedure_repeal \h </w:instrText>
      </w:r>
      <w:r w:rsidRPr="002358A2">
        <w:fldChar w:fldCharType="separate"/>
      </w:r>
      <w:r w:rsidRPr="002358A2" w:rsidR="002358A2">
        <w:rPr>
          <w:noProof/>
        </w:rPr>
        <w:t>93</w:t>
      </w:r>
      <w:r w:rsidRPr="002358A2">
        <w:fldChar w:fldCharType="end"/>
      </w:r>
      <w:r w:rsidRPr="002358A2">
        <w:t xml:space="preserve"> above). This legislative amendment, seen in the light of the explanatory notes to the bill which led to it, appears to have largely eliminated the underlying cause of the breach, the only other component of which was the absence of a clear and practical possibility for KTB itself, by proper representation, to seek and obtain judicial review of the BNB</w:t>
      </w:r>
      <w:r w:rsidRPr="002358A2" w:rsidR="002358A2">
        <w:t>’</w:t>
      </w:r>
      <w:r w:rsidRPr="002358A2">
        <w:t xml:space="preserve">s decision to withdraw its licence (see paragraphs </w:t>
      </w:r>
      <w:r w:rsidRPr="002358A2">
        <w:fldChar w:fldCharType="begin"/>
      </w:r>
      <w:r w:rsidRPr="002358A2">
        <w:instrText xml:space="preserve"> REF L_A1P1_mer_C_2 \h </w:instrText>
      </w:r>
      <w:r w:rsidRPr="002358A2">
        <w:fldChar w:fldCharType="separate"/>
      </w:r>
      <w:r w:rsidRPr="002358A2" w:rsidR="002358A2">
        <w:rPr>
          <w:noProof/>
        </w:rPr>
        <w:t>185</w:t>
      </w:r>
      <w:r w:rsidRPr="002358A2">
        <w:fldChar w:fldCharType="end"/>
      </w:r>
      <w:r w:rsidRPr="002358A2">
        <w:t xml:space="preserve"> and </w:t>
      </w:r>
      <w:r w:rsidRPr="002358A2">
        <w:fldChar w:fldCharType="begin"/>
      </w:r>
      <w:r w:rsidRPr="002358A2">
        <w:instrText xml:space="preserve"> REF L_A1P1_mer_C_3 \h </w:instrText>
      </w:r>
      <w:r w:rsidRPr="002358A2">
        <w:fldChar w:fldCharType="separate"/>
      </w:r>
      <w:r w:rsidRPr="002358A2" w:rsidR="002358A2">
        <w:rPr>
          <w:noProof/>
        </w:rPr>
        <w:t>186</w:t>
      </w:r>
      <w:r w:rsidRPr="002358A2">
        <w:fldChar w:fldCharType="end"/>
      </w:r>
      <w:r w:rsidRPr="002358A2">
        <w:t xml:space="preserve"> above). It is hence superfluous to indicate any general measures in addition to those already indicated in paragraph </w:t>
      </w:r>
      <w:r w:rsidRPr="002358A2">
        <w:fldChar w:fldCharType="begin"/>
      </w:r>
      <w:r w:rsidRPr="002358A2">
        <w:instrText xml:space="preserve"> REF L_A46_gen_mes_C_1 \h </w:instrText>
      </w:r>
      <w:r w:rsidRPr="002358A2">
        <w:fldChar w:fldCharType="separate"/>
      </w:r>
      <w:r w:rsidRPr="002358A2" w:rsidR="002358A2">
        <w:rPr>
          <w:noProof/>
        </w:rPr>
        <w:t>208</w:t>
      </w:r>
      <w:r w:rsidRPr="002358A2">
        <w:fldChar w:fldCharType="end"/>
      </w:r>
      <w:r w:rsidRPr="002358A2">
        <w:t xml:space="preserve"> above with reference to the first breach of Article 6 § 1 of the Convention (see, </w:t>
      </w:r>
      <w:r w:rsidRPr="002358A2">
        <w:rPr>
          <w:i/>
          <w:iCs/>
        </w:rPr>
        <w:t>mutatis mutandis</w:t>
      </w:r>
      <w:r w:rsidRPr="002358A2">
        <w:t xml:space="preserve">, </w:t>
      </w:r>
      <w:r w:rsidRPr="002358A2">
        <w:rPr>
          <w:i/>
          <w:iCs/>
        </w:rPr>
        <w:t>Sejdovic v. Italy</w:t>
      </w:r>
      <w:r w:rsidRPr="002358A2">
        <w:t xml:space="preserve"> [GC], no. 56581/00, §§ 121‑24, ECHR 2006-II, and </w:t>
      </w:r>
      <w:r w:rsidRPr="002358A2">
        <w:rPr>
          <w:i/>
        </w:rPr>
        <w:t>Lenev v. Bulgaria</w:t>
      </w:r>
      <w:r w:rsidRPr="002358A2">
        <w:t>, no. 41452/07, § 173, 4 December 2012).</w:t>
      </w:r>
    </w:p>
    <w:p w:rsidRPr="002358A2" w:rsidR="00BF0CAC" w:rsidP="002358A2" w:rsidRDefault="00BF0CAC" w14:paraId="1B34A619" w14:textId="77777777">
      <w:pPr>
        <w:pStyle w:val="JuHIRoman"/>
        <w:tabs>
          <w:tab w:val="left" w:pos="567"/>
          <w:tab w:val="left" w:pos="680"/>
        </w:tabs>
        <w:ind w:left="397" w:hanging="397"/>
      </w:pPr>
      <w:bookmarkStart w:name="_Toc107950904" w:id="269"/>
      <w:r w:rsidRPr="002358A2">
        <w:t>APPLICATION OF ARTICLE 41 OF THE CONVENTION</w:t>
      </w:r>
      <w:bookmarkEnd w:id="269"/>
    </w:p>
    <w:p w:rsidRPr="002358A2" w:rsidR="00BF0CAC" w:rsidP="002358A2" w:rsidRDefault="0048368E" w14:paraId="4DD4CFEB" w14:textId="624FF59B">
      <w:pPr>
        <w:pStyle w:val="JuPara"/>
        <w:keepNext/>
        <w:keepLines/>
      </w:pPr>
      <w:r>
        <w:rPr>
          <w:noProof/>
        </w:rPr>
        <w:fldChar w:fldCharType="begin"/>
      </w:r>
      <w:r>
        <w:rPr>
          <w:noProof/>
        </w:rPr>
        <w:instrText xml:space="preserve"> SEQ level0 \*arabic \* MERGEFORMAT </w:instrText>
      </w:r>
      <w:r>
        <w:rPr>
          <w:noProof/>
        </w:rPr>
        <w:fldChar w:fldCharType="separate"/>
      </w:r>
      <w:r w:rsidRPr="002358A2" w:rsidR="002358A2">
        <w:rPr>
          <w:noProof/>
        </w:rPr>
        <w:t>211</w:t>
      </w:r>
      <w:r>
        <w:rPr>
          <w:noProof/>
        </w:rPr>
        <w:fldChar w:fldCharType="end"/>
      </w:r>
      <w:r w:rsidRPr="002358A2" w:rsidR="00BF0CAC">
        <w:t>.  Article 41 of the Convention provides:</w:t>
      </w:r>
    </w:p>
    <w:p w:rsidRPr="002358A2" w:rsidR="00BF0CAC" w:rsidP="002358A2" w:rsidRDefault="00BF0CAC" w14:paraId="7839451B" w14:textId="77777777">
      <w:pPr>
        <w:pStyle w:val="JuQuot"/>
        <w:keepLines/>
      </w:pPr>
      <w:r w:rsidRPr="002358A2">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2358A2" w:rsidR="00BF0CAC" w:rsidP="002358A2" w:rsidRDefault="00BF0CAC" w14:paraId="481D1BBD" w14:textId="77777777">
      <w:pPr>
        <w:pStyle w:val="JuHA"/>
      </w:pPr>
      <w:bookmarkStart w:name="_Toc107950905" w:id="270"/>
      <w:r w:rsidRPr="002358A2">
        <w:t>Pecuniary damage</w:t>
      </w:r>
      <w:bookmarkEnd w:id="270"/>
    </w:p>
    <w:p w:rsidRPr="002358A2" w:rsidR="00BF0CAC" w:rsidP="002358A2" w:rsidRDefault="00BF0CAC" w14:paraId="1FBDF01D" w14:textId="4518BDD0">
      <w:pPr>
        <w:pStyle w:val="JuH1"/>
      </w:pPr>
      <w:bookmarkStart w:name="_Toc107950906" w:id="271"/>
      <w:r w:rsidRPr="002358A2">
        <w:t>KTB</w:t>
      </w:r>
      <w:r w:rsidRPr="002358A2" w:rsidR="002358A2">
        <w:t>’</w:t>
      </w:r>
      <w:r w:rsidRPr="002358A2">
        <w:t>s claim and the Government</w:t>
      </w:r>
      <w:r w:rsidRPr="002358A2" w:rsidR="002358A2">
        <w:t>’</w:t>
      </w:r>
      <w:r w:rsidRPr="002358A2">
        <w:t>s comments on it</w:t>
      </w:r>
      <w:bookmarkEnd w:id="271"/>
    </w:p>
    <w:p w:rsidRPr="002358A2" w:rsidR="00BF0CAC" w:rsidP="002358A2" w:rsidRDefault="00BF0CAC" w14:paraId="54B142D4" w14:textId="3ABB235B">
      <w:pPr>
        <w:pStyle w:val="JuHa0"/>
      </w:pPr>
      <w:bookmarkStart w:name="_Toc107950907" w:id="272"/>
      <w:r w:rsidRPr="002358A2">
        <w:t>KTB</w:t>
      </w:r>
      <w:r w:rsidRPr="002358A2" w:rsidR="002358A2">
        <w:t>’</w:t>
      </w:r>
      <w:r w:rsidRPr="002358A2">
        <w:t>s claim</w:t>
      </w:r>
      <w:bookmarkEnd w:id="272"/>
    </w:p>
    <w:bookmarkStart w:name="L_A41_KTB_claim_pec_dam_1" w:id="273"/>
    <w:p w:rsidRPr="002358A2" w:rsidR="00BF0CAC" w:rsidP="002358A2" w:rsidRDefault="00BF0CAC" w14:paraId="2F5DA4FF" w14:textId="783C0BB3">
      <w:pPr>
        <w:pStyle w:val="JuPara"/>
        <w:keepNext/>
      </w:pPr>
      <w:r w:rsidRPr="002358A2">
        <w:fldChar w:fldCharType="begin"/>
      </w:r>
      <w:r w:rsidRPr="002358A2">
        <w:instrText xml:space="preserve"> SEQ level0 \*arabic </w:instrText>
      </w:r>
      <w:r w:rsidRPr="002358A2">
        <w:fldChar w:fldCharType="separate"/>
      </w:r>
      <w:r w:rsidRPr="002358A2" w:rsidR="002358A2">
        <w:rPr>
          <w:noProof/>
        </w:rPr>
        <w:t>212</w:t>
      </w:r>
      <w:r w:rsidRPr="002358A2">
        <w:fldChar w:fldCharType="end"/>
      </w:r>
      <w:bookmarkEnd w:id="273"/>
      <w:r w:rsidRPr="002358A2">
        <w:t>.  KTB claimed 5,337,582,081 Bulgarian levs (BGN), plus interest, in respect of the pecuniary damage which it had allegedly suffered as a result of the breach of Article 1 of Protocol No. 1, to be</w:t>
      </w:r>
      <w:r w:rsidRPr="002358A2" w:rsidR="00193E8C">
        <w:t xml:space="preserve"> </w:t>
      </w:r>
      <w:r w:rsidRPr="002358A2">
        <w:t>broken down as follows:</w:t>
      </w:r>
    </w:p>
    <w:p w:rsidRPr="002358A2" w:rsidR="00BF0CAC" w:rsidP="002358A2" w:rsidRDefault="00BF0CAC" w14:paraId="368F8648" w14:textId="31CFA1CA">
      <w:pPr>
        <w:pStyle w:val="JuPara"/>
      </w:pPr>
      <w:r w:rsidRPr="002358A2">
        <w:t>(a)  BGN 4,392,137,000, representing the difference between KTB</w:t>
      </w:r>
      <w:r w:rsidRPr="002358A2" w:rsidR="002358A2">
        <w:t>’</w:t>
      </w:r>
      <w:r w:rsidRPr="002358A2">
        <w:t>s own capital on 31 December 2013 and 31 December 2014;</w:t>
      </w:r>
    </w:p>
    <w:p w:rsidRPr="002358A2" w:rsidR="00BF0CAC" w:rsidP="002358A2" w:rsidRDefault="00BF0CAC" w14:paraId="3B1F421C" w14:textId="64F9EB5A">
      <w:pPr>
        <w:pStyle w:val="JuPara"/>
      </w:pPr>
      <w:r w:rsidRPr="002358A2">
        <w:t>(b)  BGN 13,149,880, representing the reduction in the fair market value of KTB</w:t>
      </w:r>
      <w:r w:rsidRPr="002358A2" w:rsidR="002358A2">
        <w:t>’</w:t>
      </w:r>
      <w:r w:rsidRPr="002358A2">
        <w:t>s trademark between 31 December 2013 and 31 December 2014;</w:t>
      </w:r>
    </w:p>
    <w:p w:rsidRPr="002358A2" w:rsidR="00BF0CAC" w:rsidP="002358A2" w:rsidRDefault="00BF0CAC" w14:paraId="393810BA" w14:textId="7ED29C0C">
      <w:pPr>
        <w:pStyle w:val="JuPara"/>
      </w:pPr>
      <w:r w:rsidRPr="002358A2">
        <w:t>(c)  BGN 14,997,000, representing KTB</w:t>
      </w:r>
      <w:r w:rsidRPr="002358A2" w:rsidR="002358A2">
        <w:t>’</w:t>
      </w:r>
      <w:r w:rsidRPr="002358A2">
        <w:t>s profit for the period from January to May 2014;</w:t>
      </w:r>
    </w:p>
    <w:p w:rsidRPr="002358A2" w:rsidR="00BF0CAC" w:rsidP="002358A2" w:rsidRDefault="00BF0CAC" w14:paraId="36E68045" w14:textId="14DA6EEE">
      <w:pPr>
        <w:pStyle w:val="JuPara"/>
      </w:pPr>
      <w:r w:rsidRPr="002358A2">
        <w:t>(d)  BGN 887,189,000, representing KTB</w:t>
      </w:r>
      <w:r w:rsidRPr="002358A2" w:rsidR="002358A2">
        <w:t>’</w:t>
      </w:r>
      <w:r w:rsidRPr="002358A2">
        <w:t>s loss of profit for the period 2014-20; and</w:t>
      </w:r>
    </w:p>
    <w:p w:rsidRPr="002358A2" w:rsidR="00BF0CAC" w:rsidP="002358A2" w:rsidRDefault="00BF0CAC" w14:paraId="43D3A298" w14:textId="5EA2EBB8">
      <w:pPr>
        <w:pStyle w:val="JuPara"/>
      </w:pPr>
      <w:r w:rsidRPr="002358A2">
        <w:t>(e)  BGN 30,109,201, representing a sum transferred by KTB</w:t>
      </w:r>
      <w:r w:rsidRPr="002358A2" w:rsidR="002358A2">
        <w:t>’</w:t>
      </w:r>
      <w:r w:rsidRPr="002358A2">
        <w:t>s special administrators to the Deposit Insurance Fund on 25 June 2014 pursuant to instructions by the BNB.</w:t>
      </w:r>
    </w:p>
    <w:bookmarkStart w:name="L_A41_KTB_claim_pec_dam_2" w:id="274"/>
    <w:p w:rsidRPr="002358A2" w:rsidR="00BF0CAC" w:rsidP="002358A2" w:rsidRDefault="00BF0CAC" w14:paraId="29117EA8" w14:textId="667265C6">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213</w:t>
      </w:r>
      <w:r w:rsidRPr="002358A2">
        <w:rPr>
          <w:noProof/>
        </w:rPr>
        <w:fldChar w:fldCharType="end"/>
      </w:r>
      <w:bookmarkEnd w:id="274"/>
      <w:r w:rsidRPr="002358A2">
        <w:t>.  KTB submitted that all these heads of damage had resulted directly from unlawful acts and omissions by the BNB, the Prosecutor</w:t>
      </w:r>
      <w:r w:rsidRPr="002358A2" w:rsidR="002358A2">
        <w:t>’</w:t>
      </w:r>
      <w:r w:rsidRPr="002358A2">
        <w:t>s Office and other State authorities, since they had led to the withdrawal of its licence. KTB also pointed out that the withdrawal had caused it to cease to exist as a going concern.</w:t>
      </w:r>
    </w:p>
    <w:bookmarkStart w:name="L_A41_KTB_claim_pec_dam_3" w:id="275"/>
    <w:p w:rsidRPr="002358A2" w:rsidR="00BF0CAC" w:rsidP="002358A2" w:rsidRDefault="00BF0CAC" w14:paraId="1F34B9EA" w14:textId="193EE124">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214</w:t>
      </w:r>
      <w:r w:rsidRPr="002358A2">
        <w:rPr>
          <w:noProof/>
        </w:rPr>
        <w:fldChar w:fldCharType="end"/>
      </w:r>
      <w:bookmarkEnd w:id="275"/>
      <w:r w:rsidRPr="002358A2">
        <w:t>.  KTB requested that any award under this head be made payable to its shareholders (those at the time its licence had been withdrawn) or their successors.</w:t>
      </w:r>
    </w:p>
    <w:p w:rsidRPr="002358A2" w:rsidR="00BF0CAC" w:rsidP="002358A2" w:rsidRDefault="00BF0CAC" w14:paraId="44CD1967" w14:textId="0CBC4734">
      <w:pPr>
        <w:pStyle w:val="JuHa0"/>
      </w:pPr>
      <w:bookmarkStart w:name="_Toc107950908" w:id="276"/>
      <w:r w:rsidRPr="002358A2">
        <w:t>The Government</w:t>
      </w:r>
      <w:r w:rsidRPr="002358A2" w:rsidR="002358A2">
        <w:t>’</w:t>
      </w:r>
      <w:r w:rsidRPr="002358A2">
        <w:t>s comments on the claim</w:t>
      </w:r>
      <w:bookmarkEnd w:id="276"/>
    </w:p>
    <w:bookmarkStart w:name="L_A41_KTB_claim_pec_dam_G_comments_1" w:id="277"/>
    <w:p w:rsidRPr="002358A2" w:rsidR="00BF0CAC" w:rsidP="002358A2" w:rsidRDefault="00BF0CAC" w14:paraId="0B5464A1" w14:textId="36C06788">
      <w:pPr>
        <w:pStyle w:val="JuPara"/>
      </w:pPr>
      <w:r w:rsidRPr="002358A2">
        <w:fldChar w:fldCharType="begin"/>
      </w:r>
      <w:r w:rsidRPr="002358A2">
        <w:instrText xml:space="preserve"> SEQ level0 \*arabic </w:instrText>
      </w:r>
      <w:r w:rsidRPr="002358A2">
        <w:fldChar w:fldCharType="separate"/>
      </w:r>
      <w:r w:rsidRPr="002358A2" w:rsidR="002358A2">
        <w:rPr>
          <w:noProof/>
        </w:rPr>
        <w:t>215</w:t>
      </w:r>
      <w:r w:rsidRPr="002358A2">
        <w:fldChar w:fldCharType="end"/>
      </w:r>
      <w:bookmarkEnd w:id="277"/>
      <w:r w:rsidRPr="002358A2">
        <w:t>.  The Government submitted that there was no causal link between the breach of Article 1 of Protocol No. 1 and the damage allegedly suffered by KTB, since it could not be speculated whether the BNB would have withdrawn its licence even if that decision had been surrounded by sufficient safeguards. The Government hence invited the Court to reject the claim as a whole.</w:t>
      </w:r>
    </w:p>
    <w:bookmarkStart w:name="L_A41_KTB_claim_pec_dam_G_comments_2" w:id="278"/>
    <w:p w:rsidRPr="002358A2" w:rsidR="00BF0CAC" w:rsidP="002358A2" w:rsidRDefault="00BF0CAC" w14:paraId="3FA530A8" w14:textId="2C2225A5">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216</w:t>
      </w:r>
      <w:r w:rsidRPr="002358A2">
        <w:rPr>
          <w:noProof/>
        </w:rPr>
        <w:fldChar w:fldCharType="end"/>
      </w:r>
      <w:bookmarkEnd w:id="278"/>
      <w:r w:rsidRPr="002358A2">
        <w:t>.  In the alternative, the Government submitted that the claim was unsubstantiated and exorbitant, and challenged the evidence adduced by KTB in support of the claim and the methods on the basis of which its various heads had been estimated.</w:t>
      </w:r>
    </w:p>
    <w:bookmarkStart w:name="L_A41_KTB_claim_pec_dam_G_comments_3" w:id="279"/>
    <w:p w:rsidRPr="002358A2" w:rsidR="00BF0CAC" w:rsidP="002358A2" w:rsidRDefault="00BF0CAC" w14:paraId="3F487167" w14:textId="583100BE">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217</w:t>
      </w:r>
      <w:r w:rsidRPr="002358A2">
        <w:rPr>
          <w:noProof/>
        </w:rPr>
        <w:fldChar w:fldCharType="end"/>
      </w:r>
      <w:bookmarkEnd w:id="279"/>
      <w:r w:rsidRPr="002358A2">
        <w:t>.  The Government further insisted that any award under this head be made payable to KTB itself rather than its shareholders, pointing out that KTB had not ceased to exist as a legal person and that its shareholders were no longer applicants in the proceedings.</w:t>
      </w:r>
    </w:p>
    <w:p w:rsidRPr="002358A2" w:rsidR="00BF0CAC" w:rsidP="002358A2" w:rsidRDefault="00BF0CAC" w14:paraId="59334420" w14:textId="7A91B547">
      <w:pPr>
        <w:pStyle w:val="JuH1"/>
      </w:pPr>
      <w:bookmarkStart w:name="_Toc107950909" w:id="280"/>
      <w:r w:rsidRPr="002358A2">
        <w:t>The Court</w:t>
      </w:r>
      <w:r w:rsidRPr="002358A2" w:rsidR="002358A2">
        <w:t>’</w:t>
      </w:r>
      <w:r w:rsidRPr="002358A2">
        <w:t>s assessment</w:t>
      </w:r>
      <w:bookmarkEnd w:id="280"/>
    </w:p>
    <w:bookmarkStart w:name="L_A41_KTB_claim_pec_dam_C" w:id="281"/>
    <w:p w:rsidRPr="002358A2" w:rsidR="00BF0CAC" w:rsidP="002358A2" w:rsidRDefault="00BF0CAC" w14:paraId="1EC952F3" w14:textId="70281E2B">
      <w:pPr>
        <w:pStyle w:val="JuPara"/>
      </w:pPr>
      <w:r w:rsidRPr="002358A2">
        <w:fldChar w:fldCharType="begin"/>
      </w:r>
      <w:r w:rsidRPr="002358A2">
        <w:instrText xml:space="preserve"> SEQ level0 \*arabic </w:instrText>
      </w:r>
      <w:r w:rsidRPr="002358A2">
        <w:fldChar w:fldCharType="separate"/>
      </w:r>
      <w:r w:rsidRPr="002358A2" w:rsidR="002358A2">
        <w:rPr>
          <w:noProof/>
        </w:rPr>
        <w:t>218</w:t>
      </w:r>
      <w:r w:rsidRPr="002358A2">
        <w:fldChar w:fldCharType="end"/>
      </w:r>
      <w:bookmarkEnd w:id="281"/>
      <w:r w:rsidRPr="002358A2">
        <w:t>.  The Court cannot speculate what the outcome of the administrative proceedings in which the BNB withdrew KTB</w:t>
      </w:r>
      <w:r w:rsidRPr="002358A2" w:rsidR="002358A2">
        <w:t>’</w:t>
      </w:r>
      <w:r w:rsidRPr="002358A2">
        <w:t xml:space="preserve">s licence and the ensuing judicial proceedings in which KTB was declared insolvent and ordered to be wound up would have been if the breach of Article 1 of Protocol No. 1 found in relation to them had not taken place (see </w:t>
      </w:r>
      <w:r w:rsidRPr="002358A2">
        <w:rPr>
          <w:i/>
          <w:iCs/>
        </w:rPr>
        <w:t>Capital Bank AD</w:t>
      </w:r>
      <w:r w:rsidRPr="002358A2">
        <w:t xml:space="preserve">, </w:t>
      </w:r>
      <w:r w:rsidRPr="002358A2">
        <w:rPr>
          <w:rFonts w:cstheme="minorHAnsi"/>
        </w:rPr>
        <w:t>§</w:t>
      </w:r>
      <w:r w:rsidRPr="002358A2">
        <w:t xml:space="preserve"> 144; </w:t>
      </w:r>
      <w:r w:rsidRPr="002358A2">
        <w:rPr>
          <w:i/>
        </w:rPr>
        <w:t>International Bank for Commerce and Development AD and Others</w:t>
      </w:r>
      <w:r w:rsidRPr="002358A2">
        <w:t xml:space="preserve">, </w:t>
      </w:r>
      <w:r w:rsidRPr="002358A2">
        <w:rPr>
          <w:rFonts w:cstheme="minorHAnsi"/>
        </w:rPr>
        <w:t>§</w:t>
      </w:r>
      <w:r w:rsidRPr="002358A2">
        <w:t xml:space="preserve"> 160; and </w:t>
      </w:r>
      <w:r w:rsidRPr="002358A2">
        <w:rPr>
          <w:i/>
          <w:iCs/>
        </w:rPr>
        <w:t>Feldman and Slovyanskyy Bank</w:t>
      </w:r>
      <w:r w:rsidRPr="002358A2">
        <w:t xml:space="preserve">, </w:t>
      </w:r>
      <w:r w:rsidRPr="002358A2">
        <w:rPr>
          <w:rFonts w:cstheme="minorHAnsi"/>
        </w:rPr>
        <w:t>§</w:t>
      </w:r>
      <w:r w:rsidRPr="002358A2">
        <w:t xml:space="preserve"> 69, all cited above; see also, </w:t>
      </w:r>
      <w:r w:rsidRPr="002358A2">
        <w:rPr>
          <w:i/>
          <w:iCs/>
        </w:rPr>
        <w:t>mutatis mutandis</w:t>
      </w:r>
      <w:r w:rsidRPr="002358A2">
        <w:t xml:space="preserve">, </w:t>
      </w:r>
      <w:r w:rsidRPr="002358A2">
        <w:rPr>
          <w:rFonts w:cstheme="minorHAnsi"/>
          <w:i/>
          <w:color w:val="000000"/>
          <w:lang w:val="en-US" w:eastAsia="fr-FR"/>
        </w:rPr>
        <w:t>Project-Trade d.o.o.</w:t>
      </w:r>
      <w:r w:rsidRPr="002358A2">
        <w:rPr>
          <w:rFonts w:cstheme="minorHAnsi"/>
          <w:iCs/>
          <w:color w:val="000000"/>
          <w:lang w:val="en-US" w:eastAsia="fr-FR"/>
        </w:rPr>
        <w:t xml:space="preserve">, § 110, and </w:t>
      </w:r>
      <w:r w:rsidRPr="002358A2">
        <w:rPr>
          <w:rFonts w:cstheme="minorHAnsi"/>
          <w:i/>
          <w:color w:val="000000"/>
          <w:lang w:val="en-US" w:eastAsia="fr-FR"/>
        </w:rPr>
        <w:t>Pintar and Others</w:t>
      </w:r>
      <w:r w:rsidRPr="002358A2">
        <w:rPr>
          <w:rFonts w:cstheme="minorHAnsi"/>
          <w:iCs/>
          <w:color w:val="000000"/>
          <w:lang w:val="en-US" w:eastAsia="fr-FR"/>
        </w:rPr>
        <w:t xml:space="preserve">, § 118, both cited above). </w:t>
      </w:r>
      <w:r w:rsidRPr="002358A2">
        <w:t>No award can therefore be made under this head.</w:t>
      </w:r>
    </w:p>
    <w:p w:rsidRPr="002358A2" w:rsidR="00BF0CAC" w:rsidP="002358A2" w:rsidRDefault="00BF0CAC" w14:paraId="2C7FE728" w14:textId="77777777">
      <w:pPr>
        <w:pStyle w:val="JuHA"/>
      </w:pPr>
      <w:bookmarkStart w:name="_Toc107950910" w:id="282"/>
      <w:r w:rsidRPr="002358A2">
        <w:t>Costs and expenses</w:t>
      </w:r>
      <w:bookmarkEnd w:id="282"/>
    </w:p>
    <w:p w:rsidRPr="002358A2" w:rsidR="00BF0CAC" w:rsidP="002358A2" w:rsidRDefault="00BF0CAC" w14:paraId="41D3A9D2" w14:textId="217B755A">
      <w:pPr>
        <w:pStyle w:val="JuH1"/>
      </w:pPr>
      <w:bookmarkStart w:name="_Toc107950911" w:id="283"/>
      <w:r w:rsidRPr="002358A2">
        <w:t>KTB</w:t>
      </w:r>
      <w:r w:rsidRPr="002358A2" w:rsidR="002358A2">
        <w:t>’</w:t>
      </w:r>
      <w:r w:rsidRPr="002358A2">
        <w:t>s claim and the Government</w:t>
      </w:r>
      <w:r w:rsidRPr="002358A2" w:rsidR="002358A2">
        <w:t>’</w:t>
      </w:r>
      <w:r w:rsidRPr="002358A2">
        <w:t>s comments on it</w:t>
      </w:r>
      <w:bookmarkEnd w:id="283"/>
    </w:p>
    <w:bookmarkStart w:name="L_A41_KTB_claim_costs" w:id="284"/>
    <w:p w:rsidRPr="002358A2" w:rsidR="00BF0CAC" w:rsidP="002358A2" w:rsidRDefault="00BF0CAC" w14:paraId="7026B148" w14:textId="1A162DE4">
      <w:pPr>
        <w:pStyle w:val="JuPara"/>
      </w:pPr>
      <w:r w:rsidRPr="002358A2">
        <w:fldChar w:fldCharType="begin"/>
      </w:r>
      <w:r w:rsidRPr="002358A2">
        <w:instrText xml:space="preserve"> SEQ level0 \*arabic </w:instrText>
      </w:r>
      <w:r w:rsidRPr="002358A2">
        <w:fldChar w:fldCharType="separate"/>
      </w:r>
      <w:r w:rsidRPr="002358A2" w:rsidR="002358A2">
        <w:rPr>
          <w:noProof/>
        </w:rPr>
        <w:t>219</w:t>
      </w:r>
      <w:r w:rsidRPr="002358A2">
        <w:fldChar w:fldCharType="end"/>
      </w:r>
      <w:bookmarkEnd w:id="284"/>
      <w:r w:rsidRPr="002358A2">
        <w:t>.  KTB sought reimbursement of EUR 270,000, plus 20% in value</w:t>
      </w:r>
      <w:r w:rsidRPr="002358A2" w:rsidR="009F4FDE">
        <w:noBreakHyphen/>
      </w:r>
      <w:r w:rsidRPr="002358A2">
        <w:t>added tax (VAT), which it had allegedly incurred for the services of its lawyer in the proceedings before the Court. It requested that any award under this head be made payable directly to the lawyer</w:t>
      </w:r>
      <w:r w:rsidRPr="002358A2" w:rsidR="002358A2">
        <w:t>’</w:t>
      </w:r>
      <w:r w:rsidRPr="002358A2">
        <w:t>s firm. In support of its claim, KTB submitted two fee agreements with the firm, relating to the first and second applications lodged on its behalf. The agreements had been concluded by two of KTB</w:t>
      </w:r>
      <w:r w:rsidRPr="002358A2" w:rsidR="002358A2">
        <w:t>’</w:t>
      </w:r>
      <w:r w:rsidRPr="002358A2">
        <w:t>s former executive directors, Mr I. Zafirov and Mr</w:t>
      </w:r>
      <w:r w:rsidRPr="002358A2" w:rsidR="009F4FDE">
        <w:t> </w:t>
      </w:r>
      <w:r w:rsidRPr="002358A2">
        <w:t>G. Hristov, on its behalf.</w:t>
      </w:r>
    </w:p>
    <w:bookmarkStart w:name="L_A41_KTB_claim_costs_G_comments" w:id="285"/>
    <w:p w:rsidRPr="002358A2" w:rsidR="00BF0CAC" w:rsidP="002358A2" w:rsidRDefault="00BF0CAC" w14:paraId="176C08C0" w14:textId="60C639B3">
      <w:pPr>
        <w:pStyle w:val="JuPara"/>
      </w:pPr>
      <w:r w:rsidRPr="002358A2">
        <w:fldChar w:fldCharType="begin"/>
      </w:r>
      <w:r w:rsidRPr="002358A2">
        <w:instrText xml:space="preserve"> SEQ level0 \*arabic </w:instrText>
      </w:r>
      <w:r w:rsidRPr="002358A2">
        <w:fldChar w:fldCharType="separate"/>
      </w:r>
      <w:r w:rsidRPr="002358A2" w:rsidR="002358A2">
        <w:rPr>
          <w:noProof/>
        </w:rPr>
        <w:t>220</w:t>
      </w:r>
      <w:r w:rsidRPr="002358A2">
        <w:fldChar w:fldCharType="end"/>
      </w:r>
      <w:bookmarkEnd w:id="285"/>
      <w:r w:rsidRPr="002358A2">
        <w:t>.  The Government argued that the wording of the relevant clauses in the two fee agreements did not show that KTB was bound to pay the lawyers</w:t>
      </w:r>
      <w:r w:rsidRPr="002358A2" w:rsidR="002358A2">
        <w:t>’</w:t>
      </w:r>
      <w:r w:rsidRPr="002358A2">
        <w:t xml:space="preserve"> fees whose reimbursement it was seeking. They further submitted that the claim was exorbitant, and that there was no information about the way in which those fees had been calculated. In their view, any award under this head had to take account of domestic legal rates and the standard of living in Bulgaria, and not exceed the awards made in previous similar cases. Lastly, the Government pointed out that two applications had been declared partly inadmissible.</w:t>
      </w:r>
    </w:p>
    <w:p w:rsidRPr="002358A2" w:rsidR="00BF0CAC" w:rsidP="002358A2" w:rsidRDefault="00BF0CAC" w14:paraId="26986F50" w14:textId="3AA5C77B">
      <w:pPr>
        <w:pStyle w:val="JuH1"/>
      </w:pPr>
      <w:bookmarkStart w:name="_Toc107950912" w:id="286"/>
      <w:r w:rsidRPr="002358A2">
        <w:t>The Court</w:t>
      </w:r>
      <w:r w:rsidRPr="002358A2" w:rsidR="002358A2">
        <w:t>’</w:t>
      </w:r>
      <w:r w:rsidRPr="002358A2">
        <w:t>s assessment</w:t>
      </w:r>
      <w:bookmarkEnd w:id="286"/>
    </w:p>
    <w:bookmarkStart w:name="L_A41_KTB_claim_costs_C_1" w:id="287"/>
    <w:p w:rsidRPr="002358A2" w:rsidR="00BF0CAC" w:rsidP="002358A2" w:rsidRDefault="00BF0CAC" w14:paraId="40F3276E" w14:textId="0FA93952">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221</w:t>
      </w:r>
      <w:r w:rsidRPr="002358A2">
        <w:rPr>
          <w:noProof/>
        </w:rPr>
        <w:fldChar w:fldCharType="end"/>
      </w:r>
      <w:bookmarkEnd w:id="287"/>
      <w:r w:rsidRPr="002358A2">
        <w:t xml:space="preserve">.  Since the two applications were validly lodged on behalf of KTB by its former executive directors (see paragraphs </w:t>
      </w:r>
      <w:r w:rsidRPr="002358A2">
        <w:fldChar w:fldCharType="begin"/>
      </w:r>
      <w:r w:rsidRPr="002358A2">
        <w:instrText xml:space="preserve"> REF L_standing_C_1 \h </w:instrText>
      </w:r>
      <w:r w:rsidRPr="002358A2">
        <w:fldChar w:fldCharType="separate"/>
      </w:r>
      <w:r w:rsidRPr="002358A2" w:rsidR="002358A2">
        <w:rPr>
          <w:noProof/>
        </w:rPr>
        <w:t>111</w:t>
      </w:r>
      <w:r w:rsidRPr="002358A2">
        <w:fldChar w:fldCharType="end"/>
      </w:r>
      <w:r w:rsidRPr="002358A2">
        <w:t>-</w:t>
      </w:r>
      <w:r w:rsidRPr="002358A2">
        <w:fldChar w:fldCharType="begin"/>
      </w:r>
      <w:r w:rsidRPr="002358A2">
        <w:instrText xml:space="preserve"> REF L_standing_C_3 \h </w:instrText>
      </w:r>
      <w:r w:rsidRPr="002358A2">
        <w:fldChar w:fldCharType="separate"/>
      </w:r>
      <w:r w:rsidRPr="002358A2" w:rsidR="002358A2">
        <w:rPr>
          <w:noProof/>
        </w:rPr>
        <w:t>113</w:t>
      </w:r>
      <w:r w:rsidRPr="002358A2">
        <w:fldChar w:fldCharType="end"/>
      </w:r>
      <w:r w:rsidRPr="002358A2">
        <w:t xml:space="preserve"> above), any costs and expenses incurred in pursuing those applications are to be reimbursed to them (see </w:t>
      </w:r>
      <w:r w:rsidRPr="002358A2">
        <w:rPr>
          <w:i/>
          <w:iCs/>
        </w:rPr>
        <w:t>Capital Bank AD</w:t>
      </w:r>
      <w:r w:rsidRPr="002358A2">
        <w:t xml:space="preserve">, </w:t>
      </w:r>
      <w:r w:rsidRPr="002358A2">
        <w:rPr>
          <w:rFonts w:cstheme="minorHAnsi"/>
        </w:rPr>
        <w:t>§</w:t>
      </w:r>
      <w:r w:rsidRPr="002358A2">
        <w:t xml:space="preserve"> 148, and </w:t>
      </w:r>
      <w:r w:rsidRPr="002358A2">
        <w:rPr>
          <w:i/>
        </w:rPr>
        <w:t>International Bank for Commerce and Development AD and Others</w:t>
      </w:r>
      <w:r w:rsidRPr="002358A2">
        <w:t xml:space="preserve">, </w:t>
      </w:r>
      <w:r w:rsidRPr="002358A2">
        <w:rPr>
          <w:rFonts w:cstheme="minorHAnsi"/>
        </w:rPr>
        <w:t>§</w:t>
      </w:r>
      <w:r w:rsidRPr="002358A2">
        <w:t xml:space="preserve"> 169, both cited above). It must, however, be established whether the former executive directors did incur any such costs.</w:t>
      </w:r>
    </w:p>
    <w:bookmarkStart w:name="L_A41_KTB_claim_costs_C_2" w:id="288"/>
    <w:p w:rsidRPr="002358A2" w:rsidR="00BF0CAC" w:rsidP="002358A2" w:rsidRDefault="00BF0CAC" w14:paraId="4B3C78DB" w14:textId="0D98A375">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222</w:t>
      </w:r>
      <w:r w:rsidRPr="002358A2">
        <w:rPr>
          <w:noProof/>
        </w:rPr>
        <w:fldChar w:fldCharType="end"/>
      </w:r>
      <w:bookmarkEnd w:id="288"/>
      <w:r w:rsidRPr="002358A2">
        <w:t>.  The only type of costs or expenses for which reimbursement was sought were lawyer</w:t>
      </w:r>
      <w:r w:rsidRPr="002358A2" w:rsidR="002358A2">
        <w:t>’</w:t>
      </w:r>
      <w:r w:rsidRPr="002358A2">
        <w:t>s fees. According to the Court</w:t>
      </w:r>
      <w:r w:rsidRPr="002358A2" w:rsidR="002358A2">
        <w:t>’</w:t>
      </w:r>
      <w:r w:rsidRPr="002358A2">
        <w:t xml:space="preserve">s case-law, such fees have been actually incurred if the applicant has paid or is liable to pay them (see </w:t>
      </w:r>
      <w:r w:rsidRPr="002358A2">
        <w:rPr>
          <w:i/>
          <w:iCs/>
        </w:rPr>
        <w:t>McCann and Others v. the United Kingdom</w:t>
      </w:r>
      <w:r w:rsidRPr="002358A2">
        <w:t xml:space="preserve">, 27 September 1995, § 221, Series A no. 324; </w:t>
      </w:r>
      <w:r w:rsidRPr="002358A2">
        <w:rPr>
          <w:i/>
          <w:iCs/>
        </w:rPr>
        <w:t>Merabishvili v. Georgia</w:t>
      </w:r>
      <w:r w:rsidRPr="002358A2">
        <w:t xml:space="preserve"> [GC], no. 72508/13, § 371, 28 November 2017; and </w:t>
      </w:r>
      <w:r w:rsidRPr="002358A2">
        <w:rPr>
          <w:i/>
          <w:iCs/>
        </w:rPr>
        <w:t>B and C v. Switzerland</w:t>
      </w:r>
      <w:r w:rsidRPr="002358A2">
        <w:t>, nos. 889/19 and 43987/16, § 79, 17 November 2020). In this case, clause III of both fee agreements between KTB and the lawyer retained by its former executive directors to represent it before the Court said that the parties “agree[d] that the contracted fee [wa]s to be paid directly to the lawyer by the Bulgarian State if and when it [wa]s awarded by [the Court]”. There is hence no evidence that KTB or its former executive directors have paid or are liable to pay any fees to the lawyer; agreeing that one</w:t>
      </w:r>
      <w:r w:rsidRPr="002358A2" w:rsidR="002358A2">
        <w:t>’</w:t>
      </w:r>
      <w:r w:rsidRPr="002358A2">
        <w:t xml:space="preserve">s representative may seek his or her fees from the opposing party does not amount to actually incurring those fees (compare with the circumstances in </w:t>
      </w:r>
      <w:r w:rsidRPr="002358A2">
        <w:rPr>
          <w:i/>
        </w:rPr>
        <w:t>Palfreeman v. Bulgaria</w:t>
      </w:r>
      <w:r w:rsidRPr="002358A2">
        <w:t xml:space="preserve"> [Committee], no. 840/18, § 107, 8 June 2021).</w:t>
      </w:r>
    </w:p>
    <w:bookmarkStart w:name="L_A41_KTB_claim_costs_C_3" w:id="289"/>
    <w:p w:rsidRPr="002358A2" w:rsidR="00BF0CAC" w:rsidP="002358A2" w:rsidRDefault="00BF0CAC" w14:paraId="69F557DA" w14:textId="5AEABB71">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223</w:t>
      </w:r>
      <w:r w:rsidRPr="002358A2">
        <w:rPr>
          <w:noProof/>
        </w:rPr>
        <w:fldChar w:fldCharType="end"/>
      </w:r>
      <w:bookmarkEnd w:id="289"/>
      <w:r w:rsidRPr="002358A2">
        <w:t xml:space="preserve">.  Moreover, a representative cannot seek just satisfaction for him or herself, since he or she is not an “injured party” within the meaning of Article 41 (former Article 50) of the Convention (see </w:t>
      </w:r>
      <w:r w:rsidRPr="002358A2">
        <w:rPr>
          <w:i/>
          <w:iCs/>
        </w:rPr>
        <w:t>Luedicke, Belkacem and</w:t>
      </w:r>
      <w:r w:rsidRPr="002358A2" w:rsidR="0021685B">
        <w:rPr>
          <w:i/>
          <w:iCs/>
        </w:rPr>
        <w:t> </w:t>
      </w:r>
      <w:r w:rsidRPr="002358A2">
        <w:rPr>
          <w:i/>
          <w:iCs/>
        </w:rPr>
        <w:t>Koç v. Germany</w:t>
      </w:r>
      <w:r w:rsidRPr="002358A2">
        <w:t xml:space="preserve"> (Article 50), 10 March 1980, § 15, Series A no. 36; </w:t>
      </w:r>
      <w:r w:rsidRPr="002358A2">
        <w:rPr>
          <w:i/>
          <w:iCs/>
        </w:rPr>
        <w:t>Airey</w:t>
      </w:r>
      <w:r w:rsidRPr="002358A2" w:rsidR="0021685B">
        <w:rPr>
          <w:i/>
          <w:iCs/>
        </w:rPr>
        <w:t> </w:t>
      </w:r>
      <w:r w:rsidRPr="002358A2">
        <w:rPr>
          <w:i/>
          <w:iCs/>
        </w:rPr>
        <w:t>v. Ireland</w:t>
      </w:r>
      <w:r w:rsidRPr="002358A2">
        <w:t xml:space="preserve"> (Article 50), 6 February 1981, § 13, Series A no. 41; and </w:t>
      </w:r>
      <w:r w:rsidRPr="002358A2">
        <w:rPr>
          <w:i/>
          <w:iCs/>
        </w:rPr>
        <w:t>Campbell and Cosans v. the United Kingdom</w:t>
      </w:r>
      <w:r w:rsidRPr="002358A2">
        <w:t xml:space="preserve"> (Article 50), 22 March 1983, §</w:t>
      </w:r>
      <w:r w:rsidRPr="002358A2" w:rsidR="0021685B">
        <w:t> </w:t>
      </w:r>
      <w:r w:rsidRPr="002358A2">
        <w:t>14 (a), Series A no. 60).</w:t>
      </w:r>
    </w:p>
    <w:bookmarkStart w:name="L_A41_KTB_claim_costs_C_4" w:id="290"/>
    <w:p w:rsidRPr="002358A2" w:rsidR="00BF0CAC" w:rsidP="002358A2" w:rsidRDefault="00BF0CAC" w14:paraId="04382E6D" w14:textId="27A5281B">
      <w:pPr>
        <w:pStyle w:val="JuPara"/>
      </w:pPr>
      <w:r w:rsidRPr="002358A2">
        <w:fldChar w:fldCharType="begin"/>
      </w:r>
      <w:r w:rsidRPr="002358A2">
        <w:instrText xml:space="preserve"> SEQ level0 \*arabic \* MERGEFORMAT </w:instrText>
      </w:r>
      <w:r w:rsidRPr="002358A2">
        <w:fldChar w:fldCharType="separate"/>
      </w:r>
      <w:r w:rsidRPr="002358A2" w:rsidR="002358A2">
        <w:rPr>
          <w:noProof/>
        </w:rPr>
        <w:t>224</w:t>
      </w:r>
      <w:r w:rsidRPr="002358A2">
        <w:rPr>
          <w:noProof/>
        </w:rPr>
        <w:fldChar w:fldCharType="end"/>
      </w:r>
      <w:bookmarkEnd w:id="290"/>
      <w:r w:rsidRPr="002358A2">
        <w:t>.  The claim must therefore be rejected in full.</w:t>
      </w:r>
    </w:p>
    <w:p w:rsidRPr="002358A2" w:rsidR="00BF0CAC" w:rsidP="002358A2" w:rsidRDefault="00BF0CAC" w14:paraId="7A59B21C" w14:textId="68BEDA03">
      <w:pPr>
        <w:pStyle w:val="JuHHead"/>
        <w:numPr>
          <w:ilvl w:val="0"/>
          <w:numId w:val="2"/>
        </w:numPr>
        <w:ind w:left="357" w:hanging="357"/>
        <w:outlineLvl w:val="9"/>
      </w:pPr>
      <w:r w:rsidRPr="002358A2">
        <w:t>FOR THESE REASONS, THE COURT, UNANIMOUSLY,</w:t>
      </w:r>
    </w:p>
    <w:p w:rsidRPr="002358A2" w:rsidR="00BF0CAC" w:rsidP="002358A2" w:rsidRDefault="00BF0CAC" w14:paraId="5E12C3F2" w14:textId="7CBE99C0">
      <w:pPr>
        <w:pStyle w:val="JuList"/>
        <w:keepLines/>
        <w:ind w:left="0" w:firstLine="0"/>
      </w:pPr>
      <w:r w:rsidRPr="002358A2">
        <w:rPr>
          <w:i/>
        </w:rPr>
        <w:t xml:space="preserve">Joins </w:t>
      </w:r>
      <w:r w:rsidRPr="002358A2">
        <w:t>the two applications;</w:t>
      </w:r>
    </w:p>
    <w:p w:rsidRPr="002358A2" w:rsidR="00BF0CAC" w:rsidP="002358A2" w:rsidRDefault="00BF0CAC" w14:paraId="10F40AC9" w14:textId="0B841108">
      <w:pPr>
        <w:pStyle w:val="JuList"/>
      </w:pPr>
      <w:r w:rsidRPr="002358A2">
        <w:rPr>
          <w:i/>
          <w:iCs/>
        </w:rPr>
        <w:t>Joins</w:t>
      </w:r>
      <w:r w:rsidRPr="002358A2">
        <w:t xml:space="preserve"> the Government</w:t>
      </w:r>
      <w:r w:rsidRPr="002358A2" w:rsidR="002358A2">
        <w:t>’</w:t>
      </w:r>
      <w:r w:rsidRPr="002358A2">
        <w:t>s objection that KTB did not exhaust domestic remedies in respect of its two complaints under Article 6 § 1 of the Convention that it could not obtain judicial review of the BNB</w:t>
      </w:r>
      <w:r w:rsidRPr="002358A2" w:rsidR="002358A2">
        <w:t>’</w:t>
      </w:r>
      <w:r w:rsidRPr="002358A2">
        <w:t xml:space="preserve">s decision to withdraw its licence to the merits of those two complaints, and </w:t>
      </w:r>
      <w:r w:rsidRPr="002358A2">
        <w:rPr>
          <w:i/>
          <w:iCs/>
        </w:rPr>
        <w:t>rejects</w:t>
      </w:r>
      <w:r w:rsidRPr="002358A2" w:rsidR="00F6135E">
        <w:t> </w:t>
      </w:r>
      <w:r w:rsidRPr="002358A2">
        <w:t>it;</w:t>
      </w:r>
    </w:p>
    <w:p w:rsidRPr="002358A2" w:rsidR="00BF0CAC" w:rsidP="002358A2" w:rsidRDefault="00BF0CAC" w14:paraId="7D4E7BC3" w14:textId="309DCED0">
      <w:pPr>
        <w:pStyle w:val="JuList"/>
        <w:keepLines/>
      </w:pPr>
      <w:r w:rsidRPr="002358A2">
        <w:rPr>
          <w:i/>
        </w:rPr>
        <w:t>Declares</w:t>
      </w:r>
      <w:r w:rsidRPr="002358A2">
        <w:t xml:space="preserve"> the </w:t>
      </w:r>
      <w:r w:rsidRPr="002358A2" w:rsidR="00DD466C">
        <w:t>complaints on behalf of KTB that (a) it could not obtain judicial review of the withdrawal of its banking licence; (b) in the ensuing proceedings in which the courts decided that it was to be declared insolvent and wound up, it was represented exclusively by persons dependent on its opponent, the BNB; (c)</w:t>
      </w:r>
      <w:r w:rsidRPr="002358A2" w:rsidR="00BB69F3">
        <w:t xml:space="preserve"> </w:t>
      </w:r>
      <w:r w:rsidRPr="002358A2" w:rsidR="00DD466C">
        <w:t>the withdrawal of its licence and the ensuing decision to wind it up were an unlawful and unjustified interference with its possessions</w:t>
      </w:r>
      <w:r w:rsidRPr="002358A2">
        <w:t xml:space="preserve"> admissible;</w:t>
      </w:r>
    </w:p>
    <w:p w:rsidRPr="002358A2" w:rsidR="00BF0CAC" w:rsidP="002358A2" w:rsidRDefault="00BF0CAC" w14:paraId="46EED144" w14:textId="3CA6A473">
      <w:pPr>
        <w:pStyle w:val="JuList"/>
        <w:keepLines/>
      </w:pPr>
      <w:r w:rsidRPr="002358A2">
        <w:rPr>
          <w:i/>
        </w:rPr>
        <w:t>Holds</w:t>
      </w:r>
      <w:r w:rsidRPr="002358A2">
        <w:t xml:space="preserve"> that there has been a violation of Article 6 </w:t>
      </w:r>
      <w:r w:rsidRPr="002358A2">
        <w:rPr>
          <w:rFonts w:cstheme="minorHAnsi"/>
        </w:rPr>
        <w:t>§</w:t>
      </w:r>
      <w:r w:rsidRPr="002358A2">
        <w:t xml:space="preserve"> 1 of the Convention, in that KTB itself did not have a </w:t>
      </w:r>
      <w:r w:rsidRPr="002358A2">
        <w:rPr>
          <w:iCs/>
        </w:rPr>
        <w:t>clear and practical possibility</w:t>
      </w:r>
      <w:r w:rsidRPr="002358A2" w:rsidR="008A506A">
        <w:rPr>
          <w:iCs/>
        </w:rPr>
        <w:t xml:space="preserve">, </w:t>
      </w:r>
      <w:r w:rsidRPr="002358A2" w:rsidR="008A506A">
        <w:t>by proper representation,</w:t>
      </w:r>
      <w:r w:rsidRPr="002358A2">
        <w:rPr>
          <w:iCs/>
        </w:rPr>
        <w:t xml:space="preserve"> of seeking and obtaining proper judicial review of the </w:t>
      </w:r>
      <w:r w:rsidRPr="002358A2">
        <w:t>BNB</w:t>
      </w:r>
      <w:r w:rsidRPr="002358A2" w:rsidR="002358A2">
        <w:t>’</w:t>
      </w:r>
      <w:r w:rsidRPr="002358A2">
        <w:t>s decision to withdraw its licence;</w:t>
      </w:r>
    </w:p>
    <w:p w:rsidRPr="002358A2" w:rsidR="00BF0CAC" w:rsidP="002358A2" w:rsidRDefault="00BF0CAC" w14:paraId="52DEE70F" w14:textId="306243D1">
      <w:pPr>
        <w:pStyle w:val="JuList"/>
        <w:keepLines/>
      </w:pPr>
      <w:r w:rsidRPr="002358A2">
        <w:rPr>
          <w:i/>
        </w:rPr>
        <w:t>Holds</w:t>
      </w:r>
      <w:r w:rsidRPr="002358A2">
        <w:rPr>
          <w:color w:val="000000"/>
        </w:rPr>
        <w:t xml:space="preserve"> </w:t>
      </w:r>
      <w:r w:rsidRPr="002358A2">
        <w:t xml:space="preserve">that there has been a violation of Article 6 </w:t>
      </w:r>
      <w:r w:rsidRPr="002358A2">
        <w:rPr>
          <w:rFonts w:cstheme="minorHAnsi"/>
        </w:rPr>
        <w:t>§</w:t>
      </w:r>
      <w:r w:rsidRPr="002358A2">
        <w:t xml:space="preserve"> 1 of the Convention, in that KTB</w:t>
      </w:r>
      <w:r w:rsidRPr="002358A2" w:rsidR="002358A2">
        <w:t>’</w:t>
      </w:r>
      <w:r w:rsidRPr="002358A2">
        <w:t>s interests were not properly represented in the proceedings relating to the BNB</w:t>
      </w:r>
      <w:r w:rsidRPr="002358A2" w:rsidR="002358A2">
        <w:t>’</w:t>
      </w:r>
      <w:r w:rsidRPr="002358A2">
        <w:t>s application for it to be declared insolvent and wound up;</w:t>
      </w:r>
    </w:p>
    <w:p w:rsidRPr="002358A2" w:rsidR="00BF0CAC" w:rsidP="002358A2" w:rsidRDefault="00BF0CAC" w14:paraId="4C52FD9F" w14:textId="208A3B38">
      <w:pPr>
        <w:pStyle w:val="JuList"/>
        <w:keepLines/>
      </w:pPr>
      <w:r w:rsidRPr="002358A2">
        <w:rPr>
          <w:i/>
        </w:rPr>
        <w:t>Holds</w:t>
      </w:r>
      <w:r w:rsidRPr="002358A2">
        <w:rPr>
          <w:color w:val="000000"/>
        </w:rPr>
        <w:t xml:space="preserve"> </w:t>
      </w:r>
      <w:r w:rsidRPr="002358A2">
        <w:t>that there has been a violation of Article 1 of Protocol No. 1, in that the BNB</w:t>
      </w:r>
      <w:r w:rsidRPr="002358A2" w:rsidR="002358A2">
        <w:t>’</w:t>
      </w:r>
      <w:r w:rsidRPr="002358A2">
        <w:t>s decision to withdraw KTB</w:t>
      </w:r>
      <w:r w:rsidRPr="002358A2" w:rsidR="002358A2">
        <w:t>’</w:t>
      </w:r>
      <w:r w:rsidRPr="002358A2">
        <w:t>s licence, which then led to the judicial decision declaring it insolvent and ordering it to be wound up, was not surrounded by any safeguards against arbitrariness;</w:t>
      </w:r>
    </w:p>
    <w:p w:rsidRPr="002358A2" w:rsidR="00BF0CAC" w:rsidP="002358A2" w:rsidRDefault="00BF0CAC" w14:paraId="26D88811" w14:textId="040EACAC">
      <w:pPr>
        <w:pStyle w:val="JuList"/>
        <w:keepLines/>
      </w:pPr>
      <w:r w:rsidRPr="002358A2">
        <w:rPr>
          <w:i/>
        </w:rPr>
        <w:t>Holds</w:t>
      </w:r>
      <w:r w:rsidRPr="002358A2">
        <w:rPr>
          <w:color w:val="000000"/>
        </w:rPr>
        <w:t xml:space="preserve"> </w:t>
      </w:r>
      <w:r w:rsidRPr="002358A2">
        <w:t>that it is not necessary to examine the admissibility or merits of the complaints under Article 13 of the Convention;</w:t>
      </w:r>
    </w:p>
    <w:p w:rsidRPr="002358A2" w:rsidR="00BF0CAC" w:rsidP="002358A2" w:rsidRDefault="00BF0CAC" w14:paraId="5BE8BCB4" w14:textId="34200366">
      <w:pPr>
        <w:pStyle w:val="JuList"/>
        <w:keepLines/>
      </w:pPr>
      <w:r w:rsidRPr="002358A2">
        <w:rPr>
          <w:i/>
        </w:rPr>
        <w:t>Dismisses</w:t>
      </w:r>
      <w:r w:rsidRPr="002358A2">
        <w:t xml:space="preserve"> KTB</w:t>
      </w:r>
      <w:r w:rsidRPr="002358A2" w:rsidR="002358A2">
        <w:t>’</w:t>
      </w:r>
      <w:r w:rsidRPr="002358A2">
        <w:t>s claim for just satisfaction.</w:t>
      </w:r>
    </w:p>
    <w:p w:rsidRPr="002358A2" w:rsidR="00BF0CAC" w:rsidP="002358A2" w:rsidRDefault="00BF0CAC" w14:paraId="0A9C3F01" w14:textId="5887A5BD">
      <w:pPr>
        <w:pStyle w:val="JuParaLast"/>
      </w:pPr>
      <w:r w:rsidRPr="002358A2">
        <w:t>Done in English, and notified in writing on 30 August 2022, pursuant to Rule 77 §§ 2 and 3 of the Rules of Court.</w:t>
      </w:r>
    </w:p>
    <w:p w:rsidRPr="002358A2" w:rsidR="00BF0CAC" w:rsidP="002358A2" w:rsidRDefault="00BF0CAC" w14:paraId="2729B546" w14:textId="77777777">
      <w:pPr>
        <w:pStyle w:val="JuSigned"/>
      </w:pPr>
      <w:r w:rsidRPr="002358A2">
        <w:tab/>
        <w:t>Ilse Freiwirth</w:t>
      </w:r>
      <w:r w:rsidRPr="002358A2">
        <w:tab/>
        <w:t>Gabriele Kucsko-Stadlmayer</w:t>
      </w:r>
      <w:r w:rsidRPr="002358A2">
        <w:br/>
      </w:r>
      <w:r w:rsidRPr="002358A2">
        <w:tab/>
        <w:t>Deputy Registrar</w:t>
      </w:r>
      <w:r w:rsidRPr="002358A2">
        <w:tab/>
        <w:t>President</w:t>
      </w:r>
    </w:p>
    <w:sectPr w:rsidRPr="002358A2" w:rsidR="00BF0CAC" w:rsidSect="00BF0CAC">
      <w:headerReference w:type="even" r:id="rId20"/>
      <w:headerReference w:type="default" r:id="rId21"/>
      <w:footerReference w:type="even" r:id="rId22"/>
      <w:footerReference w:type="default" r:id="rId23"/>
      <w:footnotePr>
        <w:numRestart w:val="eachSect"/>
      </w:footnotePr>
      <w:endnotePr>
        <w:numFmt w:val="decimal"/>
        <w:numRestart w:val="eachSect"/>
      </w:endnotePr>
      <w:type w:val="oddPage"/>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9C1B0" w14:textId="77777777" w:rsidR="00BF0CAC" w:rsidRPr="00BF0CAC" w:rsidRDefault="00BF0CAC">
      <w:r w:rsidRPr="00BF0CAC">
        <w:separator/>
      </w:r>
    </w:p>
  </w:endnote>
  <w:endnote w:type="continuationSeparator" w:id="0">
    <w:p w14:paraId="4A655508" w14:textId="77777777" w:rsidR="00BF0CAC" w:rsidRPr="00BF0CAC" w:rsidRDefault="00BF0CAC">
      <w:r w:rsidRPr="00BF0CA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FA9EB" w14:textId="5C381A07" w:rsidR="00BF0CAC" w:rsidRPr="00150BFA" w:rsidRDefault="00BF0CAC" w:rsidP="0020718E">
    <w:pPr>
      <w:jc w:val="center"/>
    </w:pPr>
    <w:r>
      <w:rPr>
        <w:noProof/>
        <w:lang w:val="en-US" w:eastAsia="ja-JP"/>
      </w:rPr>
      <w:drawing>
        <wp:inline distT="0" distB="0" distL="0" distR="0" wp14:anchorId="4370C24E" wp14:editId="57DAFCC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7D6410A" w14:textId="071F70D4" w:rsidR="0098410D" w:rsidRPr="00BF0CAC" w:rsidRDefault="0048368E"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00137" w14:textId="338C2413" w:rsidR="000E4A04" w:rsidRPr="00BF0CAC" w:rsidRDefault="00BF0CAC" w:rsidP="00BF0CAC">
    <w:pPr>
      <w:jc w:val="center"/>
      <w:rPr>
        <w:sz w:val="4"/>
        <w:szCs w:val="4"/>
      </w:rPr>
    </w:pPr>
    <w:r>
      <w:rPr>
        <w:noProof/>
        <w:lang w:val="en-US" w:eastAsia="ja-JP"/>
      </w:rPr>
      <w:drawing>
        <wp:inline distT="0" distB="0" distL="0" distR="0" wp14:anchorId="2603A651" wp14:editId="75102B32">
          <wp:extent cx="771525" cy="619125"/>
          <wp:effectExtent l="0" t="0" r="9525" b="9525"/>
          <wp:docPr id="8" name="Picture 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D7C26" w14:textId="7D45F627" w:rsidR="00633219" w:rsidRDefault="00BF0CAC" w:rsidP="00BF0CA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5BADE" w14:textId="634C32CE" w:rsidR="00633219" w:rsidRDefault="00BF0CAC" w:rsidP="00BF0CAC">
    <w:pPr>
      <w:pStyle w:val="JuHeader"/>
    </w:pP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1</w:t>
    </w:r>
    <w:r>
      <w:rPr>
        <w:rStyle w:val="PageNumber"/>
        <w:lang w:val="fr-F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13EB1" w14:textId="77777777" w:rsidR="00BF0CAC" w:rsidRDefault="00BF0CAC" w:rsidP="00BF0CA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B17D0" w14:textId="77777777" w:rsidR="00BF0CAC" w:rsidRDefault="00BF0CAC" w:rsidP="00BF0CAC">
    <w:pPr>
      <w:pStyle w:val="JuHeader"/>
    </w:pP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1</w:t>
    </w:r>
    <w:r>
      <w:rPr>
        <w:rStyle w:val="PageNumber"/>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4681E" w14:textId="77777777" w:rsidR="00BF0CAC" w:rsidRPr="00BF0CAC" w:rsidRDefault="00BF0CAC" w:rsidP="0098410D">
      <w:r w:rsidRPr="00BF0CAC">
        <w:separator/>
      </w:r>
    </w:p>
  </w:footnote>
  <w:footnote w:type="continuationSeparator" w:id="0">
    <w:p w14:paraId="285F9F17" w14:textId="77777777" w:rsidR="00BF0CAC" w:rsidRPr="00BF0CAC" w:rsidRDefault="00BF0CAC" w:rsidP="0098410D">
      <w:r w:rsidRPr="00BF0CAC">
        <w:continuationSeparator/>
      </w:r>
    </w:p>
  </w:footnote>
  <w:footnote w:id="1">
    <w:p w14:paraId="7BA5C5B9" w14:textId="0655BB7F" w:rsidR="00BF0CAC" w:rsidRDefault="00BF0CAC" w:rsidP="00BF0CAC">
      <w:pPr>
        <w:pStyle w:val="FootnoteText"/>
      </w:pPr>
      <w:r w:rsidRPr="00DE3D5B">
        <w:rPr>
          <w:rStyle w:val="FootnoteReference"/>
        </w:rPr>
        <w:footnoteRef/>
      </w:r>
      <w:r w:rsidR="00DE3D5B">
        <w:t> </w:t>
      </w:r>
      <w:r>
        <w:t xml:space="preserve"> Article 33 of </w:t>
      </w:r>
      <w:r w:rsidRPr="00D24D88">
        <w:t>Directive 2000/12/EC</w:t>
      </w:r>
      <w:r>
        <w:t xml:space="preserve"> provided that EU Member States had to “ensure that decisions taken in respect of a credit institution in pursuance of laws, regulations and administrative provisions adopted in accordance with this Directive [could] be subject to the right to apply to the courts”. That </w:t>
      </w:r>
      <w:r w:rsidRPr="00D24D88">
        <w:t xml:space="preserve">Directive </w:t>
      </w:r>
      <w:r>
        <w:t xml:space="preserve">was superseded by </w:t>
      </w:r>
      <w:r w:rsidRPr="00D24D88">
        <w:t>Directive 2006/48/EC relating to the taking up and pursuit of the business of credit institutions (recast)</w:t>
      </w:r>
      <w:r>
        <w:t xml:space="preserve">, whose Article 55 was in the same terms. That </w:t>
      </w:r>
      <w:r w:rsidRPr="00D24D88">
        <w:t xml:space="preserve">Directive </w:t>
      </w:r>
      <w:r>
        <w:t xml:space="preserve">was in turn superseded by </w:t>
      </w:r>
      <w:r w:rsidRPr="00A86ED6">
        <w:t>Directive</w:t>
      </w:r>
      <w:r>
        <w:t xml:space="preserve"> </w:t>
      </w:r>
      <w:r w:rsidRPr="00A86ED6">
        <w:t>2013/36/EU on access to the activity of credit institutions and the prudential supervision of credit institutions and investment firms</w:t>
      </w:r>
      <w:r>
        <w:t>, whose Article 72 is in similar terms.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ACC7D" w14:textId="75E402B7" w:rsidR="00BF0CAC" w:rsidRPr="00A45145" w:rsidRDefault="00BF0CAC" w:rsidP="00A45145">
    <w:pPr>
      <w:jc w:val="center"/>
    </w:pPr>
    <w:r>
      <w:rPr>
        <w:noProof/>
        <w:lang w:val="en-US" w:eastAsia="ja-JP"/>
      </w:rPr>
      <w:drawing>
        <wp:inline distT="0" distB="0" distL="0" distR="0" wp14:anchorId="1B6E8944" wp14:editId="7A94C187">
          <wp:extent cx="2962275" cy="1219200"/>
          <wp:effectExtent l="0" t="0" r="9525" b="0"/>
          <wp:docPr id="9" name="Picture 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4D15910" w14:textId="37D15CDB" w:rsidR="0098410D" w:rsidRPr="00BF0CAC" w:rsidRDefault="0048368E"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43269" w14:textId="7C23C83C" w:rsidR="00BF0CAC" w:rsidRPr="00A45145" w:rsidRDefault="00BF0CAC" w:rsidP="00A45145">
    <w:pPr>
      <w:jc w:val="center"/>
    </w:pPr>
    <w:r>
      <w:rPr>
        <w:noProof/>
        <w:lang w:val="en-US" w:eastAsia="ja-JP"/>
      </w:rPr>
      <w:drawing>
        <wp:inline distT="0" distB="0" distL="0" distR="0" wp14:anchorId="65E72091" wp14:editId="6ED947F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EB48C13" w14:textId="20ABDC01" w:rsidR="0098410D" w:rsidRPr="00BF0CAC" w:rsidRDefault="0048368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F4F53" w14:textId="7E12440A" w:rsidR="00633219" w:rsidRDefault="00BF0CAC" w:rsidP="00BF0CAC">
    <w:pPr>
      <w:pStyle w:val="JuHeader"/>
    </w:pPr>
    <w:r>
      <w:t>KORPORATIVNA TARGOVSKA BANKA AD v. BULGARIA</w:t>
    </w:r>
    <w:r w:rsidR="00245537" w:rsidRPr="004D0EC7">
      <w:t xml:space="preserve"> </w:t>
    </w:r>
    <w:r w:rsidR="00245537">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7DB47" w14:textId="353A6049" w:rsidR="00633219" w:rsidRDefault="00BF0CAC" w:rsidP="00BF0CAC">
    <w:pPr>
      <w:pStyle w:val="JuHeader"/>
    </w:pPr>
    <w:r>
      <w:t>KORPORATIVNA TARGOVSKA BANKA AD v. BULGARIA</w:t>
    </w:r>
    <w:r w:rsidR="00245537" w:rsidRPr="00882CD5">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A63A3" w14:textId="77777777" w:rsidR="00BF0CAC" w:rsidRDefault="00BF0CAC" w:rsidP="00BF0CAC">
    <w:pPr>
      <w:pStyle w:val="JuHeader"/>
    </w:pPr>
    <w:r>
      <w:t>KORPORATIVNA TARGOVSKA BANKA AD v. BULGARIA</w:t>
    </w:r>
    <w:r w:rsidRPr="004D0EC7">
      <w:t xml:space="preserve"> </w:t>
    </w:r>
    <w:r>
      <w:t>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00571" w14:textId="77777777" w:rsidR="00BF0CAC" w:rsidRDefault="00BF0CAC" w:rsidP="00BF0CAC">
    <w:pPr>
      <w:pStyle w:val="JuHeader"/>
    </w:pPr>
    <w:r>
      <w:t>KORPORATIVNA TARGOVSKA BANKA AD v. BULGARIA</w:t>
    </w:r>
    <w:r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B48280C0">
      <w:start w:val="1"/>
      <w:numFmt w:val="bullet"/>
      <w:pStyle w:val="ListBullet"/>
      <w:lvlText w:val=""/>
      <w:lvlJc w:val="left"/>
      <w:pPr>
        <w:tabs>
          <w:tab w:val="num" w:pos="851"/>
        </w:tabs>
        <w:ind w:left="568" w:firstLine="0"/>
      </w:pPr>
      <w:rPr>
        <w:rFonts w:ascii="Wingdings" w:hAnsi="Wingdings" w:hint="default"/>
        <w:color w:val="808080"/>
        <w:sz w:val="16"/>
      </w:rPr>
    </w:lvl>
    <w:lvl w:ilvl="1" w:tplc="C1985C2A" w:tentative="1">
      <w:start w:val="1"/>
      <w:numFmt w:val="bullet"/>
      <w:lvlText w:val="o"/>
      <w:lvlJc w:val="left"/>
      <w:pPr>
        <w:tabs>
          <w:tab w:val="num" w:pos="1724"/>
        </w:tabs>
        <w:ind w:left="1724" w:hanging="360"/>
      </w:pPr>
      <w:rPr>
        <w:rFonts w:ascii="Courier New" w:hAnsi="Courier New" w:cs="Courier New" w:hint="default"/>
      </w:rPr>
    </w:lvl>
    <w:lvl w:ilvl="2" w:tplc="3DA2FBC0" w:tentative="1">
      <w:start w:val="1"/>
      <w:numFmt w:val="bullet"/>
      <w:lvlText w:val=""/>
      <w:lvlJc w:val="left"/>
      <w:pPr>
        <w:tabs>
          <w:tab w:val="num" w:pos="2444"/>
        </w:tabs>
        <w:ind w:left="2444" w:hanging="360"/>
      </w:pPr>
      <w:rPr>
        <w:rFonts w:ascii="Wingdings" w:hAnsi="Wingdings" w:hint="default"/>
      </w:rPr>
    </w:lvl>
    <w:lvl w:ilvl="3" w:tplc="ADB6CB3E" w:tentative="1">
      <w:start w:val="1"/>
      <w:numFmt w:val="bullet"/>
      <w:lvlText w:val=""/>
      <w:lvlJc w:val="left"/>
      <w:pPr>
        <w:tabs>
          <w:tab w:val="num" w:pos="3164"/>
        </w:tabs>
        <w:ind w:left="3164" w:hanging="360"/>
      </w:pPr>
      <w:rPr>
        <w:rFonts w:ascii="Symbol" w:hAnsi="Symbol" w:hint="default"/>
      </w:rPr>
    </w:lvl>
    <w:lvl w:ilvl="4" w:tplc="85882FC6" w:tentative="1">
      <w:start w:val="1"/>
      <w:numFmt w:val="bullet"/>
      <w:lvlText w:val="o"/>
      <w:lvlJc w:val="left"/>
      <w:pPr>
        <w:tabs>
          <w:tab w:val="num" w:pos="3884"/>
        </w:tabs>
        <w:ind w:left="3884" w:hanging="360"/>
      </w:pPr>
      <w:rPr>
        <w:rFonts w:ascii="Courier New" w:hAnsi="Courier New" w:cs="Courier New" w:hint="default"/>
      </w:rPr>
    </w:lvl>
    <w:lvl w:ilvl="5" w:tplc="3C446AE4" w:tentative="1">
      <w:start w:val="1"/>
      <w:numFmt w:val="bullet"/>
      <w:lvlText w:val=""/>
      <w:lvlJc w:val="left"/>
      <w:pPr>
        <w:tabs>
          <w:tab w:val="num" w:pos="4604"/>
        </w:tabs>
        <w:ind w:left="4604" w:hanging="360"/>
      </w:pPr>
      <w:rPr>
        <w:rFonts w:ascii="Wingdings" w:hAnsi="Wingdings" w:hint="default"/>
      </w:rPr>
    </w:lvl>
    <w:lvl w:ilvl="6" w:tplc="11067B92" w:tentative="1">
      <w:start w:val="1"/>
      <w:numFmt w:val="bullet"/>
      <w:lvlText w:val=""/>
      <w:lvlJc w:val="left"/>
      <w:pPr>
        <w:tabs>
          <w:tab w:val="num" w:pos="5324"/>
        </w:tabs>
        <w:ind w:left="5324" w:hanging="360"/>
      </w:pPr>
      <w:rPr>
        <w:rFonts w:ascii="Symbol" w:hAnsi="Symbol" w:hint="default"/>
      </w:rPr>
    </w:lvl>
    <w:lvl w:ilvl="7" w:tplc="FE746D40" w:tentative="1">
      <w:start w:val="1"/>
      <w:numFmt w:val="bullet"/>
      <w:lvlText w:val="o"/>
      <w:lvlJc w:val="left"/>
      <w:pPr>
        <w:tabs>
          <w:tab w:val="num" w:pos="6044"/>
        </w:tabs>
        <w:ind w:left="6044" w:hanging="360"/>
      </w:pPr>
      <w:rPr>
        <w:rFonts w:ascii="Courier New" w:hAnsi="Courier New" w:cs="Courier New" w:hint="default"/>
      </w:rPr>
    </w:lvl>
    <w:lvl w:ilvl="8" w:tplc="A3743A34"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7"/>
  </w:num>
  <w:num w:numId="2">
    <w:abstractNumId w:val="1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11"/>
  </w:num>
  <w:num w:numId="7">
    <w:abstractNumId w:val="18"/>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3"/>
  </w:num>
  <w:num w:numId="19">
    <w:abstractNumId w:val="16"/>
  </w:num>
  <w:num w:numId="20">
    <w:abstractNumId w:val="15"/>
  </w:num>
  <w:num w:numId="21">
    <w:abstractNumId w:val="16"/>
  </w:num>
  <w:num w:numId="22">
    <w:abstractNumId w:val="10"/>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8433"/>
  </w:hdrShapeDefault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2"/>
    <w:docVar w:name="EMM" w:val="0"/>
    <w:docVar w:name="NBEMMDOC" w:val="0"/>
    <w:docVar w:name="Plural" w:val="3"/>
  </w:docVars>
  <w:rsids>
    <w:rsidRoot w:val="00BF0CAC"/>
    <w:rsid w:val="00015AB8"/>
    <w:rsid w:val="00034C1A"/>
    <w:rsid w:val="00046799"/>
    <w:rsid w:val="000A4EB0"/>
    <w:rsid w:val="000E4A04"/>
    <w:rsid w:val="000F4FD7"/>
    <w:rsid w:val="00114D50"/>
    <w:rsid w:val="00156888"/>
    <w:rsid w:val="001833A7"/>
    <w:rsid w:val="001845C7"/>
    <w:rsid w:val="00193E8C"/>
    <w:rsid w:val="001E058B"/>
    <w:rsid w:val="0021685B"/>
    <w:rsid w:val="002358A2"/>
    <w:rsid w:val="002418A0"/>
    <w:rsid w:val="00245537"/>
    <w:rsid w:val="002C0EA6"/>
    <w:rsid w:val="0031081E"/>
    <w:rsid w:val="00327E28"/>
    <w:rsid w:val="0035114C"/>
    <w:rsid w:val="003A13EB"/>
    <w:rsid w:val="003E0F99"/>
    <w:rsid w:val="003E3A94"/>
    <w:rsid w:val="003F5E19"/>
    <w:rsid w:val="00461AA4"/>
    <w:rsid w:val="004671FE"/>
    <w:rsid w:val="00493625"/>
    <w:rsid w:val="004D1881"/>
    <w:rsid w:val="005076DD"/>
    <w:rsid w:val="00531D64"/>
    <w:rsid w:val="00544712"/>
    <w:rsid w:val="0055599D"/>
    <w:rsid w:val="00561ED1"/>
    <w:rsid w:val="00590BA1"/>
    <w:rsid w:val="00625714"/>
    <w:rsid w:val="00625751"/>
    <w:rsid w:val="006311CE"/>
    <w:rsid w:val="00633219"/>
    <w:rsid w:val="00655FE1"/>
    <w:rsid w:val="006718E6"/>
    <w:rsid w:val="006E32EE"/>
    <w:rsid w:val="00764FA7"/>
    <w:rsid w:val="007B776F"/>
    <w:rsid w:val="00835580"/>
    <w:rsid w:val="00863957"/>
    <w:rsid w:val="00883A9E"/>
    <w:rsid w:val="00897E8D"/>
    <w:rsid w:val="008A506A"/>
    <w:rsid w:val="008F750B"/>
    <w:rsid w:val="0096197A"/>
    <w:rsid w:val="009746AB"/>
    <w:rsid w:val="00976F59"/>
    <w:rsid w:val="009F4FDE"/>
    <w:rsid w:val="00A24545"/>
    <w:rsid w:val="00A30704"/>
    <w:rsid w:val="00A73E28"/>
    <w:rsid w:val="00AF3F17"/>
    <w:rsid w:val="00B4676A"/>
    <w:rsid w:val="00B609FB"/>
    <w:rsid w:val="00BA6576"/>
    <w:rsid w:val="00BB69F3"/>
    <w:rsid w:val="00BF0CAC"/>
    <w:rsid w:val="00C15467"/>
    <w:rsid w:val="00CE5489"/>
    <w:rsid w:val="00CE6755"/>
    <w:rsid w:val="00D4508E"/>
    <w:rsid w:val="00D74919"/>
    <w:rsid w:val="00DB2CEA"/>
    <w:rsid w:val="00DB54AF"/>
    <w:rsid w:val="00DD466C"/>
    <w:rsid w:val="00DE3D5B"/>
    <w:rsid w:val="00E91771"/>
    <w:rsid w:val="00EA4643"/>
    <w:rsid w:val="00EC0754"/>
    <w:rsid w:val="00ED148D"/>
    <w:rsid w:val="00F1597B"/>
    <w:rsid w:val="00F55300"/>
    <w:rsid w:val="00F6135E"/>
    <w:rsid w:val="00F90F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A8F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91771"/>
    <w:rPr>
      <w:sz w:val="24"/>
      <w:szCs w:val="24"/>
      <w:lang w:val="en-GB"/>
    </w:rPr>
  </w:style>
  <w:style w:type="paragraph" w:styleId="Heading1">
    <w:name w:val="heading 1"/>
    <w:basedOn w:val="Normal"/>
    <w:next w:val="Normal"/>
    <w:link w:val="Heading1Char"/>
    <w:uiPriority w:val="98"/>
    <w:semiHidden/>
    <w:rsid w:val="00DE3D5B"/>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DE3D5B"/>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DE3D5B"/>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DE3D5B"/>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DE3D5B"/>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DE3D5B"/>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DE3D5B"/>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DE3D5B"/>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DE3D5B"/>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DE3D5B"/>
    <w:rPr>
      <w:rFonts w:ascii="Tahoma" w:hAnsi="Tahoma" w:cs="Tahoma"/>
      <w:sz w:val="16"/>
      <w:szCs w:val="16"/>
    </w:rPr>
  </w:style>
  <w:style w:type="character" w:customStyle="1" w:styleId="BalloonTextChar">
    <w:name w:val="Balloon Text Char"/>
    <w:basedOn w:val="DefaultParagraphFont"/>
    <w:link w:val="BalloonText"/>
    <w:uiPriority w:val="98"/>
    <w:semiHidden/>
    <w:rsid w:val="00DE3D5B"/>
    <w:rPr>
      <w:rFonts w:ascii="Tahoma" w:hAnsi="Tahoma" w:cs="Tahoma"/>
      <w:sz w:val="16"/>
      <w:szCs w:val="16"/>
      <w:lang w:val="en-GB"/>
    </w:rPr>
  </w:style>
  <w:style w:type="character" w:styleId="BookTitle">
    <w:name w:val="Book Title"/>
    <w:uiPriority w:val="98"/>
    <w:semiHidden/>
    <w:qFormat/>
    <w:rsid w:val="00DE3D5B"/>
    <w:rPr>
      <w:i/>
      <w:iCs/>
      <w:smallCaps/>
      <w:spacing w:val="5"/>
    </w:rPr>
  </w:style>
  <w:style w:type="paragraph" w:customStyle="1" w:styleId="JuHeader">
    <w:name w:val="Ju_Header"/>
    <w:aliases w:val="_Header"/>
    <w:basedOn w:val="Header"/>
    <w:uiPriority w:val="29"/>
    <w:qFormat/>
    <w:rsid w:val="00DE3D5B"/>
    <w:pPr>
      <w:tabs>
        <w:tab w:val="clear" w:pos="4536"/>
        <w:tab w:val="clear" w:pos="9072"/>
      </w:tabs>
      <w:jc w:val="center"/>
    </w:pPr>
    <w:rPr>
      <w:sz w:val="18"/>
    </w:rPr>
  </w:style>
  <w:style w:type="paragraph" w:customStyle="1" w:styleId="NormalJustified">
    <w:name w:val="Normal_Justified"/>
    <w:basedOn w:val="Normal"/>
    <w:semiHidden/>
    <w:rsid w:val="00DE3D5B"/>
    <w:pPr>
      <w:jc w:val="both"/>
    </w:pPr>
  </w:style>
  <w:style w:type="character" w:styleId="Strong">
    <w:name w:val="Strong"/>
    <w:uiPriority w:val="98"/>
    <w:semiHidden/>
    <w:qFormat/>
    <w:rsid w:val="00DE3D5B"/>
    <w:rPr>
      <w:b/>
      <w:bCs/>
    </w:rPr>
  </w:style>
  <w:style w:type="paragraph" w:styleId="NoSpacing">
    <w:name w:val="No Spacing"/>
    <w:basedOn w:val="Normal"/>
    <w:link w:val="NoSpacingChar"/>
    <w:uiPriority w:val="98"/>
    <w:semiHidden/>
    <w:qFormat/>
    <w:rsid w:val="00DE3D5B"/>
  </w:style>
  <w:style w:type="character" w:customStyle="1" w:styleId="NoSpacingChar">
    <w:name w:val="No Spacing Char"/>
    <w:basedOn w:val="DefaultParagraphFont"/>
    <w:link w:val="NoSpacing"/>
    <w:uiPriority w:val="98"/>
    <w:rsid w:val="00DE3D5B"/>
    <w:rPr>
      <w:sz w:val="24"/>
      <w:szCs w:val="24"/>
      <w:lang w:val="en-GB"/>
    </w:rPr>
  </w:style>
  <w:style w:type="paragraph" w:customStyle="1" w:styleId="JuQuot">
    <w:name w:val="Ju_Quot"/>
    <w:aliases w:val="_Quote"/>
    <w:basedOn w:val="NormalJustified"/>
    <w:uiPriority w:val="20"/>
    <w:qFormat/>
    <w:rsid w:val="00DE3D5B"/>
    <w:pPr>
      <w:spacing w:before="120" w:after="120"/>
      <w:ind w:left="425" w:firstLine="142"/>
    </w:pPr>
    <w:rPr>
      <w:sz w:val="20"/>
    </w:rPr>
  </w:style>
  <w:style w:type="paragraph" w:customStyle="1" w:styleId="ECHRBullet1">
    <w:name w:val="ECHR_Bullet_1"/>
    <w:aliases w:val="_Bul_1"/>
    <w:basedOn w:val="NormalJustified"/>
    <w:uiPriority w:val="23"/>
    <w:semiHidden/>
    <w:qFormat/>
    <w:rsid w:val="00DE3D5B"/>
    <w:pPr>
      <w:numPr>
        <w:numId w:val="20"/>
      </w:numPr>
      <w:spacing w:before="60" w:after="60"/>
    </w:pPr>
  </w:style>
  <w:style w:type="paragraph" w:customStyle="1" w:styleId="JuList">
    <w:name w:val="Ju_List"/>
    <w:aliases w:val="_List_1"/>
    <w:basedOn w:val="NormalJustified"/>
    <w:uiPriority w:val="23"/>
    <w:qFormat/>
    <w:rsid w:val="00DE3D5B"/>
    <w:pPr>
      <w:numPr>
        <w:numId w:val="23"/>
      </w:numPr>
      <w:spacing w:before="280" w:after="60"/>
    </w:pPr>
  </w:style>
  <w:style w:type="paragraph" w:customStyle="1" w:styleId="JuLista">
    <w:name w:val="Ju_List_a"/>
    <w:aliases w:val="_List_2"/>
    <w:basedOn w:val="NormalJustified"/>
    <w:uiPriority w:val="23"/>
    <w:rsid w:val="00DE3D5B"/>
    <w:pPr>
      <w:numPr>
        <w:ilvl w:val="1"/>
        <w:numId w:val="23"/>
      </w:numPr>
    </w:pPr>
  </w:style>
  <w:style w:type="paragraph" w:customStyle="1" w:styleId="JuListi">
    <w:name w:val="Ju_List_i"/>
    <w:aliases w:val="_List_3"/>
    <w:basedOn w:val="NormalJustified"/>
    <w:uiPriority w:val="23"/>
    <w:rsid w:val="00DE3D5B"/>
    <w:pPr>
      <w:numPr>
        <w:ilvl w:val="2"/>
        <w:numId w:val="23"/>
      </w:numPr>
    </w:pPr>
  </w:style>
  <w:style w:type="paragraph" w:customStyle="1" w:styleId="JuHArticle">
    <w:name w:val="Ju_H_Article"/>
    <w:aliases w:val="_Title_Quote"/>
    <w:basedOn w:val="Normal"/>
    <w:next w:val="JuQuot"/>
    <w:uiPriority w:val="19"/>
    <w:qFormat/>
    <w:rsid w:val="00DE3D5B"/>
    <w:pPr>
      <w:keepNext/>
      <w:spacing w:before="100" w:beforeAutospacing="1" w:after="120"/>
      <w:contextualSpacing/>
      <w:jc w:val="center"/>
    </w:pPr>
    <w:rPr>
      <w:b/>
      <w:sz w:val="20"/>
    </w:rPr>
  </w:style>
  <w:style w:type="paragraph" w:customStyle="1" w:styleId="JuParaLast">
    <w:name w:val="Ju_Para_Last"/>
    <w:aliases w:val="_Para_Spaced"/>
    <w:basedOn w:val="NormalJustified"/>
    <w:uiPriority w:val="5"/>
    <w:qFormat/>
    <w:rsid w:val="00DE3D5B"/>
    <w:pPr>
      <w:keepNext/>
      <w:keepLines/>
      <w:spacing w:before="240" w:after="240"/>
      <w:ind w:firstLine="284"/>
    </w:pPr>
  </w:style>
  <w:style w:type="paragraph" w:customStyle="1" w:styleId="DecHTitle">
    <w:name w:val="Dec_H_Title"/>
    <w:aliases w:val="_Title_1"/>
    <w:basedOn w:val="JuPara"/>
    <w:next w:val="JuPara"/>
    <w:uiPriority w:val="38"/>
    <w:qFormat/>
    <w:rsid w:val="00DE3D5B"/>
    <w:pPr>
      <w:keepNext/>
      <w:keepLines/>
      <w:spacing w:after="240"/>
      <w:ind w:firstLine="0"/>
      <w:jc w:val="center"/>
      <w:outlineLvl w:val="0"/>
    </w:pPr>
    <w:rPr>
      <w:rFonts w:asciiTheme="majorHAnsi" w:hAnsiTheme="majorHAnsi"/>
      <w:sz w:val="28"/>
    </w:rPr>
  </w:style>
  <w:style w:type="paragraph" w:customStyle="1" w:styleId="JuHHead">
    <w:name w:val="Ju_H_Head"/>
    <w:aliases w:val="_Head_1"/>
    <w:basedOn w:val="Heading1"/>
    <w:next w:val="JuPara"/>
    <w:uiPriority w:val="17"/>
    <w:qFormat/>
    <w:rsid w:val="00DE3D5B"/>
    <w:pPr>
      <w:keepNext/>
      <w:keepLines/>
      <w:numPr>
        <w:numId w:val="22"/>
      </w:numPr>
      <w:spacing w:before="100" w:beforeAutospacing="1" w:after="240"/>
      <w:contextualSpacing w:val="0"/>
      <w:jc w:val="both"/>
    </w:pPr>
    <w:rPr>
      <w:b w:val="0"/>
      <w:caps/>
      <w:color w:val="auto"/>
    </w:rPr>
  </w:style>
  <w:style w:type="paragraph" w:customStyle="1" w:styleId="JuTitle">
    <w:name w:val="Ju_Title"/>
    <w:aliases w:val="_Title_2"/>
    <w:basedOn w:val="Normal"/>
    <w:next w:val="JuPara"/>
    <w:uiPriority w:val="38"/>
    <w:qFormat/>
    <w:rsid w:val="00DE3D5B"/>
    <w:pPr>
      <w:keepNext/>
      <w:keepLines/>
      <w:spacing w:before="1320" w:after="280"/>
      <w:contextualSpacing/>
      <w:jc w:val="center"/>
    </w:pPr>
    <w:rPr>
      <w:b/>
    </w:rPr>
  </w:style>
  <w:style w:type="paragraph" w:customStyle="1" w:styleId="ECHRCoverTitle4">
    <w:name w:val="ECHR_Cover_Title_4"/>
    <w:aliases w:val="_Title_4"/>
    <w:basedOn w:val="JuPara"/>
    <w:next w:val="JuPara"/>
    <w:uiPriority w:val="38"/>
    <w:qFormat/>
    <w:rsid w:val="00DE3D5B"/>
    <w:pPr>
      <w:keepNext/>
      <w:keepLines/>
      <w:tabs>
        <w:tab w:val="right" w:pos="7938"/>
      </w:tabs>
      <w:ind w:firstLine="0"/>
      <w:jc w:val="center"/>
    </w:pPr>
    <w:rPr>
      <w:i/>
    </w:rPr>
  </w:style>
  <w:style w:type="paragraph" w:styleId="Title">
    <w:name w:val="Title"/>
    <w:basedOn w:val="Normal"/>
    <w:next w:val="Normal"/>
    <w:link w:val="TitleChar"/>
    <w:uiPriority w:val="98"/>
    <w:semiHidden/>
    <w:qFormat/>
    <w:rsid w:val="00DE3D5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rsid w:val="00DE3D5B"/>
    <w:rPr>
      <w:rFonts w:asciiTheme="majorHAnsi" w:eastAsiaTheme="majorEastAsia" w:hAnsiTheme="majorHAnsi" w:cstheme="majorBidi"/>
      <w:spacing w:val="5"/>
      <w:sz w:val="52"/>
      <w:szCs w:val="52"/>
      <w:lang w:val="en-GB" w:bidi="en-US"/>
    </w:rPr>
  </w:style>
  <w:style w:type="numbering" w:customStyle="1" w:styleId="ECHRA1StyleBulletedSquare">
    <w:name w:val="ECHR_A1_Style_Bulleted_Square"/>
    <w:basedOn w:val="NoList"/>
    <w:rsid w:val="00DE3D5B"/>
    <w:pPr>
      <w:numPr>
        <w:numId w:val="17"/>
      </w:numPr>
    </w:pPr>
  </w:style>
  <w:style w:type="numbering" w:customStyle="1" w:styleId="ECHRA1StyleList">
    <w:name w:val="ECHR_A1_Style_List"/>
    <w:basedOn w:val="NoList"/>
    <w:uiPriority w:val="99"/>
    <w:rsid w:val="00DE3D5B"/>
    <w:pPr>
      <w:numPr>
        <w:numId w:val="18"/>
      </w:numPr>
    </w:pPr>
  </w:style>
  <w:style w:type="numbering" w:customStyle="1" w:styleId="ECHRA1StyleNumberedList">
    <w:name w:val="ECHR_A1_Style_Numbered_List"/>
    <w:basedOn w:val="NoList"/>
    <w:rsid w:val="00DE3D5B"/>
    <w:pPr>
      <w:numPr>
        <w:numId w:val="19"/>
      </w:numPr>
    </w:pPr>
  </w:style>
  <w:style w:type="table" w:customStyle="1" w:styleId="ECHRTable2019">
    <w:name w:val="ECHR_Table_2019"/>
    <w:basedOn w:val="TableNormal"/>
    <w:uiPriority w:val="99"/>
    <w:rsid w:val="00DE3D5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861A27"/>
    <w:rPr>
      <w:sz w:val="8"/>
    </w:rPr>
  </w:style>
  <w:style w:type="paragraph" w:customStyle="1" w:styleId="JuHIRoman">
    <w:name w:val="Ju_H_I_Roman"/>
    <w:aliases w:val="_Head_2"/>
    <w:basedOn w:val="Heading2"/>
    <w:next w:val="JuPara"/>
    <w:uiPriority w:val="17"/>
    <w:qFormat/>
    <w:rsid w:val="00DE3D5B"/>
    <w:pPr>
      <w:keepNext/>
      <w:keepLines/>
      <w:numPr>
        <w:ilvl w:val="1"/>
        <w:numId w:val="22"/>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DE3D5B"/>
    <w:pPr>
      <w:keepNext/>
      <w:keepLines/>
      <w:numPr>
        <w:ilvl w:val="2"/>
        <w:numId w:val="22"/>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DE3D5B"/>
    <w:pPr>
      <w:keepNext/>
      <w:keepLines/>
      <w:numPr>
        <w:ilvl w:val="3"/>
        <w:numId w:val="22"/>
      </w:numPr>
      <w:spacing w:before="100" w:beforeAutospacing="1" w:after="120"/>
      <w:jc w:val="both"/>
    </w:pPr>
    <w:rPr>
      <w:b w:val="0"/>
      <w:color w:val="auto"/>
      <w:sz w:val="24"/>
    </w:rPr>
  </w:style>
  <w:style w:type="paragraph" w:styleId="Header">
    <w:name w:val="header"/>
    <w:basedOn w:val="Normal"/>
    <w:link w:val="HeaderChar"/>
    <w:uiPriority w:val="98"/>
    <w:semiHidden/>
    <w:rsid w:val="00DE3D5B"/>
    <w:pPr>
      <w:tabs>
        <w:tab w:val="center" w:pos="4536"/>
        <w:tab w:val="right" w:pos="9072"/>
      </w:tabs>
    </w:pPr>
  </w:style>
  <w:style w:type="character" w:customStyle="1" w:styleId="HeaderChar">
    <w:name w:val="Header Char"/>
    <w:basedOn w:val="DefaultParagraphFont"/>
    <w:link w:val="Header"/>
    <w:uiPriority w:val="98"/>
    <w:semiHidden/>
    <w:rsid w:val="00DE3D5B"/>
    <w:rPr>
      <w:sz w:val="24"/>
      <w:szCs w:val="24"/>
      <w:lang w:val="en-GB"/>
    </w:rPr>
  </w:style>
  <w:style w:type="character" w:customStyle="1" w:styleId="Heading1Char">
    <w:name w:val="Heading 1 Char"/>
    <w:basedOn w:val="DefaultParagraphFont"/>
    <w:link w:val="Heading1"/>
    <w:uiPriority w:val="98"/>
    <w:rsid w:val="00DE3D5B"/>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DE3D5B"/>
    <w:pPr>
      <w:keepNext/>
      <w:keepLines/>
      <w:numPr>
        <w:ilvl w:val="4"/>
        <w:numId w:val="22"/>
      </w:numPr>
      <w:spacing w:before="100" w:beforeAutospacing="1" w:after="120"/>
      <w:jc w:val="both"/>
    </w:pPr>
    <w:rPr>
      <w:color w:val="auto"/>
      <w:sz w:val="20"/>
    </w:rPr>
  </w:style>
  <w:style w:type="paragraph" w:customStyle="1" w:styleId="JuHi">
    <w:name w:val="Ju_H_i"/>
    <w:aliases w:val="_Head_6"/>
    <w:basedOn w:val="Heading6"/>
    <w:next w:val="JuPara"/>
    <w:uiPriority w:val="17"/>
    <w:rsid w:val="00DE3D5B"/>
    <w:pPr>
      <w:keepNext/>
      <w:keepLines/>
      <w:numPr>
        <w:ilvl w:val="5"/>
        <w:numId w:val="22"/>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DE3D5B"/>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DE3D5B"/>
    <w:pPr>
      <w:keepNext/>
      <w:keepLines/>
      <w:numPr>
        <w:ilvl w:val="6"/>
        <w:numId w:val="22"/>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DE3D5B"/>
    <w:pPr>
      <w:keepNext/>
      <w:keepLines/>
      <w:numPr>
        <w:ilvl w:val="7"/>
        <w:numId w:val="22"/>
      </w:numPr>
      <w:spacing w:before="100" w:beforeAutospacing="1" w:after="120"/>
      <w:jc w:val="both"/>
    </w:pPr>
    <w:rPr>
      <w:i/>
    </w:rPr>
  </w:style>
  <w:style w:type="character" w:customStyle="1" w:styleId="Heading3Char">
    <w:name w:val="Heading 3 Char"/>
    <w:basedOn w:val="DefaultParagraphFont"/>
    <w:link w:val="Heading3"/>
    <w:uiPriority w:val="98"/>
    <w:semiHidden/>
    <w:rsid w:val="00DE3D5B"/>
    <w:rPr>
      <w:rFonts w:asciiTheme="majorHAnsi" w:eastAsiaTheme="majorEastAsia" w:hAnsiTheme="majorHAnsi" w:cstheme="majorBidi"/>
      <w:b/>
      <w:bCs/>
      <w:color w:val="5F5F5F"/>
      <w:lang w:val="en-GB"/>
    </w:rPr>
  </w:style>
  <w:style w:type="paragraph" w:customStyle="1" w:styleId="JuCourt">
    <w:name w:val="Ju_Court"/>
    <w:aliases w:val="_Court_Names"/>
    <w:basedOn w:val="Normal"/>
    <w:next w:val="Normal"/>
    <w:uiPriority w:val="32"/>
    <w:qFormat/>
    <w:rsid w:val="00DE3D5B"/>
    <w:pPr>
      <w:tabs>
        <w:tab w:val="left" w:pos="907"/>
        <w:tab w:val="left" w:pos="1701"/>
        <w:tab w:val="right" w:pos="7371"/>
      </w:tabs>
      <w:spacing w:before="240"/>
      <w:ind w:left="397" w:hanging="397"/>
    </w:pPr>
    <w:rPr>
      <w:lang w:bidi="en-US"/>
    </w:rPr>
  </w:style>
  <w:style w:type="paragraph" w:customStyle="1" w:styleId="JuJudges">
    <w:name w:val="Ju_Judges"/>
    <w:aliases w:val="_Judges"/>
    <w:basedOn w:val="Normal"/>
    <w:uiPriority w:val="32"/>
    <w:qFormat/>
    <w:rsid w:val="00DE3D5B"/>
    <w:pPr>
      <w:tabs>
        <w:tab w:val="left" w:pos="567"/>
        <w:tab w:val="left" w:pos="1134"/>
      </w:tabs>
    </w:pPr>
  </w:style>
  <w:style w:type="character" w:customStyle="1" w:styleId="Heading4Char">
    <w:name w:val="Heading 4 Char"/>
    <w:basedOn w:val="DefaultParagraphFont"/>
    <w:link w:val="Heading4"/>
    <w:uiPriority w:val="98"/>
    <w:semiHidden/>
    <w:rsid w:val="00DE3D5B"/>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DE3D5B"/>
    <w:pPr>
      <w:tabs>
        <w:tab w:val="center" w:pos="6407"/>
      </w:tabs>
      <w:spacing w:before="720"/>
      <w:jc w:val="right"/>
    </w:pPr>
  </w:style>
  <w:style w:type="character" w:customStyle="1" w:styleId="Heading5Char">
    <w:name w:val="Heading 5 Char"/>
    <w:basedOn w:val="DefaultParagraphFont"/>
    <w:link w:val="Heading5"/>
    <w:uiPriority w:val="98"/>
    <w:semiHidden/>
    <w:rsid w:val="00DE3D5B"/>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DE3D5B"/>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DE3D5B"/>
    <w:rPr>
      <w:caps w:val="0"/>
      <w:smallCaps/>
    </w:rPr>
  </w:style>
  <w:style w:type="character" w:styleId="SubtleEmphasis">
    <w:name w:val="Subtle Emphasis"/>
    <w:uiPriority w:val="98"/>
    <w:semiHidden/>
    <w:qFormat/>
    <w:rsid w:val="00DE3D5B"/>
    <w:rPr>
      <w:i/>
      <w:iCs/>
    </w:rPr>
  </w:style>
  <w:style w:type="paragraph" w:customStyle="1" w:styleId="JuSigned">
    <w:name w:val="Ju_Signed"/>
    <w:aliases w:val="_Signature"/>
    <w:basedOn w:val="Normal"/>
    <w:next w:val="JuPara"/>
    <w:uiPriority w:val="31"/>
    <w:qFormat/>
    <w:rsid w:val="00DE3D5B"/>
    <w:pPr>
      <w:tabs>
        <w:tab w:val="center" w:pos="1418"/>
        <w:tab w:val="center" w:pos="5954"/>
      </w:tabs>
      <w:spacing w:before="720"/>
    </w:pPr>
  </w:style>
  <w:style w:type="table" w:customStyle="1" w:styleId="ECHRTable">
    <w:name w:val="ECHR_Table"/>
    <w:basedOn w:val="TableNormal"/>
    <w:rsid w:val="00DE3D5B"/>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DE3D5B"/>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DE3D5B"/>
    <w:rPr>
      <w:b/>
      <w:bCs/>
      <w:i/>
      <w:iCs/>
      <w:spacing w:val="10"/>
      <w:bdr w:val="none" w:sz="0" w:space="0" w:color="auto"/>
      <w:shd w:val="clear" w:color="auto" w:fill="auto"/>
    </w:rPr>
  </w:style>
  <w:style w:type="paragraph" w:styleId="Footer0">
    <w:name w:val="footer"/>
    <w:basedOn w:val="Normal"/>
    <w:link w:val="FooterChar"/>
    <w:uiPriority w:val="98"/>
    <w:semiHidden/>
    <w:rsid w:val="00DE3D5B"/>
    <w:pPr>
      <w:tabs>
        <w:tab w:val="center" w:pos="3686"/>
        <w:tab w:val="right" w:pos="7371"/>
      </w:tabs>
    </w:pPr>
  </w:style>
  <w:style w:type="character" w:customStyle="1" w:styleId="FooterChar">
    <w:name w:val="Footer Char"/>
    <w:basedOn w:val="DefaultParagraphFont"/>
    <w:link w:val="Footer0"/>
    <w:uiPriority w:val="98"/>
    <w:semiHidden/>
    <w:rsid w:val="00DE3D5B"/>
    <w:rPr>
      <w:sz w:val="24"/>
      <w:szCs w:val="24"/>
      <w:lang w:val="en-GB"/>
    </w:rPr>
  </w:style>
  <w:style w:type="character" w:styleId="FootnoteReference">
    <w:name w:val="footnote reference"/>
    <w:basedOn w:val="DefaultParagraphFont"/>
    <w:uiPriority w:val="98"/>
    <w:semiHidden/>
    <w:rsid w:val="00DE3D5B"/>
    <w:rPr>
      <w:vertAlign w:val="superscript"/>
    </w:rPr>
  </w:style>
  <w:style w:type="paragraph" w:styleId="FootnoteText">
    <w:name w:val="footnote text"/>
    <w:basedOn w:val="NormalJustified"/>
    <w:link w:val="FootnoteTextChar"/>
    <w:uiPriority w:val="98"/>
    <w:semiHidden/>
    <w:rsid w:val="00DE3D5B"/>
    <w:rPr>
      <w:sz w:val="20"/>
      <w:szCs w:val="20"/>
    </w:rPr>
  </w:style>
  <w:style w:type="character" w:customStyle="1" w:styleId="FootnoteTextChar">
    <w:name w:val="Footnote Text Char"/>
    <w:basedOn w:val="DefaultParagraphFont"/>
    <w:link w:val="FootnoteText"/>
    <w:uiPriority w:val="98"/>
    <w:semiHidden/>
    <w:rsid w:val="00DE3D5B"/>
    <w:rPr>
      <w:sz w:val="20"/>
      <w:szCs w:val="20"/>
      <w:lang w:val="en-GB"/>
    </w:rPr>
  </w:style>
  <w:style w:type="character" w:customStyle="1" w:styleId="Heading6Char">
    <w:name w:val="Heading 6 Char"/>
    <w:basedOn w:val="DefaultParagraphFont"/>
    <w:link w:val="Heading6"/>
    <w:uiPriority w:val="98"/>
    <w:semiHidden/>
    <w:rsid w:val="00DE3D5B"/>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DE3D5B"/>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DE3D5B"/>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DE3D5B"/>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9"/>
    <w:rsid w:val="00DE3D5B"/>
    <w:rPr>
      <w:color w:val="0072BC" w:themeColor="hyperlink"/>
      <w:u w:val="single"/>
    </w:rPr>
  </w:style>
  <w:style w:type="character" w:styleId="IntenseEmphasis">
    <w:name w:val="Intense Emphasis"/>
    <w:uiPriority w:val="98"/>
    <w:semiHidden/>
    <w:qFormat/>
    <w:rsid w:val="00DE3D5B"/>
    <w:rPr>
      <w:b/>
      <w:bCs/>
    </w:rPr>
  </w:style>
  <w:style w:type="paragraph" w:styleId="IntenseQuote">
    <w:name w:val="Intense Quote"/>
    <w:basedOn w:val="Normal"/>
    <w:next w:val="Normal"/>
    <w:link w:val="IntenseQuoteChar"/>
    <w:uiPriority w:val="98"/>
    <w:semiHidden/>
    <w:qFormat/>
    <w:rsid w:val="00DE3D5B"/>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rsid w:val="00DE3D5B"/>
    <w:rPr>
      <w:b/>
      <w:bCs/>
      <w:i/>
      <w:iCs/>
      <w:sz w:val="24"/>
      <w:szCs w:val="24"/>
      <w:lang w:val="en-GB" w:bidi="en-US"/>
    </w:rPr>
  </w:style>
  <w:style w:type="character" w:styleId="IntenseReference">
    <w:name w:val="Intense Reference"/>
    <w:uiPriority w:val="98"/>
    <w:semiHidden/>
    <w:qFormat/>
    <w:rsid w:val="00DE3D5B"/>
    <w:rPr>
      <w:smallCaps/>
      <w:spacing w:val="5"/>
      <w:u w:val="single"/>
    </w:rPr>
  </w:style>
  <w:style w:type="paragraph" w:styleId="ListParagraph">
    <w:name w:val="List Paragraph"/>
    <w:basedOn w:val="Normal"/>
    <w:uiPriority w:val="98"/>
    <w:semiHidden/>
    <w:qFormat/>
    <w:rsid w:val="00DE3D5B"/>
    <w:pPr>
      <w:ind w:left="720"/>
      <w:contextualSpacing/>
    </w:pPr>
  </w:style>
  <w:style w:type="table" w:customStyle="1" w:styleId="LtrTableAddress">
    <w:name w:val="Ltr_Table_Address"/>
    <w:aliases w:val="ECHR_Ltr_Table_Address"/>
    <w:basedOn w:val="TableNormal"/>
    <w:uiPriority w:val="99"/>
    <w:rsid w:val="00DE3D5B"/>
    <w:rPr>
      <w:sz w:val="24"/>
      <w:szCs w:val="24"/>
    </w:rPr>
    <w:tblPr>
      <w:tblInd w:w="5103" w:type="dxa"/>
    </w:tblPr>
  </w:style>
  <w:style w:type="paragraph" w:styleId="Quote">
    <w:name w:val="Quote"/>
    <w:basedOn w:val="Normal"/>
    <w:next w:val="Normal"/>
    <w:link w:val="QuoteChar"/>
    <w:uiPriority w:val="98"/>
    <w:semiHidden/>
    <w:qFormat/>
    <w:rsid w:val="00DE3D5B"/>
    <w:pPr>
      <w:spacing w:before="200"/>
      <w:ind w:left="360" w:right="360"/>
    </w:pPr>
    <w:rPr>
      <w:i/>
      <w:iCs/>
      <w:lang w:bidi="en-US"/>
    </w:rPr>
  </w:style>
  <w:style w:type="character" w:customStyle="1" w:styleId="QuoteChar">
    <w:name w:val="Quote Char"/>
    <w:basedOn w:val="DefaultParagraphFont"/>
    <w:link w:val="Quote"/>
    <w:uiPriority w:val="98"/>
    <w:rsid w:val="00DE3D5B"/>
    <w:rPr>
      <w:i/>
      <w:iCs/>
      <w:sz w:val="24"/>
      <w:szCs w:val="24"/>
      <w:lang w:val="en-GB" w:bidi="en-US"/>
    </w:rPr>
  </w:style>
  <w:style w:type="character" w:styleId="SubtleReference">
    <w:name w:val="Subtle Reference"/>
    <w:uiPriority w:val="98"/>
    <w:semiHidden/>
    <w:qFormat/>
    <w:rsid w:val="00DE3D5B"/>
    <w:rPr>
      <w:smallCaps/>
    </w:rPr>
  </w:style>
  <w:style w:type="table" w:styleId="TableGrid">
    <w:name w:val="Table Grid"/>
    <w:basedOn w:val="TableNormal"/>
    <w:uiPriority w:val="59"/>
    <w:semiHidden/>
    <w:rsid w:val="00DE3D5B"/>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E3D5B"/>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39"/>
    <w:rsid w:val="00DE3D5B"/>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39"/>
    <w:rsid w:val="00DE3D5B"/>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39"/>
    <w:rsid w:val="00DE3D5B"/>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39"/>
    <w:rsid w:val="00DE3D5B"/>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DE3D5B"/>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DE3D5B"/>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DE3D5B"/>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DE3D5B"/>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DE3D5B"/>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DE3D5B"/>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DE3D5B"/>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DE3D5B"/>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DE3D5B"/>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rsid w:val="00DE3D5B"/>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DE3D5B"/>
    <w:pPr>
      <w:numPr>
        <w:numId w:val="4"/>
      </w:numPr>
    </w:pPr>
  </w:style>
  <w:style w:type="paragraph" w:customStyle="1" w:styleId="JuPara">
    <w:name w:val="Ju_Para"/>
    <w:aliases w:val="_Para,ECHR_Para,Para,Left,First line:  0 cm,N_Para,Normal + TimesNewRomanPSMT,10 pt,Left:  1,27 cm,Line spacing:  1.5 l...,P_Body Text,LeftJu_H_A,Ju_Para + Interligne : Double,ECHR_Para1,_Para1"/>
    <w:basedOn w:val="NormalJustified"/>
    <w:link w:val="JuParaChar"/>
    <w:uiPriority w:val="4"/>
    <w:qFormat/>
    <w:rsid w:val="00DE3D5B"/>
    <w:pPr>
      <w:ind w:firstLine="284"/>
    </w:pPr>
  </w:style>
  <w:style w:type="numbering" w:styleId="1ai">
    <w:name w:val="Outline List 1"/>
    <w:basedOn w:val="NoList"/>
    <w:uiPriority w:val="99"/>
    <w:semiHidden/>
    <w:unhideWhenUsed/>
    <w:rsid w:val="00DE3D5B"/>
    <w:pPr>
      <w:numPr>
        <w:numId w:val="5"/>
      </w:numPr>
    </w:pPr>
  </w:style>
  <w:style w:type="table" w:customStyle="1" w:styleId="ECHRTableSimpleBox">
    <w:name w:val="ECHR_Table_Simple_Box"/>
    <w:basedOn w:val="TableNormal"/>
    <w:uiPriority w:val="99"/>
    <w:rsid w:val="00DE3D5B"/>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DE3D5B"/>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DE3D5B"/>
    <w:pPr>
      <w:numPr>
        <w:numId w:val="6"/>
      </w:numPr>
    </w:pPr>
  </w:style>
  <w:style w:type="table" w:customStyle="1" w:styleId="ECHRTableForInternalUse">
    <w:name w:val="ECHR_Table_For_Internal_Use"/>
    <w:basedOn w:val="TableNormal"/>
    <w:uiPriority w:val="99"/>
    <w:rsid w:val="00DE3D5B"/>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DE3D5B"/>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DE3D5B"/>
  </w:style>
  <w:style w:type="paragraph" w:styleId="BlockText">
    <w:name w:val="Block Text"/>
    <w:basedOn w:val="Normal"/>
    <w:uiPriority w:val="98"/>
    <w:semiHidden/>
    <w:rsid w:val="00DE3D5B"/>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DE3D5B"/>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DE3D5B"/>
    <w:pPr>
      <w:spacing w:after="120"/>
    </w:pPr>
  </w:style>
  <w:style w:type="character" w:customStyle="1" w:styleId="BodyTextChar">
    <w:name w:val="Body Text Char"/>
    <w:basedOn w:val="DefaultParagraphFont"/>
    <w:link w:val="BodyText"/>
    <w:uiPriority w:val="98"/>
    <w:semiHidden/>
    <w:rsid w:val="00DE3D5B"/>
    <w:rPr>
      <w:sz w:val="24"/>
      <w:szCs w:val="24"/>
      <w:lang w:val="en-GB"/>
    </w:rPr>
  </w:style>
  <w:style w:type="table" w:customStyle="1" w:styleId="ECHRTableOddBanded">
    <w:name w:val="ECHR_Table_Odd_Banded"/>
    <w:basedOn w:val="TableNormal"/>
    <w:uiPriority w:val="99"/>
    <w:rsid w:val="00DE3D5B"/>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DE3D5B"/>
    <w:pPr>
      <w:spacing w:after="120" w:line="480" w:lineRule="auto"/>
    </w:pPr>
  </w:style>
  <w:style w:type="table" w:customStyle="1" w:styleId="ECHRHeaderTableReduced">
    <w:name w:val="ECHR_Header_Table_Reduced"/>
    <w:basedOn w:val="TableNormal"/>
    <w:uiPriority w:val="99"/>
    <w:rsid w:val="00DE3D5B"/>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DE3D5B"/>
    <w:pPr>
      <w:ind w:firstLine="284"/>
    </w:pPr>
    <w:rPr>
      <w:b/>
    </w:rPr>
  </w:style>
  <w:style w:type="character" w:styleId="PageNumber">
    <w:name w:val="page number"/>
    <w:uiPriority w:val="98"/>
    <w:semiHidden/>
    <w:rsid w:val="00DE3D5B"/>
    <w:rPr>
      <w:sz w:val="18"/>
    </w:rPr>
  </w:style>
  <w:style w:type="paragraph" w:styleId="ListBullet">
    <w:name w:val="List Bullet"/>
    <w:basedOn w:val="Normal"/>
    <w:uiPriority w:val="98"/>
    <w:semiHidden/>
    <w:rsid w:val="00DE3D5B"/>
    <w:pPr>
      <w:numPr>
        <w:numId w:val="7"/>
      </w:numPr>
    </w:pPr>
  </w:style>
  <w:style w:type="paragraph" w:styleId="ListBullet3">
    <w:name w:val="List Bullet 3"/>
    <w:basedOn w:val="Normal"/>
    <w:uiPriority w:val="98"/>
    <w:semiHidden/>
    <w:rsid w:val="00DE3D5B"/>
    <w:pPr>
      <w:numPr>
        <w:numId w:val="9"/>
      </w:numPr>
      <w:contextualSpacing/>
    </w:pPr>
  </w:style>
  <w:style w:type="character" w:customStyle="1" w:styleId="BodyText2Char">
    <w:name w:val="Body Text 2 Char"/>
    <w:basedOn w:val="DefaultParagraphFont"/>
    <w:link w:val="BodyText2"/>
    <w:uiPriority w:val="98"/>
    <w:semiHidden/>
    <w:rsid w:val="00DE3D5B"/>
    <w:rPr>
      <w:sz w:val="24"/>
      <w:szCs w:val="24"/>
      <w:lang w:val="en-GB"/>
    </w:rPr>
  </w:style>
  <w:style w:type="paragraph" w:styleId="BodyText3">
    <w:name w:val="Body Text 3"/>
    <w:basedOn w:val="Normal"/>
    <w:link w:val="BodyText3Char"/>
    <w:uiPriority w:val="98"/>
    <w:semiHidden/>
    <w:rsid w:val="00DE3D5B"/>
    <w:pPr>
      <w:spacing w:after="120"/>
    </w:pPr>
    <w:rPr>
      <w:sz w:val="16"/>
      <w:szCs w:val="16"/>
    </w:rPr>
  </w:style>
  <w:style w:type="character" w:customStyle="1" w:styleId="BodyText3Char">
    <w:name w:val="Body Text 3 Char"/>
    <w:basedOn w:val="DefaultParagraphFont"/>
    <w:link w:val="BodyText3"/>
    <w:uiPriority w:val="98"/>
    <w:semiHidden/>
    <w:rsid w:val="00DE3D5B"/>
    <w:rPr>
      <w:sz w:val="16"/>
      <w:szCs w:val="16"/>
      <w:lang w:val="en-GB"/>
    </w:rPr>
  </w:style>
  <w:style w:type="paragraph" w:styleId="BodyTextFirstIndent">
    <w:name w:val="Body Text First Indent"/>
    <w:basedOn w:val="BodyText"/>
    <w:link w:val="BodyTextFirstIndentChar"/>
    <w:uiPriority w:val="98"/>
    <w:semiHidden/>
    <w:rsid w:val="00DE3D5B"/>
    <w:pPr>
      <w:spacing w:after="0"/>
      <w:ind w:firstLine="360"/>
    </w:pPr>
  </w:style>
  <w:style w:type="character" w:customStyle="1" w:styleId="BodyTextFirstIndentChar">
    <w:name w:val="Body Text First Indent Char"/>
    <w:basedOn w:val="BodyTextChar"/>
    <w:link w:val="BodyTextFirstIndent"/>
    <w:uiPriority w:val="98"/>
    <w:semiHidden/>
    <w:rsid w:val="00DE3D5B"/>
    <w:rPr>
      <w:sz w:val="24"/>
      <w:szCs w:val="24"/>
      <w:lang w:val="en-GB"/>
    </w:rPr>
  </w:style>
  <w:style w:type="paragraph" w:styleId="BodyTextIndent">
    <w:name w:val="Body Text Indent"/>
    <w:basedOn w:val="Normal"/>
    <w:link w:val="BodyTextIndentChar"/>
    <w:uiPriority w:val="98"/>
    <w:semiHidden/>
    <w:rsid w:val="00DE3D5B"/>
    <w:pPr>
      <w:spacing w:after="120"/>
      <w:ind w:left="283"/>
    </w:pPr>
  </w:style>
  <w:style w:type="character" w:customStyle="1" w:styleId="BodyTextIndentChar">
    <w:name w:val="Body Text Indent Char"/>
    <w:basedOn w:val="DefaultParagraphFont"/>
    <w:link w:val="BodyTextIndent"/>
    <w:uiPriority w:val="98"/>
    <w:semiHidden/>
    <w:rsid w:val="00DE3D5B"/>
    <w:rPr>
      <w:sz w:val="24"/>
      <w:szCs w:val="24"/>
      <w:lang w:val="en-GB"/>
    </w:rPr>
  </w:style>
  <w:style w:type="paragraph" w:styleId="BodyTextFirstIndent2">
    <w:name w:val="Body Text First Indent 2"/>
    <w:basedOn w:val="BodyTextIndent"/>
    <w:link w:val="BodyTextFirstIndent2Char"/>
    <w:uiPriority w:val="98"/>
    <w:semiHidden/>
    <w:rsid w:val="00DE3D5B"/>
    <w:pPr>
      <w:spacing w:after="0"/>
      <w:ind w:left="360" w:firstLine="360"/>
    </w:pPr>
  </w:style>
  <w:style w:type="character" w:customStyle="1" w:styleId="BodyTextFirstIndent2Char">
    <w:name w:val="Body Text First Indent 2 Char"/>
    <w:basedOn w:val="BodyTextIndentChar"/>
    <w:link w:val="BodyTextFirstIndent2"/>
    <w:uiPriority w:val="98"/>
    <w:semiHidden/>
    <w:rsid w:val="00DE3D5B"/>
    <w:rPr>
      <w:sz w:val="24"/>
      <w:szCs w:val="24"/>
      <w:lang w:val="en-GB"/>
    </w:rPr>
  </w:style>
  <w:style w:type="paragraph" w:styleId="BodyTextIndent2">
    <w:name w:val="Body Text Indent 2"/>
    <w:basedOn w:val="Normal"/>
    <w:link w:val="BodyTextIndent2Char"/>
    <w:uiPriority w:val="98"/>
    <w:semiHidden/>
    <w:rsid w:val="00DE3D5B"/>
    <w:pPr>
      <w:spacing w:after="120" w:line="480" w:lineRule="auto"/>
      <w:ind w:left="283"/>
    </w:pPr>
  </w:style>
  <w:style w:type="character" w:customStyle="1" w:styleId="BodyTextIndent2Char">
    <w:name w:val="Body Text Indent 2 Char"/>
    <w:basedOn w:val="DefaultParagraphFont"/>
    <w:link w:val="BodyTextIndent2"/>
    <w:uiPriority w:val="98"/>
    <w:semiHidden/>
    <w:rsid w:val="00DE3D5B"/>
    <w:rPr>
      <w:sz w:val="24"/>
      <w:szCs w:val="24"/>
      <w:lang w:val="en-GB"/>
    </w:rPr>
  </w:style>
  <w:style w:type="paragraph" w:styleId="BodyTextIndent3">
    <w:name w:val="Body Text Indent 3"/>
    <w:basedOn w:val="Normal"/>
    <w:link w:val="BodyTextIndent3Char"/>
    <w:uiPriority w:val="98"/>
    <w:semiHidden/>
    <w:rsid w:val="00DE3D5B"/>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DE3D5B"/>
    <w:rPr>
      <w:sz w:val="16"/>
      <w:szCs w:val="16"/>
      <w:lang w:val="en-GB"/>
    </w:rPr>
  </w:style>
  <w:style w:type="paragraph" w:styleId="Caption">
    <w:name w:val="caption"/>
    <w:basedOn w:val="Normal"/>
    <w:next w:val="Normal"/>
    <w:uiPriority w:val="98"/>
    <w:semiHidden/>
    <w:qFormat/>
    <w:rsid w:val="00DE3D5B"/>
    <w:pPr>
      <w:spacing w:after="200"/>
    </w:pPr>
    <w:rPr>
      <w:b/>
      <w:bCs/>
      <w:color w:val="0072BC" w:themeColor="accent1"/>
      <w:sz w:val="18"/>
      <w:szCs w:val="18"/>
    </w:rPr>
  </w:style>
  <w:style w:type="paragraph" w:styleId="Closing">
    <w:name w:val="Closing"/>
    <w:basedOn w:val="Normal"/>
    <w:link w:val="ClosingChar"/>
    <w:uiPriority w:val="98"/>
    <w:semiHidden/>
    <w:rsid w:val="00DE3D5B"/>
    <w:pPr>
      <w:ind w:left="4252"/>
    </w:pPr>
  </w:style>
  <w:style w:type="character" w:customStyle="1" w:styleId="ClosingChar">
    <w:name w:val="Closing Char"/>
    <w:basedOn w:val="DefaultParagraphFont"/>
    <w:link w:val="Closing"/>
    <w:uiPriority w:val="98"/>
    <w:semiHidden/>
    <w:rsid w:val="00DE3D5B"/>
    <w:rPr>
      <w:sz w:val="24"/>
      <w:szCs w:val="24"/>
      <w:lang w:val="en-GB"/>
    </w:rPr>
  </w:style>
  <w:style w:type="table" w:styleId="ColorfulGrid">
    <w:name w:val="Colorful Grid"/>
    <w:basedOn w:val="TableNormal"/>
    <w:uiPriority w:val="73"/>
    <w:semiHidden/>
    <w:rsid w:val="00DE3D5B"/>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DE3D5B"/>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DE3D5B"/>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DE3D5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DE3D5B"/>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DE3D5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DE3D5B"/>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DE3D5B"/>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DE3D5B"/>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DE3D5B"/>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DE3D5B"/>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DE3D5B"/>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DE3D5B"/>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DE3D5B"/>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DE3D5B"/>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DE3D5B"/>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DE3D5B"/>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DE3D5B"/>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DE3D5B"/>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DE3D5B"/>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DE3D5B"/>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DE3D5B"/>
    <w:rPr>
      <w:sz w:val="16"/>
      <w:szCs w:val="16"/>
    </w:rPr>
  </w:style>
  <w:style w:type="paragraph" w:styleId="CommentText">
    <w:name w:val="annotation text"/>
    <w:basedOn w:val="Normal"/>
    <w:link w:val="CommentTextChar"/>
    <w:uiPriority w:val="98"/>
    <w:semiHidden/>
    <w:rsid w:val="00DE3D5B"/>
    <w:rPr>
      <w:sz w:val="20"/>
      <w:szCs w:val="20"/>
    </w:rPr>
  </w:style>
  <w:style w:type="character" w:customStyle="1" w:styleId="CommentTextChar">
    <w:name w:val="Comment Text Char"/>
    <w:basedOn w:val="DefaultParagraphFont"/>
    <w:link w:val="CommentText"/>
    <w:uiPriority w:val="98"/>
    <w:semiHidden/>
    <w:rsid w:val="00DE3D5B"/>
    <w:rPr>
      <w:sz w:val="20"/>
      <w:szCs w:val="20"/>
      <w:lang w:val="en-GB"/>
    </w:rPr>
  </w:style>
  <w:style w:type="paragraph" w:styleId="CommentSubject">
    <w:name w:val="annotation subject"/>
    <w:basedOn w:val="CommentText"/>
    <w:next w:val="CommentText"/>
    <w:link w:val="CommentSubjectChar"/>
    <w:uiPriority w:val="98"/>
    <w:semiHidden/>
    <w:rsid w:val="00DE3D5B"/>
    <w:rPr>
      <w:b/>
      <w:bCs/>
    </w:rPr>
  </w:style>
  <w:style w:type="character" w:customStyle="1" w:styleId="CommentSubjectChar">
    <w:name w:val="Comment Subject Char"/>
    <w:basedOn w:val="CommentTextChar"/>
    <w:link w:val="CommentSubject"/>
    <w:uiPriority w:val="98"/>
    <w:semiHidden/>
    <w:rsid w:val="00DE3D5B"/>
    <w:rPr>
      <w:b/>
      <w:bCs/>
      <w:sz w:val="20"/>
      <w:szCs w:val="20"/>
      <w:lang w:val="en-GB"/>
    </w:rPr>
  </w:style>
  <w:style w:type="table" w:styleId="DarkList">
    <w:name w:val="Dark List"/>
    <w:basedOn w:val="TableNormal"/>
    <w:uiPriority w:val="70"/>
    <w:semiHidden/>
    <w:rsid w:val="00DE3D5B"/>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DE3D5B"/>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DE3D5B"/>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DE3D5B"/>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DE3D5B"/>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DE3D5B"/>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DE3D5B"/>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DE3D5B"/>
  </w:style>
  <w:style w:type="character" w:customStyle="1" w:styleId="DateChar">
    <w:name w:val="Date Char"/>
    <w:basedOn w:val="DefaultParagraphFont"/>
    <w:link w:val="Date"/>
    <w:uiPriority w:val="98"/>
    <w:semiHidden/>
    <w:rsid w:val="00DE3D5B"/>
    <w:rPr>
      <w:sz w:val="24"/>
      <w:szCs w:val="24"/>
      <w:lang w:val="en-GB"/>
    </w:rPr>
  </w:style>
  <w:style w:type="paragraph" w:styleId="DocumentMap">
    <w:name w:val="Document Map"/>
    <w:basedOn w:val="Normal"/>
    <w:link w:val="DocumentMapChar"/>
    <w:uiPriority w:val="98"/>
    <w:semiHidden/>
    <w:rsid w:val="00DE3D5B"/>
    <w:rPr>
      <w:rFonts w:ascii="Tahoma" w:hAnsi="Tahoma" w:cs="Tahoma"/>
      <w:sz w:val="16"/>
      <w:szCs w:val="16"/>
    </w:rPr>
  </w:style>
  <w:style w:type="character" w:customStyle="1" w:styleId="DocumentMapChar">
    <w:name w:val="Document Map Char"/>
    <w:basedOn w:val="DefaultParagraphFont"/>
    <w:link w:val="DocumentMap"/>
    <w:uiPriority w:val="98"/>
    <w:semiHidden/>
    <w:rsid w:val="00DE3D5B"/>
    <w:rPr>
      <w:rFonts w:ascii="Tahoma" w:hAnsi="Tahoma" w:cs="Tahoma"/>
      <w:sz w:val="16"/>
      <w:szCs w:val="16"/>
      <w:lang w:val="en-GB"/>
    </w:rPr>
  </w:style>
  <w:style w:type="paragraph" w:styleId="E-mailSignature">
    <w:name w:val="E-mail Signature"/>
    <w:basedOn w:val="Normal"/>
    <w:link w:val="E-mailSignatureChar"/>
    <w:uiPriority w:val="98"/>
    <w:semiHidden/>
    <w:rsid w:val="00DE3D5B"/>
  </w:style>
  <w:style w:type="character" w:customStyle="1" w:styleId="E-mailSignatureChar">
    <w:name w:val="E-mail Signature Char"/>
    <w:basedOn w:val="DefaultParagraphFont"/>
    <w:link w:val="E-mailSignature"/>
    <w:uiPriority w:val="98"/>
    <w:semiHidden/>
    <w:rsid w:val="00DE3D5B"/>
    <w:rPr>
      <w:sz w:val="24"/>
      <w:szCs w:val="24"/>
      <w:lang w:val="en-GB"/>
    </w:rPr>
  </w:style>
  <w:style w:type="character" w:styleId="EndnoteReference">
    <w:name w:val="endnote reference"/>
    <w:basedOn w:val="DefaultParagraphFont"/>
    <w:uiPriority w:val="98"/>
    <w:semiHidden/>
    <w:rsid w:val="00DE3D5B"/>
    <w:rPr>
      <w:vertAlign w:val="superscript"/>
    </w:rPr>
  </w:style>
  <w:style w:type="paragraph" w:styleId="EndnoteText">
    <w:name w:val="endnote text"/>
    <w:basedOn w:val="Normal"/>
    <w:link w:val="EndnoteTextChar"/>
    <w:uiPriority w:val="98"/>
    <w:semiHidden/>
    <w:rsid w:val="00DE3D5B"/>
    <w:rPr>
      <w:sz w:val="20"/>
      <w:szCs w:val="20"/>
    </w:rPr>
  </w:style>
  <w:style w:type="character" w:customStyle="1" w:styleId="EndnoteTextChar">
    <w:name w:val="Endnote Text Char"/>
    <w:basedOn w:val="DefaultParagraphFont"/>
    <w:link w:val="EndnoteText"/>
    <w:uiPriority w:val="98"/>
    <w:semiHidden/>
    <w:rsid w:val="00DE3D5B"/>
    <w:rPr>
      <w:sz w:val="20"/>
      <w:szCs w:val="20"/>
      <w:lang w:val="en-GB"/>
    </w:rPr>
  </w:style>
  <w:style w:type="paragraph" w:styleId="EnvelopeAddress">
    <w:name w:val="envelope address"/>
    <w:basedOn w:val="Normal"/>
    <w:uiPriority w:val="98"/>
    <w:semiHidden/>
    <w:rsid w:val="00DE3D5B"/>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DE3D5B"/>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DE3D5B"/>
    <w:rPr>
      <w:color w:val="7030A0" w:themeColor="followedHyperlink"/>
      <w:u w:val="single"/>
    </w:rPr>
  </w:style>
  <w:style w:type="character" w:styleId="HTMLAcronym">
    <w:name w:val="HTML Acronym"/>
    <w:basedOn w:val="DefaultParagraphFont"/>
    <w:uiPriority w:val="98"/>
    <w:semiHidden/>
    <w:rsid w:val="00DE3D5B"/>
  </w:style>
  <w:style w:type="paragraph" w:styleId="HTMLAddress">
    <w:name w:val="HTML Address"/>
    <w:basedOn w:val="Normal"/>
    <w:link w:val="HTMLAddressChar"/>
    <w:uiPriority w:val="98"/>
    <w:semiHidden/>
    <w:rsid w:val="00DE3D5B"/>
    <w:rPr>
      <w:i/>
      <w:iCs/>
    </w:rPr>
  </w:style>
  <w:style w:type="character" w:customStyle="1" w:styleId="HTMLAddressChar">
    <w:name w:val="HTML Address Char"/>
    <w:basedOn w:val="DefaultParagraphFont"/>
    <w:link w:val="HTMLAddress"/>
    <w:uiPriority w:val="98"/>
    <w:semiHidden/>
    <w:rsid w:val="00DE3D5B"/>
    <w:rPr>
      <w:i/>
      <w:iCs/>
      <w:sz w:val="24"/>
      <w:szCs w:val="24"/>
      <w:lang w:val="en-GB"/>
    </w:rPr>
  </w:style>
  <w:style w:type="character" w:styleId="HTMLCite">
    <w:name w:val="HTML Cite"/>
    <w:basedOn w:val="DefaultParagraphFont"/>
    <w:uiPriority w:val="98"/>
    <w:semiHidden/>
    <w:rsid w:val="00DE3D5B"/>
    <w:rPr>
      <w:i/>
      <w:iCs/>
    </w:rPr>
  </w:style>
  <w:style w:type="character" w:styleId="HTMLCode">
    <w:name w:val="HTML Code"/>
    <w:basedOn w:val="DefaultParagraphFont"/>
    <w:uiPriority w:val="98"/>
    <w:semiHidden/>
    <w:rsid w:val="00DE3D5B"/>
    <w:rPr>
      <w:rFonts w:ascii="Consolas" w:hAnsi="Consolas" w:cs="Consolas"/>
      <w:sz w:val="20"/>
      <w:szCs w:val="20"/>
    </w:rPr>
  </w:style>
  <w:style w:type="character" w:styleId="HTMLDefinition">
    <w:name w:val="HTML Definition"/>
    <w:basedOn w:val="DefaultParagraphFont"/>
    <w:uiPriority w:val="98"/>
    <w:semiHidden/>
    <w:rsid w:val="00DE3D5B"/>
    <w:rPr>
      <w:i/>
      <w:iCs/>
    </w:rPr>
  </w:style>
  <w:style w:type="character" w:styleId="HTMLKeyboard">
    <w:name w:val="HTML Keyboard"/>
    <w:basedOn w:val="DefaultParagraphFont"/>
    <w:uiPriority w:val="98"/>
    <w:semiHidden/>
    <w:rsid w:val="00DE3D5B"/>
    <w:rPr>
      <w:rFonts w:ascii="Consolas" w:hAnsi="Consolas" w:cs="Consolas"/>
      <w:sz w:val="20"/>
      <w:szCs w:val="20"/>
    </w:rPr>
  </w:style>
  <w:style w:type="paragraph" w:styleId="HTMLPreformatted">
    <w:name w:val="HTML Preformatted"/>
    <w:basedOn w:val="Normal"/>
    <w:link w:val="HTMLPreformattedChar"/>
    <w:uiPriority w:val="98"/>
    <w:semiHidden/>
    <w:rsid w:val="00DE3D5B"/>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DE3D5B"/>
    <w:rPr>
      <w:rFonts w:ascii="Consolas" w:hAnsi="Consolas" w:cs="Consolas"/>
      <w:sz w:val="20"/>
      <w:szCs w:val="20"/>
      <w:lang w:val="en-GB"/>
    </w:rPr>
  </w:style>
  <w:style w:type="character" w:styleId="HTMLSample">
    <w:name w:val="HTML Sample"/>
    <w:basedOn w:val="DefaultParagraphFont"/>
    <w:uiPriority w:val="98"/>
    <w:semiHidden/>
    <w:rsid w:val="00DE3D5B"/>
    <w:rPr>
      <w:rFonts w:ascii="Consolas" w:hAnsi="Consolas" w:cs="Consolas"/>
      <w:sz w:val="24"/>
      <w:szCs w:val="24"/>
    </w:rPr>
  </w:style>
  <w:style w:type="character" w:styleId="HTMLTypewriter">
    <w:name w:val="HTML Typewriter"/>
    <w:basedOn w:val="DefaultParagraphFont"/>
    <w:uiPriority w:val="98"/>
    <w:semiHidden/>
    <w:rsid w:val="00DE3D5B"/>
    <w:rPr>
      <w:rFonts w:ascii="Consolas" w:hAnsi="Consolas" w:cs="Consolas"/>
      <w:sz w:val="20"/>
      <w:szCs w:val="20"/>
    </w:rPr>
  </w:style>
  <w:style w:type="character" w:styleId="HTMLVariable">
    <w:name w:val="HTML Variable"/>
    <w:basedOn w:val="DefaultParagraphFont"/>
    <w:uiPriority w:val="98"/>
    <w:semiHidden/>
    <w:rsid w:val="00DE3D5B"/>
    <w:rPr>
      <w:i/>
      <w:iCs/>
    </w:rPr>
  </w:style>
  <w:style w:type="paragraph" w:styleId="Index1">
    <w:name w:val="index 1"/>
    <w:basedOn w:val="Normal"/>
    <w:next w:val="Normal"/>
    <w:autoRedefine/>
    <w:uiPriority w:val="98"/>
    <w:semiHidden/>
    <w:rsid w:val="00DE3D5B"/>
    <w:pPr>
      <w:ind w:left="240" w:hanging="240"/>
    </w:pPr>
  </w:style>
  <w:style w:type="paragraph" w:styleId="Index2">
    <w:name w:val="index 2"/>
    <w:basedOn w:val="Normal"/>
    <w:next w:val="Normal"/>
    <w:autoRedefine/>
    <w:uiPriority w:val="98"/>
    <w:semiHidden/>
    <w:rsid w:val="00DE3D5B"/>
    <w:pPr>
      <w:ind w:left="480" w:hanging="240"/>
    </w:pPr>
  </w:style>
  <w:style w:type="paragraph" w:styleId="Index3">
    <w:name w:val="index 3"/>
    <w:basedOn w:val="Normal"/>
    <w:next w:val="Normal"/>
    <w:autoRedefine/>
    <w:uiPriority w:val="98"/>
    <w:semiHidden/>
    <w:rsid w:val="00DE3D5B"/>
    <w:pPr>
      <w:ind w:left="720" w:hanging="240"/>
    </w:pPr>
  </w:style>
  <w:style w:type="paragraph" w:styleId="Index4">
    <w:name w:val="index 4"/>
    <w:basedOn w:val="Normal"/>
    <w:next w:val="Normal"/>
    <w:autoRedefine/>
    <w:uiPriority w:val="98"/>
    <w:semiHidden/>
    <w:rsid w:val="00DE3D5B"/>
    <w:pPr>
      <w:ind w:left="960" w:hanging="240"/>
    </w:pPr>
  </w:style>
  <w:style w:type="paragraph" w:styleId="Index5">
    <w:name w:val="index 5"/>
    <w:basedOn w:val="Normal"/>
    <w:next w:val="Normal"/>
    <w:autoRedefine/>
    <w:uiPriority w:val="98"/>
    <w:semiHidden/>
    <w:rsid w:val="00DE3D5B"/>
    <w:pPr>
      <w:ind w:left="1200" w:hanging="240"/>
    </w:pPr>
  </w:style>
  <w:style w:type="paragraph" w:styleId="Index6">
    <w:name w:val="index 6"/>
    <w:basedOn w:val="Normal"/>
    <w:next w:val="Normal"/>
    <w:autoRedefine/>
    <w:uiPriority w:val="98"/>
    <w:semiHidden/>
    <w:rsid w:val="00DE3D5B"/>
    <w:pPr>
      <w:ind w:left="1440" w:hanging="240"/>
    </w:pPr>
  </w:style>
  <w:style w:type="paragraph" w:styleId="Index7">
    <w:name w:val="index 7"/>
    <w:basedOn w:val="Normal"/>
    <w:next w:val="Normal"/>
    <w:autoRedefine/>
    <w:uiPriority w:val="98"/>
    <w:semiHidden/>
    <w:rsid w:val="00DE3D5B"/>
    <w:pPr>
      <w:ind w:left="1680" w:hanging="240"/>
    </w:pPr>
  </w:style>
  <w:style w:type="paragraph" w:styleId="Index8">
    <w:name w:val="index 8"/>
    <w:basedOn w:val="Normal"/>
    <w:next w:val="Normal"/>
    <w:autoRedefine/>
    <w:uiPriority w:val="98"/>
    <w:semiHidden/>
    <w:rsid w:val="00DE3D5B"/>
    <w:pPr>
      <w:ind w:left="1920" w:hanging="240"/>
    </w:pPr>
  </w:style>
  <w:style w:type="paragraph" w:styleId="Index9">
    <w:name w:val="index 9"/>
    <w:basedOn w:val="Normal"/>
    <w:next w:val="Normal"/>
    <w:autoRedefine/>
    <w:uiPriority w:val="98"/>
    <w:semiHidden/>
    <w:rsid w:val="00DE3D5B"/>
    <w:pPr>
      <w:ind w:left="2160" w:hanging="240"/>
    </w:pPr>
  </w:style>
  <w:style w:type="paragraph" w:styleId="IndexHeading">
    <w:name w:val="index heading"/>
    <w:basedOn w:val="Normal"/>
    <w:next w:val="Index1"/>
    <w:uiPriority w:val="98"/>
    <w:semiHidden/>
    <w:rsid w:val="00DE3D5B"/>
    <w:rPr>
      <w:rFonts w:asciiTheme="majorHAnsi" w:eastAsiaTheme="majorEastAsia" w:hAnsiTheme="majorHAnsi" w:cstheme="majorBidi"/>
      <w:b/>
      <w:bCs/>
    </w:rPr>
  </w:style>
  <w:style w:type="table" w:styleId="LightGrid">
    <w:name w:val="Light Grid"/>
    <w:basedOn w:val="TableNormal"/>
    <w:uiPriority w:val="62"/>
    <w:semiHidden/>
    <w:rsid w:val="00DE3D5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DE3D5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DE3D5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DE3D5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DE3D5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DE3D5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DE3D5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DE3D5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DE3D5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DE3D5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DE3D5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DE3D5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DE3D5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DE3D5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DE3D5B"/>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DE3D5B"/>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DE3D5B"/>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DE3D5B"/>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DE3D5B"/>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DE3D5B"/>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DE3D5B"/>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DE3D5B"/>
  </w:style>
  <w:style w:type="paragraph" w:styleId="List">
    <w:name w:val="List"/>
    <w:basedOn w:val="Normal"/>
    <w:uiPriority w:val="98"/>
    <w:semiHidden/>
    <w:rsid w:val="00DE3D5B"/>
    <w:pPr>
      <w:ind w:left="283" w:hanging="283"/>
      <w:contextualSpacing/>
    </w:pPr>
  </w:style>
  <w:style w:type="paragraph" w:styleId="List2">
    <w:name w:val="List 2"/>
    <w:basedOn w:val="Normal"/>
    <w:uiPriority w:val="98"/>
    <w:semiHidden/>
    <w:rsid w:val="00DE3D5B"/>
    <w:pPr>
      <w:ind w:left="566" w:hanging="283"/>
      <w:contextualSpacing/>
    </w:pPr>
  </w:style>
  <w:style w:type="paragraph" w:styleId="List3">
    <w:name w:val="List 3"/>
    <w:basedOn w:val="Normal"/>
    <w:uiPriority w:val="98"/>
    <w:semiHidden/>
    <w:rsid w:val="00DE3D5B"/>
    <w:pPr>
      <w:ind w:left="849" w:hanging="283"/>
      <w:contextualSpacing/>
    </w:pPr>
  </w:style>
  <w:style w:type="paragraph" w:styleId="List4">
    <w:name w:val="List 4"/>
    <w:basedOn w:val="Normal"/>
    <w:uiPriority w:val="98"/>
    <w:semiHidden/>
    <w:rsid w:val="00DE3D5B"/>
    <w:pPr>
      <w:ind w:left="1132" w:hanging="283"/>
      <w:contextualSpacing/>
    </w:pPr>
  </w:style>
  <w:style w:type="paragraph" w:styleId="List5">
    <w:name w:val="List 5"/>
    <w:basedOn w:val="Normal"/>
    <w:uiPriority w:val="98"/>
    <w:semiHidden/>
    <w:rsid w:val="00DE3D5B"/>
    <w:pPr>
      <w:ind w:left="1415" w:hanging="283"/>
      <w:contextualSpacing/>
    </w:pPr>
  </w:style>
  <w:style w:type="paragraph" w:styleId="ListBullet2">
    <w:name w:val="List Bullet 2"/>
    <w:basedOn w:val="Normal"/>
    <w:uiPriority w:val="98"/>
    <w:semiHidden/>
    <w:rsid w:val="00DE3D5B"/>
    <w:pPr>
      <w:numPr>
        <w:numId w:val="8"/>
      </w:numPr>
      <w:contextualSpacing/>
    </w:pPr>
  </w:style>
  <w:style w:type="paragraph" w:styleId="ListBullet4">
    <w:name w:val="List Bullet 4"/>
    <w:basedOn w:val="Normal"/>
    <w:uiPriority w:val="98"/>
    <w:semiHidden/>
    <w:rsid w:val="00DE3D5B"/>
    <w:pPr>
      <w:numPr>
        <w:numId w:val="10"/>
      </w:numPr>
      <w:contextualSpacing/>
    </w:pPr>
  </w:style>
  <w:style w:type="paragraph" w:styleId="ListBullet5">
    <w:name w:val="List Bullet 5"/>
    <w:basedOn w:val="Normal"/>
    <w:uiPriority w:val="98"/>
    <w:semiHidden/>
    <w:rsid w:val="00DE3D5B"/>
    <w:pPr>
      <w:numPr>
        <w:numId w:val="11"/>
      </w:numPr>
      <w:contextualSpacing/>
    </w:pPr>
  </w:style>
  <w:style w:type="paragraph" w:styleId="ListContinue">
    <w:name w:val="List Continue"/>
    <w:basedOn w:val="Normal"/>
    <w:uiPriority w:val="98"/>
    <w:semiHidden/>
    <w:rsid w:val="00DE3D5B"/>
    <w:pPr>
      <w:spacing w:after="120"/>
      <w:ind w:left="283"/>
      <w:contextualSpacing/>
    </w:pPr>
  </w:style>
  <w:style w:type="paragraph" w:styleId="ListContinue2">
    <w:name w:val="List Continue 2"/>
    <w:basedOn w:val="Normal"/>
    <w:uiPriority w:val="98"/>
    <w:semiHidden/>
    <w:rsid w:val="00DE3D5B"/>
    <w:pPr>
      <w:spacing w:after="120"/>
      <w:ind w:left="566"/>
      <w:contextualSpacing/>
    </w:pPr>
  </w:style>
  <w:style w:type="paragraph" w:styleId="ListContinue3">
    <w:name w:val="List Continue 3"/>
    <w:basedOn w:val="Normal"/>
    <w:uiPriority w:val="98"/>
    <w:semiHidden/>
    <w:rsid w:val="00DE3D5B"/>
    <w:pPr>
      <w:spacing w:after="120"/>
      <w:ind w:left="849"/>
      <w:contextualSpacing/>
    </w:pPr>
  </w:style>
  <w:style w:type="paragraph" w:styleId="ListContinue4">
    <w:name w:val="List Continue 4"/>
    <w:basedOn w:val="Normal"/>
    <w:uiPriority w:val="98"/>
    <w:semiHidden/>
    <w:rsid w:val="00DE3D5B"/>
    <w:pPr>
      <w:spacing w:after="120"/>
      <w:ind w:left="1132"/>
      <w:contextualSpacing/>
    </w:pPr>
  </w:style>
  <w:style w:type="paragraph" w:styleId="ListContinue5">
    <w:name w:val="List Continue 5"/>
    <w:basedOn w:val="Normal"/>
    <w:uiPriority w:val="98"/>
    <w:semiHidden/>
    <w:rsid w:val="00DE3D5B"/>
    <w:pPr>
      <w:spacing w:after="120"/>
      <w:ind w:left="1415"/>
      <w:contextualSpacing/>
    </w:pPr>
  </w:style>
  <w:style w:type="paragraph" w:styleId="ListNumber">
    <w:name w:val="List Number"/>
    <w:basedOn w:val="Normal"/>
    <w:uiPriority w:val="98"/>
    <w:semiHidden/>
    <w:rsid w:val="00DE3D5B"/>
    <w:pPr>
      <w:numPr>
        <w:numId w:val="12"/>
      </w:numPr>
      <w:contextualSpacing/>
    </w:pPr>
  </w:style>
  <w:style w:type="paragraph" w:styleId="ListNumber2">
    <w:name w:val="List Number 2"/>
    <w:basedOn w:val="Normal"/>
    <w:uiPriority w:val="98"/>
    <w:semiHidden/>
    <w:rsid w:val="00DE3D5B"/>
    <w:pPr>
      <w:numPr>
        <w:numId w:val="13"/>
      </w:numPr>
      <w:contextualSpacing/>
    </w:pPr>
  </w:style>
  <w:style w:type="paragraph" w:styleId="ListNumber3">
    <w:name w:val="List Number 3"/>
    <w:basedOn w:val="Normal"/>
    <w:uiPriority w:val="98"/>
    <w:semiHidden/>
    <w:rsid w:val="00DE3D5B"/>
    <w:pPr>
      <w:numPr>
        <w:numId w:val="14"/>
      </w:numPr>
      <w:contextualSpacing/>
    </w:pPr>
  </w:style>
  <w:style w:type="paragraph" w:styleId="ListNumber4">
    <w:name w:val="List Number 4"/>
    <w:basedOn w:val="Normal"/>
    <w:uiPriority w:val="98"/>
    <w:semiHidden/>
    <w:rsid w:val="00DE3D5B"/>
    <w:pPr>
      <w:numPr>
        <w:numId w:val="15"/>
      </w:numPr>
      <w:contextualSpacing/>
    </w:pPr>
  </w:style>
  <w:style w:type="paragraph" w:styleId="ListNumber5">
    <w:name w:val="List Number 5"/>
    <w:basedOn w:val="Normal"/>
    <w:uiPriority w:val="98"/>
    <w:semiHidden/>
    <w:rsid w:val="00DE3D5B"/>
    <w:pPr>
      <w:numPr>
        <w:numId w:val="16"/>
      </w:numPr>
      <w:contextualSpacing/>
    </w:pPr>
  </w:style>
  <w:style w:type="paragraph" w:styleId="MacroText">
    <w:name w:val="macro"/>
    <w:link w:val="MacroTextChar"/>
    <w:uiPriority w:val="98"/>
    <w:semiHidden/>
    <w:rsid w:val="00DE3D5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DE3D5B"/>
    <w:rPr>
      <w:rFonts w:ascii="Consolas" w:eastAsiaTheme="minorEastAsia" w:hAnsi="Consolas" w:cs="Consolas"/>
      <w:sz w:val="20"/>
      <w:szCs w:val="20"/>
    </w:rPr>
  </w:style>
  <w:style w:type="table" w:styleId="MediumGrid1">
    <w:name w:val="Medium Grid 1"/>
    <w:basedOn w:val="TableNormal"/>
    <w:uiPriority w:val="67"/>
    <w:semiHidden/>
    <w:rsid w:val="00DE3D5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DE3D5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DE3D5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DE3D5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DE3D5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DE3D5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DE3D5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DE3D5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DE3D5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DE3D5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DE3D5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DE3D5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DE3D5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DE3D5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DE3D5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DE3D5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DE3D5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DE3D5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DE3D5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DE3D5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DE3D5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DE3D5B"/>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DE3D5B"/>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DE3D5B"/>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DE3D5B"/>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DE3D5B"/>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DE3D5B"/>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DE3D5B"/>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DE3D5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DE3D5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DE3D5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DE3D5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DE3D5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DE3D5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DE3D5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DE3D5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DE3D5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DE3D5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DE3D5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DE3D5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DE3D5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DE3D5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DE3D5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DE3D5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DE3D5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DE3D5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DE3D5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DE3D5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DE3D5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DE3D5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DE3D5B"/>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DE3D5B"/>
    <w:rPr>
      <w:rFonts w:ascii="Times New Roman" w:hAnsi="Times New Roman" w:cs="Times New Roman"/>
    </w:rPr>
  </w:style>
  <w:style w:type="paragraph" w:styleId="NormalIndent">
    <w:name w:val="Normal Indent"/>
    <w:basedOn w:val="Normal"/>
    <w:uiPriority w:val="98"/>
    <w:semiHidden/>
    <w:rsid w:val="00DE3D5B"/>
    <w:pPr>
      <w:ind w:left="720"/>
    </w:pPr>
  </w:style>
  <w:style w:type="paragraph" w:customStyle="1" w:styleId="ECHRBullet2">
    <w:name w:val="ECHR_Bullet_2"/>
    <w:aliases w:val="_Bul_2"/>
    <w:basedOn w:val="ECHRBullet1"/>
    <w:uiPriority w:val="23"/>
    <w:semiHidden/>
    <w:rsid w:val="00DE3D5B"/>
    <w:pPr>
      <w:numPr>
        <w:ilvl w:val="1"/>
      </w:numPr>
    </w:pPr>
  </w:style>
  <w:style w:type="paragraph" w:customStyle="1" w:styleId="ECHRBullet3">
    <w:name w:val="ECHR_Bullet_3"/>
    <w:aliases w:val="_Bul_3"/>
    <w:basedOn w:val="ECHRBullet2"/>
    <w:uiPriority w:val="23"/>
    <w:semiHidden/>
    <w:rsid w:val="00DE3D5B"/>
    <w:pPr>
      <w:numPr>
        <w:ilvl w:val="2"/>
      </w:numPr>
    </w:pPr>
  </w:style>
  <w:style w:type="character" w:styleId="PlaceholderText">
    <w:name w:val="Placeholder Text"/>
    <w:basedOn w:val="DefaultParagraphFont"/>
    <w:uiPriority w:val="98"/>
    <w:semiHidden/>
    <w:rsid w:val="00DE3D5B"/>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DE3D5B"/>
    <w:rPr>
      <w:rFonts w:ascii="Consolas" w:hAnsi="Consolas" w:cs="Consolas"/>
      <w:sz w:val="21"/>
      <w:szCs w:val="21"/>
    </w:rPr>
  </w:style>
  <w:style w:type="character" w:customStyle="1" w:styleId="PlainTextChar">
    <w:name w:val="Plain Text Char"/>
    <w:basedOn w:val="DefaultParagraphFont"/>
    <w:link w:val="PlainText"/>
    <w:uiPriority w:val="98"/>
    <w:semiHidden/>
    <w:rsid w:val="00DE3D5B"/>
    <w:rPr>
      <w:rFonts w:ascii="Consolas" w:hAnsi="Consolas" w:cs="Consolas"/>
      <w:sz w:val="21"/>
      <w:szCs w:val="21"/>
      <w:lang w:val="en-GB"/>
    </w:rPr>
  </w:style>
  <w:style w:type="paragraph" w:styleId="Salutation">
    <w:name w:val="Salutation"/>
    <w:basedOn w:val="Normal"/>
    <w:next w:val="Normal"/>
    <w:link w:val="SalutationChar"/>
    <w:uiPriority w:val="98"/>
    <w:semiHidden/>
    <w:rsid w:val="00DE3D5B"/>
  </w:style>
  <w:style w:type="character" w:customStyle="1" w:styleId="SalutationChar">
    <w:name w:val="Salutation Char"/>
    <w:basedOn w:val="DefaultParagraphFont"/>
    <w:link w:val="Salutation"/>
    <w:uiPriority w:val="98"/>
    <w:semiHidden/>
    <w:rsid w:val="00DE3D5B"/>
    <w:rPr>
      <w:sz w:val="24"/>
      <w:szCs w:val="24"/>
      <w:lang w:val="en-GB"/>
    </w:rPr>
  </w:style>
  <w:style w:type="paragraph" w:styleId="Signature">
    <w:name w:val="Signature"/>
    <w:basedOn w:val="Normal"/>
    <w:link w:val="SignatureChar"/>
    <w:uiPriority w:val="98"/>
    <w:semiHidden/>
    <w:rsid w:val="00DE3D5B"/>
    <w:pPr>
      <w:ind w:left="4252"/>
    </w:pPr>
  </w:style>
  <w:style w:type="character" w:customStyle="1" w:styleId="SignatureChar">
    <w:name w:val="Signature Char"/>
    <w:basedOn w:val="DefaultParagraphFont"/>
    <w:link w:val="Signature"/>
    <w:uiPriority w:val="98"/>
    <w:semiHidden/>
    <w:rsid w:val="00DE3D5B"/>
    <w:rPr>
      <w:sz w:val="24"/>
      <w:szCs w:val="24"/>
      <w:lang w:val="en-GB"/>
    </w:rPr>
  </w:style>
  <w:style w:type="table" w:styleId="Table3Deffects1">
    <w:name w:val="Table 3D effects 1"/>
    <w:basedOn w:val="TableNormal"/>
    <w:uiPriority w:val="99"/>
    <w:semiHidden/>
    <w:unhideWhenUsed/>
    <w:rsid w:val="00DE3D5B"/>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E3D5B"/>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E3D5B"/>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E3D5B"/>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E3D5B"/>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E3D5B"/>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E3D5B"/>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E3D5B"/>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E3D5B"/>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E3D5B"/>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E3D5B"/>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E3D5B"/>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E3D5B"/>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E3D5B"/>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E3D5B"/>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E3D5B"/>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E3D5B"/>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E3D5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E3D5B"/>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E3D5B"/>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E3D5B"/>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E3D5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E3D5B"/>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E3D5B"/>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E3D5B"/>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E3D5B"/>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E3D5B"/>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E3D5B"/>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E3D5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E3D5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E3D5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E3D5B"/>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E3D5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DE3D5B"/>
    <w:pPr>
      <w:ind w:left="240" w:hanging="240"/>
    </w:pPr>
  </w:style>
  <w:style w:type="paragraph" w:styleId="TableofFigures">
    <w:name w:val="table of figures"/>
    <w:basedOn w:val="Normal"/>
    <w:next w:val="Normal"/>
    <w:uiPriority w:val="98"/>
    <w:semiHidden/>
    <w:rsid w:val="00DE3D5B"/>
  </w:style>
  <w:style w:type="table" w:styleId="TableProfessional">
    <w:name w:val="Table Professional"/>
    <w:basedOn w:val="TableNormal"/>
    <w:uiPriority w:val="99"/>
    <w:semiHidden/>
    <w:unhideWhenUsed/>
    <w:rsid w:val="00DE3D5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E3D5B"/>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E3D5B"/>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E3D5B"/>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E3D5B"/>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E3D5B"/>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E3D5B"/>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E3D5B"/>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E3D5B"/>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E3D5B"/>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39"/>
    <w:rsid w:val="00DE3D5B"/>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39"/>
    <w:rsid w:val="00DE3D5B"/>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39"/>
    <w:rsid w:val="00DE3D5B"/>
    <w:pPr>
      <w:spacing w:after="100"/>
      <w:ind w:left="1680"/>
    </w:pPr>
  </w:style>
  <w:style w:type="paragraph" w:styleId="TOC9">
    <w:name w:val="toc 9"/>
    <w:basedOn w:val="Normal"/>
    <w:next w:val="Normal"/>
    <w:autoRedefine/>
    <w:uiPriority w:val="39"/>
    <w:rsid w:val="00DE3D5B"/>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DE3D5B"/>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DE3D5B"/>
    <w:pPr>
      <w:keepNext/>
      <w:keepLines/>
      <w:spacing w:after="280"/>
      <w:ind w:firstLine="0"/>
      <w:jc w:val="center"/>
    </w:pPr>
    <w:rPr>
      <w:rFonts w:asciiTheme="majorHAnsi" w:hAnsiTheme="majorHAnsi"/>
    </w:rPr>
  </w:style>
  <w:style w:type="paragraph" w:customStyle="1" w:styleId="ECHRBullet4">
    <w:name w:val="ECHR_Bullet_4"/>
    <w:aliases w:val="_Bul_4"/>
    <w:basedOn w:val="ECHRBullet3"/>
    <w:uiPriority w:val="23"/>
    <w:semiHidden/>
    <w:rsid w:val="00DE3D5B"/>
    <w:pPr>
      <w:numPr>
        <w:ilvl w:val="3"/>
      </w:numPr>
    </w:pPr>
  </w:style>
  <w:style w:type="paragraph" w:customStyle="1" w:styleId="ECHRConfidential">
    <w:name w:val="ECHR_Confidential"/>
    <w:aliases w:val="_Confidential"/>
    <w:basedOn w:val="Normal"/>
    <w:next w:val="Normal"/>
    <w:uiPriority w:val="42"/>
    <w:semiHidden/>
    <w:qFormat/>
    <w:rsid w:val="00DE3D5B"/>
    <w:pPr>
      <w:jc w:val="right"/>
    </w:pPr>
    <w:rPr>
      <w:color w:val="C00000"/>
      <w:sz w:val="20"/>
    </w:rPr>
  </w:style>
  <w:style w:type="paragraph" w:customStyle="1" w:styleId="ECHRDecisionBody">
    <w:name w:val="ECHR_Decision_Body"/>
    <w:aliases w:val="_Decision_Body"/>
    <w:basedOn w:val="NormalJustified"/>
    <w:uiPriority w:val="54"/>
    <w:semiHidden/>
    <w:rsid w:val="00DE3D5B"/>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DE3D5B"/>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DE3D5B"/>
    <w:rPr>
      <w:rFonts w:ascii="Arial" w:hAnsi="Arial"/>
      <w:i/>
      <w:color w:val="002856"/>
      <w:sz w:val="32"/>
      <w:szCs w:val="24"/>
      <w:lang w:val="en-GB"/>
    </w:rPr>
  </w:style>
  <w:style w:type="paragraph" w:customStyle="1" w:styleId="DummyStyle">
    <w:name w:val="Dummy_Style"/>
    <w:aliases w:val="_Dummy"/>
    <w:basedOn w:val="Normal"/>
    <w:semiHidden/>
    <w:qFormat/>
    <w:rsid w:val="00DE3D5B"/>
    <w:rPr>
      <w:color w:val="00B050"/>
      <w:sz w:val="22"/>
    </w:rPr>
  </w:style>
  <w:style w:type="paragraph" w:customStyle="1" w:styleId="ECHRFooterLineLandscape">
    <w:name w:val="ECHR_Footer_Line_Landscape"/>
    <w:aliases w:val="_Footer_Line_Landscape"/>
    <w:basedOn w:val="Normal"/>
    <w:uiPriority w:val="30"/>
    <w:semiHidden/>
    <w:rsid w:val="00DE3D5B"/>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DE3D5B"/>
    <w:pPr>
      <w:ind w:left="567" w:hanging="567"/>
    </w:pPr>
  </w:style>
  <w:style w:type="paragraph" w:customStyle="1" w:styleId="ECHRHeading9">
    <w:name w:val="ECHR_Heading_9"/>
    <w:aliases w:val="_Head_9"/>
    <w:basedOn w:val="Heading9"/>
    <w:uiPriority w:val="17"/>
    <w:semiHidden/>
    <w:rsid w:val="00DE3D5B"/>
    <w:pPr>
      <w:keepNext/>
      <w:keepLines/>
      <w:numPr>
        <w:ilvl w:val="8"/>
        <w:numId w:val="22"/>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rsid w:val="00DE3D5B"/>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DE3D5B"/>
    <w:pPr>
      <w:spacing w:before="120" w:after="120"/>
      <w:ind w:left="284"/>
    </w:pPr>
  </w:style>
  <w:style w:type="paragraph" w:customStyle="1" w:styleId="ECHRLine">
    <w:name w:val="ECHR_Line"/>
    <w:aliases w:val="_Line"/>
    <w:basedOn w:val="NormalJustified"/>
    <w:next w:val="Normal"/>
    <w:uiPriority w:val="46"/>
    <w:semiHidden/>
    <w:rsid w:val="00DE3D5B"/>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DE3D5B"/>
    <w:pPr>
      <w:numPr>
        <w:numId w:val="0"/>
      </w:numPr>
      <w:ind w:left="284"/>
    </w:pPr>
  </w:style>
  <w:style w:type="paragraph" w:customStyle="1" w:styleId="ECHRNumberedList1">
    <w:name w:val="ECHR_Numbered_List_1"/>
    <w:aliases w:val="_Num_1"/>
    <w:basedOn w:val="NormalJustified"/>
    <w:uiPriority w:val="23"/>
    <w:semiHidden/>
    <w:qFormat/>
    <w:rsid w:val="00DE3D5B"/>
    <w:pPr>
      <w:numPr>
        <w:numId w:val="21"/>
      </w:numPr>
      <w:spacing w:before="60" w:after="60"/>
    </w:pPr>
  </w:style>
  <w:style w:type="paragraph" w:customStyle="1" w:styleId="ECHRNumberedList2">
    <w:name w:val="ECHR_Numbered_List_2"/>
    <w:aliases w:val="_Num_2"/>
    <w:basedOn w:val="ECHRNumberedList1"/>
    <w:uiPriority w:val="23"/>
    <w:semiHidden/>
    <w:rsid w:val="00DE3D5B"/>
    <w:pPr>
      <w:numPr>
        <w:ilvl w:val="1"/>
      </w:numPr>
    </w:pPr>
  </w:style>
  <w:style w:type="paragraph" w:customStyle="1" w:styleId="ECHRNumberedList3">
    <w:name w:val="ECHR_Numbered_List_3"/>
    <w:aliases w:val="_Num_3"/>
    <w:basedOn w:val="ECHRNumberedList2"/>
    <w:uiPriority w:val="23"/>
    <w:semiHidden/>
    <w:rsid w:val="00DE3D5B"/>
    <w:pPr>
      <w:numPr>
        <w:ilvl w:val="2"/>
      </w:numPr>
    </w:pPr>
  </w:style>
  <w:style w:type="paragraph" w:customStyle="1" w:styleId="ECHRPlaceholder">
    <w:name w:val="ECHR_Placeholder"/>
    <w:aliases w:val="_Placeholder"/>
    <w:basedOn w:val="JuSigned"/>
    <w:uiPriority w:val="31"/>
    <w:rsid w:val="00DE3D5B"/>
    <w:rPr>
      <w:color w:val="FFFFFF"/>
    </w:rPr>
  </w:style>
  <w:style w:type="character" w:customStyle="1" w:styleId="ECHRRed">
    <w:name w:val="ECHR_Red"/>
    <w:aliases w:val="_Red"/>
    <w:basedOn w:val="DefaultParagraphFont"/>
    <w:uiPriority w:val="15"/>
    <w:semiHidden/>
    <w:qFormat/>
    <w:rsid w:val="00DE3D5B"/>
    <w:rPr>
      <w:color w:val="C00000" w:themeColor="accent2"/>
    </w:rPr>
  </w:style>
  <w:style w:type="paragraph" w:customStyle="1" w:styleId="ECHRHeaderDate">
    <w:name w:val="ECHR_Header_Date"/>
    <w:aliases w:val="_Ref_Date"/>
    <w:basedOn w:val="Normal"/>
    <w:uiPriority w:val="44"/>
    <w:semiHidden/>
    <w:qFormat/>
    <w:rsid w:val="00DE3D5B"/>
    <w:pPr>
      <w:jc w:val="right"/>
    </w:pPr>
    <w:rPr>
      <w:sz w:val="20"/>
    </w:rPr>
  </w:style>
  <w:style w:type="paragraph" w:customStyle="1" w:styleId="ECHRHeaderRefIt">
    <w:name w:val="ECHR_Header_Ref_It"/>
    <w:aliases w:val="_Ref_Ital"/>
    <w:basedOn w:val="Normal"/>
    <w:next w:val="ECHRHeaderDate"/>
    <w:uiPriority w:val="43"/>
    <w:qFormat/>
    <w:rsid w:val="00DE3D5B"/>
    <w:pPr>
      <w:jc w:val="right"/>
    </w:pPr>
    <w:rPr>
      <w:i/>
      <w:sz w:val="20"/>
    </w:rPr>
  </w:style>
  <w:style w:type="paragraph" w:customStyle="1" w:styleId="ECHRSpacer">
    <w:name w:val="ECHR_Spacer"/>
    <w:aliases w:val="_Spacer"/>
    <w:basedOn w:val="Normal"/>
    <w:uiPriority w:val="45"/>
    <w:semiHidden/>
    <w:rsid w:val="00DE3D5B"/>
    <w:rPr>
      <w:sz w:val="4"/>
    </w:rPr>
  </w:style>
  <w:style w:type="paragraph" w:customStyle="1" w:styleId="ECHRTitleCentre1">
    <w:name w:val="ECHR_Title_Centre_1"/>
    <w:aliases w:val="_Title_C_1"/>
    <w:basedOn w:val="Normal"/>
    <w:next w:val="Normal"/>
    <w:uiPriority w:val="26"/>
    <w:semiHidden/>
    <w:qFormat/>
    <w:rsid w:val="00DE3D5B"/>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DE3D5B"/>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DE3D5B"/>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DE3D5B"/>
    <w:pPr>
      <w:outlineLvl w:val="0"/>
    </w:pPr>
  </w:style>
  <w:style w:type="paragraph" w:customStyle="1" w:styleId="ECHRTitle1">
    <w:name w:val="ECHR_Title_1"/>
    <w:aliases w:val="_Title_L_1"/>
    <w:basedOn w:val="Normal"/>
    <w:next w:val="Normal"/>
    <w:uiPriority w:val="28"/>
    <w:semiHidden/>
    <w:qFormat/>
    <w:rsid w:val="00DE3D5B"/>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DE3D5B"/>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DE3D5B"/>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
    <w:uiPriority w:val="27"/>
    <w:semiHidden/>
    <w:qFormat/>
    <w:rsid w:val="00DE3D5B"/>
    <w:pPr>
      <w:outlineLvl w:val="0"/>
    </w:pPr>
  </w:style>
  <w:style w:type="table" w:customStyle="1" w:styleId="ECHRTable2">
    <w:name w:val="ECHR_Table_2"/>
    <w:basedOn w:val="TableNormal"/>
    <w:uiPriority w:val="99"/>
    <w:rsid w:val="00DE3D5B"/>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DE3D5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leNormal"/>
    <w:uiPriority w:val="99"/>
    <w:rsid w:val="00DE3D5B"/>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paragraph" w:styleId="NoteHeading">
    <w:name w:val="Note Heading"/>
    <w:basedOn w:val="Normal"/>
    <w:next w:val="Normal"/>
    <w:link w:val="NoteHeadingChar"/>
    <w:uiPriority w:val="98"/>
    <w:semiHidden/>
    <w:rsid w:val="00DE3D5B"/>
  </w:style>
  <w:style w:type="character" w:customStyle="1" w:styleId="NoteHeadingChar">
    <w:name w:val="Note Heading Char"/>
    <w:basedOn w:val="DefaultParagraphFont"/>
    <w:link w:val="NoteHeading"/>
    <w:uiPriority w:val="98"/>
    <w:semiHidden/>
    <w:rsid w:val="00DE3D5B"/>
    <w:rPr>
      <w:sz w:val="24"/>
      <w:szCs w:val="24"/>
      <w:lang w:val="en-GB"/>
    </w:rPr>
  </w:style>
  <w:style w:type="table" w:styleId="GridTable1Light">
    <w:name w:val="Grid Table 1 Light"/>
    <w:basedOn w:val="TableNormal"/>
    <w:uiPriority w:val="46"/>
    <w:semiHidden/>
    <w:rsid w:val="00F5530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55300"/>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55300"/>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55300"/>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55300"/>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55300"/>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55300"/>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5530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55300"/>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F55300"/>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F55300"/>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F55300"/>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F55300"/>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F55300"/>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F553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5530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F5530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F5530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F5530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F5530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F5530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F553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5530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F5530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F5530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F5530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F5530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F5530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F5530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5530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F5530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F5530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F5530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F5530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F5530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F5530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55300"/>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F55300"/>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F55300"/>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F55300"/>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F55300"/>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F55300"/>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F5530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55300"/>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F55300"/>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F55300"/>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F55300"/>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F55300"/>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F55300"/>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F55300"/>
    <w:rPr>
      <w:color w:val="2B579A"/>
      <w:shd w:val="clear" w:color="auto" w:fill="E1DFDD"/>
    </w:rPr>
  </w:style>
  <w:style w:type="table" w:styleId="ListTable1Light">
    <w:name w:val="List Table 1 Light"/>
    <w:basedOn w:val="TableNormal"/>
    <w:uiPriority w:val="46"/>
    <w:semiHidden/>
    <w:rsid w:val="00F5530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55300"/>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F55300"/>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F55300"/>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F55300"/>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F55300"/>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F55300"/>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F5530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55300"/>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F55300"/>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F55300"/>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F55300"/>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F55300"/>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F55300"/>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F5530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55300"/>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F55300"/>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F55300"/>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F55300"/>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F55300"/>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F55300"/>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F553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5530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F5530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F5530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F5530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F5530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F5530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F55300"/>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55300"/>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55300"/>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55300"/>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55300"/>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55300"/>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55300"/>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5530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55300"/>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F55300"/>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F55300"/>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F55300"/>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F55300"/>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F55300"/>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F5530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55300"/>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55300"/>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55300"/>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55300"/>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55300"/>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55300"/>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F55300"/>
    <w:rPr>
      <w:color w:val="2B579A"/>
      <w:shd w:val="clear" w:color="auto" w:fill="E1DFDD"/>
    </w:rPr>
  </w:style>
  <w:style w:type="table" w:styleId="PlainTable1">
    <w:name w:val="Plain Table 1"/>
    <w:basedOn w:val="TableNormal"/>
    <w:uiPriority w:val="41"/>
    <w:semiHidden/>
    <w:rsid w:val="00F55300"/>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F553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5530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5530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F5530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F55300"/>
    <w:rPr>
      <w:u w:val="dotted"/>
    </w:rPr>
  </w:style>
  <w:style w:type="character" w:customStyle="1" w:styleId="SmartLink">
    <w:name w:val="Smart Link"/>
    <w:basedOn w:val="DefaultParagraphFont"/>
    <w:uiPriority w:val="99"/>
    <w:semiHidden/>
    <w:unhideWhenUsed/>
    <w:rsid w:val="00F55300"/>
    <w:rPr>
      <w:color w:val="0000FF"/>
      <w:u w:val="single"/>
      <w:shd w:val="clear" w:color="auto" w:fill="F3F2F1"/>
    </w:rPr>
  </w:style>
  <w:style w:type="table" w:styleId="TableGridLight">
    <w:name w:val="Grid Table Light"/>
    <w:basedOn w:val="TableNormal"/>
    <w:uiPriority w:val="40"/>
    <w:semiHidden/>
    <w:rsid w:val="00F55300"/>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DE3D5B"/>
    <w:rPr>
      <w:color w:val="605E5C"/>
      <w:shd w:val="clear" w:color="auto" w:fill="E1DFDD"/>
    </w:rPr>
  </w:style>
  <w:style w:type="character" w:customStyle="1" w:styleId="JuParaChar">
    <w:name w:val="Ju_Para Char"/>
    <w:aliases w:val="_Para Char,ECHR_Para Char,Para Char"/>
    <w:link w:val="JuPara"/>
    <w:uiPriority w:val="4"/>
    <w:qFormat/>
    <w:rsid w:val="00BF0CAC"/>
    <w:rPr>
      <w:sz w:val="24"/>
      <w:szCs w:val="24"/>
      <w:lang w:val="en-GB"/>
    </w:rPr>
  </w:style>
  <w:style w:type="paragraph" w:customStyle="1" w:styleId="JuList4">
    <w:name w:val="Ju_List_4"/>
    <w:aliases w:val="N_Bul_4"/>
    <w:basedOn w:val="JuListi"/>
    <w:uiPriority w:val="19"/>
    <w:rsid w:val="00BF0CAC"/>
    <w:pPr>
      <w:numPr>
        <w:ilvl w:val="0"/>
        <w:numId w:val="0"/>
      </w:numPr>
      <w:tabs>
        <w:tab w:val="num" w:pos="1701"/>
      </w:tabs>
      <w:spacing w:before="60" w:after="60" w:line="240" w:lineRule="exact"/>
      <w:ind w:left="1703" w:hanging="284"/>
      <w:contextualSpacing/>
    </w:pPr>
    <w:rPr>
      <w:sz w:val="22"/>
      <w:lang w:val="fr-FR" w:eastAsia="fr-FR"/>
    </w:rPr>
  </w:style>
  <w:style w:type="table" w:customStyle="1" w:styleId="GridTable1Light1">
    <w:name w:val="Grid Table 1 Light1"/>
    <w:basedOn w:val="TableNormal"/>
    <w:uiPriority w:val="46"/>
    <w:semiHidden/>
    <w:rsid w:val="00BF0C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BF0CAC"/>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BF0CAC"/>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BF0CAC"/>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BF0CAC"/>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BF0CAC"/>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BF0CAC"/>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BF0CA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rsid w:val="00BF0CAC"/>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2-Accent21">
    <w:name w:val="Grid Table 2 - Accent 21"/>
    <w:basedOn w:val="TableNormal"/>
    <w:uiPriority w:val="47"/>
    <w:semiHidden/>
    <w:rsid w:val="00BF0CAC"/>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2-Accent31">
    <w:name w:val="Grid Table 2 - Accent 31"/>
    <w:basedOn w:val="TableNormal"/>
    <w:uiPriority w:val="47"/>
    <w:semiHidden/>
    <w:rsid w:val="00BF0CAC"/>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2-Accent41">
    <w:name w:val="Grid Table 2 - Accent 41"/>
    <w:basedOn w:val="TableNormal"/>
    <w:uiPriority w:val="47"/>
    <w:semiHidden/>
    <w:rsid w:val="00BF0CAC"/>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2-Accent51">
    <w:name w:val="Grid Table 2 - Accent 51"/>
    <w:basedOn w:val="TableNormal"/>
    <w:uiPriority w:val="47"/>
    <w:semiHidden/>
    <w:rsid w:val="00BF0CAC"/>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1">
    <w:name w:val="Grid Table 2 - Accent 61"/>
    <w:basedOn w:val="TableNormal"/>
    <w:uiPriority w:val="47"/>
    <w:semiHidden/>
    <w:rsid w:val="00BF0CAC"/>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1">
    <w:name w:val="Grid Table 31"/>
    <w:basedOn w:val="TableNormal"/>
    <w:uiPriority w:val="48"/>
    <w:semiHidden/>
    <w:rsid w:val="00BF0CA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rsid w:val="00BF0CA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3-Accent21">
    <w:name w:val="Grid Table 3 - Accent 21"/>
    <w:basedOn w:val="TableNormal"/>
    <w:uiPriority w:val="48"/>
    <w:semiHidden/>
    <w:rsid w:val="00BF0CA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3-Accent31">
    <w:name w:val="Grid Table 3 - Accent 31"/>
    <w:basedOn w:val="TableNormal"/>
    <w:uiPriority w:val="48"/>
    <w:semiHidden/>
    <w:rsid w:val="00BF0CA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3-Accent41">
    <w:name w:val="Grid Table 3 - Accent 41"/>
    <w:basedOn w:val="TableNormal"/>
    <w:uiPriority w:val="48"/>
    <w:semiHidden/>
    <w:rsid w:val="00BF0CA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3-Accent51">
    <w:name w:val="Grid Table 3 - Accent 51"/>
    <w:basedOn w:val="TableNormal"/>
    <w:uiPriority w:val="48"/>
    <w:semiHidden/>
    <w:rsid w:val="00BF0CA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1">
    <w:name w:val="Grid Table 3 - Accent 61"/>
    <w:basedOn w:val="TableNormal"/>
    <w:uiPriority w:val="48"/>
    <w:semiHidden/>
    <w:rsid w:val="00BF0CA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1">
    <w:name w:val="Grid Table 41"/>
    <w:basedOn w:val="TableNormal"/>
    <w:uiPriority w:val="49"/>
    <w:semiHidden/>
    <w:rsid w:val="00BF0CA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rsid w:val="00BF0CA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4-Accent21">
    <w:name w:val="Grid Table 4 - Accent 21"/>
    <w:basedOn w:val="TableNormal"/>
    <w:uiPriority w:val="49"/>
    <w:semiHidden/>
    <w:rsid w:val="00BF0CA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4-Accent31">
    <w:name w:val="Grid Table 4 - Accent 31"/>
    <w:basedOn w:val="TableNormal"/>
    <w:uiPriority w:val="49"/>
    <w:semiHidden/>
    <w:rsid w:val="00BF0CA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4-Accent41">
    <w:name w:val="Grid Table 4 - Accent 41"/>
    <w:basedOn w:val="TableNormal"/>
    <w:uiPriority w:val="49"/>
    <w:semiHidden/>
    <w:rsid w:val="00BF0CA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4-Accent51">
    <w:name w:val="Grid Table 4 - Accent 51"/>
    <w:basedOn w:val="TableNormal"/>
    <w:uiPriority w:val="49"/>
    <w:semiHidden/>
    <w:rsid w:val="00BF0CA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1">
    <w:name w:val="Grid Table 4 - Accent 61"/>
    <w:basedOn w:val="TableNormal"/>
    <w:uiPriority w:val="49"/>
    <w:semiHidden/>
    <w:rsid w:val="00BF0CA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1">
    <w:name w:val="Grid Table 5 Dark1"/>
    <w:basedOn w:val="TableNormal"/>
    <w:uiPriority w:val="50"/>
    <w:semiHidden/>
    <w:rsid w:val="00BF0CA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rsid w:val="00BF0CA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customStyle="1" w:styleId="GridTable5Dark-Accent21">
    <w:name w:val="Grid Table 5 Dark - Accent 21"/>
    <w:basedOn w:val="TableNormal"/>
    <w:uiPriority w:val="50"/>
    <w:semiHidden/>
    <w:rsid w:val="00BF0CA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customStyle="1" w:styleId="GridTable5Dark-Accent31">
    <w:name w:val="Grid Table 5 Dark - Accent 31"/>
    <w:basedOn w:val="TableNormal"/>
    <w:uiPriority w:val="50"/>
    <w:semiHidden/>
    <w:rsid w:val="00BF0CA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customStyle="1" w:styleId="GridTable5Dark-Accent41">
    <w:name w:val="Grid Table 5 Dark - Accent 41"/>
    <w:basedOn w:val="TableNormal"/>
    <w:uiPriority w:val="50"/>
    <w:semiHidden/>
    <w:rsid w:val="00BF0CA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customStyle="1" w:styleId="GridTable5Dark-Accent51">
    <w:name w:val="Grid Table 5 Dark - Accent 51"/>
    <w:basedOn w:val="TableNormal"/>
    <w:uiPriority w:val="50"/>
    <w:semiHidden/>
    <w:rsid w:val="00BF0CA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1">
    <w:name w:val="Grid Table 5 Dark - Accent 61"/>
    <w:basedOn w:val="TableNormal"/>
    <w:uiPriority w:val="50"/>
    <w:semiHidden/>
    <w:rsid w:val="00BF0CA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1">
    <w:name w:val="Grid Table 6 Colorful1"/>
    <w:basedOn w:val="TableNormal"/>
    <w:uiPriority w:val="51"/>
    <w:semiHidden/>
    <w:rsid w:val="00BF0CA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rsid w:val="00BF0CA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6Colorful-Accent21">
    <w:name w:val="Grid Table 6 Colorful - Accent 21"/>
    <w:basedOn w:val="TableNormal"/>
    <w:uiPriority w:val="51"/>
    <w:semiHidden/>
    <w:rsid w:val="00BF0CA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6Colorful-Accent31">
    <w:name w:val="Grid Table 6 Colorful - Accent 31"/>
    <w:basedOn w:val="TableNormal"/>
    <w:uiPriority w:val="51"/>
    <w:semiHidden/>
    <w:rsid w:val="00BF0CA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6Colorful-Accent41">
    <w:name w:val="Grid Table 6 Colorful - Accent 41"/>
    <w:basedOn w:val="TableNormal"/>
    <w:uiPriority w:val="51"/>
    <w:semiHidden/>
    <w:rsid w:val="00BF0CA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6Colorful-Accent51">
    <w:name w:val="Grid Table 6 Colorful - Accent 51"/>
    <w:basedOn w:val="TableNormal"/>
    <w:uiPriority w:val="51"/>
    <w:semiHidden/>
    <w:rsid w:val="00BF0CA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1">
    <w:name w:val="Grid Table 6 Colorful - Accent 61"/>
    <w:basedOn w:val="TableNormal"/>
    <w:uiPriority w:val="51"/>
    <w:semiHidden/>
    <w:rsid w:val="00BF0CA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1">
    <w:name w:val="Grid Table 7 Colorful1"/>
    <w:basedOn w:val="TableNormal"/>
    <w:uiPriority w:val="52"/>
    <w:semiHidden/>
    <w:rsid w:val="00BF0CA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rsid w:val="00BF0CA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7Colorful-Accent21">
    <w:name w:val="Grid Table 7 Colorful - Accent 21"/>
    <w:basedOn w:val="TableNormal"/>
    <w:uiPriority w:val="52"/>
    <w:semiHidden/>
    <w:rsid w:val="00BF0CA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7Colorful-Accent31">
    <w:name w:val="Grid Table 7 Colorful - Accent 31"/>
    <w:basedOn w:val="TableNormal"/>
    <w:uiPriority w:val="52"/>
    <w:semiHidden/>
    <w:rsid w:val="00BF0CA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7Colorful-Accent41">
    <w:name w:val="Grid Table 7 Colorful - Accent 41"/>
    <w:basedOn w:val="TableNormal"/>
    <w:uiPriority w:val="52"/>
    <w:semiHidden/>
    <w:rsid w:val="00BF0CA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7Colorful-Accent51">
    <w:name w:val="Grid Table 7 Colorful - Accent 51"/>
    <w:basedOn w:val="TableNormal"/>
    <w:uiPriority w:val="52"/>
    <w:semiHidden/>
    <w:rsid w:val="00BF0CA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1">
    <w:name w:val="Grid Table 7 Colorful - Accent 61"/>
    <w:basedOn w:val="TableNormal"/>
    <w:uiPriority w:val="52"/>
    <w:semiHidden/>
    <w:rsid w:val="00BF0CA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ListTable1Light1">
    <w:name w:val="List Table 1 Light1"/>
    <w:basedOn w:val="TableNormal"/>
    <w:uiPriority w:val="46"/>
    <w:semiHidden/>
    <w:rsid w:val="00BF0CA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rsid w:val="00BF0CAC"/>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1Light-Accent21">
    <w:name w:val="List Table 1 Light - Accent 21"/>
    <w:basedOn w:val="TableNormal"/>
    <w:uiPriority w:val="46"/>
    <w:semiHidden/>
    <w:rsid w:val="00BF0CAC"/>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1Light-Accent31">
    <w:name w:val="List Table 1 Light - Accent 31"/>
    <w:basedOn w:val="TableNormal"/>
    <w:uiPriority w:val="46"/>
    <w:semiHidden/>
    <w:rsid w:val="00BF0CAC"/>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1Light-Accent41">
    <w:name w:val="List Table 1 Light - Accent 41"/>
    <w:basedOn w:val="TableNormal"/>
    <w:uiPriority w:val="46"/>
    <w:semiHidden/>
    <w:rsid w:val="00BF0CAC"/>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1Light-Accent51">
    <w:name w:val="List Table 1 Light - Accent 51"/>
    <w:basedOn w:val="TableNormal"/>
    <w:uiPriority w:val="46"/>
    <w:semiHidden/>
    <w:rsid w:val="00BF0CAC"/>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1">
    <w:name w:val="List Table 1 Light - Accent 61"/>
    <w:basedOn w:val="TableNormal"/>
    <w:uiPriority w:val="46"/>
    <w:semiHidden/>
    <w:rsid w:val="00BF0CAC"/>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1">
    <w:name w:val="List Table 21"/>
    <w:basedOn w:val="TableNormal"/>
    <w:uiPriority w:val="47"/>
    <w:semiHidden/>
    <w:rsid w:val="00BF0CA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rsid w:val="00BF0CAC"/>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2-Accent21">
    <w:name w:val="List Table 2 - Accent 21"/>
    <w:basedOn w:val="TableNormal"/>
    <w:uiPriority w:val="47"/>
    <w:semiHidden/>
    <w:rsid w:val="00BF0CAC"/>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2-Accent31">
    <w:name w:val="List Table 2 - Accent 31"/>
    <w:basedOn w:val="TableNormal"/>
    <w:uiPriority w:val="47"/>
    <w:semiHidden/>
    <w:rsid w:val="00BF0CAC"/>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2-Accent41">
    <w:name w:val="List Table 2 - Accent 41"/>
    <w:basedOn w:val="TableNormal"/>
    <w:uiPriority w:val="47"/>
    <w:semiHidden/>
    <w:rsid w:val="00BF0CAC"/>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2-Accent51">
    <w:name w:val="List Table 2 - Accent 51"/>
    <w:basedOn w:val="TableNormal"/>
    <w:uiPriority w:val="47"/>
    <w:semiHidden/>
    <w:rsid w:val="00BF0CAC"/>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1">
    <w:name w:val="List Table 2 - Accent 61"/>
    <w:basedOn w:val="TableNormal"/>
    <w:uiPriority w:val="47"/>
    <w:semiHidden/>
    <w:rsid w:val="00BF0CAC"/>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1">
    <w:name w:val="List Table 31"/>
    <w:basedOn w:val="TableNormal"/>
    <w:uiPriority w:val="48"/>
    <w:semiHidden/>
    <w:rsid w:val="00BF0CA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rsid w:val="00BF0CAC"/>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customStyle="1" w:styleId="ListTable3-Accent21">
    <w:name w:val="List Table 3 - Accent 21"/>
    <w:basedOn w:val="TableNormal"/>
    <w:uiPriority w:val="48"/>
    <w:semiHidden/>
    <w:rsid w:val="00BF0CAC"/>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customStyle="1" w:styleId="ListTable3-Accent31">
    <w:name w:val="List Table 3 - Accent 31"/>
    <w:basedOn w:val="TableNormal"/>
    <w:uiPriority w:val="48"/>
    <w:semiHidden/>
    <w:rsid w:val="00BF0CAC"/>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customStyle="1" w:styleId="ListTable3-Accent41">
    <w:name w:val="List Table 3 - Accent 41"/>
    <w:basedOn w:val="TableNormal"/>
    <w:uiPriority w:val="48"/>
    <w:semiHidden/>
    <w:rsid w:val="00BF0CAC"/>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customStyle="1" w:styleId="ListTable3-Accent51">
    <w:name w:val="List Table 3 - Accent 51"/>
    <w:basedOn w:val="TableNormal"/>
    <w:uiPriority w:val="48"/>
    <w:semiHidden/>
    <w:rsid w:val="00BF0CAC"/>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1">
    <w:name w:val="List Table 3 - Accent 61"/>
    <w:basedOn w:val="TableNormal"/>
    <w:uiPriority w:val="48"/>
    <w:semiHidden/>
    <w:rsid w:val="00BF0CAC"/>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1">
    <w:name w:val="List Table 41"/>
    <w:basedOn w:val="TableNormal"/>
    <w:uiPriority w:val="49"/>
    <w:semiHidden/>
    <w:rsid w:val="00BF0CA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rsid w:val="00BF0CA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4-Accent21">
    <w:name w:val="List Table 4 - Accent 21"/>
    <w:basedOn w:val="TableNormal"/>
    <w:uiPriority w:val="49"/>
    <w:semiHidden/>
    <w:rsid w:val="00BF0CA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4-Accent31">
    <w:name w:val="List Table 4 - Accent 31"/>
    <w:basedOn w:val="TableNormal"/>
    <w:uiPriority w:val="49"/>
    <w:semiHidden/>
    <w:rsid w:val="00BF0CA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4-Accent41">
    <w:name w:val="List Table 4 - Accent 41"/>
    <w:basedOn w:val="TableNormal"/>
    <w:uiPriority w:val="49"/>
    <w:semiHidden/>
    <w:rsid w:val="00BF0CA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4-Accent51">
    <w:name w:val="List Table 4 - Accent 51"/>
    <w:basedOn w:val="TableNormal"/>
    <w:uiPriority w:val="49"/>
    <w:semiHidden/>
    <w:rsid w:val="00BF0CA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1">
    <w:name w:val="List Table 4 - Accent 61"/>
    <w:basedOn w:val="TableNormal"/>
    <w:uiPriority w:val="49"/>
    <w:semiHidden/>
    <w:rsid w:val="00BF0CA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1">
    <w:name w:val="List Table 5 Dark1"/>
    <w:basedOn w:val="TableNormal"/>
    <w:uiPriority w:val="50"/>
    <w:semiHidden/>
    <w:rsid w:val="00BF0CAC"/>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BF0CAC"/>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BF0CAC"/>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BF0CAC"/>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BF0CAC"/>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BF0CAC"/>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BF0CAC"/>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BF0CA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rsid w:val="00BF0CAC"/>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6Colorful-Accent21">
    <w:name w:val="List Table 6 Colorful - Accent 21"/>
    <w:basedOn w:val="TableNormal"/>
    <w:uiPriority w:val="51"/>
    <w:semiHidden/>
    <w:rsid w:val="00BF0CAC"/>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6Colorful-Accent31">
    <w:name w:val="List Table 6 Colorful - Accent 31"/>
    <w:basedOn w:val="TableNormal"/>
    <w:uiPriority w:val="51"/>
    <w:semiHidden/>
    <w:rsid w:val="00BF0CAC"/>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6Colorful-Accent41">
    <w:name w:val="List Table 6 Colorful - Accent 41"/>
    <w:basedOn w:val="TableNormal"/>
    <w:uiPriority w:val="51"/>
    <w:semiHidden/>
    <w:rsid w:val="00BF0CAC"/>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6Colorful-Accent51">
    <w:name w:val="List Table 6 Colorful - Accent 51"/>
    <w:basedOn w:val="TableNormal"/>
    <w:uiPriority w:val="51"/>
    <w:semiHidden/>
    <w:rsid w:val="00BF0CAC"/>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1">
    <w:name w:val="List Table 6 Colorful - Accent 61"/>
    <w:basedOn w:val="TableNormal"/>
    <w:uiPriority w:val="51"/>
    <w:semiHidden/>
    <w:rsid w:val="00BF0CAC"/>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1">
    <w:name w:val="List Table 7 Colorful1"/>
    <w:basedOn w:val="TableNormal"/>
    <w:uiPriority w:val="52"/>
    <w:semiHidden/>
    <w:rsid w:val="00BF0CA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BF0CAC"/>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BF0CAC"/>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BF0CAC"/>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BF0CAC"/>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BF0CAC"/>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BF0CAC"/>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semiHidden/>
    <w:rsid w:val="00BF0CAC"/>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21">
    <w:name w:val="Plain Table 21"/>
    <w:basedOn w:val="TableNormal"/>
    <w:uiPriority w:val="42"/>
    <w:semiHidden/>
    <w:rsid w:val="00BF0CA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BF0CA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BF0CA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51">
    <w:name w:val="Plain Table 51"/>
    <w:basedOn w:val="TableNormal"/>
    <w:uiPriority w:val="45"/>
    <w:semiHidden/>
    <w:rsid w:val="00BF0CA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BF0CAC"/>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styleId="Revision">
    <w:name w:val="Revision"/>
    <w:hidden/>
    <w:uiPriority w:val="99"/>
    <w:semiHidden/>
    <w:rsid w:val="00BF0CAC"/>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hudoc.exec.coe.int/eng?i=CM/Del/Dec(2018)1318/H46-6E" TargetMode="External"/><Relationship Id="rId26"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hudoc.exec.coe.int/eng?i=001-17832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hyperlink" Target="https://hudoc.exec.coe.int/eng?i=CM/Notes/1318/H46-6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T e m p l a t e   x m l n s : x s i = " h t t p : / / w w w . w 3 . o r g / 2 0 0 1 / X M L S c h e m a - i n s t a n c e "   x m l n s : x s d = " h t t p : / / w w w . w 3 . o r g / 2 0 0 1 / X M L S c h e m a "   x m l n s = " h t t p : / / e c h r . c o e . i n t / t e m p l a t e / m e t a d a t a " >  
     < C o d e > D 2 . 0 < / C o d e >  
     < T i t l e > D E 2 . 0 a   J U D   S e c t i o n   -   C o v e r   p a g e   ( i f   c o n v e r s i o n   m a c r o   d o e s   n o t   w o r k ) < / T i t l e >  
     < L a n g u a g e s >  
         < s t r i n g > E N G < / s t r i n g >  
     < / L a n g u a g e s >  
     < T y p e > D O C < / T y p e >  
     < C a t e g o r y > A R R < / C a t e g o r y >  
     < D e s c r i p t i o n > D E 2 . 0 a   J U D   S e c t i o n   -   C o v e r   p a g e   ( i f   c o n v e r s i o n   m a c r o   d o e s   n o t   w o r k ) . < / D e s c r i p t i o n >  
     < I n s t r u c t i o n s / >  
     < W a r n i n g s / >  
     < I s L e g a l T e m p l a t e > t r u e < / I s L e g a l T e m p l a t e >  
     < I n d e x D a t e   x s i : n i l = " t r u e " / >  
     < E d i t D a t e   x s i : n i l = " t r u e " / >  
     < T a g s >  
         < s t r i n g > J U D < / s t r i n g >  
         < s t r i n g > c o v e r < / s t r i n g >  
     < / T a g s >  
     < C r i t e r i a G r o u p s >  
         < C r i t e r i a G r o u p >  
             < C r i t e r i a S e r i e s >  
                 < C r i t e r i a S e r i e >  
                     < P r o p e r t y > S o P < / P r o p e r t y >  
                     < V a l u e s >  
                         < s t r i n g > C * < / s t r i n g >  
                         < s t r i n g > D * < / s t r i n g >  
                     < / V a l u e s >  
                 < / C r i t e r i a S e r i e >  
                 < C r i t e r i a S e r i e >  
                     < P r o p e r t y > E v e n t s < / P r o p e r t y >  
                     < V a l u e s >  
                         < s t r i n g > A R R E T * < / s t r i n g >  
                     < / V a l u e s >  
                 < / C r i t e r i a S e r i e >  
             < / C r i t e r i a S e r i e s >  
         < / C r i t e r i a G r o u p >  
     < / C r i t e r i a G r o u p s >  
 < / T e m p l a t 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C91BFF-F207-4C35-AA36-0D7D90AFA740}">
  <ds:schemaRefs>
    <ds:schemaRef ds:uri="http://www.w3.org/2001/XMLSchema"/>
    <ds:schemaRef ds:uri="http://echr.coe.int/template/metadata"/>
  </ds:schemaRefs>
</ds:datastoreItem>
</file>

<file path=customXml/itemProps2.xml><?xml version="1.0" encoding="utf-8"?>
<ds:datastoreItem xmlns:ds="http://schemas.openxmlformats.org/officeDocument/2006/customXml" ds:itemID="{8F89C993-6FEC-4915-AEA6-C32071E40FC5}">
  <ds:schemaRefs>
    <ds:schemaRef ds:uri="http://schemas.openxmlformats.org/officeDocument/2006/bibliography"/>
  </ds:schemaRefs>
</ds:datastoreItem>
</file>

<file path=customXml/itemProps3.xml><?xml version="1.0" encoding="utf-8"?>
<ds:datastoreItem xmlns:ds="http://schemas.openxmlformats.org/officeDocument/2006/customXml" ds:itemID="{9CA92373-4EB0-427B-9CE8-F0974781434B}"/>
</file>

<file path=customXml/itemProps4.xml><?xml version="1.0" encoding="utf-8"?>
<ds:datastoreItem xmlns:ds="http://schemas.openxmlformats.org/officeDocument/2006/customXml" ds:itemID="{889C145A-0FBA-4179-8158-CA4B9FE3956A}"/>
</file>

<file path=customXml/itemProps5.xml><?xml version="1.0" encoding="utf-8"?>
<ds:datastoreItem xmlns:ds="http://schemas.openxmlformats.org/officeDocument/2006/customXml" ds:itemID="{E6A11304-1EC3-405C-84BE-3960BB34D547}"/>
</file>

<file path=docProps/app.xml><?xml version="1.0" encoding="utf-8"?>
<Properties xmlns="http://schemas.openxmlformats.org/officeDocument/2006/extended-properties" xmlns:vt="http://schemas.openxmlformats.org/officeDocument/2006/docPropsVTypes">
  <Template>Normal.dotm</Template>
  <TotalTime>0</TotalTime>
  <Pages>1</Pages>
  <Words>24537</Words>
  <Characters>139867</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164076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2022-08-30T07:50:00Z</dcterms:created>
  <dcterms:modified xsi:type="dcterms:W3CDTF">2022-08-30T07:50:00Z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46564/15</vt:lpwstr>
  </property>
  <property fmtid="{D5CDD505-2E9C-101B-9397-08002B2CF9AE}" pid="4" name="CASEID">
    <vt:lpwstr>1156922</vt:lpwstr>
  </property>
  <property fmtid="{D5CDD505-2E9C-101B-9397-08002B2CF9AE}" pid="5" name="ContentTypeId">
    <vt:lpwstr>0x010100558EB02BDB9E204AB350EDD385B68E10</vt:lpwstr>
  </property>
</Properties>
</file>